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15FA" w14:textId="77777777" w:rsidR="00C75312" w:rsidRDefault="00C75312">
      <w:pPr>
        <w:pStyle w:val="BodyText"/>
        <w:spacing w:before="1"/>
        <w:rPr>
          <w:sz w:val="29"/>
        </w:rPr>
      </w:pPr>
    </w:p>
    <w:p w14:paraId="58BBE3B9" w14:textId="77777777" w:rsidR="00C75312" w:rsidRDefault="00BB293A">
      <w:pPr>
        <w:spacing w:before="86"/>
        <w:ind w:left="192" w:right="943"/>
        <w:jc w:val="center"/>
        <w:rPr>
          <w:rFonts w:ascii="Arial"/>
          <w:b/>
          <w:sz w:val="44"/>
        </w:rPr>
      </w:pPr>
      <w:r>
        <w:rPr>
          <w:noProof/>
        </w:rPr>
        <w:drawing>
          <wp:anchor distT="0" distB="0" distL="0" distR="0" simplePos="0" relativeHeight="251658240" behindDoc="0" locked="0" layoutInCell="1" allowOverlap="1" wp14:anchorId="161F4FC8" wp14:editId="5DE6F7CC">
            <wp:simplePos x="0" y="0"/>
            <wp:positionH relativeFrom="page">
              <wp:posOffset>467994</wp:posOffset>
            </wp:positionH>
            <wp:positionV relativeFrom="paragraph">
              <wp:posOffset>-217999</wp:posOffset>
            </wp:positionV>
            <wp:extent cx="1088999" cy="894600"/>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088999" cy="894600"/>
                    </a:xfrm>
                    <a:prstGeom prst="rect">
                      <a:avLst/>
                    </a:prstGeom>
                  </pic:spPr>
                </pic:pic>
              </a:graphicData>
            </a:graphic>
          </wp:anchor>
        </w:drawing>
      </w:r>
      <w:r>
        <w:rPr>
          <w:rFonts w:ascii="Arial"/>
          <w:b/>
          <w:color w:val="002F70"/>
          <w:sz w:val="44"/>
        </w:rPr>
        <w:t>Kent Academic Repository</w:t>
      </w:r>
    </w:p>
    <w:p w14:paraId="3B1C1596" w14:textId="77777777" w:rsidR="00C75312" w:rsidRDefault="00C75312">
      <w:pPr>
        <w:pStyle w:val="BodyText"/>
        <w:rPr>
          <w:rFonts w:ascii="Arial"/>
          <w:b/>
          <w:sz w:val="20"/>
        </w:rPr>
      </w:pPr>
    </w:p>
    <w:p w14:paraId="3F74EC1E" w14:textId="77777777" w:rsidR="00C75312" w:rsidRDefault="00C75312">
      <w:pPr>
        <w:pStyle w:val="BodyText"/>
        <w:rPr>
          <w:rFonts w:ascii="Arial"/>
          <w:b/>
          <w:sz w:val="20"/>
        </w:rPr>
      </w:pPr>
    </w:p>
    <w:p w14:paraId="0392FF76" w14:textId="77777777" w:rsidR="00C75312" w:rsidRDefault="00C75312">
      <w:pPr>
        <w:pStyle w:val="BodyText"/>
        <w:spacing w:before="6"/>
        <w:rPr>
          <w:rFonts w:ascii="Arial"/>
          <w:b/>
          <w:sz w:val="29"/>
        </w:rPr>
      </w:pPr>
    </w:p>
    <w:p w14:paraId="395F0D10" w14:textId="77777777" w:rsidR="00C75312" w:rsidRDefault="00BB293A">
      <w:pPr>
        <w:spacing w:before="91" w:line="268" w:lineRule="auto"/>
        <w:ind w:left="117" w:right="943"/>
        <w:rPr>
          <w:rFonts w:ascii="Arial"/>
          <w:b/>
          <w:sz w:val="28"/>
        </w:rPr>
      </w:pPr>
      <w:r>
        <w:rPr>
          <w:rFonts w:ascii="Arial"/>
          <w:b/>
          <w:color w:val="002F70"/>
          <w:sz w:val="28"/>
        </w:rPr>
        <w:t xml:space="preserve">Landsiedel, Julia (2017) </w:t>
      </w:r>
      <w:r>
        <w:rPr>
          <w:rFonts w:ascii="Arial"/>
          <w:b/>
          <w:i/>
          <w:color w:val="002F70"/>
          <w:sz w:val="28"/>
        </w:rPr>
        <w:t xml:space="preserve">Prospective memory in children and adults with autism spectrum disorder. </w:t>
      </w:r>
      <w:r>
        <w:rPr>
          <w:rFonts w:ascii="Arial"/>
          <w:b/>
          <w:color w:val="002F70"/>
          <w:sz w:val="28"/>
        </w:rPr>
        <w:t>Doctor of Philosophy (PhD) thesis, University of Kent,.</w:t>
      </w:r>
    </w:p>
    <w:p w14:paraId="0E84E553" w14:textId="77777777" w:rsidR="00C75312" w:rsidRDefault="00C75312">
      <w:pPr>
        <w:pStyle w:val="BodyText"/>
        <w:rPr>
          <w:rFonts w:ascii="Arial"/>
          <w:b/>
          <w:sz w:val="20"/>
        </w:rPr>
      </w:pPr>
    </w:p>
    <w:p w14:paraId="1B5E51B5" w14:textId="77777777" w:rsidR="00C75312" w:rsidRDefault="00C75312">
      <w:pPr>
        <w:pStyle w:val="BodyText"/>
        <w:rPr>
          <w:rFonts w:ascii="Arial"/>
          <w:b/>
          <w:sz w:val="20"/>
        </w:rPr>
      </w:pPr>
    </w:p>
    <w:p w14:paraId="0C715B35" w14:textId="77777777" w:rsidR="00C75312" w:rsidRDefault="00C75312">
      <w:pPr>
        <w:pStyle w:val="BodyText"/>
        <w:rPr>
          <w:rFonts w:ascii="Arial"/>
          <w:b/>
          <w:sz w:val="20"/>
        </w:rPr>
      </w:pPr>
    </w:p>
    <w:p w14:paraId="73C4BA8C" w14:textId="77777777" w:rsidR="00C75312" w:rsidRDefault="00C75312">
      <w:pPr>
        <w:pStyle w:val="BodyText"/>
        <w:rPr>
          <w:rFonts w:ascii="Arial"/>
          <w:b/>
          <w:sz w:val="20"/>
        </w:rPr>
      </w:pPr>
    </w:p>
    <w:p w14:paraId="5D3572D6" w14:textId="77777777" w:rsidR="00C75312" w:rsidRDefault="00C75312">
      <w:pPr>
        <w:pStyle w:val="BodyText"/>
        <w:rPr>
          <w:rFonts w:ascii="Arial"/>
          <w:b/>
          <w:sz w:val="20"/>
        </w:rPr>
      </w:pPr>
    </w:p>
    <w:p w14:paraId="66835DD2" w14:textId="77777777" w:rsidR="00C75312" w:rsidRDefault="00C75312">
      <w:pPr>
        <w:pStyle w:val="BodyText"/>
        <w:rPr>
          <w:rFonts w:ascii="Arial"/>
          <w:b/>
          <w:sz w:val="20"/>
        </w:rPr>
      </w:pPr>
    </w:p>
    <w:p w14:paraId="58B33893" w14:textId="77777777" w:rsidR="00C75312" w:rsidRDefault="00BB293A">
      <w:pPr>
        <w:spacing w:before="260"/>
        <w:ind w:left="117"/>
        <w:rPr>
          <w:rFonts w:ascii="Arial"/>
          <w:b/>
          <w:sz w:val="28"/>
        </w:rPr>
      </w:pPr>
      <w:r>
        <w:rPr>
          <w:rFonts w:ascii="Arial"/>
          <w:b/>
          <w:color w:val="002F70"/>
          <w:sz w:val="28"/>
        </w:rPr>
        <w:t>Downloaded from</w:t>
      </w:r>
    </w:p>
    <w:p w14:paraId="6E8E3FD5" w14:textId="77777777" w:rsidR="00C75312" w:rsidRDefault="00BB293A">
      <w:pPr>
        <w:spacing w:before="33"/>
        <w:ind w:left="117"/>
        <w:rPr>
          <w:rFonts w:ascii="Arial"/>
          <w:sz w:val="20"/>
        </w:rPr>
      </w:pPr>
      <w:hyperlink r:id="rId8">
        <w:r>
          <w:rPr>
            <w:rFonts w:ascii="Arial"/>
            <w:sz w:val="20"/>
            <w:u w:val="single"/>
          </w:rPr>
          <w:t>https://kar.kent.ac.uk/66668/</w:t>
        </w:r>
        <w:r>
          <w:rPr>
            <w:rFonts w:ascii="Arial"/>
            <w:sz w:val="20"/>
          </w:rPr>
          <w:t xml:space="preserve"> </w:t>
        </w:r>
      </w:hyperlink>
      <w:r>
        <w:rPr>
          <w:rFonts w:ascii="Arial"/>
          <w:sz w:val="20"/>
        </w:rPr>
        <w:t>The University of Kent's Academic Repository KAR</w:t>
      </w:r>
    </w:p>
    <w:p w14:paraId="6233C5D0" w14:textId="77777777" w:rsidR="00C75312" w:rsidRDefault="00C75312">
      <w:pPr>
        <w:pStyle w:val="BodyText"/>
        <w:spacing w:before="10"/>
        <w:rPr>
          <w:rFonts w:ascii="Arial"/>
          <w:sz w:val="30"/>
        </w:rPr>
      </w:pPr>
    </w:p>
    <w:p w14:paraId="7738AB14" w14:textId="77777777" w:rsidR="00C75312" w:rsidRDefault="00BB293A">
      <w:pPr>
        <w:ind w:left="117"/>
        <w:rPr>
          <w:rFonts w:ascii="Arial"/>
          <w:b/>
          <w:sz w:val="28"/>
        </w:rPr>
      </w:pPr>
      <w:r>
        <w:rPr>
          <w:rFonts w:ascii="Arial"/>
          <w:b/>
          <w:color w:val="002F70"/>
          <w:sz w:val="28"/>
        </w:rPr>
        <w:t>The version of record is available from</w:t>
      </w:r>
    </w:p>
    <w:p w14:paraId="54081B65" w14:textId="77777777" w:rsidR="00C75312" w:rsidRDefault="00C75312">
      <w:pPr>
        <w:pStyle w:val="BodyText"/>
        <w:rPr>
          <w:rFonts w:ascii="Arial"/>
          <w:b/>
          <w:sz w:val="30"/>
        </w:rPr>
      </w:pPr>
    </w:p>
    <w:p w14:paraId="560FD8B7" w14:textId="77777777" w:rsidR="00C75312" w:rsidRDefault="00C75312">
      <w:pPr>
        <w:pStyle w:val="BodyText"/>
        <w:spacing w:before="8"/>
        <w:rPr>
          <w:rFonts w:ascii="Arial"/>
          <w:b/>
          <w:sz w:val="23"/>
        </w:rPr>
      </w:pPr>
    </w:p>
    <w:p w14:paraId="38F9DB51" w14:textId="77777777" w:rsidR="00C75312" w:rsidRDefault="00BB293A">
      <w:pPr>
        <w:spacing w:before="1" w:line="320" w:lineRule="exact"/>
        <w:ind w:left="117"/>
        <w:rPr>
          <w:rFonts w:ascii="Arial"/>
          <w:b/>
          <w:sz w:val="28"/>
        </w:rPr>
      </w:pPr>
      <w:r>
        <w:rPr>
          <w:rFonts w:ascii="Arial"/>
          <w:b/>
          <w:color w:val="002F70"/>
          <w:sz w:val="28"/>
        </w:rPr>
        <w:t>This document version</w:t>
      </w:r>
    </w:p>
    <w:p w14:paraId="645F8F69" w14:textId="77777777" w:rsidR="00C75312" w:rsidRDefault="00BB293A">
      <w:pPr>
        <w:pStyle w:val="BodyText"/>
        <w:spacing w:line="274" w:lineRule="exact"/>
        <w:ind w:left="117"/>
        <w:rPr>
          <w:rFonts w:ascii="Arial"/>
        </w:rPr>
      </w:pPr>
      <w:r>
        <w:rPr>
          <w:rFonts w:ascii="Arial"/>
        </w:rPr>
        <w:t>UNSPECIFIED</w:t>
      </w:r>
    </w:p>
    <w:p w14:paraId="410D98F2" w14:textId="77777777" w:rsidR="00C75312" w:rsidRDefault="00C75312">
      <w:pPr>
        <w:pStyle w:val="BodyText"/>
        <w:spacing w:before="1"/>
        <w:rPr>
          <w:rFonts w:ascii="Arial"/>
          <w:sz w:val="30"/>
        </w:rPr>
      </w:pPr>
    </w:p>
    <w:p w14:paraId="41B141AC" w14:textId="77777777" w:rsidR="00C75312" w:rsidRDefault="00BB293A">
      <w:pPr>
        <w:ind w:left="117"/>
        <w:rPr>
          <w:rFonts w:ascii="Arial"/>
          <w:b/>
          <w:sz w:val="28"/>
        </w:rPr>
      </w:pPr>
      <w:r>
        <w:rPr>
          <w:rFonts w:ascii="Arial"/>
          <w:b/>
          <w:color w:val="002F70"/>
          <w:sz w:val="28"/>
        </w:rPr>
        <w:t>DOI for this version</w:t>
      </w:r>
    </w:p>
    <w:p w14:paraId="48314172" w14:textId="77777777" w:rsidR="00C75312" w:rsidRDefault="00C75312">
      <w:pPr>
        <w:pStyle w:val="BodyText"/>
        <w:rPr>
          <w:rFonts w:ascii="Arial"/>
          <w:b/>
          <w:sz w:val="30"/>
        </w:rPr>
      </w:pPr>
    </w:p>
    <w:p w14:paraId="24A883B7" w14:textId="77777777" w:rsidR="00C75312" w:rsidRDefault="00C75312">
      <w:pPr>
        <w:pStyle w:val="BodyText"/>
        <w:spacing w:before="8"/>
        <w:rPr>
          <w:rFonts w:ascii="Arial"/>
          <w:b/>
          <w:sz w:val="23"/>
        </w:rPr>
      </w:pPr>
    </w:p>
    <w:p w14:paraId="6FD1BA07" w14:textId="77777777" w:rsidR="00C75312" w:rsidRDefault="00BB293A">
      <w:pPr>
        <w:spacing w:before="1" w:line="320" w:lineRule="exact"/>
        <w:ind w:left="117"/>
        <w:rPr>
          <w:rFonts w:ascii="Arial"/>
          <w:b/>
          <w:sz w:val="28"/>
        </w:rPr>
      </w:pPr>
      <w:proofErr w:type="spellStart"/>
      <w:r>
        <w:rPr>
          <w:rFonts w:ascii="Arial"/>
          <w:b/>
          <w:color w:val="002F70"/>
          <w:sz w:val="28"/>
        </w:rPr>
        <w:t>Licence</w:t>
      </w:r>
      <w:proofErr w:type="spellEnd"/>
      <w:r>
        <w:rPr>
          <w:rFonts w:ascii="Arial"/>
          <w:b/>
          <w:color w:val="002F70"/>
          <w:sz w:val="28"/>
        </w:rPr>
        <w:t xml:space="preserve"> for this version</w:t>
      </w:r>
    </w:p>
    <w:p w14:paraId="5BDA815F" w14:textId="77777777" w:rsidR="00C75312" w:rsidRDefault="00BB293A">
      <w:pPr>
        <w:pStyle w:val="BodyText"/>
        <w:spacing w:line="274" w:lineRule="exact"/>
        <w:ind w:left="117"/>
        <w:rPr>
          <w:rFonts w:ascii="Arial"/>
        </w:rPr>
      </w:pPr>
      <w:r>
        <w:rPr>
          <w:rFonts w:ascii="Arial"/>
        </w:rPr>
        <w:t>UNSPECIFIED</w:t>
      </w:r>
    </w:p>
    <w:p w14:paraId="68A209D4" w14:textId="77777777" w:rsidR="00C75312" w:rsidRDefault="00C75312">
      <w:pPr>
        <w:pStyle w:val="BodyText"/>
        <w:spacing w:before="1"/>
        <w:rPr>
          <w:rFonts w:ascii="Arial"/>
          <w:sz w:val="30"/>
        </w:rPr>
      </w:pPr>
    </w:p>
    <w:p w14:paraId="2B5FEE92" w14:textId="77777777" w:rsidR="00C75312" w:rsidRDefault="00BB293A">
      <w:pPr>
        <w:ind w:left="117"/>
        <w:rPr>
          <w:rFonts w:ascii="Arial"/>
          <w:b/>
          <w:sz w:val="28"/>
        </w:rPr>
      </w:pPr>
      <w:r>
        <w:rPr>
          <w:rFonts w:ascii="Arial"/>
          <w:b/>
          <w:color w:val="002F70"/>
          <w:sz w:val="28"/>
        </w:rPr>
        <w:t>Additional information</w:t>
      </w:r>
    </w:p>
    <w:p w14:paraId="1A5027BD" w14:textId="77777777" w:rsidR="00C75312" w:rsidRDefault="00C75312">
      <w:pPr>
        <w:pStyle w:val="BodyText"/>
        <w:rPr>
          <w:rFonts w:ascii="Arial"/>
          <w:b/>
          <w:sz w:val="30"/>
        </w:rPr>
      </w:pPr>
    </w:p>
    <w:p w14:paraId="10114931" w14:textId="77777777" w:rsidR="00C75312" w:rsidRDefault="00C75312">
      <w:pPr>
        <w:pStyle w:val="BodyText"/>
        <w:spacing w:before="10"/>
        <w:rPr>
          <w:rFonts w:ascii="Arial"/>
          <w:b/>
          <w:sz w:val="42"/>
        </w:rPr>
      </w:pPr>
    </w:p>
    <w:p w14:paraId="023193E1" w14:textId="77777777" w:rsidR="00C75312" w:rsidRDefault="00BB293A">
      <w:pPr>
        <w:ind w:left="117"/>
        <w:rPr>
          <w:rFonts w:ascii="Arial"/>
          <w:b/>
          <w:sz w:val="28"/>
        </w:rPr>
      </w:pPr>
      <w:r>
        <w:rPr>
          <w:rFonts w:ascii="Arial"/>
          <w:b/>
          <w:color w:val="002F70"/>
          <w:sz w:val="28"/>
        </w:rPr>
        <w:t>Versions of research works</w:t>
      </w:r>
    </w:p>
    <w:p w14:paraId="4302BF42" w14:textId="77777777" w:rsidR="00C75312" w:rsidRDefault="00C75312">
      <w:pPr>
        <w:pStyle w:val="BodyText"/>
        <w:spacing w:before="10"/>
        <w:rPr>
          <w:rFonts w:ascii="Arial"/>
          <w:b/>
          <w:sz w:val="37"/>
        </w:rPr>
      </w:pPr>
    </w:p>
    <w:p w14:paraId="5B701A5F" w14:textId="77777777" w:rsidR="00C75312" w:rsidRDefault="00BB293A">
      <w:pPr>
        <w:ind w:left="117"/>
        <w:rPr>
          <w:rFonts w:ascii="Arial"/>
          <w:b/>
          <w:sz w:val="24"/>
        </w:rPr>
      </w:pPr>
      <w:r>
        <w:rPr>
          <w:rFonts w:ascii="Arial"/>
          <w:b/>
          <w:color w:val="002F70"/>
          <w:sz w:val="24"/>
        </w:rPr>
        <w:t>Versions of Record</w:t>
      </w:r>
    </w:p>
    <w:p w14:paraId="76B0A5B8" w14:textId="77777777" w:rsidR="00C75312" w:rsidRDefault="00BB293A">
      <w:pPr>
        <w:spacing w:before="42" w:line="292" w:lineRule="auto"/>
        <w:ind w:left="117" w:right="577"/>
        <w:rPr>
          <w:rFonts w:ascii="Arial"/>
          <w:sz w:val="20"/>
        </w:rPr>
      </w:pPr>
      <w:r>
        <w:rPr>
          <w:rFonts w:ascii="Arial"/>
          <w:sz w:val="20"/>
        </w:rPr>
        <w:t>If this version is the version of record, it is the same as the published version available on the publisher's web site. Cite as the published version.</w:t>
      </w:r>
    </w:p>
    <w:p w14:paraId="71D283AB" w14:textId="77777777" w:rsidR="00C75312" w:rsidRDefault="00BB293A">
      <w:pPr>
        <w:spacing w:before="121"/>
        <w:ind w:left="117"/>
        <w:rPr>
          <w:rFonts w:ascii="Arial"/>
          <w:b/>
          <w:sz w:val="24"/>
        </w:rPr>
      </w:pPr>
      <w:r>
        <w:rPr>
          <w:rFonts w:ascii="Arial"/>
          <w:b/>
          <w:color w:val="002F70"/>
          <w:sz w:val="24"/>
        </w:rPr>
        <w:t>Author Accepted Manuscripts</w:t>
      </w:r>
    </w:p>
    <w:p w14:paraId="341232D4" w14:textId="77777777" w:rsidR="00C75312" w:rsidRDefault="00BB293A">
      <w:pPr>
        <w:spacing w:before="42" w:line="292" w:lineRule="auto"/>
        <w:ind w:left="117" w:right="594"/>
        <w:rPr>
          <w:rFonts w:ascii="Arial"/>
          <w:i/>
          <w:sz w:val="20"/>
        </w:rPr>
      </w:pPr>
      <w:r>
        <w:rPr>
          <w:rFonts w:ascii="Arial"/>
          <w:sz w:val="20"/>
        </w:rPr>
        <w:t xml:space="preserve">If this document is identified as the Author Accepted Manuscript it is the version after peer review but before type setting, copy editing or publisher branding. Cite as Surname, Initial. (Year) 'Title of article'. To be published in </w:t>
      </w:r>
      <w:r>
        <w:rPr>
          <w:rFonts w:ascii="Arial"/>
          <w:i/>
          <w:sz w:val="20"/>
        </w:rPr>
        <w:t>Title</w:t>
      </w:r>
    </w:p>
    <w:p w14:paraId="3934C4A9" w14:textId="77777777" w:rsidR="00C75312" w:rsidRDefault="00BB293A">
      <w:pPr>
        <w:spacing w:line="229" w:lineRule="exact"/>
        <w:ind w:left="117"/>
        <w:rPr>
          <w:rFonts w:ascii="Arial"/>
          <w:sz w:val="20"/>
        </w:rPr>
      </w:pPr>
      <w:r>
        <w:rPr>
          <w:rFonts w:ascii="Arial"/>
          <w:i/>
          <w:sz w:val="20"/>
        </w:rPr>
        <w:t xml:space="preserve">of Journal </w:t>
      </w:r>
      <w:r>
        <w:rPr>
          <w:rFonts w:ascii="Arial"/>
          <w:sz w:val="20"/>
        </w:rPr>
        <w:t>, Volume and issue numbers [peer-reviewed accepted version]. Available at: DOI or URL (Accessed: date).</w:t>
      </w:r>
    </w:p>
    <w:p w14:paraId="38695279" w14:textId="77777777" w:rsidR="00C75312" w:rsidRDefault="00BB293A">
      <w:pPr>
        <w:spacing w:before="135"/>
        <w:ind w:left="117"/>
        <w:rPr>
          <w:rFonts w:ascii="Arial"/>
          <w:b/>
          <w:sz w:val="28"/>
        </w:rPr>
      </w:pPr>
      <w:r>
        <w:rPr>
          <w:rFonts w:ascii="Arial"/>
          <w:b/>
          <w:color w:val="002F70"/>
          <w:sz w:val="28"/>
        </w:rPr>
        <w:t>Enquiries</w:t>
      </w:r>
    </w:p>
    <w:p w14:paraId="3B8DC5F2" w14:textId="77777777" w:rsidR="00C75312" w:rsidRDefault="00BB293A">
      <w:pPr>
        <w:spacing w:before="33" w:line="292" w:lineRule="auto"/>
        <w:ind w:left="117" w:right="89"/>
        <w:rPr>
          <w:rFonts w:ascii="Arial"/>
          <w:sz w:val="20"/>
        </w:rPr>
      </w:pPr>
      <w:r>
        <w:rPr>
          <w:rFonts w:ascii="Arial"/>
          <w:sz w:val="20"/>
        </w:rPr>
        <w:t xml:space="preserve">If you have questions about this document contact </w:t>
      </w:r>
      <w:hyperlink r:id="rId9">
        <w:r>
          <w:rPr>
            <w:rFonts w:ascii="Arial"/>
            <w:sz w:val="20"/>
            <w:u w:val="single"/>
          </w:rPr>
          <w:t>ResearchSupport@kent.ac.uk</w:t>
        </w:r>
      </w:hyperlink>
      <w:r>
        <w:rPr>
          <w:rFonts w:ascii="Arial"/>
          <w:sz w:val="20"/>
        </w:rPr>
        <w:t>. Please include the URL of the record in KAR. If you believe that your, or a third party's rights have been compromised through this document please see</w:t>
      </w:r>
    </w:p>
    <w:p w14:paraId="48EFB486" w14:textId="77777777" w:rsidR="00C75312" w:rsidRDefault="00BB293A">
      <w:pPr>
        <w:spacing w:line="229" w:lineRule="exact"/>
        <w:ind w:left="117"/>
        <w:rPr>
          <w:rFonts w:ascii="Arial"/>
          <w:sz w:val="20"/>
        </w:rPr>
      </w:pPr>
      <w:r>
        <w:rPr>
          <w:rFonts w:ascii="Arial"/>
          <w:sz w:val="20"/>
        </w:rPr>
        <w:t xml:space="preserve">our </w:t>
      </w:r>
      <w:hyperlink r:id="rId10" w:anchor="policies">
        <w:r>
          <w:rPr>
            <w:rFonts w:ascii="Arial"/>
            <w:sz w:val="20"/>
            <w:u w:val="single"/>
          </w:rPr>
          <w:t>Take Down policy</w:t>
        </w:r>
        <w:r>
          <w:rPr>
            <w:rFonts w:ascii="Arial"/>
            <w:sz w:val="20"/>
          </w:rPr>
          <w:t xml:space="preserve"> </w:t>
        </w:r>
      </w:hyperlink>
      <w:r>
        <w:rPr>
          <w:rFonts w:ascii="Arial"/>
          <w:sz w:val="20"/>
        </w:rPr>
        <w:t xml:space="preserve">(available from </w:t>
      </w:r>
      <w:hyperlink r:id="rId11" w:anchor="policies">
        <w:r>
          <w:rPr>
            <w:rFonts w:ascii="Arial"/>
            <w:sz w:val="20"/>
            <w:u w:val="single"/>
          </w:rPr>
          <w:t>https://www.kent.ac.uk/guides/kar-the-kent-academic-repository#policies</w:t>
        </w:r>
      </w:hyperlink>
      <w:r>
        <w:rPr>
          <w:rFonts w:ascii="Arial"/>
          <w:sz w:val="20"/>
        </w:rPr>
        <w:t>).</w:t>
      </w:r>
    </w:p>
    <w:p w14:paraId="2EED49D4" w14:textId="77777777" w:rsidR="00C75312" w:rsidRDefault="00C75312">
      <w:pPr>
        <w:spacing w:line="229" w:lineRule="exact"/>
        <w:rPr>
          <w:rFonts w:ascii="Arial"/>
          <w:sz w:val="20"/>
        </w:rPr>
        <w:sectPr w:rsidR="00C75312">
          <w:type w:val="continuous"/>
          <w:pgSz w:w="11900" w:h="16840"/>
          <w:pgMar w:top="700" w:right="500" w:bottom="280" w:left="620" w:header="720" w:footer="720" w:gutter="0"/>
          <w:cols w:space="720"/>
        </w:sectPr>
      </w:pPr>
    </w:p>
    <w:p w14:paraId="603618FD" w14:textId="77777777" w:rsidR="00C75312" w:rsidRDefault="00C75312">
      <w:pPr>
        <w:pStyle w:val="BodyText"/>
        <w:rPr>
          <w:rFonts w:ascii="Arial"/>
          <w:sz w:val="20"/>
        </w:rPr>
      </w:pPr>
    </w:p>
    <w:p w14:paraId="16698CFC" w14:textId="77777777" w:rsidR="00C75312" w:rsidRDefault="00C75312">
      <w:pPr>
        <w:pStyle w:val="BodyText"/>
        <w:rPr>
          <w:rFonts w:ascii="Arial"/>
          <w:sz w:val="20"/>
        </w:rPr>
      </w:pPr>
    </w:p>
    <w:p w14:paraId="6A5268AD" w14:textId="77777777" w:rsidR="00C75312" w:rsidRDefault="00C75312">
      <w:pPr>
        <w:pStyle w:val="BodyText"/>
        <w:rPr>
          <w:rFonts w:ascii="Arial"/>
          <w:sz w:val="20"/>
        </w:rPr>
      </w:pPr>
    </w:p>
    <w:p w14:paraId="76869979" w14:textId="77777777" w:rsidR="00C75312" w:rsidRDefault="00C75312">
      <w:pPr>
        <w:pStyle w:val="BodyText"/>
        <w:rPr>
          <w:rFonts w:ascii="Arial"/>
          <w:sz w:val="20"/>
        </w:rPr>
      </w:pPr>
    </w:p>
    <w:p w14:paraId="24BAB4FD" w14:textId="77777777" w:rsidR="00C75312" w:rsidRDefault="00C75312">
      <w:pPr>
        <w:pStyle w:val="BodyText"/>
        <w:rPr>
          <w:rFonts w:ascii="Arial"/>
          <w:sz w:val="20"/>
        </w:rPr>
      </w:pPr>
    </w:p>
    <w:p w14:paraId="29BE1578" w14:textId="77777777" w:rsidR="00C75312" w:rsidRDefault="00C75312">
      <w:pPr>
        <w:pStyle w:val="BodyText"/>
        <w:spacing w:before="8"/>
        <w:rPr>
          <w:rFonts w:ascii="Arial"/>
          <w:sz w:val="19"/>
        </w:rPr>
      </w:pPr>
    </w:p>
    <w:p w14:paraId="7C4A61F9" w14:textId="77777777" w:rsidR="00C75312" w:rsidRDefault="00BB293A">
      <w:pPr>
        <w:spacing w:before="82" w:line="480" w:lineRule="auto"/>
        <w:ind w:left="820" w:right="938"/>
        <w:jc w:val="center"/>
        <w:rPr>
          <w:b/>
          <w:sz w:val="32"/>
        </w:rPr>
      </w:pPr>
      <w:r>
        <w:rPr>
          <w:b/>
          <w:sz w:val="40"/>
        </w:rPr>
        <w:t>P</w:t>
      </w:r>
      <w:r>
        <w:rPr>
          <w:b/>
          <w:sz w:val="32"/>
        </w:rPr>
        <w:t xml:space="preserve">ROSPECTIVE </w:t>
      </w:r>
      <w:r>
        <w:rPr>
          <w:b/>
          <w:sz w:val="40"/>
        </w:rPr>
        <w:t>M</w:t>
      </w:r>
      <w:r>
        <w:rPr>
          <w:b/>
          <w:sz w:val="32"/>
        </w:rPr>
        <w:t xml:space="preserve">EMORY IN </w:t>
      </w:r>
      <w:r>
        <w:rPr>
          <w:b/>
          <w:sz w:val="40"/>
        </w:rPr>
        <w:t>C</w:t>
      </w:r>
      <w:r>
        <w:rPr>
          <w:b/>
          <w:sz w:val="32"/>
        </w:rPr>
        <w:t xml:space="preserve">HILDREN </w:t>
      </w:r>
      <w:r>
        <w:rPr>
          <w:b/>
          <w:sz w:val="40"/>
        </w:rPr>
        <w:t>A</w:t>
      </w:r>
      <w:r>
        <w:rPr>
          <w:b/>
          <w:sz w:val="32"/>
        </w:rPr>
        <w:t xml:space="preserve">ND </w:t>
      </w:r>
      <w:r>
        <w:rPr>
          <w:b/>
          <w:sz w:val="40"/>
        </w:rPr>
        <w:t>A</w:t>
      </w:r>
      <w:r>
        <w:rPr>
          <w:b/>
          <w:sz w:val="32"/>
        </w:rPr>
        <w:t xml:space="preserve">DULTS WITH </w:t>
      </w:r>
      <w:r>
        <w:rPr>
          <w:b/>
          <w:sz w:val="40"/>
        </w:rPr>
        <w:t>A</w:t>
      </w:r>
      <w:r>
        <w:rPr>
          <w:b/>
          <w:sz w:val="32"/>
        </w:rPr>
        <w:t xml:space="preserve">UTISM </w:t>
      </w:r>
      <w:r>
        <w:rPr>
          <w:b/>
          <w:sz w:val="40"/>
        </w:rPr>
        <w:t>S</w:t>
      </w:r>
      <w:r>
        <w:rPr>
          <w:b/>
          <w:sz w:val="32"/>
        </w:rPr>
        <w:t xml:space="preserve">PECTRUM </w:t>
      </w:r>
      <w:r>
        <w:rPr>
          <w:b/>
          <w:sz w:val="40"/>
        </w:rPr>
        <w:t>D</w:t>
      </w:r>
      <w:r>
        <w:rPr>
          <w:b/>
          <w:sz w:val="32"/>
        </w:rPr>
        <w:t>ISORDER</w:t>
      </w:r>
    </w:p>
    <w:p w14:paraId="4C9D954D" w14:textId="77777777" w:rsidR="00C75312" w:rsidRDefault="00C75312">
      <w:pPr>
        <w:pStyle w:val="BodyText"/>
        <w:rPr>
          <w:b/>
          <w:sz w:val="44"/>
        </w:rPr>
      </w:pPr>
    </w:p>
    <w:p w14:paraId="547590F3" w14:textId="77777777" w:rsidR="00C75312" w:rsidRDefault="00C75312">
      <w:pPr>
        <w:pStyle w:val="BodyText"/>
        <w:rPr>
          <w:b/>
          <w:sz w:val="44"/>
        </w:rPr>
      </w:pPr>
    </w:p>
    <w:p w14:paraId="3D469C49" w14:textId="77777777" w:rsidR="00C75312" w:rsidRDefault="00C75312">
      <w:pPr>
        <w:pStyle w:val="BodyText"/>
        <w:spacing w:before="6"/>
        <w:rPr>
          <w:b/>
          <w:sz w:val="41"/>
        </w:rPr>
      </w:pPr>
    </w:p>
    <w:p w14:paraId="58E66679" w14:textId="77777777" w:rsidR="00C75312" w:rsidRDefault="00BB293A">
      <w:pPr>
        <w:spacing w:line="480" w:lineRule="auto"/>
        <w:ind w:left="3925" w:right="4037" w:hanging="4"/>
        <w:jc w:val="center"/>
        <w:rPr>
          <w:sz w:val="32"/>
        </w:rPr>
      </w:pPr>
      <w:r>
        <w:rPr>
          <w:sz w:val="32"/>
        </w:rPr>
        <w:t>Julia Landsiedel School of Psychology University of Kent</w:t>
      </w:r>
    </w:p>
    <w:p w14:paraId="19F61483" w14:textId="77777777" w:rsidR="00C75312" w:rsidRDefault="00C75312">
      <w:pPr>
        <w:pStyle w:val="BodyText"/>
        <w:rPr>
          <w:sz w:val="36"/>
        </w:rPr>
      </w:pPr>
    </w:p>
    <w:p w14:paraId="107DB64A" w14:textId="77777777" w:rsidR="00C75312" w:rsidRDefault="00C75312">
      <w:pPr>
        <w:pStyle w:val="BodyText"/>
        <w:rPr>
          <w:sz w:val="36"/>
        </w:rPr>
      </w:pPr>
    </w:p>
    <w:p w14:paraId="41C70069" w14:textId="77777777" w:rsidR="00C75312" w:rsidRDefault="00C75312">
      <w:pPr>
        <w:pStyle w:val="BodyText"/>
        <w:rPr>
          <w:sz w:val="36"/>
        </w:rPr>
      </w:pPr>
    </w:p>
    <w:p w14:paraId="0A679995" w14:textId="77777777" w:rsidR="00C75312" w:rsidRDefault="00C75312">
      <w:pPr>
        <w:pStyle w:val="BodyText"/>
        <w:rPr>
          <w:sz w:val="36"/>
        </w:rPr>
      </w:pPr>
    </w:p>
    <w:p w14:paraId="437BB003" w14:textId="77777777" w:rsidR="00C75312" w:rsidRDefault="00C75312">
      <w:pPr>
        <w:pStyle w:val="BodyText"/>
        <w:rPr>
          <w:sz w:val="36"/>
        </w:rPr>
      </w:pPr>
    </w:p>
    <w:p w14:paraId="7B1C367B" w14:textId="77777777" w:rsidR="00C75312" w:rsidRDefault="00C75312">
      <w:pPr>
        <w:pStyle w:val="BodyText"/>
        <w:rPr>
          <w:sz w:val="36"/>
        </w:rPr>
      </w:pPr>
    </w:p>
    <w:p w14:paraId="04631342" w14:textId="77777777" w:rsidR="00C75312" w:rsidRDefault="00C75312">
      <w:pPr>
        <w:pStyle w:val="BodyText"/>
        <w:rPr>
          <w:sz w:val="36"/>
        </w:rPr>
      </w:pPr>
    </w:p>
    <w:p w14:paraId="67E68724" w14:textId="77777777" w:rsidR="00C75312" w:rsidRDefault="00C75312">
      <w:pPr>
        <w:pStyle w:val="BodyText"/>
        <w:rPr>
          <w:sz w:val="36"/>
        </w:rPr>
      </w:pPr>
    </w:p>
    <w:p w14:paraId="11DB6AD0" w14:textId="77777777" w:rsidR="00C75312" w:rsidRDefault="00C75312">
      <w:pPr>
        <w:pStyle w:val="BodyText"/>
        <w:rPr>
          <w:sz w:val="36"/>
        </w:rPr>
      </w:pPr>
    </w:p>
    <w:p w14:paraId="299D7545" w14:textId="77777777" w:rsidR="00C75312" w:rsidRDefault="00C75312">
      <w:pPr>
        <w:pStyle w:val="BodyText"/>
        <w:rPr>
          <w:sz w:val="36"/>
        </w:rPr>
      </w:pPr>
    </w:p>
    <w:p w14:paraId="18A8AB64" w14:textId="77777777" w:rsidR="00C75312" w:rsidRDefault="00C75312">
      <w:pPr>
        <w:pStyle w:val="BodyText"/>
        <w:rPr>
          <w:sz w:val="36"/>
        </w:rPr>
      </w:pPr>
    </w:p>
    <w:p w14:paraId="19C3CE35" w14:textId="77777777" w:rsidR="00C75312" w:rsidRDefault="00C75312">
      <w:pPr>
        <w:pStyle w:val="BodyText"/>
        <w:spacing w:before="1"/>
        <w:rPr>
          <w:sz w:val="52"/>
        </w:rPr>
      </w:pPr>
    </w:p>
    <w:p w14:paraId="07CA878C" w14:textId="77777777" w:rsidR="00C75312" w:rsidRDefault="00BB293A">
      <w:pPr>
        <w:pStyle w:val="BodyText"/>
        <w:spacing w:line="480" w:lineRule="auto"/>
        <w:ind w:left="820" w:right="935"/>
        <w:jc w:val="center"/>
      </w:pPr>
      <w:r>
        <w:t>A thesis submitted for the degree of Doctor of Philosophy in the Faculty of Social Science at the University of Kent, Canterbury</w:t>
      </w:r>
    </w:p>
    <w:p w14:paraId="7FBEB37D" w14:textId="77777777" w:rsidR="00C75312" w:rsidRDefault="00BB293A">
      <w:pPr>
        <w:spacing w:before="121"/>
        <w:ind w:left="820" w:right="934"/>
        <w:jc w:val="center"/>
        <w:rPr>
          <w:i/>
          <w:sz w:val="24"/>
        </w:rPr>
      </w:pPr>
      <w:r>
        <w:rPr>
          <w:i/>
          <w:sz w:val="24"/>
        </w:rPr>
        <w:t>October 2017</w:t>
      </w:r>
    </w:p>
    <w:p w14:paraId="51F8B400" w14:textId="77777777" w:rsidR="00C75312" w:rsidRDefault="00C75312">
      <w:pPr>
        <w:jc w:val="center"/>
        <w:rPr>
          <w:sz w:val="24"/>
        </w:rPr>
        <w:sectPr w:rsidR="00C75312">
          <w:pgSz w:w="11900" w:h="16840"/>
          <w:pgMar w:top="1600" w:right="500" w:bottom="280" w:left="620" w:header="720" w:footer="720" w:gutter="0"/>
          <w:cols w:space="720"/>
        </w:sectPr>
      </w:pPr>
    </w:p>
    <w:p w14:paraId="4D1E4BED" w14:textId="77777777" w:rsidR="00C75312" w:rsidRDefault="00BB293A">
      <w:pPr>
        <w:pStyle w:val="Heading1"/>
        <w:spacing w:before="61"/>
        <w:ind w:left="820" w:right="943"/>
        <w:jc w:val="center"/>
      </w:pPr>
      <w:bookmarkStart w:id="0" w:name="_TOC_250033"/>
      <w:bookmarkEnd w:id="0"/>
      <w:r>
        <w:lastRenderedPageBreak/>
        <w:t>DECLARATION</w:t>
      </w:r>
    </w:p>
    <w:p w14:paraId="1E539A77" w14:textId="77777777" w:rsidR="00C75312" w:rsidRDefault="00C75312">
      <w:pPr>
        <w:pStyle w:val="BodyText"/>
        <w:rPr>
          <w:b/>
          <w:sz w:val="26"/>
        </w:rPr>
      </w:pPr>
    </w:p>
    <w:p w14:paraId="08599921" w14:textId="77777777" w:rsidR="00C75312" w:rsidRDefault="00C75312">
      <w:pPr>
        <w:pStyle w:val="BodyText"/>
        <w:spacing w:before="3"/>
        <w:rPr>
          <w:b/>
          <w:sz w:val="22"/>
        </w:rPr>
      </w:pPr>
    </w:p>
    <w:p w14:paraId="70544EEB" w14:textId="77777777" w:rsidR="00C75312" w:rsidRDefault="00BB293A">
      <w:pPr>
        <w:pStyle w:val="BodyText"/>
        <w:spacing w:line="480" w:lineRule="auto"/>
        <w:ind w:left="820" w:right="930"/>
        <w:jc w:val="both"/>
      </w:pPr>
      <w:r>
        <w:t>I</w:t>
      </w:r>
      <w:r>
        <w:rPr>
          <w:spacing w:val="-3"/>
        </w:rPr>
        <w:t xml:space="preserve"> </w:t>
      </w:r>
      <w:r>
        <w:t>declare</w:t>
      </w:r>
      <w:r>
        <w:rPr>
          <w:spacing w:val="-5"/>
        </w:rPr>
        <w:t xml:space="preserve"> </w:t>
      </w:r>
      <w:r>
        <w:t>that</w:t>
      </w:r>
      <w:r>
        <w:rPr>
          <w:spacing w:val="-3"/>
        </w:rPr>
        <w:t xml:space="preserve"> </w:t>
      </w:r>
      <w:r>
        <w:t>the</w:t>
      </w:r>
      <w:r>
        <w:rPr>
          <w:spacing w:val="-10"/>
        </w:rPr>
        <w:t xml:space="preserve"> </w:t>
      </w:r>
      <w:r>
        <w:t>work</w:t>
      </w:r>
      <w:r>
        <w:rPr>
          <w:spacing w:val="-4"/>
        </w:rPr>
        <w:t xml:space="preserve"> </w:t>
      </w:r>
      <w:r>
        <w:t>presented</w:t>
      </w:r>
      <w:r>
        <w:rPr>
          <w:spacing w:val="-4"/>
        </w:rPr>
        <w:t xml:space="preserve"> </w:t>
      </w:r>
      <w:r>
        <w:t>in</w:t>
      </w:r>
      <w:r>
        <w:rPr>
          <w:spacing w:val="-4"/>
        </w:rPr>
        <w:t xml:space="preserve"> </w:t>
      </w:r>
      <w:r>
        <w:t>this</w:t>
      </w:r>
      <w:r>
        <w:rPr>
          <w:spacing w:val="-6"/>
        </w:rPr>
        <w:t xml:space="preserve"> </w:t>
      </w:r>
      <w:r>
        <w:t>thesis</w:t>
      </w:r>
      <w:r>
        <w:rPr>
          <w:spacing w:val="-6"/>
        </w:rPr>
        <w:t xml:space="preserve"> </w:t>
      </w:r>
      <w:r>
        <w:t>is</w:t>
      </w:r>
      <w:r>
        <w:rPr>
          <w:spacing w:val="-6"/>
        </w:rPr>
        <w:t xml:space="preserve"> </w:t>
      </w:r>
      <w:r>
        <w:rPr>
          <w:spacing w:val="-3"/>
        </w:rPr>
        <w:t>my</w:t>
      </w:r>
      <w:r>
        <w:rPr>
          <w:spacing w:val="-4"/>
        </w:rPr>
        <w:t xml:space="preserve"> </w:t>
      </w:r>
      <w:r>
        <w:t>own</w:t>
      </w:r>
      <w:r>
        <w:rPr>
          <w:spacing w:val="-4"/>
        </w:rPr>
        <w:t xml:space="preserve"> </w:t>
      </w:r>
      <w:r>
        <w:t>carried</w:t>
      </w:r>
      <w:r>
        <w:rPr>
          <w:spacing w:val="-4"/>
        </w:rPr>
        <w:t xml:space="preserve"> </w:t>
      </w:r>
      <w:r>
        <w:t>out</w:t>
      </w:r>
      <w:r>
        <w:rPr>
          <w:spacing w:val="-8"/>
        </w:rPr>
        <w:t xml:space="preserve"> </w:t>
      </w:r>
      <w:r>
        <w:t>under</w:t>
      </w:r>
      <w:r>
        <w:rPr>
          <w:spacing w:val="-7"/>
        </w:rPr>
        <w:t xml:space="preserve"> </w:t>
      </w:r>
      <w:r>
        <w:t>the</w:t>
      </w:r>
      <w:r>
        <w:rPr>
          <w:spacing w:val="-5"/>
        </w:rPr>
        <w:t xml:space="preserve"> </w:t>
      </w:r>
      <w:r>
        <w:t>normal</w:t>
      </w:r>
      <w:r>
        <w:rPr>
          <w:spacing w:val="-8"/>
        </w:rPr>
        <w:t xml:space="preserve"> </w:t>
      </w:r>
      <w:r>
        <w:t>terms</w:t>
      </w:r>
      <w:r>
        <w:rPr>
          <w:spacing w:val="-6"/>
        </w:rPr>
        <w:t xml:space="preserve"> </w:t>
      </w:r>
      <w:r>
        <w:t>of supervision. Where information has been derived from other sources, I confirm that this has been indicated in the</w:t>
      </w:r>
      <w:r>
        <w:rPr>
          <w:spacing w:val="1"/>
        </w:rPr>
        <w:t xml:space="preserve"> </w:t>
      </w:r>
      <w:r>
        <w:t>thesis.</w:t>
      </w:r>
    </w:p>
    <w:p w14:paraId="6D647598" w14:textId="77777777" w:rsidR="00C75312" w:rsidRDefault="00C75312">
      <w:pPr>
        <w:pStyle w:val="BodyText"/>
        <w:rPr>
          <w:sz w:val="26"/>
        </w:rPr>
      </w:pPr>
    </w:p>
    <w:p w14:paraId="42003B89" w14:textId="77777777" w:rsidR="00C75312" w:rsidRDefault="00C75312">
      <w:pPr>
        <w:pStyle w:val="BodyText"/>
        <w:rPr>
          <w:sz w:val="26"/>
        </w:rPr>
      </w:pPr>
    </w:p>
    <w:p w14:paraId="1DF8BF3A" w14:textId="77777777" w:rsidR="00C75312" w:rsidRDefault="00BB293A">
      <w:pPr>
        <w:pStyle w:val="BodyText"/>
        <w:spacing w:before="194" w:line="583" w:lineRule="auto"/>
        <w:ind w:left="820" w:right="7640"/>
      </w:pPr>
      <w:r>
        <w:t>Julia Landsiedel October 2017</w:t>
      </w:r>
    </w:p>
    <w:p w14:paraId="6ACCE058" w14:textId="77777777" w:rsidR="00C75312" w:rsidRDefault="00C75312">
      <w:pPr>
        <w:pStyle w:val="BodyText"/>
        <w:rPr>
          <w:sz w:val="26"/>
        </w:rPr>
      </w:pPr>
    </w:p>
    <w:p w14:paraId="50C78CB9" w14:textId="77777777" w:rsidR="00C75312" w:rsidRDefault="00C75312">
      <w:pPr>
        <w:pStyle w:val="BodyText"/>
        <w:spacing w:before="8"/>
        <w:rPr>
          <w:sz w:val="32"/>
        </w:rPr>
      </w:pPr>
    </w:p>
    <w:p w14:paraId="126E7FAF" w14:textId="77777777" w:rsidR="00C75312" w:rsidRDefault="00BB293A">
      <w:pPr>
        <w:pStyle w:val="Heading1"/>
        <w:ind w:left="820" w:right="931"/>
        <w:jc w:val="center"/>
      </w:pPr>
      <w:r>
        <w:t>Publications</w:t>
      </w:r>
    </w:p>
    <w:p w14:paraId="34251452" w14:textId="77777777" w:rsidR="00C75312" w:rsidRDefault="00C75312">
      <w:pPr>
        <w:pStyle w:val="BodyText"/>
        <w:spacing w:before="5"/>
        <w:rPr>
          <w:b/>
          <w:sz w:val="34"/>
        </w:rPr>
      </w:pPr>
    </w:p>
    <w:p w14:paraId="0D896D07" w14:textId="77777777" w:rsidR="00C75312" w:rsidRDefault="00BB293A">
      <w:pPr>
        <w:pStyle w:val="BodyText"/>
        <w:spacing w:line="480" w:lineRule="auto"/>
        <w:ind w:left="820" w:right="931"/>
        <w:jc w:val="both"/>
      </w:pPr>
      <w:r>
        <w:t xml:space="preserve">Chapter 1 </w:t>
      </w:r>
      <w:r>
        <w:rPr>
          <w:spacing w:val="-3"/>
        </w:rPr>
        <w:t xml:space="preserve">of </w:t>
      </w:r>
      <w:r>
        <w:t>this thesis has formed the basis for the following publication: Landsiedel, J., Williams,</w:t>
      </w:r>
      <w:r>
        <w:rPr>
          <w:spacing w:val="-14"/>
        </w:rPr>
        <w:t xml:space="preserve"> </w:t>
      </w:r>
      <w:r>
        <w:t>D.</w:t>
      </w:r>
      <w:r>
        <w:rPr>
          <w:spacing w:val="-13"/>
        </w:rPr>
        <w:t xml:space="preserve"> </w:t>
      </w:r>
      <w:r>
        <w:t>M.,</w:t>
      </w:r>
      <w:r>
        <w:rPr>
          <w:spacing w:val="-13"/>
        </w:rPr>
        <w:t xml:space="preserve"> </w:t>
      </w:r>
      <w:r>
        <w:t>&amp;</w:t>
      </w:r>
      <w:r>
        <w:rPr>
          <w:spacing w:val="-15"/>
        </w:rPr>
        <w:t xml:space="preserve"> </w:t>
      </w:r>
      <w:r>
        <w:t>Abbot-Smith,</w:t>
      </w:r>
      <w:r>
        <w:rPr>
          <w:spacing w:val="-13"/>
        </w:rPr>
        <w:t xml:space="preserve"> </w:t>
      </w:r>
      <w:r>
        <w:t>K.</w:t>
      </w:r>
      <w:r>
        <w:rPr>
          <w:spacing w:val="-18"/>
        </w:rPr>
        <w:t xml:space="preserve"> </w:t>
      </w:r>
      <w:r>
        <w:t>(2017).</w:t>
      </w:r>
      <w:r>
        <w:rPr>
          <w:spacing w:val="-13"/>
        </w:rPr>
        <w:t xml:space="preserve"> </w:t>
      </w:r>
      <w:r>
        <w:t>A</w:t>
      </w:r>
      <w:r>
        <w:rPr>
          <w:spacing w:val="-16"/>
        </w:rPr>
        <w:t xml:space="preserve"> </w:t>
      </w:r>
      <w:r>
        <w:t>meta-analysis</w:t>
      </w:r>
      <w:r>
        <w:rPr>
          <w:spacing w:val="-17"/>
        </w:rPr>
        <w:t xml:space="preserve"> </w:t>
      </w:r>
      <w:r>
        <w:t>and</w:t>
      </w:r>
      <w:r>
        <w:rPr>
          <w:spacing w:val="-15"/>
        </w:rPr>
        <w:t xml:space="preserve"> </w:t>
      </w:r>
      <w:r>
        <w:t>critical</w:t>
      </w:r>
      <w:r>
        <w:rPr>
          <w:spacing w:val="-15"/>
        </w:rPr>
        <w:t xml:space="preserve"> </w:t>
      </w:r>
      <w:r>
        <w:t>review</w:t>
      </w:r>
      <w:r>
        <w:rPr>
          <w:spacing w:val="-16"/>
        </w:rPr>
        <w:t xml:space="preserve"> </w:t>
      </w:r>
      <w:r>
        <w:t>of</w:t>
      </w:r>
      <w:r>
        <w:rPr>
          <w:spacing w:val="-14"/>
        </w:rPr>
        <w:t xml:space="preserve"> </w:t>
      </w:r>
      <w:r>
        <w:t xml:space="preserve">prospective memory in autism spectrum disorder. </w:t>
      </w:r>
      <w:r>
        <w:rPr>
          <w:i/>
        </w:rPr>
        <w:t>Journal of Autism and Developmental Disorders</w:t>
      </w:r>
      <w:r>
        <w:t xml:space="preserve">, </w:t>
      </w:r>
      <w:r>
        <w:rPr>
          <w:i/>
        </w:rPr>
        <w:t xml:space="preserve">43(7), </w:t>
      </w:r>
      <w:r>
        <w:t>646-666.</w:t>
      </w:r>
      <w:r>
        <w:rPr>
          <w:spacing w:val="3"/>
        </w:rPr>
        <w:t xml:space="preserve"> </w:t>
      </w:r>
      <w:r>
        <w:t>doi:10.1007/s10803-016-2987-y</w:t>
      </w:r>
    </w:p>
    <w:p w14:paraId="6C2853D9" w14:textId="77777777" w:rsidR="00C75312" w:rsidRDefault="00C75312">
      <w:pPr>
        <w:spacing w:line="480" w:lineRule="auto"/>
        <w:jc w:val="both"/>
        <w:sectPr w:rsidR="00C75312">
          <w:pgSz w:w="11900" w:h="16840"/>
          <w:pgMar w:top="1500" w:right="500" w:bottom="280" w:left="620" w:header="720" w:footer="720" w:gutter="0"/>
          <w:cols w:space="720"/>
        </w:sectPr>
      </w:pPr>
    </w:p>
    <w:p w14:paraId="62258F69" w14:textId="77777777" w:rsidR="00C75312" w:rsidRDefault="00BB293A">
      <w:pPr>
        <w:pStyle w:val="Heading1"/>
        <w:spacing w:before="61"/>
        <w:ind w:left="819" w:right="943"/>
        <w:jc w:val="center"/>
      </w:pPr>
      <w:bookmarkStart w:id="1" w:name="_TOC_250032"/>
      <w:bookmarkEnd w:id="1"/>
      <w:r>
        <w:lastRenderedPageBreak/>
        <w:t>ACKNOWLEDGEMENTS</w:t>
      </w:r>
    </w:p>
    <w:p w14:paraId="55FB986B" w14:textId="77777777" w:rsidR="00C75312" w:rsidRDefault="00C75312">
      <w:pPr>
        <w:pStyle w:val="BodyText"/>
        <w:rPr>
          <w:b/>
          <w:sz w:val="26"/>
        </w:rPr>
      </w:pPr>
    </w:p>
    <w:p w14:paraId="30132294" w14:textId="77777777" w:rsidR="00C75312" w:rsidRDefault="00C75312">
      <w:pPr>
        <w:pStyle w:val="BodyText"/>
        <w:spacing w:before="3"/>
        <w:rPr>
          <w:b/>
          <w:sz w:val="22"/>
        </w:rPr>
      </w:pPr>
    </w:p>
    <w:p w14:paraId="69225C35" w14:textId="77777777" w:rsidR="00C75312" w:rsidRDefault="00BB293A">
      <w:pPr>
        <w:pStyle w:val="BodyText"/>
        <w:spacing w:line="480" w:lineRule="auto"/>
        <w:ind w:left="2000" w:right="2066"/>
        <w:jc w:val="center"/>
      </w:pPr>
      <w:r>
        <w:t>“He who would learn to fly one day must first learn to stand and walk and run and climb and dance, one cannot fly into flying.”</w:t>
      </w:r>
    </w:p>
    <w:p w14:paraId="6638524A" w14:textId="77777777" w:rsidR="00C75312" w:rsidRDefault="00BB293A">
      <w:pPr>
        <w:pStyle w:val="BodyText"/>
        <w:spacing w:before="163"/>
        <w:ind w:left="820" w:right="935"/>
        <w:jc w:val="center"/>
      </w:pPr>
      <w:r>
        <w:t>– Friedrich Nietzsche</w:t>
      </w:r>
      <w:r>
        <w:rPr>
          <w:spacing w:val="-7"/>
        </w:rPr>
        <w:t xml:space="preserve"> </w:t>
      </w:r>
      <w:r>
        <w:t>–</w:t>
      </w:r>
    </w:p>
    <w:p w14:paraId="19B9D673" w14:textId="77777777" w:rsidR="00C75312" w:rsidRDefault="00C75312">
      <w:pPr>
        <w:pStyle w:val="BodyText"/>
        <w:spacing w:before="9"/>
        <w:rPr>
          <w:sz w:val="37"/>
        </w:rPr>
      </w:pPr>
    </w:p>
    <w:p w14:paraId="0964AD08" w14:textId="77777777" w:rsidR="00C75312" w:rsidRDefault="00BB293A">
      <w:pPr>
        <w:pStyle w:val="BodyText"/>
        <w:spacing w:line="480" w:lineRule="auto"/>
        <w:ind w:left="820" w:right="928"/>
        <w:jc w:val="both"/>
      </w:pPr>
      <w:r>
        <w:t xml:space="preserve">The past three years have been a true journey for me filled with many different experiences and changes to my life. Accomplishing this journey has been my greatest challenge yet. I had to learn to stand confidently on uneven ground, </w:t>
      </w:r>
      <w:r>
        <w:rPr>
          <w:spacing w:val="-3"/>
        </w:rPr>
        <w:t xml:space="preserve">to </w:t>
      </w:r>
      <w:r>
        <w:t xml:space="preserve">walk into unknown terrain, run down the </w:t>
      </w:r>
      <w:proofErr w:type="spellStart"/>
      <w:r>
        <w:t>spiralling</w:t>
      </w:r>
      <w:proofErr w:type="spellEnd"/>
      <w:r>
        <w:t xml:space="preserve"> paths of my mind, to climb over obstacles of various shapes and sizes, and to dance to the rhythm of my heart. This thesis is my attempt to</w:t>
      </w:r>
      <w:r>
        <w:rPr>
          <w:spacing w:val="-4"/>
        </w:rPr>
        <w:t xml:space="preserve"> </w:t>
      </w:r>
      <w:r>
        <w:t>fly.</w:t>
      </w:r>
    </w:p>
    <w:p w14:paraId="764EC8AC" w14:textId="77777777" w:rsidR="00C75312" w:rsidRDefault="00BB293A">
      <w:pPr>
        <w:pStyle w:val="BodyText"/>
        <w:spacing w:before="120" w:line="480" w:lineRule="auto"/>
        <w:ind w:left="820" w:right="929"/>
        <w:jc w:val="both"/>
      </w:pPr>
      <w:r>
        <w:t>I</w:t>
      </w:r>
      <w:r>
        <w:rPr>
          <w:spacing w:val="2"/>
        </w:rPr>
        <w:t xml:space="preserve"> </w:t>
      </w:r>
      <w:r>
        <w:t>count</w:t>
      </w:r>
      <w:r>
        <w:rPr>
          <w:spacing w:val="-3"/>
        </w:rPr>
        <w:t xml:space="preserve"> </w:t>
      </w:r>
      <w:r>
        <w:t>myself</w:t>
      </w:r>
      <w:r>
        <w:rPr>
          <w:spacing w:val="-3"/>
        </w:rPr>
        <w:t xml:space="preserve"> </w:t>
      </w:r>
      <w:r>
        <w:t>lucky</w:t>
      </w:r>
      <w:r>
        <w:rPr>
          <w:spacing w:val="-4"/>
        </w:rPr>
        <w:t xml:space="preserve"> </w:t>
      </w:r>
      <w:r>
        <w:t>to</w:t>
      </w:r>
      <w:r>
        <w:rPr>
          <w:spacing w:val="-4"/>
        </w:rPr>
        <w:t xml:space="preserve"> </w:t>
      </w:r>
      <w:r>
        <w:t>have</w:t>
      </w:r>
      <w:r>
        <w:rPr>
          <w:spacing w:val="-1"/>
        </w:rPr>
        <w:t xml:space="preserve"> </w:t>
      </w:r>
      <w:r>
        <w:t>met</w:t>
      </w:r>
      <w:r>
        <w:rPr>
          <w:spacing w:val="-3"/>
        </w:rPr>
        <w:t xml:space="preserve"> </w:t>
      </w:r>
      <w:r>
        <w:t>so</w:t>
      </w:r>
      <w:r>
        <w:rPr>
          <w:spacing w:val="-5"/>
        </w:rPr>
        <w:t xml:space="preserve"> </w:t>
      </w:r>
      <w:r>
        <w:t>many</w:t>
      </w:r>
      <w:r>
        <w:rPr>
          <w:spacing w:val="1"/>
        </w:rPr>
        <w:t xml:space="preserve"> </w:t>
      </w:r>
      <w:r>
        <w:t>wonderful people</w:t>
      </w:r>
      <w:r>
        <w:rPr>
          <w:spacing w:val="-5"/>
        </w:rPr>
        <w:t xml:space="preserve"> </w:t>
      </w:r>
      <w:r>
        <w:t>during</w:t>
      </w:r>
      <w:r>
        <w:rPr>
          <w:spacing w:val="-4"/>
        </w:rPr>
        <w:t xml:space="preserve"> </w:t>
      </w:r>
      <w:r>
        <w:t>this</w:t>
      </w:r>
      <w:r>
        <w:rPr>
          <w:spacing w:val="-6"/>
        </w:rPr>
        <w:t xml:space="preserve"> </w:t>
      </w:r>
      <w:r>
        <w:t>journey</w:t>
      </w:r>
      <w:r>
        <w:rPr>
          <w:spacing w:val="-5"/>
        </w:rPr>
        <w:t xml:space="preserve"> </w:t>
      </w:r>
      <w:r>
        <w:t>to</w:t>
      </w:r>
      <w:r>
        <w:rPr>
          <w:spacing w:val="-4"/>
        </w:rPr>
        <w:t xml:space="preserve"> </w:t>
      </w:r>
      <w:r>
        <w:t>whom</w:t>
      </w:r>
      <w:r>
        <w:rPr>
          <w:spacing w:val="-4"/>
        </w:rPr>
        <w:t xml:space="preserve"> </w:t>
      </w:r>
      <w:r>
        <w:t>I</w:t>
      </w:r>
      <w:r>
        <w:rPr>
          <w:spacing w:val="-2"/>
        </w:rPr>
        <w:t xml:space="preserve"> </w:t>
      </w:r>
      <w:r>
        <w:t>am immeasurably grateful. Your love and support carried me through this challenge. Without you, I might have gotten lost along the</w:t>
      </w:r>
      <w:r>
        <w:rPr>
          <w:spacing w:val="-2"/>
        </w:rPr>
        <w:t xml:space="preserve"> </w:t>
      </w:r>
      <w:r>
        <w:t>way.</w:t>
      </w:r>
    </w:p>
    <w:p w14:paraId="4775543D" w14:textId="77777777" w:rsidR="00C75312" w:rsidRDefault="00BB293A">
      <w:pPr>
        <w:pStyle w:val="BodyText"/>
        <w:spacing w:before="120" w:line="480" w:lineRule="auto"/>
        <w:ind w:left="820" w:right="929"/>
        <w:jc w:val="both"/>
      </w:pPr>
      <w:r>
        <w:t xml:space="preserve">Above all, I would like to thank </w:t>
      </w:r>
      <w:r>
        <w:rPr>
          <w:i/>
        </w:rPr>
        <w:t xml:space="preserve">David Williams </w:t>
      </w:r>
      <w:r>
        <w:t xml:space="preserve">for being an amazing supervisor. Thank you for your exceptional encouragement, tireless patience and trust, and countless words of wisdom. You gave me the freedom to explore independently but kept me on track and guided me at all times. Many thanks also to my second supervisor, </w:t>
      </w:r>
      <w:r>
        <w:rPr>
          <w:i/>
        </w:rPr>
        <w:t>Kirsten Abbot-Smith</w:t>
      </w:r>
      <w:r>
        <w:t>, for your invaluable feedback and advice, your eye for detail and dedication. I could not have wished for better mentors throughout this journey.</w:t>
      </w:r>
    </w:p>
    <w:p w14:paraId="7B2D7568" w14:textId="77777777" w:rsidR="00C75312" w:rsidRDefault="00BB293A">
      <w:pPr>
        <w:pStyle w:val="BodyText"/>
        <w:spacing w:before="121" w:line="480" w:lineRule="auto"/>
        <w:ind w:left="820" w:right="928"/>
        <w:jc w:val="both"/>
      </w:pPr>
      <w:r>
        <w:t>I would also like to sincerely thank all the children, adults, and their families, participating schools, as well as Advocacy for All and the Kent Autistic Trust who have made this research possible in the first place. You have filled my experiments with life and laughter. I have learned so much from this extraordinary experience.</w:t>
      </w:r>
    </w:p>
    <w:p w14:paraId="19FE2167" w14:textId="77777777" w:rsidR="00C75312" w:rsidRDefault="00C75312">
      <w:pPr>
        <w:spacing w:line="480" w:lineRule="auto"/>
        <w:jc w:val="both"/>
        <w:sectPr w:rsidR="00C75312">
          <w:pgSz w:w="11900" w:h="16840"/>
          <w:pgMar w:top="1500" w:right="500" w:bottom="280" w:left="620" w:header="720" w:footer="720" w:gutter="0"/>
          <w:cols w:space="720"/>
        </w:sectPr>
      </w:pPr>
    </w:p>
    <w:p w14:paraId="45542164" w14:textId="77777777" w:rsidR="00C75312" w:rsidRDefault="00BB293A">
      <w:pPr>
        <w:spacing w:before="61" w:line="480" w:lineRule="auto"/>
        <w:ind w:left="820" w:right="929"/>
        <w:jc w:val="both"/>
        <w:rPr>
          <w:i/>
          <w:sz w:val="24"/>
        </w:rPr>
      </w:pPr>
      <w:r>
        <w:rPr>
          <w:sz w:val="24"/>
        </w:rPr>
        <w:lastRenderedPageBreak/>
        <w:t>Being</w:t>
      </w:r>
      <w:r>
        <w:rPr>
          <w:spacing w:val="-10"/>
          <w:sz w:val="24"/>
        </w:rPr>
        <w:t xml:space="preserve"> </w:t>
      </w:r>
      <w:r>
        <w:rPr>
          <w:sz w:val="24"/>
        </w:rPr>
        <w:t>part</w:t>
      </w:r>
      <w:r>
        <w:rPr>
          <w:spacing w:val="-9"/>
          <w:sz w:val="24"/>
        </w:rPr>
        <w:t xml:space="preserve"> </w:t>
      </w:r>
      <w:r>
        <w:rPr>
          <w:sz w:val="24"/>
        </w:rPr>
        <w:t>of</w:t>
      </w:r>
      <w:r>
        <w:rPr>
          <w:spacing w:val="-7"/>
          <w:sz w:val="24"/>
        </w:rPr>
        <w:t xml:space="preserve"> </w:t>
      </w:r>
      <w:r>
        <w:rPr>
          <w:sz w:val="24"/>
        </w:rPr>
        <w:t>a</w:t>
      </w:r>
      <w:r>
        <w:rPr>
          <w:spacing w:val="-11"/>
          <w:sz w:val="24"/>
        </w:rPr>
        <w:t xml:space="preserve"> </w:t>
      </w:r>
      <w:r>
        <w:rPr>
          <w:sz w:val="24"/>
        </w:rPr>
        <w:t>great</w:t>
      </w:r>
      <w:r>
        <w:rPr>
          <w:spacing w:val="-8"/>
          <w:sz w:val="24"/>
        </w:rPr>
        <w:t xml:space="preserve"> </w:t>
      </w:r>
      <w:r>
        <w:rPr>
          <w:sz w:val="24"/>
        </w:rPr>
        <w:t>community</w:t>
      </w:r>
      <w:r>
        <w:rPr>
          <w:spacing w:val="-14"/>
          <w:sz w:val="24"/>
        </w:rPr>
        <w:t xml:space="preserve"> </w:t>
      </w:r>
      <w:r>
        <w:rPr>
          <w:sz w:val="24"/>
        </w:rPr>
        <w:t>of</w:t>
      </w:r>
      <w:r>
        <w:rPr>
          <w:spacing w:val="-7"/>
          <w:sz w:val="24"/>
        </w:rPr>
        <w:t xml:space="preserve"> </w:t>
      </w:r>
      <w:r>
        <w:rPr>
          <w:sz w:val="24"/>
        </w:rPr>
        <w:t>colleagues</w:t>
      </w:r>
      <w:r>
        <w:rPr>
          <w:spacing w:val="-12"/>
          <w:sz w:val="24"/>
        </w:rPr>
        <w:t xml:space="preserve"> </w:t>
      </w:r>
      <w:r>
        <w:rPr>
          <w:sz w:val="24"/>
        </w:rPr>
        <w:t>and</w:t>
      </w:r>
      <w:r>
        <w:rPr>
          <w:spacing w:val="-13"/>
          <w:sz w:val="24"/>
        </w:rPr>
        <w:t xml:space="preserve"> </w:t>
      </w:r>
      <w:r>
        <w:rPr>
          <w:sz w:val="24"/>
        </w:rPr>
        <w:t>friends</w:t>
      </w:r>
      <w:r>
        <w:rPr>
          <w:spacing w:val="-12"/>
          <w:sz w:val="24"/>
        </w:rPr>
        <w:t xml:space="preserve"> </w:t>
      </w:r>
      <w:r>
        <w:rPr>
          <w:sz w:val="24"/>
        </w:rPr>
        <w:t>has</w:t>
      </w:r>
      <w:r>
        <w:rPr>
          <w:spacing w:val="-11"/>
          <w:sz w:val="24"/>
        </w:rPr>
        <w:t xml:space="preserve"> </w:t>
      </w:r>
      <w:r>
        <w:rPr>
          <w:sz w:val="24"/>
        </w:rPr>
        <w:t>made</w:t>
      </w:r>
      <w:r>
        <w:rPr>
          <w:spacing w:val="-11"/>
          <w:sz w:val="24"/>
        </w:rPr>
        <w:t xml:space="preserve"> </w:t>
      </w:r>
      <w:r>
        <w:rPr>
          <w:sz w:val="24"/>
        </w:rPr>
        <w:t>this</w:t>
      </w:r>
      <w:r>
        <w:rPr>
          <w:spacing w:val="-11"/>
          <w:sz w:val="24"/>
        </w:rPr>
        <w:t xml:space="preserve"> </w:t>
      </w:r>
      <w:r>
        <w:rPr>
          <w:sz w:val="24"/>
        </w:rPr>
        <w:t>journey</w:t>
      </w:r>
      <w:r>
        <w:rPr>
          <w:spacing w:val="-10"/>
          <w:sz w:val="24"/>
        </w:rPr>
        <w:t xml:space="preserve"> </w:t>
      </w:r>
      <w:r>
        <w:rPr>
          <w:sz w:val="24"/>
        </w:rPr>
        <w:t xml:space="preserve">unforgettable. Thank you, guys, for this incredible time, all the conversations and encouragement over cups of tea or coffee, lunch breaks, chocolate cake, Friday drinks, and many more. I will treasure all these fun memories. In no particular order thank you to </w:t>
      </w:r>
      <w:r>
        <w:rPr>
          <w:i/>
          <w:sz w:val="24"/>
        </w:rPr>
        <w:t xml:space="preserve">Anita Ruddle, Phil Ulrich, Hayley Beresford, Alvaro Rodriguez, Emma Garcia, Caitlin Baker, Libby Drury, Kiran Webster, Lauren Spinner, Matt </w:t>
      </w:r>
      <w:proofErr w:type="spellStart"/>
      <w:r>
        <w:rPr>
          <w:i/>
          <w:sz w:val="24"/>
        </w:rPr>
        <w:t>Fysh</w:t>
      </w:r>
      <w:proofErr w:type="spellEnd"/>
      <w:r>
        <w:rPr>
          <w:i/>
          <w:sz w:val="24"/>
        </w:rPr>
        <w:t>, Stefan Leach, Rotem Perach, Maria Zajaczkowska, Mahsa</w:t>
      </w:r>
      <w:r>
        <w:rPr>
          <w:i/>
          <w:spacing w:val="-33"/>
          <w:sz w:val="24"/>
        </w:rPr>
        <w:t xml:space="preserve"> </w:t>
      </w:r>
      <w:proofErr w:type="spellStart"/>
      <w:r>
        <w:rPr>
          <w:i/>
          <w:sz w:val="24"/>
        </w:rPr>
        <w:t>Barzy</w:t>
      </w:r>
      <w:proofErr w:type="spellEnd"/>
      <w:r>
        <w:rPr>
          <w:i/>
          <w:sz w:val="24"/>
        </w:rPr>
        <w:t>, Jonathan Prunty, Matt Plummer, Courtney All</w:t>
      </w:r>
      <w:r>
        <w:rPr>
          <w:i/>
          <w:sz w:val="24"/>
        </w:rPr>
        <w:t>en, Ebru Ateş, Pelin Gül André Marques, Ana Carla</w:t>
      </w:r>
      <w:r>
        <w:rPr>
          <w:i/>
          <w:spacing w:val="-11"/>
          <w:sz w:val="24"/>
        </w:rPr>
        <w:t xml:space="preserve"> </w:t>
      </w:r>
      <w:r>
        <w:rPr>
          <w:i/>
          <w:sz w:val="24"/>
        </w:rPr>
        <w:t>Crispim,</w:t>
      </w:r>
      <w:r>
        <w:rPr>
          <w:i/>
          <w:spacing w:val="-8"/>
          <w:sz w:val="24"/>
        </w:rPr>
        <w:t xml:space="preserve"> </w:t>
      </w:r>
      <w:r>
        <w:rPr>
          <w:i/>
          <w:sz w:val="24"/>
        </w:rPr>
        <w:t>Saghi</w:t>
      </w:r>
      <w:r>
        <w:rPr>
          <w:i/>
          <w:spacing w:val="-10"/>
          <w:sz w:val="24"/>
        </w:rPr>
        <w:t xml:space="preserve"> </w:t>
      </w:r>
      <w:r>
        <w:rPr>
          <w:i/>
          <w:sz w:val="24"/>
        </w:rPr>
        <w:t>Arabi,</w:t>
      </w:r>
      <w:r>
        <w:rPr>
          <w:i/>
          <w:spacing w:val="-8"/>
          <w:sz w:val="24"/>
        </w:rPr>
        <w:t xml:space="preserve"> </w:t>
      </w:r>
      <w:r>
        <w:rPr>
          <w:i/>
          <w:sz w:val="24"/>
        </w:rPr>
        <w:t>Fadi</w:t>
      </w:r>
      <w:r>
        <w:rPr>
          <w:i/>
          <w:spacing w:val="-9"/>
          <w:sz w:val="24"/>
        </w:rPr>
        <w:t xml:space="preserve"> </w:t>
      </w:r>
      <w:proofErr w:type="spellStart"/>
      <w:r>
        <w:rPr>
          <w:i/>
          <w:sz w:val="24"/>
        </w:rPr>
        <w:t>Ifram</w:t>
      </w:r>
      <w:proofErr w:type="spellEnd"/>
      <w:r>
        <w:rPr>
          <w:i/>
          <w:sz w:val="24"/>
        </w:rPr>
        <w:t>,</w:t>
      </w:r>
      <w:r>
        <w:rPr>
          <w:i/>
          <w:spacing w:val="-13"/>
          <w:sz w:val="24"/>
        </w:rPr>
        <w:t xml:space="preserve"> </w:t>
      </w:r>
      <w:r>
        <w:rPr>
          <w:i/>
          <w:sz w:val="24"/>
        </w:rPr>
        <w:t>Zafer</w:t>
      </w:r>
      <w:r>
        <w:rPr>
          <w:i/>
          <w:spacing w:val="-13"/>
          <w:sz w:val="24"/>
        </w:rPr>
        <w:t xml:space="preserve"> </w:t>
      </w:r>
      <w:r>
        <w:rPr>
          <w:i/>
          <w:sz w:val="24"/>
        </w:rPr>
        <w:t>Özkan</w:t>
      </w:r>
      <w:r>
        <w:rPr>
          <w:sz w:val="24"/>
        </w:rPr>
        <w:t>,</w:t>
      </w:r>
      <w:r>
        <w:rPr>
          <w:spacing w:val="-8"/>
          <w:sz w:val="24"/>
        </w:rPr>
        <w:t xml:space="preserve"> </w:t>
      </w:r>
      <w:r>
        <w:rPr>
          <w:i/>
          <w:sz w:val="24"/>
        </w:rPr>
        <w:t>Martina</w:t>
      </w:r>
      <w:r>
        <w:rPr>
          <w:i/>
          <w:spacing w:val="-10"/>
          <w:sz w:val="24"/>
        </w:rPr>
        <w:t xml:space="preserve"> </w:t>
      </w:r>
      <w:r>
        <w:rPr>
          <w:i/>
          <w:sz w:val="24"/>
        </w:rPr>
        <w:t>De</w:t>
      </w:r>
      <w:r>
        <w:rPr>
          <w:i/>
          <w:spacing w:val="-16"/>
          <w:sz w:val="24"/>
        </w:rPr>
        <w:t xml:space="preserve"> </w:t>
      </w:r>
      <w:r>
        <w:rPr>
          <w:i/>
          <w:sz w:val="24"/>
        </w:rPr>
        <w:t>Lillo,</w:t>
      </w:r>
      <w:r>
        <w:rPr>
          <w:i/>
          <w:spacing w:val="-12"/>
          <w:sz w:val="24"/>
        </w:rPr>
        <w:t xml:space="preserve"> </w:t>
      </w:r>
      <w:r>
        <w:rPr>
          <w:i/>
          <w:sz w:val="24"/>
        </w:rPr>
        <w:t>Giulia</w:t>
      </w:r>
      <w:r>
        <w:rPr>
          <w:i/>
          <w:spacing w:val="-15"/>
          <w:sz w:val="24"/>
        </w:rPr>
        <w:t xml:space="preserve"> </w:t>
      </w:r>
      <w:r>
        <w:rPr>
          <w:i/>
          <w:sz w:val="24"/>
        </w:rPr>
        <w:t xml:space="preserve">Mangiaracina, Ionna </w:t>
      </w:r>
      <w:proofErr w:type="spellStart"/>
      <w:r>
        <w:rPr>
          <w:i/>
          <w:sz w:val="24"/>
        </w:rPr>
        <w:t>Kapantai</w:t>
      </w:r>
      <w:proofErr w:type="spellEnd"/>
      <w:r>
        <w:rPr>
          <w:i/>
          <w:sz w:val="24"/>
        </w:rPr>
        <w:t xml:space="preserve">, </w:t>
      </w:r>
      <w:r>
        <w:rPr>
          <w:sz w:val="24"/>
        </w:rPr>
        <w:t xml:space="preserve">and </w:t>
      </w:r>
      <w:proofErr w:type="spellStart"/>
      <w:r>
        <w:rPr>
          <w:i/>
          <w:sz w:val="24"/>
        </w:rPr>
        <w:t>Zaffie</w:t>
      </w:r>
      <w:proofErr w:type="spellEnd"/>
      <w:r>
        <w:rPr>
          <w:i/>
          <w:spacing w:val="4"/>
          <w:sz w:val="24"/>
        </w:rPr>
        <w:t xml:space="preserve"> </w:t>
      </w:r>
      <w:r>
        <w:rPr>
          <w:i/>
          <w:sz w:val="24"/>
        </w:rPr>
        <w:t>Cox.</w:t>
      </w:r>
    </w:p>
    <w:p w14:paraId="4791E347" w14:textId="77777777" w:rsidR="00C75312" w:rsidRDefault="00BB293A">
      <w:pPr>
        <w:spacing w:before="121" w:line="480" w:lineRule="auto"/>
        <w:ind w:left="820" w:right="928"/>
        <w:jc w:val="both"/>
        <w:rPr>
          <w:sz w:val="24"/>
        </w:rPr>
      </w:pPr>
      <w:r>
        <w:rPr>
          <w:sz w:val="24"/>
        </w:rPr>
        <w:t xml:space="preserve">I also would like to thank all the support staff of the Kent Child Development Unit, </w:t>
      </w:r>
      <w:r>
        <w:rPr>
          <w:i/>
          <w:sz w:val="24"/>
        </w:rPr>
        <w:t>Megan Spruce, Annabel Carter, Nicole Yuen</w:t>
      </w:r>
      <w:r>
        <w:rPr>
          <w:sz w:val="24"/>
        </w:rPr>
        <w:t xml:space="preserve">, and </w:t>
      </w:r>
      <w:r>
        <w:rPr>
          <w:i/>
          <w:sz w:val="24"/>
        </w:rPr>
        <w:t>Mafalda Costa</w:t>
      </w:r>
      <w:r>
        <w:rPr>
          <w:sz w:val="24"/>
        </w:rPr>
        <w:t>. It was a pleasure to work with you. Thank you for your fantastic support, making my work as Child Development Unit lab coordinator such an enjoyable and easy one. Equally, I would like to thank the technical support team, A</w:t>
      </w:r>
      <w:r>
        <w:rPr>
          <w:i/>
          <w:sz w:val="24"/>
        </w:rPr>
        <w:t>dam Britcher, Frank Gasking, John Allen</w:t>
      </w:r>
      <w:r>
        <w:rPr>
          <w:sz w:val="24"/>
        </w:rPr>
        <w:t xml:space="preserve">, and </w:t>
      </w:r>
      <w:r>
        <w:rPr>
          <w:i/>
          <w:sz w:val="24"/>
        </w:rPr>
        <w:t xml:space="preserve">Gary Samson, </w:t>
      </w:r>
      <w:r>
        <w:rPr>
          <w:sz w:val="24"/>
        </w:rPr>
        <w:t>for always providing swift, uncomplicated and reliable help at all times.</w:t>
      </w:r>
    </w:p>
    <w:p w14:paraId="42C8EE7D" w14:textId="77777777" w:rsidR="00C75312" w:rsidRDefault="00BB293A">
      <w:pPr>
        <w:pStyle w:val="BodyText"/>
        <w:spacing w:before="120" w:line="480" w:lineRule="auto"/>
        <w:ind w:left="820" w:right="929"/>
        <w:jc w:val="both"/>
      </w:pPr>
      <w:r>
        <w:t xml:space="preserve">A warm thank you goes to the two lovely ladies with whom I shared an office with, </w:t>
      </w:r>
      <w:r>
        <w:rPr>
          <w:i/>
        </w:rPr>
        <w:t xml:space="preserve">Kayleigh Ann Parratt </w:t>
      </w:r>
      <w:r>
        <w:t xml:space="preserve">and </w:t>
      </w:r>
      <w:r>
        <w:rPr>
          <w:i/>
        </w:rPr>
        <w:t xml:space="preserve">Louise </w:t>
      </w:r>
      <w:proofErr w:type="spellStart"/>
      <w:r>
        <w:rPr>
          <w:i/>
        </w:rPr>
        <w:t>Kotiadis</w:t>
      </w:r>
      <w:proofErr w:type="spellEnd"/>
      <w:r>
        <w:t>. You have been awesome office mates and friends. Thank you for your kindness and support during my ups and downs in this rollercoaster ride. Furthermore,</w:t>
      </w:r>
      <w:r>
        <w:rPr>
          <w:spacing w:val="-8"/>
        </w:rPr>
        <w:t xml:space="preserve"> </w:t>
      </w:r>
      <w:r>
        <w:t>a</w:t>
      </w:r>
      <w:r>
        <w:rPr>
          <w:spacing w:val="-15"/>
        </w:rPr>
        <w:t xml:space="preserve"> </w:t>
      </w:r>
      <w:r>
        <w:t>big</w:t>
      </w:r>
      <w:r>
        <w:rPr>
          <w:spacing w:val="-14"/>
        </w:rPr>
        <w:t xml:space="preserve"> </w:t>
      </w:r>
      <w:r>
        <w:t>thank</w:t>
      </w:r>
      <w:r>
        <w:rPr>
          <w:spacing w:val="-14"/>
        </w:rPr>
        <w:t xml:space="preserve"> </w:t>
      </w:r>
      <w:r>
        <w:t>you</w:t>
      </w:r>
      <w:r>
        <w:rPr>
          <w:spacing w:val="-13"/>
        </w:rPr>
        <w:t xml:space="preserve"> </w:t>
      </w:r>
      <w:r>
        <w:t>to</w:t>
      </w:r>
      <w:r>
        <w:rPr>
          <w:spacing w:val="-14"/>
        </w:rPr>
        <w:t xml:space="preserve"> </w:t>
      </w:r>
      <w:r>
        <w:rPr>
          <w:i/>
        </w:rPr>
        <w:t>Catherine</w:t>
      </w:r>
      <w:r>
        <w:rPr>
          <w:i/>
          <w:spacing w:val="-11"/>
        </w:rPr>
        <w:t xml:space="preserve"> </w:t>
      </w:r>
      <w:r>
        <w:rPr>
          <w:i/>
        </w:rPr>
        <w:t>Grainger,</w:t>
      </w:r>
      <w:r>
        <w:rPr>
          <w:i/>
          <w:spacing w:val="-8"/>
        </w:rPr>
        <w:t xml:space="preserve"> </w:t>
      </w:r>
      <w:r>
        <w:rPr>
          <w:i/>
        </w:rPr>
        <w:t>Jo</w:t>
      </w:r>
      <w:r>
        <w:rPr>
          <w:i/>
          <w:spacing w:val="-14"/>
        </w:rPr>
        <w:t xml:space="preserve"> </w:t>
      </w:r>
      <w:r>
        <w:rPr>
          <w:i/>
        </w:rPr>
        <w:t>Black</w:t>
      </w:r>
      <w:r>
        <w:t>,</w:t>
      </w:r>
      <w:r>
        <w:rPr>
          <w:spacing w:val="-12"/>
        </w:rPr>
        <w:t xml:space="preserve"> </w:t>
      </w:r>
      <w:r>
        <w:t>and</w:t>
      </w:r>
      <w:r>
        <w:rPr>
          <w:spacing w:val="-14"/>
        </w:rPr>
        <w:t xml:space="preserve"> </w:t>
      </w:r>
      <w:r>
        <w:rPr>
          <w:i/>
        </w:rPr>
        <w:t>Toby</w:t>
      </w:r>
      <w:r>
        <w:rPr>
          <w:i/>
          <w:spacing w:val="-15"/>
        </w:rPr>
        <w:t xml:space="preserve"> </w:t>
      </w:r>
      <w:r>
        <w:rPr>
          <w:i/>
        </w:rPr>
        <w:t>Nicholson</w:t>
      </w:r>
      <w:r>
        <w:t>,</w:t>
      </w:r>
      <w:r>
        <w:rPr>
          <w:spacing w:val="-12"/>
        </w:rPr>
        <w:t xml:space="preserve"> </w:t>
      </w:r>
      <w:r>
        <w:t>for</w:t>
      </w:r>
      <w:r>
        <w:rPr>
          <w:spacing w:val="-13"/>
        </w:rPr>
        <w:t xml:space="preserve"> </w:t>
      </w:r>
      <w:r>
        <w:t>sharing your experience and companionship with me. Without you, the long hours of testing participants would not have been nowhere nearly as enjoyable as they</w:t>
      </w:r>
      <w:r>
        <w:rPr>
          <w:spacing w:val="-2"/>
        </w:rPr>
        <w:t xml:space="preserve"> </w:t>
      </w:r>
      <w:r>
        <w:t>were.</w:t>
      </w:r>
    </w:p>
    <w:p w14:paraId="31720721" w14:textId="77777777" w:rsidR="00C75312" w:rsidRDefault="00C75312">
      <w:pPr>
        <w:spacing w:line="480" w:lineRule="auto"/>
        <w:jc w:val="both"/>
        <w:sectPr w:rsidR="00C75312">
          <w:pgSz w:w="11900" w:h="16840"/>
          <w:pgMar w:top="1380" w:right="500" w:bottom="280" w:left="620" w:header="720" w:footer="720" w:gutter="0"/>
          <w:cols w:space="720"/>
        </w:sectPr>
      </w:pPr>
    </w:p>
    <w:p w14:paraId="7E884F08" w14:textId="77777777" w:rsidR="00C75312" w:rsidRDefault="00BB293A">
      <w:pPr>
        <w:pStyle w:val="BodyText"/>
        <w:spacing w:before="61" w:line="480" w:lineRule="auto"/>
        <w:ind w:left="820" w:right="928"/>
        <w:jc w:val="both"/>
      </w:pPr>
      <w:r>
        <w:lastRenderedPageBreak/>
        <w:t xml:space="preserve">Special thanks go to two very dear friends, </w:t>
      </w:r>
      <w:r>
        <w:rPr>
          <w:i/>
        </w:rPr>
        <w:t xml:space="preserve">Jo Black </w:t>
      </w:r>
      <w:r>
        <w:t xml:space="preserve">and </w:t>
      </w:r>
      <w:r>
        <w:rPr>
          <w:i/>
        </w:rPr>
        <w:t xml:space="preserve">Lazaros </w:t>
      </w:r>
      <w:proofErr w:type="spellStart"/>
      <w:r>
        <w:rPr>
          <w:i/>
        </w:rPr>
        <w:t>Gonidis</w:t>
      </w:r>
      <w:proofErr w:type="spellEnd"/>
      <w:r>
        <w:t>. You have been</w:t>
      </w:r>
      <w:r>
        <w:rPr>
          <w:spacing w:val="-23"/>
        </w:rPr>
        <w:t xml:space="preserve"> </w:t>
      </w:r>
      <w:r>
        <w:t>the kind of friends I thought I would never find. You have made me see life from a new perspective. Thank you for everything; for all the little things that make life worthwhile, for listening</w:t>
      </w:r>
      <w:r>
        <w:rPr>
          <w:spacing w:val="-11"/>
        </w:rPr>
        <w:t xml:space="preserve"> </w:t>
      </w:r>
      <w:r>
        <w:t>to</w:t>
      </w:r>
      <w:r>
        <w:rPr>
          <w:spacing w:val="-10"/>
        </w:rPr>
        <w:t xml:space="preserve"> </w:t>
      </w:r>
      <w:r>
        <w:t>me</w:t>
      </w:r>
      <w:r>
        <w:rPr>
          <w:spacing w:val="-11"/>
        </w:rPr>
        <w:t xml:space="preserve"> </w:t>
      </w:r>
      <w:r>
        <w:t>whenever</w:t>
      </w:r>
      <w:r>
        <w:rPr>
          <w:spacing w:val="-8"/>
        </w:rPr>
        <w:t xml:space="preserve"> </w:t>
      </w:r>
      <w:r>
        <w:t>I</w:t>
      </w:r>
      <w:r>
        <w:rPr>
          <w:spacing w:val="-13"/>
        </w:rPr>
        <w:t xml:space="preserve"> </w:t>
      </w:r>
      <w:r>
        <w:t>needed</w:t>
      </w:r>
      <w:r>
        <w:rPr>
          <w:spacing w:val="-10"/>
        </w:rPr>
        <w:t xml:space="preserve"> </w:t>
      </w:r>
      <w:r>
        <w:t>you,</w:t>
      </w:r>
      <w:r>
        <w:rPr>
          <w:spacing w:val="-12"/>
        </w:rPr>
        <w:t xml:space="preserve"> </w:t>
      </w:r>
      <w:r>
        <w:t>and</w:t>
      </w:r>
      <w:r>
        <w:rPr>
          <w:spacing w:val="-10"/>
        </w:rPr>
        <w:t xml:space="preserve"> </w:t>
      </w:r>
      <w:r>
        <w:t>for</w:t>
      </w:r>
      <w:r>
        <w:rPr>
          <w:spacing w:val="-13"/>
        </w:rPr>
        <w:t xml:space="preserve"> </w:t>
      </w:r>
      <w:r>
        <w:t>supporting</w:t>
      </w:r>
      <w:r>
        <w:rPr>
          <w:spacing w:val="-10"/>
        </w:rPr>
        <w:t xml:space="preserve"> </w:t>
      </w:r>
      <w:r>
        <w:t>me</w:t>
      </w:r>
      <w:r>
        <w:rPr>
          <w:spacing w:val="-12"/>
        </w:rPr>
        <w:t xml:space="preserve"> </w:t>
      </w:r>
      <w:r>
        <w:t>no</w:t>
      </w:r>
      <w:r>
        <w:rPr>
          <w:spacing w:val="-14"/>
        </w:rPr>
        <w:t xml:space="preserve"> </w:t>
      </w:r>
      <w:r>
        <w:t>matter</w:t>
      </w:r>
      <w:r>
        <w:rPr>
          <w:spacing w:val="-8"/>
        </w:rPr>
        <w:t xml:space="preserve"> </w:t>
      </w:r>
      <w:r>
        <w:t>what.</w:t>
      </w:r>
      <w:r>
        <w:rPr>
          <w:spacing w:val="44"/>
        </w:rPr>
        <w:t xml:space="preserve"> </w:t>
      </w:r>
      <w:r>
        <w:t>Your</w:t>
      </w:r>
      <w:r>
        <w:rPr>
          <w:spacing w:val="-8"/>
        </w:rPr>
        <w:t xml:space="preserve"> </w:t>
      </w:r>
      <w:r>
        <w:t>friendship is a true</w:t>
      </w:r>
      <w:r>
        <w:rPr>
          <w:spacing w:val="1"/>
        </w:rPr>
        <w:t xml:space="preserve"> </w:t>
      </w:r>
      <w:r>
        <w:t>gift.</w:t>
      </w:r>
    </w:p>
    <w:p w14:paraId="4E4CE223" w14:textId="77777777" w:rsidR="00C75312" w:rsidRDefault="00BB293A">
      <w:pPr>
        <w:pStyle w:val="BodyText"/>
        <w:spacing w:before="120" w:line="480" w:lineRule="auto"/>
        <w:ind w:left="820" w:right="926"/>
        <w:jc w:val="both"/>
      </w:pPr>
      <w:r>
        <w:t xml:space="preserve">A special mention also goes to the person who inspired me to pursue a PhD, </w:t>
      </w:r>
      <w:r>
        <w:rPr>
          <w:i/>
        </w:rPr>
        <w:t>Amir-Homayoun Javadi</w:t>
      </w:r>
      <w:r>
        <w:t>. You were part of my journey for a long time and taught me so much along the way. I would not be where I am today without you.</w:t>
      </w:r>
    </w:p>
    <w:p w14:paraId="768C38D8" w14:textId="77777777" w:rsidR="00C75312" w:rsidRDefault="00BB293A">
      <w:pPr>
        <w:pStyle w:val="BodyText"/>
        <w:spacing w:before="121" w:line="480" w:lineRule="auto"/>
        <w:ind w:left="820" w:right="928"/>
        <w:jc w:val="both"/>
      </w:pPr>
      <w:r>
        <w:t xml:space="preserve">In the final year of my PhD, my life has been turned upside down. </w:t>
      </w:r>
      <w:r>
        <w:rPr>
          <w:i/>
        </w:rPr>
        <w:t>Patrick</w:t>
      </w:r>
      <w:r>
        <w:t xml:space="preserve">, you are my ray of light and energy, and the most incredible partner. You met me going through the most challenging period </w:t>
      </w:r>
      <w:r>
        <w:rPr>
          <w:spacing w:val="-3"/>
        </w:rPr>
        <w:t xml:space="preserve">of </w:t>
      </w:r>
      <w:r>
        <w:t xml:space="preserve">my life and gave me a safe </w:t>
      </w:r>
      <w:proofErr w:type="spellStart"/>
      <w:r>
        <w:t>harbour</w:t>
      </w:r>
      <w:proofErr w:type="spellEnd"/>
      <w:r>
        <w:t xml:space="preserve"> to find peace for my restless mind. No</w:t>
      </w:r>
      <w:r>
        <w:rPr>
          <w:spacing w:val="-6"/>
        </w:rPr>
        <w:t xml:space="preserve"> </w:t>
      </w:r>
      <w:r>
        <w:t>matter</w:t>
      </w:r>
      <w:r>
        <w:rPr>
          <w:spacing w:val="-3"/>
        </w:rPr>
        <w:t xml:space="preserve"> </w:t>
      </w:r>
      <w:r>
        <w:t>whether</w:t>
      </w:r>
      <w:r>
        <w:rPr>
          <w:spacing w:val="-4"/>
        </w:rPr>
        <w:t xml:space="preserve"> </w:t>
      </w:r>
      <w:r>
        <w:t>months</w:t>
      </w:r>
      <w:r>
        <w:rPr>
          <w:spacing w:val="-7"/>
        </w:rPr>
        <w:t xml:space="preserve"> </w:t>
      </w:r>
      <w:r>
        <w:t>together</w:t>
      </w:r>
      <w:r>
        <w:rPr>
          <w:spacing w:val="-8"/>
        </w:rPr>
        <w:t xml:space="preserve"> </w:t>
      </w:r>
      <w:r>
        <w:t>or</w:t>
      </w:r>
      <w:r>
        <w:rPr>
          <w:spacing w:val="-3"/>
        </w:rPr>
        <w:t xml:space="preserve"> </w:t>
      </w:r>
      <w:r>
        <w:t>apart,</w:t>
      </w:r>
      <w:r>
        <w:rPr>
          <w:spacing w:val="-3"/>
        </w:rPr>
        <w:t xml:space="preserve"> </w:t>
      </w:r>
      <w:r>
        <w:t>your</w:t>
      </w:r>
      <w:r>
        <w:rPr>
          <w:spacing w:val="-8"/>
        </w:rPr>
        <w:t xml:space="preserve"> </w:t>
      </w:r>
      <w:r>
        <w:t>cheerfulness,</w:t>
      </w:r>
      <w:r>
        <w:rPr>
          <w:spacing w:val="-3"/>
        </w:rPr>
        <w:t xml:space="preserve"> </w:t>
      </w:r>
      <w:r>
        <w:t>love,</w:t>
      </w:r>
      <w:r>
        <w:rPr>
          <w:spacing w:val="-2"/>
        </w:rPr>
        <w:t xml:space="preserve"> </w:t>
      </w:r>
      <w:r>
        <w:t>and</w:t>
      </w:r>
      <w:r>
        <w:rPr>
          <w:spacing w:val="-5"/>
        </w:rPr>
        <w:t xml:space="preserve"> </w:t>
      </w:r>
      <w:r>
        <w:t>encouragement</w:t>
      </w:r>
      <w:r>
        <w:rPr>
          <w:spacing w:val="-5"/>
        </w:rPr>
        <w:t xml:space="preserve"> </w:t>
      </w:r>
      <w:r>
        <w:t>have always kept me going. Thank you for being by my</w:t>
      </w:r>
      <w:r>
        <w:rPr>
          <w:spacing w:val="-8"/>
        </w:rPr>
        <w:t xml:space="preserve"> </w:t>
      </w:r>
      <w:r>
        <w:t>side.</w:t>
      </w:r>
    </w:p>
    <w:p w14:paraId="7C6DB864" w14:textId="77777777" w:rsidR="00C75312" w:rsidRDefault="00BB293A">
      <w:pPr>
        <w:pStyle w:val="BodyText"/>
        <w:spacing w:before="120" w:line="480" w:lineRule="auto"/>
        <w:ind w:left="820" w:right="926"/>
        <w:jc w:val="both"/>
      </w:pPr>
      <w:r>
        <w:t xml:space="preserve">Although the last, not least, to my family, my </w:t>
      </w:r>
      <w:r>
        <w:rPr>
          <w:i/>
        </w:rPr>
        <w:t xml:space="preserve">Mum </w:t>
      </w:r>
      <w:r>
        <w:t xml:space="preserve">and </w:t>
      </w:r>
      <w:r>
        <w:rPr>
          <w:i/>
        </w:rPr>
        <w:t>Dad</w:t>
      </w:r>
      <w:r>
        <w:t xml:space="preserve">; my sister </w:t>
      </w:r>
      <w:r>
        <w:rPr>
          <w:i/>
        </w:rPr>
        <w:t>Anna</w:t>
      </w:r>
      <w:r>
        <w:t xml:space="preserve">, her partner </w:t>
      </w:r>
      <w:r>
        <w:rPr>
          <w:i/>
        </w:rPr>
        <w:t>Gerald</w:t>
      </w:r>
      <w:r>
        <w:t xml:space="preserve">, and my nieces </w:t>
      </w:r>
      <w:r>
        <w:rPr>
          <w:i/>
        </w:rPr>
        <w:t xml:space="preserve">Nora </w:t>
      </w:r>
      <w:r>
        <w:t xml:space="preserve">and </w:t>
      </w:r>
      <w:r>
        <w:rPr>
          <w:i/>
        </w:rPr>
        <w:t>Olivia</w:t>
      </w:r>
      <w:r>
        <w:t xml:space="preserve">, as well as my </w:t>
      </w:r>
      <w:r>
        <w:rPr>
          <w:i/>
        </w:rPr>
        <w:t>grandparents</w:t>
      </w:r>
      <w:r>
        <w:t>, although sadly both my grandpas could not watch me finish this journey. I greatly miss you all and despite the long distance</w:t>
      </w:r>
      <w:r>
        <w:rPr>
          <w:spacing w:val="-6"/>
        </w:rPr>
        <w:t xml:space="preserve"> </w:t>
      </w:r>
      <w:r>
        <w:t>between</w:t>
      </w:r>
      <w:r>
        <w:rPr>
          <w:spacing w:val="-5"/>
        </w:rPr>
        <w:t xml:space="preserve"> </w:t>
      </w:r>
      <w:r>
        <w:t>us</w:t>
      </w:r>
      <w:r>
        <w:rPr>
          <w:spacing w:val="-7"/>
        </w:rPr>
        <w:t xml:space="preserve"> </w:t>
      </w:r>
      <w:r>
        <w:t>I</w:t>
      </w:r>
      <w:r>
        <w:rPr>
          <w:spacing w:val="-7"/>
        </w:rPr>
        <w:t xml:space="preserve"> </w:t>
      </w:r>
      <w:r>
        <w:t>always</w:t>
      </w:r>
      <w:r>
        <w:rPr>
          <w:spacing w:val="-7"/>
        </w:rPr>
        <w:t xml:space="preserve"> </w:t>
      </w:r>
      <w:r>
        <w:t>carry</w:t>
      </w:r>
      <w:r>
        <w:rPr>
          <w:spacing w:val="-10"/>
        </w:rPr>
        <w:t xml:space="preserve"> </w:t>
      </w:r>
      <w:r>
        <w:t>you</w:t>
      </w:r>
      <w:r>
        <w:rPr>
          <w:spacing w:val="-9"/>
        </w:rPr>
        <w:t xml:space="preserve"> </w:t>
      </w:r>
      <w:r>
        <w:t>with</w:t>
      </w:r>
      <w:r>
        <w:rPr>
          <w:spacing w:val="-10"/>
        </w:rPr>
        <w:t xml:space="preserve"> </w:t>
      </w:r>
      <w:r>
        <w:t>me</w:t>
      </w:r>
      <w:r>
        <w:rPr>
          <w:spacing w:val="-10"/>
        </w:rPr>
        <w:t xml:space="preserve"> </w:t>
      </w:r>
      <w:r>
        <w:t>in</w:t>
      </w:r>
      <w:r>
        <w:rPr>
          <w:spacing w:val="-14"/>
        </w:rPr>
        <w:t xml:space="preserve"> </w:t>
      </w:r>
      <w:r>
        <w:t>my</w:t>
      </w:r>
      <w:r>
        <w:rPr>
          <w:spacing w:val="-4"/>
        </w:rPr>
        <w:t xml:space="preserve"> </w:t>
      </w:r>
      <w:r>
        <w:t>heart.</w:t>
      </w:r>
      <w:r>
        <w:rPr>
          <w:spacing w:val="44"/>
        </w:rPr>
        <w:t xml:space="preserve"> </w:t>
      </w:r>
      <w:r>
        <w:t>You</w:t>
      </w:r>
      <w:r>
        <w:rPr>
          <w:spacing w:val="-4"/>
        </w:rPr>
        <w:t xml:space="preserve"> </w:t>
      </w:r>
      <w:r>
        <w:t>have</w:t>
      </w:r>
      <w:r>
        <w:rPr>
          <w:spacing w:val="-11"/>
        </w:rPr>
        <w:t xml:space="preserve"> </w:t>
      </w:r>
      <w:r>
        <w:t>given</w:t>
      </w:r>
      <w:r>
        <w:rPr>
          <w:spacing w:val="-10"/>
        </w:rPr>
        <w:t xml:space="preserve"> </w:t>
      </w:r>
      <w:r>
        <w:t>me</w:t>
      </w:r>
      <w:r>
        <w:rPr>
          <w:spacing w:val="-10"/>
        </w:rPr>
        <w:t xml:space="preserve"> </w:t>
      </w:r>
      <w:r>
        <w:t>far</w:t>
      </w:r>
      <w:r>
        <w:rPr>
          <w:spacing w:val="-8"/>
        </w:rPr>
        <w:t xml:space="preserve"> </w:t>
      </w:r>
      <w:r>
        <w:t>more</w:t>
      </w:r>
      <w:r>
        <w:rPr>
          <w:spacing w:val="-6"/>
        </w:rPr>
        <w:t xml:space="preserve"> </w:t>
      </w:r>
      <w:r>
        <w:t>than I ever could dream of. There are no words to describe how incredibly grateful I am for your unconditional love and</w:t>
      </w:r>
      <w:r>
        <w:rPr>
          <w:spacing w:val="4"/>
        </w:rPr>
        <w:t xml:space="preserve"> </w:t>
      </w:r>
      <w:r>
        <w:t>support.</w:t>
      </w:r>
    </w:p>
    <w:p w14:paraId="1847D356" w14:textId="77777777" w:rsidR="00C75312" w:rsidRDefault="00C75312">
      <w:pPr>
        <w:pStyle w:val="BodyText"/>
        <w:rPr>
          <w:sz w:val="26"/>
        </w:rPr>
      </w:pPr>
    </w:p>
    <w:p w14:paraId="1683393A" w14:textId="77777777" w:rsidR="00C75312" w:rsidRDefault="00C75312">
      <w:pPr>
        <w:pStyle w:val="BodyText"/>
        <w:rPr>
          <w:sz w:val="26"/>
        </w:rPr>
      </w:pPr>
    </w:p>
    <w:p w14:paraId="43371546" w14:textId="77777777" w:rsidR="00C75312" w:rsidRDefault="00BB293A">
      <w:pPr>
        <w:pStyle w:val="BodyText"/>
        <w:spacing w:before="194" w:line="583" w:lineRule="auto"/>
        <w:ind w:left="820" w:right="7640"/>
      </w:pPr>
      <w:r>
        <w:t>Julia Landsiedel October 2017</w:t>
      </w:r>
    </w:p>
    <w:p w14:paraId="333808E7" w14:textId="77777777" w:rsidR="00C75312" w:rsidRDefault="00C75312">
      <w:pPr>
        <w:spacing w:line="583" w:lineRule="auto"/>
        <w:sectPr w:rsidR="00C75312">
          <w:pgSz w:w="11900" w:h="16840"/>
          <w:pgMar w:top="1380" w:right="500" w:bottom="280" w:left="620" w:header="720" w:footer="720" w:gutter="0"/>
          <w:cols w:space="720"/>
        </w:sectPr>
      </w:pPr>
    </w:p>
    <w:p w14:paraId="07BA6408" w14:textId="77777777" w:rsidR="00C75312" w:rsidRDefault="00C75312">
      <w:pPr>
        <w:pStyle w:val="BodyText"/>
        <w:spacing w:before="2"/>
        <w:rPr>
          <w:sz w:val="28"/>
        </w:rPr>
      </w:pPr>
    </w:p>
    <w:p w14:paraId="149C3FC8" w14:textId="77777777" w:rsidR="00C75312" w:rsidRDefault="00BB293A">
      <w:pPr>
        <w:pStyle w:val="Heading1"/>
        <w:spacing w:before="90"/>
        <w:ind w:left="817" w:right="943"/>
        <w:jc w:val="center"/>
      </w:pPr>
      <w:r>
        <w:t>TABLE OF CONTENTS</w:t>
      </w:r>
    </w:p>
    <w:p w14:paraId="494789F6" w14:textId="77777777" w:rsidR="00C75312" w:rsidRDefault="00C75312">
      <w:pPr>
        <w:jc w:val="center"/>
        <w:sectPr w:rsidR="00C75312">
          <w:headerReference w:type="default" r:id="rId12"/>
          <w:pgSz w:w="11900" w:h="16840"/>
          <w:pgMar w:top="1020" w:right="500" w:bottom="1518" w:left="620" w:header="715" w:footer="0" w:gutter="0"/>
          <w:pgNumType w:start="6"/>
          <w:cols w:space="720"/>
        </w:sectPr>
      </w:pPr>
    </w:p>
    <w:sdt>
      <w:sdtPr>
        <w:id w:val="1372880414"/>
        <w:docPartObj>
          <w:docPartGallery w:val="Table of Contents"/>
          <w:docPartUnique/>
        </w:docPartObj>
      </w:sdtPr>
      <w:sdtEndPr/>
      <w:sdtContent>
        <w:p w14:paraId="588485F2" w14:textId="77777777" w:rsidR="00C75312" w:rsidRDefault="00BB293A">
          <w:pPr>
            <w:pStyle w:val="TOC1"/>
            <w:tabs>
              <w:tab w:val="left" w:leader="dot" w:pos="9647"/>
            </w:tabs>
            <w:spacing w:before="396"/>
          </w:pPr>
          <w:hyperlink w:anchor="_TOC_250033" w:history="1">
            <w:r>
              <w:t>DECLARATION</w:t>
            </w:r>
            <w:r>
              <w:tab/>
            </w:r>
            <w:r>
              <w:rPr>
                <w:spacing w:val="-3"/>
              </w:rPr>
              <w:t>II</w:t>
            </w:r>
          </w:hyperlink>
        </w:p>
        <w:p w14:paraId="6F137E1C" w14:textId="77777777" w:rsidR="00C75312" w:rsidRDefault="00BB293A">
          <w:pPr>
            <w:pStyle w:val="TOC1"/>
            <w:tabs>
              <w:tab w:val="left" w:leader="dot" w:pos="9555"/>
            </w:tabs>
          </w:pPr>
          <w:hyperlink w:anchor="_TOC_250032" w:history="1">
            <w:r>
              <w:t>ACKNOWLEDGEMENTS</w:t>
            </w:r>
            <w:r>
              <w:tab/>
            </w:r>
            <w:r>
              <w:rPr>
                <w:spacing w:val="-3"/>
              </w:rPr>
              <w:t>III</w:t>
            </w:r>
          </w:hyperlink>
        </w:p>
        <w:p w14:paraId="59D9F946" w14:textId="77777777" w:rsidR="00C75312" w:rsidRDefault="00BB293A">
          <w:pPr>
            <w:pStyle w:val="TOC1"/>
            <w:tabs>
              <w:tab w:val="left" w:leader="dot" w:pos="9383"/>
            </w:tabs>
          </w:pPr>
          <w:hyperlink w:anchor="_TOC_250031" w:history="1">
            <w:r>
              <w:t>LIST</w:t>
            </w:r>
            <w:r>
              <w:rPr>
                <w:spacing w:val="-3"/>
              </w:rPr>
              <w:t xml:space="preserve"> </w:t>
            </w:r>
            <w:r>
              <w:t>OF</w:t>
            </w:r>
            <w:r>
              <w:rPr>
                <w:spacing w:val="1"/>
              </w:rPr>
              <w:t xml:space="preserve"> </w:t>
            </w:r>
            <w:r>
              <w:t>FIGURES</w:t>
            </w:r>
            <w:r>
              <w:tab/>
              <w:t>VIII</w:t>
            </w:r>
          </w:hyperlink>
        </w:p>
        <w:p w14:paraId="1A3CCB13" w14:textId="77777777" w:rsidR="00C75312" w:rsidRDefault="00BB293A">
          <w:pPr>
            <w:pStyle w:val="TOC1"/>
            <w:tabs>
              <w:tab w:val="left" w:leader="dot" w:pos="9565"/>
            </w:tabs>
            <w:spacing w:before="261"/>
          </w:pPr>
          <w:hyperlink w:anchor="_TOC_250030" w:history="1">
            <w:r>
              <w:t>LIST</w:t>
            </w:r>
            <w:r>
              <w:rPr>
                <w:spacing w:val="-4"/>
              </w:rPr>
              <w:t xml:space="preserve"> </w:t>
            </w:r>
            <w:r>
              <w:t>OF TABLES</w:t>
            </w:r>
            <w:r>
              <w:tab/>
              <w:t>XI</w:t>
            </w:r>
          </w:hyperlink>
        </w:p>
        <w:p w14:paraId="294746CF" w14:textId="77777777" w:rsidR="00C75312" w:rsidRDefault="00BB293A">
          <w:pPr>
            <w:pStyle w:val="TOC1"/>
            <w:tabs>
              <w:tab w:val="left" w:leader="dot" w:pos="9383"/>
            </w:tabs>
          </w:pPr>
          <w:r>
            <w:t>LIST</w:t>
          </w:r>
          <w:r>
            <w:rPr>
              <w:spacing w:val="-5"/>
            </w:rPr>
            <w:t xml:space="preserve"> </w:t>
          </w:r>
          <w:r>
            <w:t>OF ABBREVIATIONS</w:t>
          </w:r>
          <w:r>
            <w:tab/>
            <w:t>XIII</w:t>
          </w:r>
        </w:p>
        <w:p w14:paraId="2E7441CD" w14:textId="77777777" w:rsidR="00C75312" w:rsidRDefault="00BB293A">
          <w:pPr>
            <w:pStyle w:val="TOC1"/>
            <w:tabs>
              <w:tab w:val="left" w:leader="dot" w:pos="9392"/>
            </w:tabs>
          </w:pPr>
          <w:hyperlink w:anchor="_TOC_250029" w:history="1">
            <w:r>
              <w:t>ABSTRACT</w:t>
            </w:r>
            <w:r>
              <w:tab/>
              <w:t>XIV</w:t>
            </w:r>
          </w:hyperlink>
        </w:p>
        <w:p w14:paraId="3D0D1DB4" w14:textId="77777777" w:rsidR="00C75312" w:rsidRDefault="00BB293A">
          <w:pPr>
            <w:pStyle w:val="TOC1"/>
            <w:tabs>
              <w:tab w:val="left" w:leader="dot" w:pos="9714"/>
            </w:tabs>
            <w:spacing w:line="362" w:lineRule="auto"/>
            <w:ind w:right="943"/>
          </w:pPr>
          <w:r>
            <w:t>CHAPTER 1: INTRODUCTION TO PROSPECTIVE MEMORY IN AUTISM SPECTRUM DISORDERS: A LITERATURE REVIEW</w:t>
          </w:r>
          <w:r>
            <w:rPr>
              <w:spacing w:val="-14"/>
            </w:rPr>
            <w:t xml:space="preserve"> </w:t>
          </w:r>
          <w:r>
            <w:t>AND</w:t>
          </w:r>
          <w:r>
            <w:rPr>
              <w:spacing w:val="-5"/>
            </w:rPr>
            <w:t xml:space="preserve"> </w:t>
          </w:r>
          <w:r>
            <w:t>META-ANALYSIS</w:t>
          </w:r>
          <w:r>
            <w:tab/>
          </w:r>
          <w:r>
            <w:rPr>
              <w:spacing w:val="-17"/>
            </w:rPr>
            <w:t>1</w:t>
          </w:r>
        </w:p>
        <w:p w14:paraId="3B396020" w14:textId="77777777" w:rsidR="00C75312" w:rsidRDefault="00BB293A">
          <w:pPr>
            <w:pStyle w:val="TOC3"/>
            <w:tabs>
              <w:tab w:val="left" w:leader="dot" w:pos="9714"/>
            </w:tabs>
            <w:spacing w:before="117"/>
            <w:rPr>
              <w:sz w:val="24"/>
            </w:rPr>
          </w:pPr>
          <w:hyperlink w:anchor="_TOC_250028" w:history="1">
            <w:r>
              <w:rPr>
                <w:sz w:val="24"/>
              </w:rPr>
              <w:t>P</w:t>
            </w:r>
            <w:r>
              <w:t>ROSPECTIVE</w:t>
            </w:r>
            <w:r>
              <w:rPr>
                <w:spacing w:val="-3"/>
              </w:rPr>
              <w:t xml:space="preserve"> </w:t>
            </w:r>
            <w:r>
              <w:rPr>
                <w:sz w:val="24"/>
              </w:rPr>
              <w:t>M</w:t>
            </w:r>
            <w:r>
              <w:t>EMORY</w:t>
            </w:r>
            <w:r>
              <w:tab/>
            </w:r>
            <w:r>
              <w:rPr>
                <w:sz w:val="24"/>
              </w:rPr>
              <w:t>1</w:t>
            </w:r>
          </w:hyperlink>
        </w:p>
        <w:p w14:paraId="23298E62" w14:textId="77777777" w:rsidR="00C75312" w:rsidRDefault="00BB293A">
          <w:pPr>
            <w:pStyle w:val="TOC3"/>
            <w:tabs>
              <w:tab w:val="left" w:leader="dot" w:pos="9714"/>
            </w:tabs>
            <w:spacing w:before="137"/>
            <w:rPr>
              <w:sz w:val="24"/>
            </w:rPr>
          </w:pPr>
          <w:hyperlink w:anchor="_TOC_250027" w:history="1">
            <w:r>
              <w:rPr>
                <w:sz w:val="24"/>
              </w:rPr>
              <w:t>A</w:t>
            </w:r>
            <w:r>
              <w:t>UTISM</w:t>
            </w:r>
            <w:r>
              <w:rPr>
                <w:spacing w:val="4"/>
              </w:rPr>
              <w:t xml:space="preserve"> </w:t>
            </w:r>
            <w:r>
              <w:rPr>
                <w:spacing w:val="-3"/>
              </w:rPr>
              <w:t>SPECTRUM</w:t>
            </w:r>
            <w:r>
              <w:rPr>
                <w:spacing w:val="4"/>
              </w:rPr>
              <w:t xml:space="preserve"> </w:t>
            </w:r>
            <w:r>
              <w:t>DISORDER</w:t>
            </w:r>
            <w:r>
              <w:tab/>
            </w:r>
            <w:r>
              <w:rPr>
                <w:sz w:val="24"/>
              </w:rPr>
              <w:t>7</w:t>
            </w:r>
          </w:hyperlink>
        </w:p>
        <w:p w14:paraId="0C480884" w14:textId="77777777" w:rsidR="00C75312" w:rsidRDefault="00BB293A">
          <w:pPr>
            <w:pStyle w:val="TOC4"/>
            <w:tabs>
              <w:tab w:val="left" w:leader="dot" w:pos="9714"/>
            </w:tabs>
            <w:spacing w:before="136"/>
            <w:rPr>
              <w:b w:val="0"/>
              <w:i w:val="0"/>
              <w:sz w:val="24"/>
            </w:rPr>
          </w:pPr>
          <w:hyperlink w:anchor="_TOC_250026" w:history="1">
            <w:r>
              <w:rPr>
                <w:b w:val="0"/>
                <w:i w:val="0"/>
                <w:sz w:val="24"/>
              </w:rPr>
              <w:t>P</w:t>
            </w:r>
            <w:r>
              <w:rPr>
                <w:b w:val="0"/>
                <w:i w:val="0"/>
                <w:sz w:val="19"/>
              </w:rPr>
              <w:t xml:space="preserve">ART </w:t>
            </w:r>
            <w:r>
              <w:rPr>
                <w:b w:val="0"/>
                <w:i w:val="0"/>
                <w:sz w:val="24"/>
              </w:rPr>
              <w:t>1: M</w:t>
            </w:r>
            <w:r>
              <w:rPr>
                <w:b w:val="0"/>
                <w:i w:val="0"/>
                <w:sz w:val="19"/>
              </w:rPr>
              <w:t>ETA</w:t>
            </w:r>
            <w:r>
              <w:rPr>
                <w:b w:val="0"/>
                <w:i w:val="0"/>
                <w:sz w:val="24"/>
              </w:rPr>
              <w:t>-</w:t>
            </w:r>
            <w:r>
              <w:rPr>
                <w:b w:val="0"/>
                <w:i w:val="0"/>
                <w:sz w:val="19"/>
              </w:rPr>
              <w:t xml:space="preserve">ANALYSIS OF STUDIES OF </w:t>
            </w:r>
            <w:r>
              <w:rPr>
                <w:b w:val="0"/>
                <w:i w:val="0"/>
                <w:sz w:val="24"/>
              </w:rPr>
              <w:t>PM</w:t>
            </w:r>
            <w:r>
              <w:rPr>
                <w:b w:val="0"/>
                <w:i w:val="0"/>
                <w:spacing w:val="-39"/>
                <w:sz w:val="24"/>
              </w:rPr>
              <w:t xml:space="preserve"> </w:t>
            </w:r>
            <w:r>
              <w:rPr>
                <w:b w:val="0"/>
                <w:i w:val="0"/>
                <w:sz w:val="19"/>
              </w:rPr>
              <w:t xml:space="preserve">IN </w:t>
            </w:r>
            <w:r>
              <w:rPr>
                <w:b w:val="0"/>
                <w:i w:val="0"/>
                <w:sz w:val="24"/>
              </w:rPr>
              <w:t>ASD</w:t>
            </w:r>
            <w:r>
              <w:rPr>
                <w:b w:val="0"/>
                <w:i w:val="0"/>
                <w:sz w:val="24"/>
              </w:rPr>
              <w:tab/>
              <w:t>9</w:t>
            </w:r>
          </w:hyperlink>
        </w:p>
        <w:p w14:paraId="427B6B4C" w14:textId="77777777" w:rsidR="00C75312" w:rsidRDefault="00BB293A">
          <w:pPr>
            <w:pStyle w:val="TOC4"/>
            <w:tabs>
              <w:tab w:val="left" w:leader="dot" w:pos="9594"/>
            </w:tabs>
            <w:spacing w:before="142"/>
            <w:rPr>
              <w:b w:val="0"/>
              <w:i w:val="0"/>
              <w:sz w:val="24"/>
            </w:rPr>
          </w:pPr>
          <w:r>
            <w:rPr>
              <w:b w:val="0"/>
              <w:i w:val="0"/>
              <w:sz w:val="24"/>
            </w:rPr>
            <w:t>P</w:t>
          </w:r>
          <w:r>
            <w:rPr>
              <w:b w:val="0"/>
              <w:i w:val="0"/>
              <w:sz w:val="19"/>
            </w:rPr>
            <w:t xml:space="preserve">ART </w:t>
          </w:r>
          <w:r>
            <w:rPr>
              <w:b w:val="0"/>
              <w:i w:val="0"/>
              <w:sz w:val="24"/>
            </w:rPr>
            <w:t>2: C</w:t>
          </w:r>
          <w:r>
            <w:rPr>
              <w:b w:val="0"/>
              <w:i w:val="0"/>
              <w:sz w:val="19"/>
            </w:rPr>
            <w:t xml:space="preserve">RITICAL ANALYSIS OF STUDIES OF </w:t>
          </w:r>
          <w:r>
            <w:rPr>
              <w:b w:val="0"/>
              <w:i w:val="0"/>
              <w:sz w:val="24"/>
            </w:rPr>
            <w:t>PM</w:t>
          </w:r>
          <w:r>
            <w:rPr>
              <w:b w:val="0"/>
              <w:i w:val="0"/>
              <w:spacing w:val="-38"/>
              <w:sz w:val="24"/>
            </w:rPr>
            <w:t xml:space="preserve"> </w:t>
          </w:r>
          <w:r>
            <w:rPr>
              <w:b w:val="0"/>
              <w:i w:val="0"/>
              <w:sz w:val="19"/>
            </w:rPr>
            <w:t>IN</w:t>
          </w:r>
          <w:r>
            <w:rPr>
              <w:b w:val="0"/>
              <w:i w:val="0"/>
              <w:spacing w:val="-5"/>
              <w:sz w:val="19"/>
            </w:rPr>
            <w:t xml:space="preserve"> </w:t>
          </w:r>
          <w:r>
            <w:rPr>
              <w:b w:val="0"/>
              <w:i w:val="0"/>
              <w:sz w:val="24"/>
            </w:rPr>
            <w:t>ASD</w:t>
          </w:r>
          <w:r>
            <w:rPr>
              <w:b w:val="0"/>
              <w:i w:val="0"/>
              <w:sz w:val="24"/>
            </w:rPr>
            <w:tab/>
            <w:t>19</w:t>
          </w:r>
        </w:p>
        <w:p w14:paraId="13D0170E" w14:textId="77777777" w:rsidR="00C75312" w:rsidRDefault="00BB293A">
          <w:pPr>
            <w:pStyle w:val="TOC3"/>
            <w:spacing w:before="137"/>
          </w:pPr>
          <w:r>
            <w:rPr>
              <w:sz w:val="24"/>
            </w:rPr>
            <w:t>M</w:t>
          </w:r>
          <w:r>
            <w:t>ETHODOLOGICAL AND CONCEPTUAL ISSUES IN THE STUDY OF PROSPECTIVE MEMORY IN</w:t>
          </w:r>
        </w:p>
        <w:p w14:paraId="311142C3" w14:textId="77777777" w:rsidR="00C75312" w:rsidRDefault="00BB293A">
          <w:pPr>
            <w:pStyle w:val="TOC2"/>
            <w:tabs>
              <w:tab w:val="left" w:leader="dot" w:pos="9594"/>
            </w:tabs>
          </w:pPr>
          <w:r>
            <w:t>ASD</w:t>
          </w:r>
          <w:r>
            <w:tab/>
            <w:t>19</w:t>
          </w:r>
        </w:p>
        <w:p w14:paraId="7E3B0209" w14:textId="77777777" w:rsidR="00C75312" w:rsidRDefault="00BB293A">
          <w:pPr>
            <w:pStyle w:val="TOC1"/>
            <w:tabs>
              <w:tab w:val="left" w:leader="dot" w:pos="9594"/>
            </w:tabs>
            <w:spacing w:line="360" w:lineRule="auto"/>
            <w:ind w:right="943"/>
          </w:pPr>
          <w:r>
            <w:t>CHAPTER 2: EVENT-BASED PROSPECTIVE MEMORY IN CHILDREN WITH AUTISM: THE ROLE OF FOCAL AND NONFOCAL CUES IN TASK PERFORMANCE</w:t>
          </w:r>
          <w:r>
            <w:tab/>
          </w:r>
          <w:r>
            <w:rPr>
              <w:spacing w:val="-9"/>
            </w:rPr>
            <w:t>45</w:t>
          </w:r>
        </w:p>
        <w:p w14:paraId="38CA133F" w14:textId="77777777" w:rsidR="00C75312" w:rsidRDefault="00BB293A">
          <w:pPr>
            <w:pStyle w:val="TOC3"/>
            <w:tabs>
              <w:tab w:val="left" w:leader="dot" w:pos="9594"/>
            </w:tabs>
            <w:rPr>
              <w:sz w:val="24"/>
            </w:rPr>
          </w:pPr>
          <w:hyperlink w:anchor="_TOC_250025" w:history="1">
            <w:r>
              <w:rPr>
                <w:spacing w:val="-3"/>
                <w:sz w:val="24"/>
              </w:rPr>
              <w:t>I</w:t>
            </w:r>
            <w:r>
              <w:rPr>
                <w:spacing w:val="-3"/>
              </w:rPr>
              <w:t>NTRODUCTION</w:t>
            </w:r>
            <w:r>
              <w:rPr>
                <w:spacing w:val="-3"/>
              </w:rPr>
              <w:tab/>
            </w:r>
            <w:r>
              <w:rPr>
                <w:sz w:val="24"/>
              </w:rPr>
              <w:t>45</w:t>
            </w:r>
          </w:hyperlink>
        </w:p>
        <w:p w14:paraId="3B513B04" w14:textId="77777777" w:rsidR="00C75312" w:rsidRDefault="00BB293A">
          <w:pPr>
            <w:pStyle w:val="TOC4"/>
            <w:tabs>
              <w:tab w:val="left" w:leader="dot" w:pos="9594"/>
            </w:tabs>
            <w:rPr>
              <w:b w:val="0"/>
              <w:i w:val="0"/>
              <w:sz w:val="24"/>
            </w:rPr>
          </w:pPr>
          <w:hyperlink w:anchor="_TOC_250024" w:history="1">
            <w:r>
              <w:rPr>
                <w:b w:val="0"/>
                <w:i w:val="0"/>
                <w:sz w:val="24"/>
              </w:rPr>
              <w:t>M</w:t>
            </w:r>
            <w:r>
              <w:rPr>
                <w:b w:val="0"/>
                <w:i w:val="0"/>
                <w:sz w:val="19"/>
              </w:rPr>
              <w:t>ETHODS</w:t>
            </w:r>
            <w:r>
              <w:rPr>
                <w:b w:val="0"/>
                <w:i w:val="0"/>
                <w:sz w:val="19"/>
              </w:rPr>
              <w:tab/>
            </w:r>
            <w:r>
              <w:rPr>
                <w:b w:val="0"/>
                <w:i w:val="0"/>
                <w:sz w:val="24"/>
              </w:rPr>
              <w:t>50</w:t>
            </w:r>
          </w:hyperlink>
        </w:p>
        <w:p w14:paraId="3651EE35" w14:textId="77777777" w:rsidR="00C75312" w:rsidRDefault="00BB293A">
          <w:pPr>
            <w:pStyle w:val="TOC3"/>
            <w:tabs>
              <w:tab w:val="left" w:leader="dot" w:pos="9594"/>
            </w:tabs>
            <w:spacing w:before="141"/>
            <w:rPr>
              <w:sz w:val="24"/>
            </w:rPr>
          </w:pPr>
          <w:hyperlink w:anchor="_TOC_250023" w:history="1">
            <w:r>
              <w:rPr>
                <w:sz w:val="24"/>
              </w:rPr>
              <w:t>P</w:t>
            </w:r>
            <w:r>
              <w:t>ARTICIPANTS</w:t>
            </w:r>
            <w:r>
              <w:tab/>
            </w:r>
            <w:r>
              <w:rPr>
                <w:sz w:val="24"/>
              </w:rPr>
              <w:t>52</w:t>
            </w:r>
          </w:hyperlink>
        </w:p>
        <w:p w14:paraId="002C345C" w14:textId="77777777" w:rsidR="00C75312" w:rsidRDefault="00BB293A">
          <w:pPr>
            <w:pStyle w:val="TOC4"/>
            <w:tabs>
              <w:tab w:val="left" w:leader="dot" w:pos="9594"/>
            </w:tabs>
            <w:rPr>
              <w:b w:val="0"/>
              <w:i w:val="0"/>
              <w:sz w:val="24"/>
            </w:rPr>
          </w:pPr>
          <w:hyperlink w:anchor="_TOC_250022" w:history="1">
            <w:r>
              <w:rPr>
                <w:b w:val="0"/>
                <w:i w:val="0"/>
                <w:sz w:val="24"/>
              </w:rPr>
              <w:t>R</w:t>
            </w:r>
            <w:r>
              <w:rPr>
                <w:b w:val="0"/>
                <w:i w:val="0"/>
                <w:sz w:val="19"/>
              </w:rPr>
              <w:t>ESULTS</w:t>
            </w:r>
            <w:r>
              <w:rPr>
                <w:b w:val="0"/>
                <w:i w:val="0"/>
                <w:sz w:val="19"/>
              </w:rPr>
              <w:tab/>
            </w:r>
            <w:r>
              <w:rPr>
                <w:b w:val="0"/>
                <w:i w:val="0"/>
                <w:sz w:val="24"/>
              </w:rPr>
              <w:t>61</w:t>
            </w:r>
          </w:hyperlink>
        </w:p>
        <w:p w14:paraId="3AE15D60" w14:textId="77777777" w:rsidR="00C75312" w:rsidRDefault="00BB293A">
          <w:pPr>
            <w:pStyle w:val="TOC4"/>
            <w:tabs>
              <w:tab w:val="left" w:leader="dot" w:pos="9594"/>
            </w:tabs>
            <w:rPr>
              <w:b w:val="0"/>
              <w:i w:val="0"/>
              <w:sz w:val="24"/>
            </w:rPr>
          </w:pPr>
          <w:hyperlink w:anchor="_TOC_250021" w:history="1">
            <w:r>
              <w:rPr>
                <w:b w:val="0"/>
                <w:i w:val="0"/>
                <w:sz w:val="24"/>
              </w:rPr>
              <w:t>D</w:t>
            </w:r>
            <w:r>
              <w:rPr>
                <w:b w:val="0"/>
                <w:i w:val="0"/>
                <w:sz w:val="19"/>
              </w:rPr>
              <w:t>ISCUSSION</w:t>
            </w:r>
            <w:r>
              <w:rPr>
                <w:b w:val="0"/>
                <w:i w:val="0"/>
                <w:sz w:val="19"/>
              </w:rPr>
              <w:tab/>
            </w:r>
            <w:r>
              <w:rPr>
                <w:b w:val="0"/>
                <w:i w:val="0"/>
                <w:sz w:val="24"/>
              </w:rPr>
              <w:t>65</w:t>
            </w:r>
          </w:hyperlink>
        </w:p>
        <w:p w14:paraId="72C80F4E" w14:textId="77777777" w:rsidR="00C75312" w:rsidRDefault="00BB293A">
          <w:pPr>
            <w:pStyle w:val="TOC1"/>
            <w:tabs>
              <w:tab w:val="left" w:leader="dot" w:pos="9594"/>
            </w:tabs>
            <w:spacing w:line="360" w:lineRule="auto"/>
            <w:ind w:right="943"/>
          </w:pPr>
          <w:r>
            <w:t>CHAPTER 3: THE ROLES OF VERBAL AND VISUOSPATIAL PROCESSING IN EVENT-BASED PROSPECTIVE MEMORY: POSSIBLE COMPENSATORY STRATEGIES BY CHILDREN</w:t>
          </w:r>
          <w:r>
            <w:rPr>
              <w:spacing w:val="-6"/>
            </w:rPr>
            <w:t xml:space="preserve"> </w:t>
          </w:r>
          <w:r>
            <w:t>WITH</w:t>
          </w:r>
          <w:r>
            <w:rPr>
              <w:spacing w:val="-2"/>
            </w:rPr>
            <w:t xml:space="preserve"> </w:t>
          </w:r>
          <w:r>
            <w:t>AUTISM</w:t>
          </w:r>
          <w:r>
            <w:tab/>
          </w:r>
          <w:r>
            <w:rPr>
              <w:spacing w:val="-9"/>
            </w:rPr>
            <w:t>69</w:t>
          </w:r>
        </w:p>
        <w:p w14:paraId="00000CFD" w14:textId="77777777" w:rsidR="00C75312" w:rsidRDefault="00BB293A">
          <w:pPr>
            <w:pStyle w:val="TOC3"/>
            <w:tabs>
              <w:tab w:val="left" w:leader="dot" w:pos="9594"/>
            </w:tabs>
            <w:rPr>
              <w:sz w:val="24"/>
            </w:rPr>
          </w:pPr>
          <w:hyperlink w:anchor="_TOC_250020" w:history="1">
            <w:r>
              <w:rPr>
                <w:spacing w:val="-3"/>
                <w:sz w:val="24"/>
              </w:rPr>
              <w:t>I</w:t>
            </w:r>
            <w:r>
              <w:rPr>
                <w:spacing w:val="-3"/>
              </w:rPr>
              <w:t>NTRODUCTION</w:t>
            </w:r>
            <w:r>
              <w:rPr>
                <w:spacing w:val="-3"/>
              </w:rPr>
              <w:tab/>
            </w:r>
            <w:r>
              <w:rPr>
                <w:sz w:val="24"/>
              </w:rPr>
              <w:t>69</w:t>
            </w:r>
          </w:hyperlink>
        </w:p>
        <w:p w14:paraId="1CFEFDE2" w14:textId="77777777" w:rsidR="00C75312" w:rsidRDefault="00BB293A">
          <w:pPr>
            <w:pStyle w:val="TOC4"/>
            <w:tabs>
              <w:tab w:val="left" w:leader="dot" w:pos="9594"/>
            </w:tabs>
            <w:rPr>
              <w:b w:val="0"/>
              <w:i w:val="0"/>
              <w:sz w:val="24"/>
            </w:rPr>
          </w:pPr>
          <w:hyperlink w:anchor="_TOC_250019" w:history="1">
            <w:r>
              <w:rPr>
                <w:b w:val="0"/>
                <w:i w:val="0"/>
                <w:sz w:val="24"/>
              </w:rPr>
              <w:t>M</w:t>
            </w:r>
            <w:r>
              <w:rPr>
                <w:b w:val="0"/>
                <w:i w:val="0"/>
                <w:sz w:val="19"/>
              </w:rPr>
              <w:t>ETHODS</w:t>
            </w:r>
            <w:r>
              <w:rPr>
                <w:b w:val="0"/>
                <w:i w:val="0"/>
                <w:sz w:val="19"/>
              </w:rPr>
              <w:tab/>
            </w:r>
            <w:r>
              <w:rPr>
                <w:b w:val="0"/>
                <w:i w:val="0"/>
                <w:sz w:val="24"/>
              </w:rPr>
              <w:t>74</w:t>
            </w:r>
          </w:hyperlink>
        </w:p>
        <w:p w14:paraId="7D5E94E0" w14:textId="77777777" w:rsidR="00C75312" w:rsidRDefault="00BB293A">
          <w:pPr>
            <w:pStyle w:val="TOC4"/>
            <w:tabs>
              <w:tab w:val="left" w:leader="dot" w:pos="9594"/>
            </w:tabs>
            <w:spacing w:before="141"/>
            <w:rPr>
              <w:b w:val="0"/>
              <w:i w:val="0"/>
              <w:sz w:val="24"/>
            </w:rPr>
          </w:pPr>
          <w:hyperlink w:anchor="_TOC_250018" w:history="1">
            <w:r>
              <w:rPr>
                <w:b w:val="0"/>
                <w:i w:val="0"/>
                <w:sz w:val="24"/>
              </w:rPr>
              <w:t>R</w:t>
            </w:r>
            <w:r>
              <w:rPr>
                <w:b w:val="0"/>
                <w:i w:val="0"/>
                <w:sz w:val="19"/>
              </w:rPr>
              <w:t>ESULTS</w:t>
            </w:r>
            <w:r>
              <w:rPr>
                <w:b w:val="0"/>
                <w:i w:val="0"/>
                <w:sz w:val="19"/>
              </w:rPr>
              <w:tab/>
            </w:r>
            <w:r>
              <w:rPr>
                <w:b w:val="0"/>
                <w:i w:val="0"/>
                <w:sz w:val="24"/>
              </w:rPr>
              <w:t>80</w:t>
            </w:r>
          </w:hyperlink>
        </w:p>
        <w:p w14:paraId="308251D5" w14:textId="77777777" w:rsidR="00C75312" w:rsidRDefault="00BB293A">
          <w:pPr>
            <w:pStyle w:val="TOC4"/>
            <w:tabs>
              <w:tab w:val="left" w:leader="dot" w:pos="9594"/>
            </w:tabs>
            <w:spacing w:after="20"/>
            <w:rPr>
              <w:b w:val="0"/>
              <w:i w:val="0"/>
              <w:sz w:val="24"/>
            </w:rPr>
          </w:pPr>
          <w:hyperlink w:anchor="_TOC_250017" w:history="1">
            <w:r>
              <w:rPr>
                <w:b w:val="0"/>
                <w:i w:val="0"/>
                <w:sz w:val="24"/>
              </w:rPr>
              <w:t>D</w:t>
            </w:r>
            <w:r>
              <w:rPr>
                <w:b w:val="0"/>
                <w:i w:val="0"/>
                <w:sz w:val="19"/>
              </w:rPr>
              <w:t>ISCUSSION</w:t>
            </w:r>
            <w:r>
              <w:rPr>
                <w:b w:val="0"/>
                <w:i w:val="0"/>
                <w:sz w:val="19"/>
              </w:rPr>
              <w:tab/>
            </w:r>
            <w:r>
              <w:rPr>
                <w:b w:val="0"/>
                <w:i w:val="0"/>
                <w:sz w:val="24"/>
              </w:rPr>
              <w:t>83</w:t>
            </w:r>
          </w:hyperlink>
        </w:p>
        <w:p w14:paraId="128A26FB" w14:textId="77777777" w:rsidR="00C75312" w:rsidRDefault="00BB293A">
          <w:pPr>
            <w:pStyle w:val="TOC1"/>
            <w:tabs>
              <w:tab w:val="left" w:leader="dot" w:pos="9594"/>
            </w:tabs>
            <w:spacing w:before="414" w:line="360" w:lineRule="auto"/>
            <w:ind w:right="943"/>
          </w:pPr>
          <w:r>
            <w:lastRenderedPageBreak/>
            <w:t>CHAPTER 4: THE ROLE OF EXTRINSIC MOTIVATION ON TIME-BASED PROSPECTIVE MEMORY IN ADULTS WITH AUTISM: RELATIONS TO EXECUTIVE FUNCTIONING</w:t>
          </w:r>
          <w:r>
            <w:rPr>
              <w:spacing w:val="-8"/>
            </w:rPr>
            <w:t xml:space="preserve"> </w:t>
          </w:r>
          <w:r>
            <w:t>AND</w:t>
          </w:r>
          <w:r>
            <w:rPr>
              <w:spacing w:val="-4"/>
            </w:rPr>
            <w:t xml:space="preserve"> </w:t>
          </w:r>
          <w:r>
            <w:t>MINDREADING</w:t>
          </w:r>
          <w:r>
            <w:tab/>
          </w:r>
          <w:r>
            <w:rPr>
              <w:spacing w:val="-9"/>
            </w:rPr>
            <w:t>89</w:t>
          </w:r>
        </w:p>
        <w:p w14:paraId="5906336A" w14:textId="77777777" w:rsidR="00C75312" w:rsidRDefault="00BB293A">
          <w:pPr>
            <w:pStyle w:val="TOC3"/>
            <w:tabs>
              <w:tab w:val="left" w:leader="dot" w:pos="9594"/>
            </w:tabs>
            <w:rPr>
              <w:sz w:val="24"/>
            </w:rPr>
          </w:pPr>
          <w:hyperlink w:anchor="_TOC_250016" w:history="1">
            <w:r>
              <w:rPr>
                <w:sz w:val="24"/>
              </w:rPr>
              <w:t>I</w:t>
            </w:r>
            <w:r>
              <w:t>NTRODUCTION</w:t>
            </w:r>
            <w:r>
              <w:tab/>
            </w:r>
            <w:r>
              <w:rPr>
                <w:sz w:val="24"/>
              </w:rPr>
              <w:t>89</w:t>
            </w:r>
          </w:hyperlink>
        </w:p>
        <w:p w14:paraId="5DEF473E" w14:textId="77777777" w:rsidR="00C75312" w:rsidRDefault="00BB293A">
          <w:pPr>
            <w:pStyle w:val="TOC4"/>
            <w:tabs>
              <w:tab w:val="left" w:leader="dot" w:pos="9594"/>
            </w:tabs>
            <w:rPr>
              <w:b w:val="0"/>
              <w:i w:val="0"/>
              <w:sz w:val="24"/>
            </w:rPr>
          </w:pPr>
          <w:hyperlink w:anchor="_TOC_250015" w:history="1">
            <w:r>
              <w:rPr>
                <w:b w:val="0"/>
                <w:i w:val="0"/>
                <w:sz w:val="24"/>
              </w:rPr>
              <w:t>M</w:t>
            </w:r>
            <w:r>
              <w:rPr>
                <w:b w:val="0"/>
                <w:i w:val="0"/>
                <w:sz w:val="19"/>
              </w:rPr>
              <w:t>ETHODS</w:t>
            </w:r>
            <w:r>
              <w:rPr>
                <w:b w:val="0"/>
                <w:i w:val="0"/>
                <w:sz w:val="19"/>
              </w:rPr>
              <w:tab/>
            </w:r>
            <w:r>
              <w:rPr>
                <w:b w:val="0"/>
                <w:i w:val="0"/>
                <w:sz w:val="24"/>
              </w:rPr>
              <w:t>97</w:t>
            </w:r>
          </w:hyperlink>
        </w:p>
        <w:p w14:paraId="3F8CF847" w14:textId="77777777" w:rsidR="00C75312" w:rsidRDefault="00BB293A">
          <w:pPr>
            <w:pStyle w:val="TOC4"/>
            <w:tabs>
              <w:tab w:val="left" w:leader="dot" w:pos="9474"/>
            </w:tabs>
            <w:rPr>
              <w:b w:val="0"/>
              <w:i w:val="0"/>
              <w:sz w:val="24"/>
            </w:rPr>
          </w:pPr>
          <w:hyperlink w:anchor="_TOC_250014" w:history="1">
            <w:r>
              <w:rPr>
                <w:b w:val="0"/>
                <w:i w:val="0"/>
                <w:sz w:val="24"/>
              </w:rPr>
              <w:t>R</w:t>
            </w:r>
            <w:r>
              <w:rPr>
                <w:b w:val="0"/>
                <w:i w:val="0"/>
                <w:sz w:val="19"/>
              </w:rPr>
              <w:t>ESULTS</w:t>
            </w:r>
            <w:r>
              <w:rPr>
                <w:b w:val="0"/>
                <w:i w:val="0"/>
                <w:sz w:val="19"/>
              </w:rPr>
              <w:tab/>
            </w:r>
            <w:r>
              <w:rPr>
                <w:b w:val="0"/>
                <w:i w:val="0"/>
                <w:sz w:val="24"/>
              </w:rPr>
              <w:t>106</w:t>
            </w:r>
          </w:hyperlink>
        </w:p>
        <w:p w14:paraId="1E1DA512" w14:textId="77777777" w:rsidR="00C75312" w:rsidRDefault="00BB293A">
          <w:pPr>
            <w:pStyle w:val="TOC4"/>
            <w:tabs>
              <w:tab w:val="left" w:leader="dot" w:pos="9474"/>
            </w:tabs>
            <w:rPr>
              <w:b w:val="0"/>
              <w:i w:val="0"/>
              <w:sz w:val="24"/>
            </w:rPr>
          </w:pPr>
          <w:hyperlink w:anchor="_TOC_250013" w:history="1">
            <w:r>
              <w:rPr>
                <w:b w:val="0"/>
                <w:i w:val="0"/>
                <w:sz w:val="24"/>
              </w:rPr>
              <w:t>D</w:t>
            </w:r>
            <w:r>
              <w:rPr>
                <w:b w:val="0"/>
                <w:i w:val="0"/>
                <w:sz w:val="19"/>
              </w:rPr>
              <w:t>ISCUSSION</w:t>
            </w:r>
            <w:r>
              <w:rPr>
                <w:b w:val="0"/>
                <w:i w:val="0"/>
                <w:sz w:val="19"/>
              </w:rPr>
              <w:tab/>
            </w:r>
            <w:r>
              <w:rPr>
                <w:b w:val="0"/>
                <w:i w:val="0"/>
                <w:sz w:val="24"/>
              </w:rPr>
              <w:t>115</w:t>
            </w:r>
          </w:hyperlink>
        </w:p>
        <w:p w14:paraId="72525EE1" w14:textId="77777777" w:rsidR="00C75312" w:rsidRDefault="00BB293A">
          <w:pPr>
            <w:pStyle w:val="TOC1"/>
            <w:tabs>
              <w:tab w:val="left" w:leader="dot" w:pos="9474"/>
            </w:tabs>
            <w:spacing w:before="261" w:line="360" w:lineRule="auto"/>
            <w:ind w:right="943"/>
          </w:pPr>
          <w:r>
            <w:t>CHAPTER 5: ASSESSING THE COGNITIVE COMPONENTS OF TIME- AND EVENT-BASED PROSPECTIVE MEMORY AMONG PEOPLE WITH AUTISM AND THE GENERAL POPULATION: RELATIONS WITH INTEROCEPTION, ALEXITHYMIA, AND</w:t>
          </w:r>
          <w:r>
            <w:rPr>
              <w:spacing w:val="-5"/>
            </w:rPr>
            <w:t xml:space="preserve"> </w:t>
          </w:r>
          <w:r>
            <w:t>AUTISM</w:t>
          </w:r>
          <w:r>
            <w:rPr>
              <w:spacing w:val="-4"/>
            </w:rPr>
            <w:t xml:space="preserve"> </w:t>
          </w:r>
          <w:r>
            <w:t>TRAITS</w:t>
          </w:r>
          <w:r>
            <w:tab/>
          </w:r>
          <w:r>
            <w:rPr>
              <w:spacing w:val="-6"/>
            </w:rPr>
            <w:t>123</w:t>
          </w:r>
        </w:p>
        <w:p w14:paraId="5D0ED88B" w14:textId="77777777" w:rsidR="00C75312" w:rsidRDefault="00BB293A">
          <w:pPr>
            <w:pStyle w:val="TOC4"/>
            <w:tabs>
              <w:tab w:val="left" w:leader="dot" w:pos="9474"/>
            </w:tabs>
            <w:spacing w:before="121"/>
            <w:rPr>
              <w:b w:val="0"/>
              <w:i w:val="0"/>
              <w:sz w:val="24"/>
            </w:rPr>
          </w:pPr>
          <w:hyperlink w:anchor="_TOC_250012" w:history="1">
            <w:r>
              <w:rPr>
                <w:b w:val="0"/>
                <w:i w:val="0"/>
                <w:spacing w:val="-3"/>
                <w:sz w:val="24"/>
              </w:rPr>
              <w:t>I</w:t>
            </w:r>
            <w:r>
              <w:rPr>
                <w:b w:val="0"/>
                <w:i w:val="0"/>
                <w:spacing w:val="-3"/>
                <w:sz w:val="19"/>
              </w:rPr>
              <w:t>NTRODUCTION</w:t>
            </w:r>
            <w:r>
              <w:rPr>
                <w:b w:val="0"/>
                <w:i w:val="0"/>
                <w:spacing w:val="-3"/>
                <w:sz w:val="19"/>
              </w:rPr>
              <w:tab/>
            </w:r>
            <w:r>
              <w:rPr>
                <w:b w:val="0"/>
                <w:i w:val="0"/>
                <w:sz w:val="24"/>
              </w:rPr>
              <w:t>123</w:t>
            </w:r>
          </w:hyperlink>
        </w:p>
        <w:p w14:paraId="1D96419D" w14:textId="77777777" w:rsidR="00C75312" w:rsidRDefault="00BB293A">
          <w:pPr>
            <w:pStyle w:val="TOC4"/>
            <w:tabs>
              <w:tab w:val="left" w:leader="dot" w:pos="9474"/>
            </w:tabs>
            <w:spacing w:before="136"/>
            <w:rPr>
              <w:b w:val="0"/>
              <w:i w:val="0"/>
              <w:sz w:val="24"/>
            </w:rPr>
          </w:pPr>
          <w:hyperlink w:anchor="_TOC_250011" w:history="1">
            <w:r>
              <w:rPr>
                <w:b w:val="0"/>
                <w:i w:val="0"/>
                <w:sz w:val="24"/>
              </w:rPr>
              <w:t>M</w:t>
            </w:r>
            <w:r>
              <w:rPr>
                <w:b w:val="0"/>
                <w:i w:val="0"/>
                <w:sz w:val="19"/>
              </w:rPr>
              <w:t>ETHODS</w:t>
            </w:r>
            <w:r>
              <w:rPr>
                <w:b w:val="0"/>
                <w:i w:val="0"/>
                <w:sz w:val="19"/>
              </w:rPr>
              <w:tab/>
            </w:r>
            <w:r>
              <w:rPr>
                <w:b w:val="0"/>
                <w:i w:val="0"/>
                <w:sz w:val="24"/>
              </w:rPr>
              <w:t>131</w:t>
            </w:r>
          </w:hyperlink>
        </w:p>
        <w:p w14:paraId="285FD3D7" w14:textId="77777777" w:rsidR="00C75312" w:rsidRDefault="00BB293A">
          <w:pPr>
            <w:pStyle w:val="TOC4"/>
            <w:tabs>
              <w:tab w:val="left" w:leader="dot" w:pos="9474"/>
            </w:tabs>
            <w:rPr>
              <w:b w:val="0"/>
              <w:i w:val="0"/>
              <w:sz w:val="24"/>
            </w:rPr>
          </w:pPr>
          <w:hyperlink w:anchor="_TOC_250010" w:history="1">
            <w:r>
              <w:rPr>
                <w:b w:val="0"/>
                <w:i w:val="0"/>
                <w:sz w:val="24"/>
              </w:rPr>
              <w:t>R</w:t>
            </w:r>
            <w:r>
              <w:rPr>
                <w:b w:val="0"/>
                <w:i w:val="0"/>
                <w:sz w:val="19"/>
              </w:rPr>
              <w:t>ESULTS</w:t>
            </w:r>
            <w:r>
              <w:rPr>
                <w:b w:val="0"/>
                <w:i w:val="0"/>
                <w:sz w:val="19"/>
              </w:rPr>
              <w:tab/>
            </w:r>
            <w:r>
              <w:rPr>
                <w:b w:val="0"/>
                <w:i w:val="0"/>
                <w:sz w:val="24"/>
              </w:rPr>
              <w:t>137</w:t>
            </w:r>
          </w:hyperlink>
        </w:p>
        <w:p w14:paraId="7F4EB498" w14:textId="77777777" w:rsidR="00C75312" w:rsidRDefault="00BB293A">
          <w:pPr>
            <w:pStyle w:val="TOC4"/>
            <w:tabs>
              <w:tab w:val="left" w:leader="dot" w:pos="9474"/>
            </w:tabs>
            <w:rPr>
              <w:b w:val="0"/>
              <w:i w:val="0"/>
              <w:sz w:val="24"/>
            </w:rPr>
          </w:pPr>
          <w:hyperlink w:anchor="_TOC_250009" w:history="1">
            <w:r>
              <w:rPr>
                <w:b w:val="0"/>
                <w:i w:val="0"/>
                <w:sz w:val="24"/>
              </w:rPr>
              <w:t>D</w:t>
            </w:r>
            <w:r>
              <w:rPr>
                <w:b w:val="0"/>
                <w:i w:val="0"/>
                <w:sz w:val="19"/>
              </w:rPr>
              <w:t>ISCUSSION</w:t>
            </w:r>
            <w:r>
              <w:rPr>
                <w:b w:val="0"/>
                <w:i w:val="0"/>
                <w:sz w:val="19"/>
              </w:rPr>
              <w:tab/>
            </w:r>
            <w:r>
              <w:rPr>
                <w:b w:val="0"/>
                <w:i w:val="0"/>
                <w:sz w:val="24"/>
              </w:rPr>
              <w:t>142</w:t>
            </w:r>
          </w:hyperlink>
        </w:p>
        <w:p w14:paraId="09733517" w14:textId="77777777" w:rsidR="00C75312" w:rsidRDefault="00BB293A">
          <w:pPr>
            <w:pStyle w:val="TOC1"/>
            <w:tabs>
              <w:tab w:val="left" w:leader="dot" w:pos="9474"/>
            </w:tabs>
            <w:spacing w:before="262"/>
          </w:pPr>
          <w:r>
            <w:t>CHAPTER 6:</w:t>
          </w:r>
          <w:r>
            <w:rPr>
              <w:spacing w:val="-3"/>
            </w:rPr>
            <w:t xml:space="preserve"> </w:t>
          </w:r>
          <w:r>
            <w:t>GENERAL</w:t>
          </w:r>
          <w:r>
            <w:rPr>
              <w:spacing w:val="-4"/>
            </w:rPr>
            <w:t xml:space="preserve"> </w:t>
          </w:r>
          <w:r>
            <w:t>DISCUSSION</w:t>
          </w:r>
          <w:r>
            <w:tab/>
            <w:t>147</w:t>
          </w:r>
        </w:p>
        <w:p w14:paraId="23C86F3A" w14:textId="77777777" w:rsidR="00C75312" w:rsidRDefault="00BB293A">
          <w:pPr>
            <w:pStyle w:val="TOC4"/>
            <w:tabs>
              <w:tab w:val="left" w:leader="dot" w:pos="9474"/>
            </w:tabs>
            <w:spacing w:before="256"/>
            <w:rPr>
              <w:b w:val="0"/>
              <w:i w:val="0"/>
              <w:sz w:val="24"/>
            </w:rPr>
          </w:pPr>
          <w:hyperlink w:anchor="_TOC_250008" w:history="1">
            <w:r>
              <w:rPr>
                <w:b w:val="0"/>
                <w:i w:val="0"/>
                <w:sz w:val="24"/>
              </w:rPr>
              <w:t>E</w:t>
            </w:r>
            <w:r>
              <w:rPr>
                <w:b w:val="0"/>
                <w:i w:val="0"/>
                <w:sz w:val="19"/>
              </w:rPr>
              <w:t>VENT</w:t>
            </w:r>
            <w:r>
              <w:rPr>
                <w:b w:val="0"/>
                <w:i w:val="0"/>
                <w:sz w:val="24"/>
              </w:rPr>
              <w:t>-</w:t>
            </w:r>
            <w:r>
              <w:rPr>
                <w:b w:val="0"/>
                <w:i w:val="0"/>
                <w:sz w:val="19"/>
              </w:rPr>
              <w:t xml:space="preserve">BASED </w:t>
            </w:r>
            <w:r>
              <w:rPr>
                <w:b w:val="0"/>
                <w:i w:val="0"/>
                <w:sz w:val="24"/>
              </w:rPr>
              <w:t>PM</w:t>
            </w:r>
            <w:r>
              <w:rPr>
                <w:b w:val="0"/>
                <w:i w:val="0"/>
                <w:spacing w:val="-16"/>
                <w:sz w:val="24"/>
              </w:rPr>
              <w:t xml:space="preserve"> </w:t>
            </w:r>
            <w:r>
              <w:rPr>
                <w:b w:val="0"/>
                <w:i w:val="0"/>
                <w:sz w:val="19"/>
              </w:rPr>
              <w:t xml:space="preserve">IN </w:t>
            </w:r>
            <w:r>
              <w:rPr>
                <w:b w:val="0"/>
                <w:i w:val="0"/>
                <w:sz w:val="24"/>
              </w:rPr>
              <w:t>ASD</w:t>
            </w:r>
            <w:r>
              <w:rPr>
                <w:b w:val="0"/>
                <w:i w:val="0"/>
                <w:sz w:val="24"/>
              </w:rPr>
              <w:tab/>
              <w:t>147</w:t>
            </w:r>
          </w:hyperlink>
        </w:p>
        <w:p w14:paraId="5B5FBC91" w14:textId="77777777" w:rsidR="00C75312" w:rsidRDefault="00BB293A">
          <w:pPr>
            <w:pStyle w:val="TOC4"/>
            <w:tabs>
              <w:tab w:val="left" w:leader="dot" w:pos="9474"/>
            </w:tabs>
            <w:rPr>
              <w:b w:val="0"/>
              <w:i w:val="0"/>
              <w:sz w:val="24"/>
            </w:rPr>
          </w:pPr>
          <w:hyperlink w:anchor="_TOC_250007" w:history="1">
            <w:r>
              <w:rPr>
                <w:b w:val="0"/>
                <w:i w:val="0"/>
                <w:sz w:val="24"/>
              </w:rPr>
              <w:t>T</w:t>
            </w:r>
            <w:r>
              <w:rPr>
                <w:b w:val="0"/>
                <w:i w:val="0"/>
                <w:sz w:val="19"/>
              </w:rPr>
              <w:t>IME</w:t>
            </w:r>
            <w:r>
              <w:rPr>
                <w:b w:val="0"/>
                <w:i w:val="0"/>
                <w:sz w:val="24"/>
              </w:rPr>
              <w:t>-</w:t>
            </w:r>
            <w:r>
              <w:rPr>
                <w:b w:val="0"/>
                <w:i w:val="0"/>
                <w:sz w:val="19"/>
              </w:rPr>
              <w:t xml:space="preserve">BASED </w:t>
            </w:r>
            <w:r>
              <w:rPr>
                <w:b w:val="0"/>
                <w:i w:val="0"/>
                <w:sz w:val="24"/>
              </w:rPr>
              <w:t>PM</w:t>
            </w:r>
            <w:r>
              <w:rPr>
                <w:b w:val="0"/>
                <w:i w:val="0"/>
                <w:spacing w:val="-16"/>
                <w:sz w:val="24"/>
              </w:rPr>
              <w:t xml:space="preserve"> </w:t>
            </w:r>
            <w:r>
              <w:rPr>
                <w:b w:val="0"/>
                <w:i w:val="0"/>
                <w:sz w:val="19"/>
              </w:rPr>
              <w:t>IN</w:t>
            </w:r>
            <w:r>
              <w:rPr>
                <w:b w:val="0"/>
                <w:i w:val="0"/>
                <w:spacing w:val="1"/>
                <w:sz w:val="19"/>
              </w:rPr>
              <w:t xml:space="preserve"> </w:t>
            </w:r>
            <w:r>
              <w:rPr>
                <w:b w:val="0"/>
                <w:i w:val="0"/>
                <w:sz w:val="24"/>
              </w:rPr>
              <w:t>ASD</w:t>
            </w:r>
            <w:r>
              <w:rPr>
                <w:b w:val="0"/>
                <w:i w:val="0"/>
                <w:sz w:val="24"/>
              </w:rPr>
              <w:tab/>
              <w:t>148</w:t>
            </w:r>
          </w:hyperlink>
        </w:p>
        <w:p w14:paraId="02D1DEDF" w14:textId="77777777" w:rsidR="00C75312" w:rsidRDefault="00BB293A">
          <w:pPr>
            <w:pStyle w:val="TOC4"/>
            <w:tabs>
              <w:tab w:val="left" w:leader="dot" w:pos="9474"/>
            </w:tabs>
            <w:rPr>
              <w:b w:val="0"/>
              <w:i w:val="0"/>
              <w:sz w:val="24"/>
            </w:rPr>
          </w:pPr>
          <w:hyperlink w:anchor="_TOC_250006" w:history="1">
            <w:r>
              <w:rPr>
                <w:b w:val="0"/>
                <w:i w:val="0"/>
                <w:sz w:val="24"/>
              </w:rPr>
              <w:t xml:space="preserve">PM </w:t>
            </w:r>
            <w:r>
              <w:rPr>
                <w:b w:val="0"/>
                <w:i w:val="0"/>
                <w:sz w:val="19"/>
              </w:rPr>
              <w:t xml:space="preserve">IN </w:t>
            </w:r>
            <w:r>
              <w:rPr>
                <w:b w:val="0"/>
                <w:i w:val="0"/>
                <w:sz w:val="24"/>
              </w:rPr>
              <w:t xml:space="preserve">ASD </w:t>
            </w:r>
            <w:r>
              <w:rPr>
                <w:b w:val="0"/>
                <w:i w:val="0"/>
                <w:sz w:val="19"/>
              </w:rPr>
              <w:t xml:space="preserve">IN THE </w:t>
            </w:r>
            <w:r>
              <w:rPr>
                <w:b w:val="0"/>
                <w:i w:val="0"/>
                <w:spacing w:val="-3"/>
                <w:sz w:val="19"/>
              </w:rPr>
              <w:t xml:space="preserve">CONTEXT </w:t>
            </w:r>
            <w:r>
              <w:rPr>
                <w:b w:val="0"/>
                <w:i w:val="0"/>
                <w:sz w:val="19"/>
              </w:rPr>
              <w:t>OF</w:t>
            </w:r>
            <w:r>
              <w:rPr>
                <w:b w:val="0"/>
                <w:i w:val="0"/>
                <w:spacing w:val="-4"/>
                <w:sz w:val="19"/>
              </w:rPr>
              <w:t xml:space="preserve"> </w:t>
            </w:r>
            <w:r>
              <w:rPr>
                <w:b w:val="0"/>
                <w:i w:val="0"/>
                <w:spacing w:val="-3"/>
                <w:sz w:val="19"/>
              </w:rPr>
              <w:t>BROADER</w:t>
            </w:r>
            <w:r>
              <w:rPr>
                <w:b w:val="0"/>
                <w:i w:val="0"/>
                <w:sz w:val="19"/>
              </w:rPr>
              <w:t xml:space="preserve"> THEORY</w:t>
            </w:r>
            <w:r>
              <w:rPr>
                <w:b w:val="0"/>
                <w:i w:val="0"/>
                <w:sz w:val="19"/>
              </w:rPr>
              <w:tab/>
            </w:r>
            <w:r>
              <w:rPr>
                <w:b w:val="0"/>
                <w:i w:val="0"/>
                <w:sz w:val="24"/>
              </w:rPr>
              <w:t>149</w:t>
            </w:r>
          </w:hyperlink>
        </w:p>
        <w:p w14:paraId="485FBC78" w14:textId="77777777" w:rsidR="00C75312" w:rsidRDefault="00BB293A">
          <w:pPr>
            <w:pStyle w:val="TOC4"/>
            <w:tabs>
              <w:tab w:val="left" w:leader="dot" w:pos="9474"/>
            </w:tabs>
            <w:spacing w:before="142"/>
            <w:rPr>
              <w:b w:val="0"/>
              <w:i w:val="0"/>
              <w:sz w:val="24"/>
            </w:rPr>
          </w:pPr>
          <w:hyperlink w:anchor="_TOC_250005" w:history="1">
            <w:r>
              <w:rPr>
                <w:b w:val="0"/>
                <w:i w:val="0"/>
                <w:sz w:val="24"/>
              </w:rPr>
              <w:t>M</w:t>
            </w:r>
            <w:r>
              <w:rPr>
                <w:b w:val="0"/>
                <w:i w:val="0"/>
                <w:sz w:val="19"/>
              </w:rPr>
              <w:t xml:space="preserve">ITIGATION OF </w:t>
            </w:r>
            <w:r>
              <w:rPr>
                <w:b w:val="0"/>
                <w:i w:val="0"/>
                <w:sz w:val="24"/>
              </w:rPr>
              <w:t xml:space="preserve">PM </w:t>
            </w:r>
            <w:r>
              <w:rPr>
                <w:b w:val="0"/>
                <w:i w:val="0"/>
                <w:sz w:val="19"/>
              </w:rPr>
              <w:t>PROBLEMS</w:t>
            </w:r>
            <w:r>
              <w:rPr>
                <w:b w:val="0"/>
                <w:i w:val="0"/>
                <w:spacing w:val="-22"/>
                <w:sz w:val="19"/>
              </w:rPr>
              <w:t xml:space="preserve"> </w:t>
            </w:r>
            <w:r>
              <w:rPr>
                <w:b w:val="0"/>
                <w:i w:val="0"/>
                <w:sz w:val="19"/>
              </w:rPr>
              <w:t>IN</w:t>
            </w:r>
            <w:r>
              <w:rPr>
                <w:b w:val="0"/>
                <w:i w:val="0"/>
                <w:spacing w:val="1"/>
                <w:sz w:val="19"/>
              </w:rPr>
              <w:t xml:space="preserve"> </w:t>
            </w:r>
            <w:r>
              <w:rPr>
                <w:b w:val="0"/>
                <w:i w:val="0"/>
                <w:sz w:val="24"/>
              </w:rPr>
              <w:t>ASD</w:t>
            </w:r>
            <w:r>
              <w:rPr>
                <w:b w:val="0"/>
                <w:i w:val="0"/>
                <w:sz w:val="24"/>
              </w:rPr>
              <w:tab/>
              <w:t>152</w:t>
            </w:r>
          </w:hyperlink>
        </w:p>
        <w:p w14:paraId="1BCE2EED" w14:textId="77777777" w:rsidR="00C75312" w:rsidRDefault="00BB293A">
          <w:pPr>
            <w:pStyle w:val="TOC4"/>
            <w:tabs>
              <w:tab w:val="left" w:leader="dot" w:pos="9474"/>
            </w:tabs>
            <w:rPr>
              <w:b w:val="0"/>
              <w:i w:val="0"/>
              <w:sz w:val="24"/>
            </w:rPr>
          </w:pPr>
          <w:hyperlink w:anchor="_TOC_250004" w:history="1">
            <w:r>
              <w:rPr>
                <w:b w:val="0"/>
                <w:i w:val="0"/>
                <w:sz w:val="24"/>
              </w:rPr>
              <w:t>E</w:t>
            </w:r>
            <w:r>
              <w:rPr>
                <w:b w:val="0"/>
                <w:i w:val="0"/>
                <w:sz w:val="19"/>
              </w:rPr>
              <w:t xml:space="preserve">COLOGICAL VALIDITY OF </w:t>
            </w:r>
            <w:r>
              <w:rPr>
                <w:b w:val="0"/>
                <w:i w:val="0"/>
                <w:sz w:val="24"/>
              </w:rPr>
              <w:t xml:space="preserve">PM </w:t>
            </w:r>
            <w:r>
              <w:rPr>
                <w:b w:val="0"/>
                <w:i w:val="0"/>
                <w:sz w:val="19"/>
              </w:rPr>
              <w:t>RESEARCH</w:t>
            </w:r>
            <w:r>
              <w:rPr>
                <w:b w:val="0"/>
                <w:i w:val="0"/>
                <w:spacing w:val="-25"/>
                <w:sz w:val="19"/>
              </w:rPr>
              <w:t xml:space="preserve"> </w:t>
            </w:r>
            <w:r>
              <w:rPr>
                <w:b w:val="0"/>
                <w:i w:val="0"/>
                <w:sz w:val="19"/>
              </w:rPr>
              <w:t xml:space="preserve">IN </w:t>
            </w:r>
            <w:r>
              <w:rPr>
                <w:b w:val="0"/>
                <w:i w:val="0"/>
                <w:sz w:val="24"/>
              </w:rPr>
              <w:t>ASD</w:t>
            </w:r>
            <w:r>
              <w:rPr>
                <w:b w:val="0"/>
                <w:i w:val="0"/>
                <w:sz w:val="24"/>
              </w:rPr>
              <w:tab/>
              <w:t>155</w:t>
            </w:r>
          </w:hyperlink>
        </w:p>
        <w:p w14:paraId="4FEAF0B8" w14:textId="77777777" w:rsidR="00C75312" w:rsidRDefault="00BB293A">
          <w:pPr>
            <w:pStyle w:val="TOC4"/>
            <w:tabs>
              <w:tab w:val="left" w:leader="dot" w:pos="9474"/>
            </w:tabs>
            <w:spacing w:before="136"/>
            <w:rPr>
              <w:b w:val="0"/>
              <w:i w:val="0"/>
              <w:sz w:val="24"/>
            </w:rPr>
          </w:pPr>
          <w:hyperlink w:anchor="_TOC_250003" w:history="1">
            <w:r>
              <w:rPr>
                <w:b w:val="0"/>
                <w:i w:val="0"/>
                <w:sz w:val="24"/>
              </w:rPr>
              <w:t>C</w:t>
            </w:r>
            <w:r>
              <w:rPr>
                <w:b w:val="0"/>
                <w:i w:val="0"/>
                <w:sz w:val="19"/>
              </w:rPr>
              <w:t xml:space="preserve">HALLENGES OF </w:t>
            </w:r>
            <w:r>
              <w:rPr>
                <w:b w:val="0"/>
                <w:i w:val="0"/>
                <w:sz w:val="24"/>
              </w:rPr>
              <w:t xml:space="preserve">PM </w:t>
            </w:r>
            <w:r>
              <w:rPr>
                <w:b w:val="0"/>
                <w:i w:val="0"/>
                <w:sz w:val="19"/>
              </w:rPr>
              <w:t>RESEARCH</w:t>
            </w:r>
            <w:r>
              <w:rPr>
                <w:b w:val="0"/>
                <w:i w:val="0"/>
                <w:spacing w:val="-18"/>
                <w:sz w:val="19"/>
              </w:rPr>
              <w:t xml:space="preserve"> </w:t>
            </w:r>
            <w:r>
              <w:rPr>
                <w:b w:val="0"/>
                <w:i w:val="0"/>
                <w:spacing w:val="-4"/>
                <w:sz w:val="19"/>
              </w:rPr>
              <w:t>IN</w:t>
            </w:r>
            <w:r>
              <w:rPr>
                <w:b w:val="0"/>
                <w:i w:val="0"/>
                <w:spacing w:val="1"/>
                <w:sz w:val="19"/>
              </w:rPr>
              <w:t xml:space="preserve"> </w:t>
            </w:r>
            <w:r>
              <w:rPr>
                <w:b w:val="0"/>
                <w:i w:val="0"/>
                <w:sz w:val="24"/>
              </w:rPr>
              <w:t>ASD</w:t>
            </w:r>
            <w:r>
              <w:rPr>
                <w:b w:val="0"/>
                <w:i w:val="0"/>
                <w:sz w:val="24"/>
              </w:rPr>
              <w:tab/>
              <w:t>162</w:t>
            </w:r>
          </w:hyperlink>
        </w:p>
        <w:p w14:paraId="0321ACA6" w14:textId="77777777" w:rsidR="00C75312" w:rsidRDefault="00BB293A">
          <w:pPr>
            <w:pStyle w:val="TOC3"/>
            <w:tabs>
              <w:tab w:val="left" w:leader="dot" w:pos="9474"/>
            </w:tabs>
            <w:spacing w:before="137"/>
            <w:rPr>
              <w:sz w:val="24"/>
            </w:rPr>
          </w:pPr>
          <w:hyperlink w:anchor="_TOC_250002" w:history="1">
            <w:r>
              <w:rPr>
                <w:sz w:val="24"/>
              </w:rPr>
              <w:t>F</w:t>
            </w:r>
            <w:r>
              <w:t>INAL REMARKS</w:t>
            </w:r>
            <w:r>
              <w:rPr>
                <w:spacing w:val="-8"/>
              </w:rPr>
              <w:t xml:space="preserve"> </w:t>
            </w:r>
            <w:r>
              <w:t>AND</w:t>
            </w:r>
            <w:r>
              <w:rPr>
                <w:spacing w:val="-4"/>
              </w:rPr>
              <w:t xml:space="preserve"> </w:t>
            </w:r>
            <w:r>
              <w:t>CONCLUSION</w:t>
            </w:r>
            <w:r>
              <w:tab/>
            </w:r>
            <w:r>
              <w:rPr>
                <w:sz w:val="24"/>
              </w:rPr>
              <w:t>164</w:t>
            </w:r>
          </w:hyperlink>
        </w:p>
        <w:p w14:paraId="3DE8FBB3" w14:textId="77777777" w:rsidR="00C75312" w:rsidRDefault="00BB293A">
          <w:pPr>
            <w:pStyle w:val="TOC1"/>
            <w:tabs>
              <w:tab w:val="left" w:leader="dot" w:pos="9474"/>
            </w:tabs>
            <w:spacing w:before="262"/>
          </w:pPr>
          <w:hyperlink w:anchor="_TOC_250001" w:history="1">
            <w:r>
              <w:t>APPENDICES</w:t>
            </w:r>
            <w:r>
              <w:tab/>
              <w:t>166</w:t>
            </w:r>
          </w:hyperlink>
        </w:p>
        <w:p w14:paraId="2E0CDFFE" w14:textId="77777777" w:rsidR="00C75312" w:rsidRDefault="00BB293A">
          <w:pPr>
            <w:pStyle w:val="TOC1"/>
            <w:tabs>
              <w:tab w:val="left" w:leader="dot" w:pos="9474"/>
            </w:tabs>
          </w:pPr>
          <w:hyperlink w:anchor="_TOC_250000" w:history="1">
            <w:r>
              <w:t>REFERENCES</w:t>
            </w:r>
            <w:r>
              <w:tab/>
              <w:t>176</w:t>
            </w:r>
          </w:hyperlink>
        </w:p>
      </w:sdtContent>
    </w:sdt>
    <w:p w14:paraId="3EF9D536" w14:textId="77777777" w:rsidR="00C75312" w:rsidRDefault="00C75312">
      <w:pPr>
        <w:sectPr w:rsidR="00C75312">
          <w:type w:val="continuous"/>
          <w:pgSz w:w="11900" w:h="16840"/>
          <w:pgMar w:top="1027" w:right="500" w:bottom="1518" w:left="620" w:header="720" w:footer="720" w:gutter="0"/>
          <w:cols w:space="720"/>
        </w:sectPr>
      </w:pPr>
    </w:p>
    <w:p w14:paraId="11754C77" w14:textId="77777777" w:rsidR="00C75312" w:rsidRDefault="00C75312">
      <w:pPr>
        <w:pStyle w:val="BodyText"/>
        <w:rPr>
          <w:b/>
          <w:sz w:val="26"/>
        </w:rPr>
      </w:pPr>
    </w:p>
    <w:p w14:paraId="5C032E85" w14:textId="77777777" w:rsidR="00C75312" w:rsidRDefault="00BB293A">
      <w:pPr>
        <w:pStyle w:val="Heading1"/>
        <w:spacing w:before="197"/>
        <w:ind w:left="820" w:right="941"/>
        <w:jc w:val="center"/>
      </w:pPr>
      <w:bookmarkStart w:id="2" w:name="_TOC_250031"/>
      <w:bookmarkEnd w:id="2"/>
      <w:r>
        <w:t>LIST OF FIGURES</w:t>
      </w:r>
    </w:p>
    <w:p w14:paraId="011C947D" w14:textId="77777777" w:rsidR="00C75312" w:rsidRDefault="00C75312">
      <w:pPr>
        <w:pStyle w:val="BodyText"/>
        <w:rPr>
          <w:b/>
          <w:sz w:val="26"/>
        </w:rPr>
      </w:pPr>
    </w:p>
    <w:p w14:paraId="40792FAA" w14:textId="77777777" w:rsidR="00C75312" w:rsidRDefault="00C75312">
      <w:pPr>
        <w:pStyle w:val="BodyText"/>
        <w:spacing w:before="2"/>
        <w:rPr>
          <w:b/>
          <w:sz w:val="22"/>
        </w:rPr>
      </w:pPr>
    </w:p>
    <w:p w14:paraId="042665B4" w14:textId="77777777" w:rsidR="00C75312" w:rsidRDefault="00BB293A">
      <w:pPr>
        <w:tabs>
          <w:tab w:val="left" w:leader="dot" w:pos="8774"/>
        </w:tabs>
        <w:ind w:right="123"/>
        <w:jc w:val="center"/>
        <w:rPr>
          <w:sz w:val="24"/>
        </w:rPr>
      </w:pPr>
      <w:r>
        <w:rPr>
          <w:sz w:val="24"/>
        </w:rPr>
        <w:t>F</w:t>
      </w:r>
      <w:r>
        <w:rPr>
          <w:sz w:val="19"/>
        </w:rPr>
        <w:t xml:space="preserve">IGURE </w:t>
      </w:r>
      <w:r>
        <w:rPr>
          <w:sz w:val="24"/>
        </w:rPr>
        <w:t>1 F</w:t>
      </w:r>
      <w:r>
        <w:rPr>
          <w:sz w:val="19"/>
        </w:rPr>
        <w:t>LOW</w:t>
      </w:r>
      <w:r>
        <w:rPr>
          <w:sz w:val="24"/>
        </w:rPr>
        <w:t>-</w:t>
      </w:r>
      <w:r>
        <w:rPr>
          <w:sz w:val="19"/>
        </w:rPr>
        <w:t>CHART DEPICTING LITERATURE</w:t>
      </w:r>
      <w:r>
        <w:rPr>
          <w:spacing w:val="-18"/>
          <w:sz w:val="19"/>
        </w:rPr>
        <w:t xml:space="preserve"> </w:t>
      </w:r>
      <w:r>
        <w:rPr>
          <w:spacing w:val="-3"/>
          <w:sz w:val="19"/>
        </w:rPr>
        <w:t>SEARCH</w:t>
      </w:r>
      <w:r>
        <w:rPr>
          <w:spacing w:val="1"/>
          <w:sz w:val="19"/>
        </w:rPr>
        <w:t xml:space="preserve"> </w:t>
      </w:r>
      <w:r>
        <w:rPr>
          <w:sz w:val="19"/>
        </w:rPr>
        <w:t>PROCESS</w:t>
      </w:r>
      <w:r>
        <w:rPr>
          <w:sz w:val="19"/>
        </w:rPr>
        <w:tab/>
      </w:r>
      <w:r>
        <w:rPr>
          <w:sz w:val="24"/>
        </w:rPr>
        <w:t>10</w:t>
      </w:r>
    </w:p>
    <w:p w14:paraId="50185A45" w14:textId="77777777" w:rsidR="00C75312" w:rsidRDefault="00BB293A">
      <w:pPr>
        <w:tabs>
          <w:tab w:val="left" w:leader="dot" w:pos="9594"/>
        </w:tabs>
        <w:spacing w:before="59" w:line="552" w:lineRule="exact"/>
        <w:ind w:left="1784" w:right="943" w:hanging="965"/>
        <w:rPr>
          <w:sz w:val="24"/>
        </w:rPr>
      </w:pPr>
      <w:r>
        <w:rPr>
          <w:sz w:val="24"/>
        </w:rPr>
        <w:t>F</w:t>
      </w:r>
      <w:r>
        <w:rPr>
          <w:sz w:val="19"/>
        </w:rPr>
        <w:t xml:space="preserve">IGURE </w:t>
      </w:r>
      <w:r>
        <w:rPr>
          <w:sz w:val="24"/>
        </w:rPr>
        <w:t>2 D</w:t>
      </w:r>
      <w:r>
        <w:rPr>
          <w:sz w:val="19"/>
        </w:rPr>
        <w:t xml:space="preserve">EPICTION OF THE MEAN AGE </w:t>
      </w:r>
      <w:r>
        <w:rPr>
          <w:sz w:val="24"/>
        </w:rPr>
        <w:t>(</w:t>
      </w:r>
      <w:r>
        <w:rPr>
          <w:sz w:val="19"/>
        </w:rPr>
        <w:t>BLACK DIAMOND MARKER</w:t>
      </w:r>
      <w:r>
        <w:rPr>
          <w:sz w:val="24"/>
        </w:rPr>
        <w:t xml:space="preserve">) </w:t>
      </w:r>
      <w:r>
        <w:rPr>
          <w:sz w:val="19"/>
        </w:rPr>
        <w:t xml:space="preserve">AND THE MINIMUM AND MAXIMUM AGE RANGE FOR </w:t>
      </w:r>
      <w:r>
        <w:rPr>
          <w:spacing w:val="-3"/>
          <w:sz w:val="19"/>
        </w:rPr>
        <w:t xml:space="preserve">EACH </w:t>
      </w:r>
      <w:r>
        <w:rPr>
          <w:sz w:val="19"/>
        </w:rPr>
        <w:t xml:space="preserve">EXPERIMENTAL GROUP </w:t>
      </w:r>
      <w:r>
        <w:rPr>
          <w:spacing w:val="-3"/>
          <w:sz w:val="19"/>
        </w:rPr>
        <w:t xml:space="preserve">FOR </w:t>
      </w:r>
      <w:r>
        <w:rPr>
          <w:sz w:val="19"/>
        </w:rPr>
        <w:t xml:space="preserve">ALL STUDIES INVESTIGATING PROSPECTIVE MEMORY IN </w:t>
      </w:r>
      <w:r>
        <w:rPr>
          <w:sz w:val="24"/>
        </w:rPr>
        <w:t>ASD (</w:t>
      </w:r>
      <w:r>
        <w:rPr>
          <w:sz w:val="19"/>
        </w:rPr>
        <w:t xml:space="preserve">WHITE BARS REPRESENT </w:t>
      </w:r>
      <w:r>
        <w:rPr>
          <w:spacing w:val="-3"/>
          <w:sz w:val="19"/>
        </w:rPr>
        <w:t>EVENT</w:t>
      </w:r>
      <w:r>
        <w:rPr>
          <w:spacing w:val="-3"/>
          <w:sz w:val="24"/>
        </w:rPr>
        <w:t xml:space="preserve">- </w:t>
      </w:r>
      <w:r>
        <w:rPr>
          <w:sz w:val="19"/>
        </w:rPr>
        <w:t xml:space="preserve">BASED </w:t>
      </w:r>
      <w:r>
        <w:rPr>
          <w:sz w:val="24"/>
        </w:rPr>
        <w:t xml:space="preserve">PM </w:t>
      </w:r>
      <w:r>
        <w:rPr>
          <w:sz w:val="19"/>
        </w:rPr>
        <w:t>ONLY STUDIES</w:t>
      </w:r>
      <w:r>
        <w:rPr>
          <w:sz w:val="24"/>
        </w:rPr>
        <w:t xml:space="preserve">, </w:t>
      </w:r>
      <w:r>
        <w:rPr>
          <w:sz w:val="19"/>
        </w:rPr>
        <w:t xml:space="preserve">DARK </w:t>
      </w:r>
      <w:r>
        <w:rPr>
          <w:spacing w:val="-3"/>
          <w:sz w:val="19"/>
        </w:rPr>
        <w:t xml:space="preserve">GREY </w:t>
      </w:r>
      <w:r>
        <w:rPr>
          <w:sz w:val="19"/>
        </w:rPr>
        <w:t>BARS REPRESENT TIME</w:t>
      </w:r>
      <w:r>
        <w:rPr>
          <w:sz w:val="24"/>
        </w:rPr>
        <w:t>-</w:t>
      </w:r>
      <w:r>
        <w:rPr>
          <w:sz w:val="19"/>
        </w:rPr>
        <w:t xml:space="preserve">BASED </w:t>
      </w:r>
      <w:r>
        <w:rPr>
          <w:sz w:val="24"/>
        </w:rPr>
        <w:t xml:space="preserve">PM </w:t>
      </w:r>
      <w:r>
        <w:rPr>
          <w:sz w:val="19"/>
        </w:rPr>
        <w:t>ONLY STUDIES</w:t>
      </w:r>
      <w:r>
        <w:rPr>
          <w:sz w:val="24"/>
        </w:rPr>
        <w:t xml:space="preserve">, </w:t>
      </w:r>
      <w:r>
        <w:rPr>
          <w:sz w:val="19"/>
        </w:rPr>
        <w:t xml:space="preserve">LIGHT </w:t>
      </w:r>
      <w:r>
        <w:rPr>
          <w:spacing w:val="-3"/>
          <w:sz w:val="19"/>
        </w:rPr>
        <w:t xml:space="preserve">GREY </w:t>
      </w:r>
      <w:r>
        <w:rPr>
          <w:sz w:val="19"/>
        </w:rPr>
        <w:t>BARS REPRESENT STUDIES THAT TESTED EVENT</w:t>
      </w:r>
      <w:r>
        <w:rPr>
          <w:sz w:val="24"/>
        </w:rPr>
        <w:t xml:space="preserve">- </w:t>
      </w:r>
      <w:r>
        <w:rPr>
          <w:sz w:val="19"/>
        </w:rPr>
        <w:t>AND TIME</w:t>
      </w:r>
      <w:r>
        <w:rPr>
          <w:sz w:val="24"/>
        </w:rPr>
        <w:t xml:space="preserve">- </w:t>
      </w:r>
      <w:r>
        <w:rPr>
          <w:sz w:val="19"/>
        </w:rPr>
        <w:t xml:space="preserve">BASED </w:t>
      </w:r>
      <w:r>
        <w:rPr>
          <w:sz w:val="24"/>
        </w:rPr>
        <w:t>PM). W</w:t>
      </w:r>
      <w:r>
        <w:rPr>
          <w:sz w:val="19"/>
        </w:rPr>
        <w:t xml:space="preserve">HERE POSSIBLE THE VERBAL </w:t>
      </w:r>
      <w:r>
        <w:rPr>
          <w:spacing w:val="-3"/>
          <w:sz w:val="19"/>
        </w:rPr>
        <w:t xml:space="preserve">MENTAL </w:t>
      </w:r>
      <w:r>
        <w:rPr>
          <w:sz w:val="19"/>
        </w:rPr>
        <w:t xml:space="preserve">AGE OF EACH GROUP WAS PLOTTED ONTO THE AGE DISTRIBUTION </w:t>
      </w:r>
      <w:r>
        <w:rPr>
          <w:sz w:val="24"/>
        </w:rPr>
        <w:t>(</w:t>
      </w:r>
      <w:r>
        <w:rPr>
          <w:sz w:val="19"/>
        </w:rPr>
        <w:t xml:space="preserve">MARKED WITH THE GREY </w:t>
      </w:r>
      <w:r>
        <w:rPr>
          <w:spacing w:val="-3"/>
          <w:sz w:val="19"/>
        </w:rPr>
        <w:t xml:space="preserve">CROSSED  </w:t>
      </w:r>
      <w:r>
        <w:rPr>
          <w:sz w:val="19"/>
        </w:rPr>
        <w:t>DIAMOND</w:t>
      </w:r>
      <w:r>
        <w:rPr>
          <w:sz w:val="24"/>
        </w:rPr>
        <w:t xml:space="preserve">) </w:t>
      </w:r>
      <w:r>
        <w:rPr>
          <w:sz w:val="19"/>
        </w:rPr>
        <w:t>TO ILLUSTRATE THE RELATION OF CHRO</w:t>
      </w:r>
      <w:r>
        <w:rPr>
          <w:sz w:val="19"/>
        </w:rPr>
        <w:t>NOLOGICAL VS</w:t>
      </w:r>
      <w:r>
        <w:rPr>
          <w:sz w:val="24"/>
        </w:rPr>
        <w:t xml:space="preserve">. </w:t>
      </w:r>
      <w:r>
        <w:rPr>
          <w:sz w:val="19"/>
        </w:rPr>
        <w:t xml:space="preserve">MENTAL AGE IN EACH </w:t>
      </w:r>
      <w:r>
        <w:rPr>
          <w:spacing w:val="-3"/>
          <w:sz w:val="19"/>
        </w:rPr>
        <w:t>STUDY</w:t>
      </w:r>
      <w:r>
        <w:rPr>
          <w:spacing w:val="-3"/>
          <w:sz w:val="24"/>
        </w:rPr>
        <w:t xml:space="preserve">. </w:t>
      </w:r>
      <w:r>
        <w:rPr>
          <w:sz w:val="24"/>
        </w:rPr>
        <w:t xml:space="preserve">* </w:t>
      </w:r>
      <w:r>
        <w:rPr>
          <w:spacing w:val="-3"/>
          <w:sz w:val="24"/>
        </w:rPr>
        <w:t>J</w:t>
      </w:r>
      <w:r>
        <w:rPr>
          <w:spacing w:val="-3"/>
          <w:sz w:val="19"/>
        </w:rPr>
        <w:t xml:space="preserve">ONES </w:t>
      </w:r>
      <w:r>
        <w:rPr>
          <w:sz w:val="19"/>
        </w:rPr>
        <w:t>ET AL</w:t>
      </w:r>
      <w:r>
        <w:rPr>
          <w:sz w:val="24"/>
        </w:rPr>
        <w:t xml:space="preserve">. (2011) </w:t>
      </w:r>
      <w:r>
        <w:rPr>
          <w:spacing w:val="-3"/>
          <w:sz w:val="19"/>
        </w:rPr>
        <w:t xml:space="preserve">DID </w:t>
      </w:r>
      <w:r>
        <w:rPr>
          <w:sz w:val="19"/>
        </w:rPr>
        <w:t>NOT STUDY EVENT</w:t>
      </w:r>
      <w:r>
        <w:rPr>
          <w:sz w:val="24"/>
        </w:rPr>
        <w:t>-</w:t>
      </w:r>
      <w:r>
        <w:rPr>
          <w:sz w:val="19"/>
        </w:rPr>
        <w:t xml:space="preserve">BASED </w:t>
      </w:r>
      <w:r>
        <w:rPr>
          <w:sz w:val="24"/>
        </w:rPr>
        <w:t xml:space="preserve">PM </w:t>
      </w:r>
      <w:r>
        <w:rPr>
          <w:sz w:val="19"/>
        </w:rPr>
        <w:t xml:space="preserve">PER SE </w:t>
      </w:r>
      <w:r>
        <w:rPr>
          <w:spacing w:val="-3"/>
          <w:sz w:val="19"/>
        </w:rPr>
        <w:t xml:space="preserve">BUT </w:t>
      </w:r>
      <w:r>
        <w:rPr>
          <w:sz w:val="19"/>
        </w:rPr>
        <w:t>INVESTIGATED EVERYDAY MEMORY</w:t>
      </w:r>
      <w:r>
        <w:rPr>
          <w:spacing w:val="-10"/>
          <w:sz w:val="19"/>
        </w:rPr>
        <w:t xml:space="preserve"> </w:t>
      </w:r>
      <w:r>
        <w:rPr>
          <w:sz w:val="19"/>
        </w:rPr>
        <w:t xml:space="preserve">IN </w:t>
      </w:r>
      <w:r>
        <w:rPr>
          <w:sz w:val="24"/>
        </w:rPr>
        <w:t>ASD</w:t>
      </w:r>
      <w:r>
        <w:rPr>
          <w:sz w:val="24"/>
        </w:rPr>
        <w:tab/>
      </w:r>
      <w:r>
        <w:rPr>
          <w:spacing w:val="-9"/>
          <w:sz w:val="24"/>
        </w:rPr>
        <w:t>14</w:t>
      </w:r>
    </w:p>
    <w:p w14:paraId="514BE587" w14:textId="77777777" w:rsidR="00C75312" w:rsidRDefault="00BB293A">
      <w:pPr>
        <w:tabs>
          <w:tab w:val="left" w:leader="dot" w:pos="9594"/>
        </w:tabs>
        <w:spacing w:before="217" w:line="480" w:lineRule="auto"/>
        <w:ind w:left="1784" w:right="943" w:hanging="965"/>
        <w:rPr>
          <w:sz w:val="24"/>
        </w:rPr>
      </w:pPr>
      <w:r>
        <w:rPr>
          <w:sz w:val="24"/>
        </w:rPr>
        <w:t>F</w:t>
      </w:r>
      <w:r>
        <w:rPr>
          <w:sz w:val="19"/>
        </w:rPr>
        <w:t xml:space="preserve">IGURE </w:t>
      </w:r>
      <w:r>
        <w:rPr>
          <w:sz w:val="24"/>
        </w:rPr>
        <w:t>3 F</w:t>
      </w:r>
      <w:r>
        <w:rPr>
          <w:sz w:val="19"/>
        </w:rPr>
        <w:t xml:space="preserve">OREST </w:t>
      </w:r>
      <w:r>
        <w:rPr>
          <w:spacing w:val="-4"/>
          <w:sz w:val="19"/>
        </w:rPr>
        <w:t xml:space="preserve">PLOT </w:t>
      </w:r>
      <w:r>
        <w:rPr>
          <w:spacing w:val="-3"/>
          <w:sz w:val="19"/>
        </w:rPr>
        <w:t xml:space="preserve">FOR EFFECT </w:t>
      </w:r>
      <w:r>
        <w:rPr>
          <w:sz w:val="19"/>
        </w:rPr>
        <w:t xml:space="preserve">SIZES AND </w:t>
      </w:r>
      <w:r>
        <w:rPr>
          <w:sz w:val="24"/>
        </w:rPr>
        <w:t xml:space="preserve">95% </w:t>
      </w:r>
      <w:r>
        <w:rPr>
          <w:sz w:val="19"/>
        </w:rPr>
        <w:t xml:space="preserve">CONFIDENCE INTERVAL </w:t>
      </w:r>
      <w:r>
        <w:rPr>
          <w:spacing w:val="-3"/>
          <w:sz w:val="19"/>
        </w:rPr>
        <w:t xml:space="preserve">FOR </w:t>
      </w:r>
      <w:r>
        <w:rPr>
          <w:sz w:val="19"/>
        </w:rPr>
        <w:t>TIME</w:t>
      </w:r>
      <w:r>
        <w:rPr>
          <w:sz w:val="24"/>
        </w:rPr>
        <w:t>-</w:t>
      </w:r>
      <w:r>
        <w:rPr>
          <w:sz w:val="19"/>
        </w:rPr>
        <w:t xml:space="preserve">BASED </w:t>
      </w:r>
      <w:r>
        <w:rPr>
          <w:sz w:val="24"/>
        </w:rPr>
        <w:t xml:space="preserve">PM </w:t>
      </w:r>
      <w:r>
        <w:rPr>
          <w:sz w:val="19"/>
        </w:rPr>
        <w:t xml:space="preserve">STUDIES AS WELL AS THE MEAN WEIGHTED EFFECT AND ITS </w:t>
      </w:r>
      <w:r>
        <w:rPr>
          <w:sz w:val="24"/>
        </w:rPr>
        <w:t xml:space="preserve">95% </w:t>
      </w:r>
      <w:r>
        <w:rPr>
          <w:sz w:val="19"/>
        </w:rPr>
        <w:t xml:space="preserve">CONFIDENCE INTERVAL </w:t>
      </w:r>
      <w:r>
        <w:rPr>
          <w:sz w:val="24"/>
        </w:rPr>
        <w:t>(</w:t>
      </w:r>
      <w:r>
        <w:rPr>
          <w:sz w:val="19"/>
        </w:rPr>
        <w:t>DARK GREY CIRCLE MARKER</w:t>
      </w:r>
      <w:r>
        <w:rPr>
          <w:sz w:val="24"/>
        </w:rPr>
        <w:t>). N</w:t>
      </w:r>
      <w:r>
        <w:rPr>
          <w:sz w:val="19"/>
        </w:rPr>
        <w:t>OTES</w:t>
      </w:r>
      <w:r>
        <w:rPr>
          <w:sz w:val="24"/>
        </w:rPr>
        <w:t>: T</w:t>
      </w:r>
      <w:r>
        <w:rPr>
          <w:sz w:val="19"/>
        </w:rPr>
        <w:t xml:space="preserve">HE VERTICAL GREY LINE MARKS THE WEIGHTED MEAN </w:t>
      </w:r>
      <w:r>
        <w:rPr>
          <w:spacing w:val="-3"/>
          <w:sz w:val="19"/>
        </w:rPr>
        <w:t xml:space="preserve">EFFECT </w:t>
      </w:r>
      <w:r>
        <w:rPr>
          <w:sz w:val="19"/>
        </w:rPr>
        <w:t xml:space="preserve">OF THE </w:t>
      </w:r>
      <w:r>
        <w:rPr>
          <w:spacing w:val="-3"/>
          <w:sz w:val="19"/>
        </w:rPr>
        <w:t>FIXED</w:t>
      </w:r>
      <w:r>
        <w:rPr>
          <w:spacing w:val="-3"/>
          <w:sz w:val="24"/>
        </w:rPr>
        <w:t>-</w:t>
      </w:r>
      <w:r>
        <w:rPr>
          <w:spacing w:val="-3"/>
          <w:sz w:val="19"/>
        </w:rPr>
        <w:t xml:space="preserve">EFFECTS </w:t>
      </w:r>
      <w:r>
        <w:rPr>
          <w:sz w:val="19"/>
        </w:rPr>
        <w:t>MODEL</w:t>
      </w:r>
      <w:r>
        <w:rPr>
          <w:sz w:val="24"/>
        </w:rPr>
        <w:t>. S</w:t>
      </w:r>
      <w:r>
        <w:rPr>
          <w:sz w:val="19"/>
        </w:rPr>
        <w:t xml:space="preserve">TUDIES MARKED WITH AN </w:t>
      </w:r>
      <w:r>
        <w:rPr>
          <w:sz w:val="24"/>
        </w:rPr>
        <w:t xml:space="preserve">* </w:t>
      </w:r>
      <w:r>
        <w:rPr>
          <w:sz w:val="19"/>
        </w:rPr>
        <w:t xml:space="preserve">WERE </w:t>
      </w:r>
      <w:r>
        <w:rPr>
          <w:spacing w:val="-4"/>
          <w:sz w:val="19"/>
        </w:rPr>
        <w:t xml:space="preserve">NOT </w:t>
      </w:r>
      <w:r>
        <w:rPr>
          <w:sz w:val="19"/>
        </w:rPr>
        <w:t>INCLUDED IN THE META</w:t>
      </w:r>
      <w:r>
        <w:rPr>
          <w:sz w:val="24"/>
        </w:rPr>
        <w:t>-</w:t>
      </w:r>
      <w:r>
        <w:rPr>
          <w:sz w:val="19"/>
        </w:rPr>
        <w:t xml:space="preserve">ANALYSIS BUT ARE INCLUDED </w:t>
      </w:r>
      <w:r>
        <w:rPr>
          <w:spacing w:val="-3"/>
          <w:sz w:val="19"/>
        </w:rPr>
        <w:t xml:space="preserve">FOR </w:t>
      </w:r>
      <w:r>
        <w:rPr>
          <w:sz w:val="19"/>
        </w:rPr>
        <w:t>ILLUSTRATIVE</w:t>
      </w:r>
      <w:r>
        <w:rPr>
          <w:spacing w:val="-4"/>
          <w:sz w:val="19"/>
        </w:rPr>
        <w:t xml:space="preserve"> </w:t>
      </w:r>
      <w:r>
        <w:rPr>
          <w:sz w:val="19"/>
        </w:rPr>
        <w:t>PURPOSES</w:t>
      </w:r>
      <w:r>
        <w:rPr>
          <w:sz w:val="19"/>
        </w:rPr>
        <w:tab/>
      </w:r>
      <w:r>
        <w:rPr>
          <w:spacing w:val="-9"/>
          <w:sz w:val="24"/>
        </w:rPr>
        <w:t>17</w:t>
      </w:r>
    </w:p>
    <w:p w14:paraId="67B14B6D" w14:textId="77777777" w:rsidR="00C75312" w:rsidRDefault="00BB293A">
      <w:pPr>
        <w:tabs>
          <w:tab w:val="left" w:leader="dot" w:pos="9594"/>
        </w:tabs>
        <w:spacing w:line="480" w:lineRule="auto"/>
        <w:ind w:left="1784" w:right="934" w:hanging="965"/>
        <w:rPr>
          <w:sz w:val="24"/>
        </w:rPr>
      </w:pPr>
      <w:r>
        <w:rPr>
          <w:sz w:val="24"/>
        </w:rPr>
        <w:t>F</w:t>
      </w:r>
      <w:r>
        <w:rPr>
          <w:sz w:val="19"/>
        </w:rPr>
        <w:t xml:space="preserve">IGURE </w:t>
      </w:r>
      <w:r>
        <w:rPr>
          <w:sz w:val="24"/>
        </w:rPr>
        <w:t>4 F</w:t>
      </w:r>
      <w:r>
        <w:rPr>
          <w:sz w:val="19"/>
        </w:rPr>
        <w:t xml:space="preserve">OREST </w:t>
      </w:r>
      <w:r>
        <w:rPr>
          <w:spacing w:val="-4"/>
          <w:sz w:val="19"/>
        </w:rPr>
        <w:t xml:space="preserve">PLOT </w:t>
      </w:r>
      <w:r>
        <w:rPr>
          <w:spacing w:val="-3"/>
          <w:sz w:val="19"/>
        </w:rPr>
        <w:t xml:space="preserve">FOR EFFECT </w:t>
      </w:r>
      <w:r>
        <w:rPr>
          <w:sz w:val="19"/>
        </w:rPr>
        <w:t xml:space="preserve">SIZES AND </w:t>
      </w:r>
      <w:r>
        <w:rPr>
          <w:sz w:val="24"/>
        </w:rPr>
        <w:t xml:space="preserve">95% </w:t>
      </w:r>
      <w:r>
        <w:rPr>
          <w:sz w:val="19"/>
        </w:rPr>
        <w:t xml:space="preserve">CONFIDENCE INTERVAL </w:t>
      </w:r>
      <w:r>
        <w:rPr>
          <w:spacing w:val="-3"/>
          <w:sz w:val="19"/>
        </w:rPr>
        <w:t xml:space="preserve">FOR </w:t>
      </w:r>
      <w:r>
        <w:rPr>
          <w:sz w:val="19"/>
        </w:rPr>
        <w:t>EVENT</w:t>
      </w:r>
      <w:r>
        <w:rPr>
          <w:sz w:val="24"/>
        </w:rPr>
        <w:t>-</w:t>
      </w:r>
      <w:r>
        <w:rPr>
          <w:sz w:val="19"/>
        </w:rPr>
        <w:t xml:space="preserve">BASED </w:t>
      </w:r>
      <w:r>
        <w:rPr>
          <w:sz w:val="24"/>
        </w:rPr>
        <w:t xml:space="preserve">PM </w:t>
      </w:r>
      <w:r>
        <w:rPr>
          <w:sz w:val="19"/>
        </w:rPr>
        <w:t xml:space="preserve">STUDIES AS WELL AS THE MEAN WEIGHTED EFFECT AND ITS </w:t>
      </w:r>
      <w:r>
        <w:rPr>
          <w:sz w:val="24"/>
        </w:rPr>
        <w:t xml:space="preserve">95% </w:t>
      </w:r>
      <w:r>
        <w:rPr>
          <w:sz w:val="19"/>
        </w:rPr>
        <w:t>CONFIDENCE INTERVAL FOR BOTH FIXED</w:t>
      </w:r>
      <w:r>
        <w:rPr>
          <w:sz w:val="24"/>
        </w:rPr>
        <w:t xml:space="preserve">- </w:t>
      </w:r>
      <w:r>
        <w:rPr>
          <w:sz w:val="19"/>
        </w:rPr>
        <w:t>AND RANDOM</w:t>
      </w:r>
      <w:r>
        <w:rPr>
          <w:sz w:val="24"/>
        </w:rPr>
        <w:t>-</w:t>
      </w:r>
      <w:r>
        <w:rPr>
          <w:sz w:val="19"/>
        </w:rPr>
        <w:t xml:space="preserve">EFFECTS MODELS </w:t>
      </w:r>
      <w:r>
        <w:rPr>
          <w:sz w:val="24"/>
        </w:rPr>
        <w:t>(</w:t>
      </w:r>
      <w:r>
        <w:rPr>
          <w:sz w:val="19"/>
        </w:rPr>
        <w:t>DARK GREY</w:t>
      </w:r>
      <w:r>
        <w:rPr>
          <w:sz w:val="24"/>
        </w:rPr>
        <w:t xml:space="preserve">, </w:t>
      </w:r>
      <w:r>
        <w:rPr>
          <w:sz w:val="19"/>
        </w:rPr>
        <w:t>CIRCLE MARKER</w:t>
      </w:r>
      <w:r>
        <w:rPr>
          <w:sz w:val="24"/>
        </w:rPr>
        <w:t>).  N</w:t>
      </w:r>
      <w:r>
        <w:rPr>
          <w:sz w:val="19"/>
        </w:rPr>
        <w:t>OTES</w:t>
      </w:r>
      <w:r>
        <w:rPr>
          <w:sz w:val="24"/>
        </w:rPr>
        <w:t>: T</w:t>
      </w:r>
      <w:r>
        <w:rPr>
          <w:sz w:val="19"/>
        </w:rPr>
        <w:t xml:space="preserve">HE VERTICAL GREY LINE </w:t>
      </w:r>
      <w:r>
        <w:rPr>
          <w:spacing w:val="-3"/>
          <w:sz w:val="19"/>
        </w:rPr>
        <w:t xml:space="preserve">MARKS </w:t>
      </w:r>
      <w:r>
        <w:rPr>
          <w:sz w:val="19"/>
        </w:rPr>
        <w:t xml:space="preserve">THE MEAN WEIGHTED </w:t>
      </w:r>
      <w:r>
        <w:rPr>
          <w:spacing w:val="-3"/>
          <w:sz w:val="19"/>
        </w:rPr>
        <w:t xml:space="preserve">EFFECT  </w:t>
      </w:r>
      <w:r>
        <w:rPr>
          <w:sz w:val="19"/>
        </w:rPr>
        <w:t>OF THE RANDOM</w:t>
      </w:r>
      <w:r>
        <w:rPr>
          <w:sz w:val="24"/>
        </w:rPr>
        <w:t>-</w:t>
      </w:r>
      <w:r>
        <w:rPr>
          <w:sz w:val="19"/>
        </w:rPr>
        <w:t>EFFECTS MODEL</w:t>
      </w:r>
      <w:r>
        <w:rPr>
          <w:sz w:val="24"/>
        </w:rPr>
        <w:t>. S</w:t>
      </w:r>
      <w:r>
        <w:rPr>
          <w:sz w:val="19"/>
        </w:rPr>
        <w:t xml:space="preserve">TUDIES MARKED WITH AN </w:t>
      </w:r>
      <w:r>
        <w:rPr>
          <w:sz w:val="24"/>
        </w:rPr>
        <w:t xml:space="preserve">* </w:t>
      </w:r>
      <w:r>
        <w:rPr>
          <w:sz w:val="19"/>
        </w:rPr>
        <w:t xml:space="preserve">WERE NOT </w:t>
      </w:r>
      <w:r>
        <w:rPr>
          <w:spacing w:val="-3"/>
          <w:sz w:val="19"/>
        </w:rPr>
        <w:t xml:space="preserve">INCLUDED </w:t>
      </w:r>
      <w:r>
        <w:rPr>
          <w:sz w:val="19"/>
        </w:rPr>
        <w:t>IN THE META</w:t>
      </w:r>
      <w:r>
        <w:rPr>
          <w:sz w:val="24"/>
        </w:rPr>
        <w:t>-</w:t>
      </w:r>
      <w:r>
        <w:rPr>
          <w:sz w:val="19"/>
        </w:rPr>
        <w:t xml:space="preserve">ANALYSIS BUT ARE </w:t>
      </w:r>
      <w:r>
        <w:rPr>
          <w:spacing w:val="-3"/>
          <w:sz w:val="19"/>
        </w:rPr>
        <w:t>INCLUDED FOR</w:t>
      </w:r>
      <w:r>
        <w:rPr>
          <w:spacing w:val="5"/>
          <w:sz w:val="19"/>
        </w:rPr>
        <w:t xml:space="preserve"> </w:t>
      </w:r>
      <w:r>
        <w:rPr>
          <w:sz w:val="19"/>
        </w:rPr>
        <w:t>ILLUSTRATIVE PURPOSES</w:t>
      </w:r>
      <w:r>
        <w:rPr>
          <w:sz w:val="19"/>
        </w:rPr>
        <w:tab/>
      </w:r>
      <w:r>
        <w:rPr>
          <w:sz w:val="24"/>
        </w:rPr>
        <w:t>18</w:t>
      </w:r>
    </w:p>
    <w:p w14:paraId="17A77735" w14:textId="77777777" w:rsidR="00C75312" w:rsidRDefault="00C75312">
      <w:pPr>
        <w:spacing w:line="480" w:lineRule="auto"/>
        <w:rPr>
          <w:sz w:val="24"/>
        </w:rPr>
        <w:sectPr w:rsidR="00C75312">
          <w:headerReference w:type="default" r:id="rId13"/>
          <w:pgSz w:w="11900" w:h="16840"/>
          <w:pgMar w:top="1020" w:right="500" w:bottom="280" w:left="620" w:header="715" w:footer="0" w:gutter="0"/>
          <w:pgNumType w:start="8"/>
          <w:cols w:space="720"/>
        </w:sectPr>
      </w:pPr>
    </w:p>
    <w:p w14:paraId="0E94E13B" w14:textId="77777777" w:rsidR="00C75312" w:rsidRDefault="00C75312">
      <w:pPr>
        <w:pStyle w:val="BodyText"/>
        <w:spacing w:before="2"/>
        <w:rPr>
          <w:sz w:val="28"/>
        </w:rPr>
      </w:pPr>
    </w:p>
    <w:p w14:paraId="00915806" w14:textId="77777777" w:rsidR="00C75312" w:rsidRDefault="00BB293A">
      <w:pPr>
        <w:spacing w:before="90"/>
        <w:ind w:left="820"/>
        <w:rPr>
          <w:sz w:val="24"/>
        </w:rPr>
      </w:pPr>
      <w:r>
        <w:rPr>
          <w:sz w:val="24"/>
        </w:rPr>
        <w:t>F</w:t>
      </w:r>
      <w:r>
        <w:rPr>
          <w:sz w:val="19"/>
        </w:rPr>
        <w:t xml:space="preserve">IGURE </w:t>
      </w:r>
      <w:r>
        <w:rPr>
          <w:sz w:val="24"/>
        </w:rPr>
        <w:t>5. D</w:t>
      </w:r>
      <w:r>
        <w:rPr>
          <w:sz w:val="19"/>
        </w:rPr>
        <w:t>EPICTION OF POSSIBLE TRIALS AND OUTCOMES A</w:t>
      </w:r>
      <w:r>
        <w:rPr>
          <w:sz w:val="24"/>
        </w:rPr>
        <w:t xml:space="preserve">) </w:t>
      </w:r>
      <w:r>
        <w:rPr>
          <w:sz w:val="19"/>
        </w:rPr>
        <w:t xml:space="preserve">DURING THE FOCAL </w:t>
      </w:r>
      <w:r>
        <w:rPr>
          <w:sz w:val="24"/>
        </w:rPr>
        <w:t>PM</w:t>
      </w:r>
    </w:p>
    <w:p w14:paraId="62EA8B82" w14:textId="77777777" w:rsidR="00C75312" w:rsidRDefault="00BB293A">
      <w:pPr>
        <w:tabs>
          <w:tab w:val="left" w:leader="dot" w:pos="9594"/>
        </w:tabs>
        <w:spacing w:before="276"/>
        <w:ind w:left="1784"/>
        <w:rPr>
          <w:sz w:val="24"/>
        </w:rPr>
      </w:pPr>
      <w:r>
        <w:rPr>
          <w:sz w:val="19"/>
        </w:rPr>
        <w:t>CONDITION AND B</w:t>
      </w:r>
      <w:r>
        <w:rPr>
          <w:sz w:val="24"/>
        </w:rPr>
        <w:t xml:space="preserve">) </w:t>
      </w:r>
      <w:r>
        <w:rPr>
          <w:sz w:val="19"/>
        </w:rPr>
        <w:t>DURING THE NONFOCAL</w:t>
      </w:r>
      <w:r>
        <w:rPr>
          <w:spacing w:val="-30"/>
          <w:sz w:val="19"/>
        </w:rPr>
        <w:t xml:space="preserve"> </w:t>
      </w:r>
      <w:r>
        <w:rPr>
          <w:sz w:val="24"/>
        </w:rPr>
        <w:t>PM</w:t>
      </w:r>
      <w:r>
        <w:rPr>
          <w:spacing w:val="-16"/>
          <w:sz w:val="24"/>
        </w:rPr>
        <w:t xml:space="preserve"> </w:t>
      </w:r>
      <w:r>
        <w:rPr>
          <w:sz w:val="19"/>
        </w:rPr>
        <w:t>CONDITION</w:t>
      </w:r>
      <w:r>
        <w:rPr>
          <w:sz w:val="19"/>
        </w:rPr>
        <w:tab/>
      </w:r>
      <w:r>
        <w:rPr>
          <w:sz w:val="24"/>
        </w:rPr>
        <w:t>56</w:t>
      </w:r>
    </w:p>
    <w:p w14:paraId="5AF6F64F" w14:textId="77777777" w:rsidR="00C75312" w:rsidRDefault="00BB293A">
      <w:pPr>
        <w:tabs>
          <w:tab w:val="left" w:leader="dot" w:pos="9594"/>
        </w:tabs>
        <w:spacing w:before="276" w:line="480" w:lineRule="auto"/>
        <w:ind w:left="1784" w:right="943" w:hanging="965"/>
        <w:rPr>
          <w:sz w:val="24"/>
        </w:rPr>
      </w:pPr>
      <w:r>
        <w:rPr>
          <w:sz w:val="24"/>
        </w:rPr>
        <w:t>F</w:t>
      </w:r>
      <w:r>
        <w:rPr>
          <w:sz w:val="19"/>
        </w:rPr>
        <w:t xml:space="preserve">IGURE </w:t>
      </w:r>
      <w:r>
        <w:rPr>
          <w:sz w:val="24"/>
        </w:rPr>
        <w:t>6. I</w:t>
      </w:r>
      <w:r>
        <w:rPr>
          <w:sz w:val="19"/>
        </w:rPr>
        <w:t xml:space="preserve">LLUSTRATION OF THE STRUCTURE OF AN ONGOING TRIAL </w:t>
      </w:r>
      <w:r>
        <w:rPr>
          <w:spacing w:val="-3"/>
          <w:sz w:val="19"/>
        </w:rPr>
        <w:t xml:space="preserve">FOR </w:t>
      </w:r>
      <w:r>
        <w:rPr>
          <w:sz w:val="19"/>
        </w:rPr>
        <w:t>A</w:t>
      </w:r>
      <w:r>
        <w:rPr>
          <w:sz w:val="24"/>
        </w:rPr>
        <w:t xml:space="preserve">) </w:t>
      </w:r>
      <w:r>
        <w:rPr>
          <w:sz w:val="19"/>
        </w:rPr>
        <w:t>THE VERBAL WORKING</w:t>
      </w:r>
      <w:r>
        <w:rPr>
          <w:spacing w:val="-8"/>
          <w:sz w:val="19"/>
        </w:rPr>
        <w:t xml:space="preserve"> </w:t>
      </w:r>
      <w:r>
        <w:rPr>
          <w:sz w:val="19"/>
        </w:rPr>
        <w:t>MEMORY</w:t>
      </w:r>
      <w:r>
        <w:rPr>
          <w:spacing w:val="-3"/>
          <w:sz w:val="19"/>
        </w:rPr>
        <w:t xml:space="preserve"> </w:t>
      </w:r>
      <w:r>
        <w:rPr>
          <w:sz w:val="19"/>
        </w:rPr>
        <w:t>TASK</w:t>
      </w:r>
      <w:r>
        <w:rPr>
          <w:sz w:val="24"/>
        </w:rPr>
        <w:t>,</w:t>
      </w:r>
      <w:r>
        <w:rPr>
          <w:spacing w:val="-14"/>
          <w:sz w:val="24"/>
        </w:rPr>
        <w:t xml:space="preserve"> </w:t>
      </w:r>
      <w:r>
        <w:rPr>
          <w:sz w:val="19"/>
        </w:rPr>
        <w:t>AND</w:t>
      </w:r>
      <w:r>
        <w:rPr>
          <w:spacing w:val="-2"/>
          <w:sz w:val="19"/>
        </w:rPr>
        <w:t xml:space="preserve"> </w:t>
      </w:r>
      <w:r>
        <w:rPr>
          <w:sz w:val="19"/>
        </w:rPr>
        <w:t>B</w:t>
      </w:r>
      <w:r>
        <w:rPr>
          <w:sz w:val="24"/>
        </w:rPr>
        <w:t>)</w:t>
      </w:r>
      <w:r>
        <w:rPr>
          <w:spacing w:val="-15"/>
          <w:sz w:val="24"/>
        </w:rPr>
        <w:t xml:space="preserve"> </w:t>
      </w:r>
      <w:r>
        <w:rPr>
          <w:sz w:val="19"/>
        </w:rPr>
        <w:t>THE</w:t>
      </w:r>
      <w:r>
        <w:rPr>
          <w:spacing w:val="-1"/>
          <w:sz w:val="19"/>
        </w:rPr>
        <w:t xml:space="preserve"> </w:t>
      </w:r>
      <w:r>
        <w:rPr>
          <w:sz w:val="19"/>
        </w:rPr>
        <w:t>VISUOSPATIAL WORKING</w:t>
      </w:r>
      <w:r>
        <w:rPr>
          <w:spacing w:val="-8"/>
          <w:sz w:val="19"/>
        </w:rPr>
        <w:t xml:space="preserve"> </w:t>
      </w:r>
      <w:r>
        <w:rPr>
          <w:sz w:val="19"/>
        </w:rPr>
        <w:t>MEMORY</w:t>
      </w:r>
      <w:r>
        <w:rPr>
          <w:spacing w:val="-3"/>
          <w:sz w:val="19"/>
        </w:rPr>
        <w:t xml:space="preserve"> </w:t>
      </w:r>
      <w:r>
        <w:rPr>
          <w:sz w:val="19"/>
        </w:rPr>
        <w:t>TASK</w:t>
      </w:r>
      <w:r>
        <w:rPr>
          <w:sz w:val="19"/>
        </w:rPr>
        <w:tab/>
      </w:r>
      <w:r>
        <w:rPr>
          <w:spacing w:val="-9"/>
          <w:sz w:val="24"/>
        </w:rPr>
        <w:t>77</w:t>
      </w:r>
    </w:p>
    <w:p w14:paraId="4F541236" w14:textId="77777777" w:rsidR="00C75312" w:rsidRDefault="00BB293A">
      <w:pPr>
        <w:tabs>
          <w:tab w:val="left" w:leader="dot" w:pos="9474"/>
        </w:tabs>
        <w:ind w:left="820"/>
        <w:rPr>
          <w:sz w:val="24"/>
        </w:rPr>
      </w:pPr>
      <w:r>
        <w:rPr>
          <w:sz w:val="24"/>
        </w:rPr>
        <w:t>F</w:t>
      </w:r>
      <w:r>
        <w:rPr>
          <w:sz w:val="19"/>
        </w:rPr>
        <w:t xml:space="preserve">IGURE </w:t>
      </w:r>
      <w:r>
        <w:rPr>
          <w:sz w:val="24"/>
        </w:rPr>
        <w:t>7. S</w:t>
      </w:r>
      <w:r>
        <w:rPr>
          <w:sz w:val="19"/>
        </w:rPr>
        <w:t xml:space="preserve">CHEMATIC DEPICTION OF THE TRIAL </w:t>
      </w:r>
      <w:r>
        <w:rPr>
          <w:spacing w:val="-3"/>
          <w:sz w:val="19"/>
        </w:rPr>
        <w:t xml:space="preserve">STRUCTURE </w:t>
      </w:r>
      <w:r>
        <w:rPr>
          <w:sz w:val="19"/>
        </w:rPr>
        <w:t>OF THE</w:t>
      </w:r>
      <w:r>
        <w:rPr>
          <w:spacing w:val="-13"/>
          <w:sz w:val="19"/>
        </w:rPr>
        <w:t xml:space="preserve"> </w:t>
      </w:r>
      <w:r>
        <w:rPr>
          <w:sz w:val="19"/>
        </w:rPr>
        <w:t>ONGOING</w:t>
      </w:r>
      <w:r>
        <w:rPr>
          <w:spacing w:val="-8"/>
          <w:sz w:val="19"/>
        </w:rPr>
        <w:t xml:space="preserve"> </w:t>
      </w:r>
      <w:r>
        <w:rPr>
          <w:sz w:val="19"/>
        </w:rPr>
        <w:t>TASK</w:t>
      </w:r>
      <w:r>
        <w:rPr>
          <w:sz w:val="19"/>
        </w:rPr>
        <w:tab/>
      </w:r>
      <w:r>
        <w:rPr>
          <w:sz w:val="24"/>
        </w:rPr>
        <w:t>103</w:t>
      </w:r>
    </w:p>
    <w:p w14:paraId="674B6F77" w14:textId="77777777" w:rsidR="00C75312" w:rsidRDefault="00BB293A">
      <w:pPr>
        <w:spacing w:before="276"/>
        <w:ind w:left="820"/>
        <w:rPr>
          <w:sz w:val="24"/>
        </w:rPr>
      </w:pPr>
      <w:r>
        <w:rPr>
          <w:sz w:val="24"/>
        </w:rPr>
        <w:t>F</w:t>
      </w:r>
      <w:r>
        <w:rPr>
          <w:sz w:val="19"/>
        </w:rPr>
        <w:t xml:space="preserve">IGURE </w:t>
      </w:r>
      <w:r>
        <w:rPr>
          <w:sz w:val="24"/>
        </w:rPr>
        <w:t>8. O</w:t>
      </w:r>
      <w:r>
        <w:rPr>
          <w:sz w:val="19"/>
        </w:rPr>
        <w:t xml:space="preserve">VERVIEW AND EXAMPLE TIMELINE ON HOW A </w:t>
      </w:r>
      <w:r>
        <w:rPr>
          <w:sz w:val="24"/>
        </w:rPr>
        <w:t xml:space="preserve">PM </w:t>
      </w:r>
      <w:r>
        <w:rPr>
          <w:sz w:val="19"/>
        </w:rPr>
        <w:t xml:space="preserve">HIT WAS SCORED AND HOW </w:t>
      </w:r>
      <w:r>
        <w:rPr>
          <w:sz w:val="24"/>
        </w:rPr>
        <w:t>PM</w:t>
      </w:r>
    </w:p>
    <w:p w14:paraId="54001DDE" w14:textId="77777777" w:rsidR="00C75312" w:rsidRDefault="00BB293A">
      <w:pPr>
        <w:tabs>
          <w:tab w:val="left" w:leader="dot" w:pos="9474"/>
        </w:tabs>
        <w:spacing w:before="276"/>
        <w:ind w:left="1784"/>
        <w:rPr>
          <w:sz w:val="24"/>
        </w:rPr>
      </w:pPr>
      <w:r>
        <w:rPr>
          <w:sz w:val="19"/>
        </w:rPr>
        <w:t>TARGET ACCURACY</w:t>
      </w:r>
      <w:r>
        <w:rPr>
          <w:spacing w:val="-4"/>
          <w:sz w:val="19"/>
        </w:rPr>
        <w:t xml:space="preserve"> </w:t>
      </w:r>
      <w:r>
        <w:rPr>
          <w:sz w:val="19"/>
        </w:rPr>
        <w:t>WAS</w:t>
      </w:r>
      <w:r>
        <w:rPr>
          <w:spacing w:val="-7"/>
          <w:sz w:val="19"/>
        </w:rPr>
        <w:t xml:space="preserve"> </w:t>
      </w:r>
      <w:r>
        <w:rPr>
          <w:sz w:val="19"/>
        </w:rPr>
        <w:t>CALCULATED</w:t>
      </w:r>
      <w:r>
        <w:rPr>
          <w:sz w:val="19"/>
        </w:rPr>
        <w:tab/>
      </w:r>
      <w:r>
        <w:rPr>
          <w:sz w:val="24"/>
        </w:rPr>
        <w:t>105</w:t>
      </w:r>
    </w:p>
    <w:p w14:paraId="2386AE3C" w14:textId="77777777" w:rsidR="00C75312" w:rsidRDefault="00BB293A">
      <w:pPr>
        <w:spacing w:before="276" w:line="480" w:lineRule="auto"/>
        <w:ind w:left="1784" w:right="987" w:hanging="965"/>
        <w:rPr>
          <w:sz w:val="19"/>
        </w:rPr>
      </w:pPr>
      <w:r>
        <w:rPr>
          <w:sz w:val="24"/>
        </w:rPr>
        <w:t>F</w:t>
      </w:r>
      <w:r>
        <w:rPr>
          <w:sz w:val="19"/>
        </w:rPr>
        <w:t>IGURE</w:t>
      </w:r>
      <w:r>
        <w:rPr>
          <w:spacing w:val="-1"/>
          <w:sz w:val="19"/>
        </w:rPr>
        <w:t xml:space="preserve"> </w:t>
      </w:r>
      <w:r>
        <w:rPr>
          <w:sz w:val="24"/>
        </w:rPr>
        <w:t>9.</w:t>
      </w:r>
      <w:r>
        <w:rPr>
          <w:spacing w:val="-9"/>
          <w:sz w:val="24"/>
        </w:rPr>
        <w:t xml:space="preserve"> </w:t>
      </w:r>
      <w:r>
        <w:rPr>
          <w:sz w:val="24"/>
        </w:rPr>
        <w:t>PM</w:t>
      </w:r>
      <w:r>
        <w:rPr>
          <w:spacing w:val="-14"/>
          <w:sz w:val="24"/>
        </w:rPr>
        <w:t xml:space="preserve"> </w:t>
      </w:r>
      <w:r>
        <w:rPr>
          <w:sz w:val="19"/>
        </w:rPr>
        <w:t>PERFORMANCE</w:t>
      </w:r>
      <w:r>
        <w:rPr>
          <w:sz w:val="24"/>
        </w:rPr>
        <w:t>:</w:t>
      </w:r>
      <w:r>
        <w:rPr>
          <w:spacing w:val="-10"/>
          <w:sz w:val="24"/>
        </w:rPr>
        <w:t xml:space="preserve"> </w:t>
      </w:r>
      <w:r>
        <w:rPr>
          <w:sz w:val="19"/>
        </w:rPr>
        <w:t>A</w:t>
      </w:r>
      <w:r>
        <w:rPr>
          <w:sz w:val="24"/>
        </w:rPr>
        <w:t>)</w:t>
      </w:r>
      <w:r>
        <w:rPr>
          <w:spacing w:val="-10"/>
          <w:sz w:val="24"/>
        </w:rPr>
        <w:t xml:space="preserve"> </w:t>
      </w:r>
      <w:r>
        <w:rPr>
          <w:spacing w:val="-3"/>
          <w:sz w:val="24"/>
        </w:rPr>
        <w:t>M</w:t>
      </w:r>
      <w:r>
        <w:rPr>
          <w:spacing w:val="-3"/>
          <w:sz w:val="19"/>
        </w:rPr>
        <w:t>AIN</w:t>
      </w:r>
      <w:r>
        <w:rPr>
          <w:spacing w:val="2"/>
          <w:sz w:val="19"/>
        </w:rPr>
        <w:t xml:space="preserve"> </w:t>
      </w:r>
      <w:r>
        <w:rPr>
          <w:spacing w:val="-3"/>
          <w:sz w:val="19"/>
        </w:rPr>
        <w:t>EFFECT</w:t>
      </w:r>
      <w:r>
        <w:rPr>
          <w:spacing w:val="4"/>
          <w:sz w:val="19"/>
        </w:rPr>
        <w:t xml:space="preserve"> </w:t>
      </w:r>
      <w:r>
        <w:rPr>
          <w:sz w:val="19"/>
        </w:rPr>
        <w:t>OF</w:t>
      </w:r>
      <w:r>
        <w:rPr>
          <w:spacing w:val="-4"/>
          <w:sz w:val="19"/>
        </w:rPr>
        <w:t xml:space="preserve"> </w:t>
      </w:r>
      <w:r>
        <w:rPr>
          <w:sz w:val="19"/>
        </w:rPr>
        <w:t>GROUP AND</w:t>
      </w:r>
      <w:r>
        <w:rPr>
          <w:spacing w:val="-3"/>
          <w:sz w:val="19"/>
        </w:rPr>
        <w:t xml:space="preserve"> </w:t>
      </w:r>
      <w:r>
        <w:rPr>
          <w:sz w:val="19"/>
        </w:rPr>
        <w:t>WITHIN</w:t>
      </w:r>
      <w:r>
        <w:rPr>
          <w:sz w:val="24"/>
        </w:rPr>
        <w:t>-</w:t>
      </w:r>
      <w:r>
        <w:rPr>
          <w:sz w:val="19"/>
        </w:rPr>
        <w:t>GROUP</w:t>
      </w:r>
      <w:r>
        <w:rPr>
          <w:spacing w:val="-5"/>
          <w:sz w:val="19"/>
        </w:rPr>
        <w:t xml:space="preserve"> </w:t>
      </w:r>
      <w:r>
        <w:rPr>
          <w:sz w:val="19"/>
        </w:rPr>
        <w:t>COMPARISON</w:t>
      </w:r>
      <w:r>
        <w:rPr>
          <w:spacing w:val="-3"/>
          <w:sz w:val="19"/>
        </w:rPr>
        <w:t xml:space="preserve"> </w:t>
      </w:r>
      <w:r>
        <w:rPr>
          <w:sz w:val="19"/>
        </w:rPr>
        <w:t xml:space="preserve">BY CONDITION FOR </w:t>
      </w:r>
      <w:r>
        <w:rPr>
          <w:sz w:val="24"/>
        </w:rPr>
        <w:t xml:space="preserve">PM </w:t>
      </w:r>
      <w:r>
        <w:rPr>
          <w:sz w:val="19"/>
        </w:rPr>
        <w:t>PROPORTION HITS</w:t>
      </w:r>
      <w:r>
        <w:rPr>
          <w:sz w:val="24"/>
        </w:rPr>
        <w:t xml:space="preserve">; </w:t>
      </w:r>
      <w:r>
        <w:rPr>
          <w:sz w:val="19"/>
        </w:rPr>
        <w:t>B</w:t>
      </w:r>
      <w:r>
        <w:rPr>
          <w:sz w:val="24"/>
        </w:rPr>
        <w:t>) M</w:t>
      </w:r>
      <w:r>
        <w:rPr>
          <w:sz w:val="19"/>
        </w:rPr>
        <w:t xml:space="preserve">AIN </w:t>
      </w:r>
      <w:r>
        <w:rPr>
          <w:spacing w:val="-3"/>
          <w:sz w:val="19"/>
        </w:rPr>
        <w:t xml:space="preserve">EFFECT </w:t>
      </w:r>
      <w:r>
        <w:rPr>
          <w:sz w:val="19"/>
        </w:rPr>
        <w:t>OF CONDITION AND BETWEEN</w:t>
      </w:r>
      <w:r>
        <w:rPr>
          <w:sz w:val="24"/>
        </w:rPr>
        <w:t>-</w:t>
      </w:r>
      <w:r>
        <w:rPr>
          <w:sz w:val="19"/>
        </w:rPr>
        <w:t xml:space="preserve">GROUP COMPARISON </w:t>
      </w:r>
      <w:r>
        <w:rPr>
          <w:spacing w:val="-3"/>
          <w:sz w:val="19"/>
        </w:rPr>
        <w:t xml:space="preserve">FOR </w:t>
      </w:r>
      <w:r>
        <w:rPr>
          <w:sz w:val="24"/>
        </w:rPr>
        <w:t xml:space="preserve">PM </w:t>
      </w:r>
      <w:r>
        <w:rPr>
          <w:spacing w:val="-3"/>
          <w:sz w:val="19"/>
        </w:rPr>
        <w:t xml:space="preserve">PROPORTION </w:t>
      </w:r>
      <w:r>
        <w:rPr>
          <w:sz w:val="19"/>
        </w:rPr>
        <w:t>HITS</w:t>
      </w:r>
      <w:r>
        <w:rPr>
          <w:sz w:val="24"/>
        </w:rPr>
        <w:t xml:space="preserve">; </w:t>
      </w:r>
      <w:r>
        <w:rPr>
          <w:sz w:val="19"/>
        </w:rPr>
        <w:t>C</w:t>
      </w:r>
      <w:r>
        <w:rPr>
          <w:sz w:val="24"/>
        </w:rPr>
        <w:t>) M</w:t>
      </w:r>
      <w:r>
        <w:rPr>
          <w:sz w:val="19"/>
        </w:rPr>
        <w:t xml:space="preserve">AIN </w:t>
      </w:r>
      <w:r>
        <w:rPr>
          <w:spacing w:val="-3"/>
          <w:sz w:val="19"/>
        </w:rPr>
        <w:t xml:space="preserve">EFFECT </w:t>
      </w:r>
      <w:r>
        <w:rPr>
          <w:sz w:val="19"/>
        </w:rPr>
        <w:t xml:space="preserve">OF GROUP </w:t>
      </w:r>
      <w:r>
        <w:rPr>
          <w:spacing w:val="-3"/>
          <w:sz w:val="19"/>
        </w:rPr>
        <w:t xml:space="preserve">FOR </w:t>
      </w:r>
      <w:r>
        <w:rPr>
          <w:sz w:val="24"/>
        </w:rPr>
        <w:t xml:space="preserve">PM </w:t>
      </w:r>
      <w:r>
        <w:rPr>
          <w:sz w:val="19"/>
        </w:rPr>
        <w:t>TARGET ACCURACY</w:t>
      </w:r>
      <w:r>
        <w:rPr>
          <w:sz w:val="24"/>
        </w:rPr>
        <w:t xml:space="preserve">; </w:t>
      </w:r>
      <w:r>
        <w:rPr>
          <w:sz w:val="19"/>
        </w:rPr>
        <w:t>AND D</w:t>
      </w:r>
      <w:r>
        <w:rPr>
          <w:sz w:val="24"/>
        </w:rPr>
        <w:t>) T</w:t>
      </w:r>
      <w:r>
        <w:rPr>
          <w:sz w:val="19"/>
        </w:rPr>
        <w:t>IME</w:t>
      </w:r>
      <w:r>
        <w:rPr>
          <w:sz w:val="24"/>
        </w:rPr>
        <w:t>-</w:t>
      </w:r>
      <w:r>
        <w:rPr>
          <w:sz w:val="19"/>
        </w:rPr>
        <w:t xml:space="preserve">MONITORING PATTERN BY INTERVAL IN THE </w:t>
      </w:r>
      <w:r>
        <w:rPr>
          <w:sz w:val="24"/>
        </w:rPr>
        <w:t xml:space="preserve">ASD </w:t>
      </w:r>
      <w:r>
        <w:rPr>
          <w:sz w:val="19"/>
        </w:rPr>
        <w:t xml:space="preserve">AND </w:t>
      </w:r>
      <w:r>
        <w:rPr>
          <w:spacing w:val="-3"/>
          <w:sz w:val="24"/>
        </w:rPr>
        <w:t xml:space="preserve">NT </w:t>
      </w:r>
      <w:r>
        <w:rPr>
          <w:sz w:val="19"/>
        </w:rPr>
        <w:t>GROUP BY IMPORTANCE CONDITION</w:t>
      </w:r>
      <w:r>
        <w:rPr>
          <w:sz w:val="24"/>
        </w:rPr>
        <w:t>. E</w:t>
      </w:r>
      <w:r>
        <w:rPr>
          <w:sz w:val="19"/>
        </w:rPr>
        <w:t>RROR BARS REPRESENT</w:t>
      </w:r>
      <w:r>
        <w:rPr>
          <w:spacing w:val="3"/>
          <w:sz w:val="19"/>
        </w:rPr>
        <w:t xml:space="preserve"> </w:t>
      </w:r>
      <w:r>
        <w:rPr>
          <w:spacing w:val="-3"/>
          <w:sz w:val="19"/>
        </w:rPr>
        <w:t>STANDARD</w:t>
      </w:r>
      <w:r>
        <w:rPr>
          <w:spacing w:val="1"/>
          <w:sz w:val="19"/>
        </w:rPr>
        <w:t xml:space="preserve"> </w:t>
      </w:r>
      <w:r>
        <w:rPr>
          <w:sz w:val="19"/>
        </w:rPr>
        <w:t>ERRORS OF</w:t>
      </w:r>
      <w:r>
        <w:rPr>
          <w:spacing w:val="-6"/>
          <w:sz w:val="19"/>
        </w:rPr>
        <w:t xml:space="preserve"> </w:t>
      </w:r>
      <w:r>
        <w:rPr>
          <w:sz w:val="19"/>
        </w:rPr>
        <w:t>THE</w:t>
      </w:r>
      <w:r>
        <w:rPr>
          <w:spacing w:val="-2"/>
          <w:sz w:val="19"/>
        </w:rPr>
        <w:t xml:space="preserve"> </w:t>
      </w:r>
      <w:r>
        <w:rPr>
          <w:sz w:val="19"/>
        </w:rPr>
        <w:t>MEANS</w:t>
      </w:r>
      <w:r>
        <w:rPr>
          <w:sz w:val="24"/>
        </w:rPr>
        <w:t>.</w:t>
      </w:r>
      <w:r>
        <w:rPr>
          <w:spacing w:val="-14"/>
          <w:sz w:val="24"/>
        </w:rPr>
        <w:t xml:space="preserve"> </w:t>
      </w:r>
      <w:r>
        <w:rPr>
          <w:sz w:val="24"/>
        </w:rPr>
        <w:t>**:</w:t>
      </w:r>
      <w:r>
        <w:rPr>
          <w:spacing w:val="-17"/>
          <w:sz w:val="24"/>
        </w:rPr>
        <w:t xml:space="preserve"> </w:t>
      </w:r>
      <w:r>
        <w:rPr>
          <w:sz w:val="19"/>
        </w:rPr>
        <w:t xml:space="preserve">P </w:t>
      </w:r>
      <w:r>
        <w:rPr>
          <w:sz w:val="24"/>
        </w:rPr>
        <w:t>≤</w:t>
      </w:r>
      <w:r>
        <w:rPr>
          <w:spacing w:val="-15"/>
          <w:sz w:val="24"/>
        </w:rPr>
        <w:t xml:space="preserve"> </w:t>
      </w:r>
      <w:r>
        <w:rPr>
          <w:sz w:val="24"/>
        </w:rPr>
        <w:t>.01,</w:t>
      </w:r>
      <w:r>
        <w:rPr>
          <w:spacing w:val="-10"/>
          <w:sz w:val="24"/>
        </w:rPr>
        <w:t xml:space="preserve"> </w:t>
      </w:r>
      <w:r>
        <w:rPr>
          <w:sz w:val="24"/>
        </w:rPr>
        <w:t>***:</w:t>
      </w:r>
      <w:r>
        <w:rPr>
          <w:spacing w:val="-11"/>
          <w:sz w:val="24"/>
        </w:rPr>
        <w:t xml:space="preserve"> </w:t>
      </w:r>
      <w:r>
        <w:rPr>
          <w:sz w:val="19"/>
        </w:rPr>
        <w:t>P</w:t>
      </w:r>
      <w:r>
        <w:rPr>
          <w:spacing w:val="-1"/>
          <w:sz w:val="19"/>
        </w:rPr>
        <w:t xml:space="preserve"> </w:t>
      </w:r>
      <w:r>
        <w:rPr>
          <w:sz w:val="24"/>
        </w:rPr>
        <w:t>≤</w:t>
      </w:r>
      <w:r>
        <w:rPr>
          <w:spacing w:val="-14"/>
          <w:sz w:val="24"/>
        </w:rPr>
        <w:t xml:space="preserve"> </w:t>
      </w:r>
      <w:r>
        <w:rPr>
          <w:sz w:val="24"/>
        </w:rPr>
        <w:t>.001,</w:t>
      </w:r>
      <w:r>
        <w:rPr>
          <w:spacing w:val="-10"/>
          <w:sz w:val="24"/>
        </w:rPr>
        <w:t xml:space="preserve"> </w:t>
      </w:r>
      <w:r>
        <w:rPr>
          <w:sz w:val="19"/>
        </w:rPr>
        <w:t>N</w:t>
      </w:r>
      <w:r>
        <w:rPr>
          <w:sz w:val="24"/>
        </w:rPr>
        <w:t>.</w:t>
      </w:r>
      <w:r>
        <w:rPr>
          <w:sz w:val="19"/>
        </w:rPr>
        <w:t>S</w:t>
      </w:r>
      <w:r>
        <w:rPr>
          <w:sz w:val="24"/>
        </w:rPr>
        <w:t>.:</w:t>
      </w:r>
      <w:r>
        <w:rPr>
          <w:spacing w:val="-12"/>
          <w:sz w:val="24"/>
        </w:rPr>
        <w:t xml:space="preserve"> </w:t>
      </w:r>
      <w:r>
        <w:rPr>
          <w:sz w:val="19"/>
        </w:rPr>
        <w:t>NOT</w:t>
      </w:r>
    </w:p>
    <w:p w14:paraId="00D6EC72" w14:textId="77777777" w:rsidR="00C75312" w:rsidRDefault="00BB293A">
      <w:pPr>
        <w:tabs>
          <w:tab w:val="left" w:leader="dot" w:pos="9474"/>
        </w:tabs>
        <w:spacing w:before="1"/>
        <w:ind w:left="1784"/>
        <w:rPr>
          <w:sz w:val="24"/>
        </w:rPr>
      </w:pPr>
      <w:r>
        <w:rPr>
          <w:sz w:val="19"/>
        </w:rPr>
        <w:t>SIGNIFICANT</w:t>
      </w:r>
      <w:r>
        <w:rPr>
          <w:sz w:val="19"/>
        </w:rPr>
        <w:tab/>
      </w:r>
      <w:r>
        <w:rPr>
          <w:sz w:val="24"/>
        </w:rPr>
        <w:t>110</w:t>
      </w:r>
    </w:p>
    <w:p w14:paraId="5039912D" w14:textId="77777777" w:rsidR="00C75312" w:rsidRDefault="00BB293A">
      <w:pPr>
        <w:tabs>
          <w:tab w:val="left" w:leader="dot" w:pos="9474"/>
        </w:tabs>
        <w:spacing w:before="276" w:line="480" w:lineRule="auto"/>
        <w:ind w:left="1784" w:right="943" w:hanging="965"/>
        <w:rPr>
          <w:sz w:val="24"/>
        </w:rPr>
      </w:pPr>
      <w:r>
        <w:rPr>
          <w:sz w:val="24"/>
        </w:rPr>
        <w:t>F</w:t>
      </w:r>
      <w:r>
        <w:rPr>
          <w:sz w:val="19"/>
        </w:rPr>
        <w:t xml:space="preserve">IGURE </w:t>
      </w:r>
      <w:r>
        <w:rPr>
          <w:sz w:val="24"/>
        </w:rPr>
        <w:t>10. S</w:t>
      </w:r>
      <w:r>
        <w:rPr>
          <w:sz w:val="19"/>
        </w:rPr>
        <w:t>CATTERPLOTS ILLUSTRATING THE RELATIONSHIP BETWEEN THE CHANGE IN TIME</w:t>
      </w:r>
      <w:r>
        <w:rPr>
          <w:sz w:val="24"/>
        </w:rPr>
        <w:t xml:space="preserve">- </w:t>
      </w:r>
      <w:r>
        <w:rPr>
          <w:sz w:val="19"/>
        </w:rPr>
        <w:t xml:space="preserve">CHECKS IN THE CRITICAL </w:t>
      </w:r>
      <w:r>
        <w:rPr>
          <w:spacing w:val="-3"/>
          <w:sz w:val="19"/>
        </w:rPr>
        <w:t xml:space="preserve">FOURTH </w:t>
      </w:r>
      <w:r>
        <w:rPr>
          <w:sz w:val="19"/>
        </w:rPr>
        <w:t xml:space="preserve">INTERVAL AND </w:t>
      </w:r>
      <w:r>
        <w:rPr>
          <w:sz w:val="24"/>
        </w:rPr>
        <w:t xml:space="preserve">PM </w:t>
      </w:r>
      <w:r>
        <w:rPr>
          <w:sz w:val="19"/>
        </w:rPr>
        <w:t xml:space="preserve">PERFORMANCE IN THE </w:t>
      </w:r>
      <w:r>
        <w:rPr>
          <w:sz w:val="24"/>
        </w:rPr>
        <w:t xml:space="preserve">ASD </w:t>
      </w:r>
      <w:r>
        <w:rPr>
          <w:sz w:val="19"/>
        </w:rPr>
        <w:t>GROUP</w:t>
      </w:r>
      <w:r>
        <w:rPr>
          <w:sz w:val="19"/>
        </w:rPr>
        <w:tab/>
      </w:r>
      <w:r>
        <w:rPr>
          <w:spacing w:val="-6"/>
          <w:sz w:val="24"/>
        </w:rPr>
        <w:t>114</w:t>
      </w:r>
    </w:p>
    <w:p w14:paraId="4B835B4B" w14:textId="77777777" w:rsidR="00C75312" w:rsidRDefault="00BB293A">
      <w:pPr>
        <w:tabs>
          <w:tab w:val="left" w:leader="dot" w:pos="9474"/>
        </w:tabs>
        <w:spacing w:line="480" w:lineRule="auto"/>
        <w:ind w:left="1784" w:right="943" w:hanging="965"/>
        <w:rPr>
          <w:sz w:val="24"/>
        </w:rPr>
      </w:pPr>
      <w:r>
        <w:rPr>
          <w:sz w:val="24"/>
        </w:rPr>
        <w:t>F</w:t>
      </w:r>
      <w:r>
        <w:rPr>
          <w:sz w:val="19"/>
        </w:rPr>
        <w:t xml:space="preserve">IGURE </w:t>
      </w:r>
      <w:r>
        <w:rPr>
          <w:sz w:val="24"/>
        </w:rPr>
        <w:t>11. (P</w:t>
      </w:r>
      <w:r>
        <w:rPr>
          <w:sz w:val="19"/>
        </w:rPr>
        <w:t>ARTIAL</w:t>
      </w:r>
      <w:r>
        <w:rPr>
          <w:sz w:val="24"/>
        </w:rPr>
        <w:t xml:space="preserve">) </w:t>
      </w:r>
      <w:r>
        <w:rPr>
          <w:sz w:val="19"/>
        </w:rPr>
        <w:t xml:space="preserve">CORRELATIONS SCATTERPLOTS DEPICTING CORRELATIONS </w:t>
      </w:r>
      <w:r>
        <w:rPr>
          <w:spacing w:val="-3"/>
          <w:sz w:val="19"/>
        </w:rPr>
        <w:t xml:space="preserve">FOR </w:t>
      </w:r>
      <w:r>
        <w:rPr>
          <w:sz w:val="19"/>
        </w:rPr>
        <w:t xml:space="preserve">COGNITIVE CORRELATES OF INTEREST </w:t>
      </w:r>
      <w:r>
        <w:rPr>
          <w:spacing w:val="-4"/>
          <w:sz w:val="19"/>
        </w:rPr>
        <w:t xml:space="preserve">IN </w:t>
      </w:r>
      <w:r>
        <w:rPr>
          <w:sz w:val="19"/>
        </w:rPr>
        <w:t>THE</w:t>
      </w:r>
      <w:r>
        <w:rPr>
          <w:spacing w:val="-3"/>
          <w:sz w:val="19"/>
        </w:rPr>
        <w:t xml:space="preserve"> </w:t>
      </w:r>
      <w:r>
        <w:rPr>
          <w:sz w:val="24"/>
        </w:rPr>
        <w:t>ASD</w:t>
      </w:r>
      <w:r>
        <w:rPr>
          <w:spacing w:val="-18"/>
          <w:sz w:val="24"/>
        </w:rPr>
        <w:t xml:space="preserve"> </w:t>
      </w:r>
      <w:r>
        <w:rPr>
          <w:sz w:val="19"/>
        </w:rPr>
        <w:t>GROUP</w:t>
      </w:r>
      <w:r>
        <w:rPr>
          <w:sz w:val="19"/>
        </w:rPr>
        <w:tab/>
      </w:r>
      <w:r>
        <w:rPr>
          <w:spacing w:val="-6"/>
          <w:sz w:val="24"/>
        </w:rPr>
        <w:t>114</w:t>
      </w:r>
    </w:p>
    <w:p w14:paraId="0952196D" w14:textId="77777777" w:rsidR="00C75312" w:rsidRDefault="00BB293A">
      <w:pPr>
        <w:tabs>
          <w:tab w:val="left" w:leader="dot" w:pos="9474"/>
        </w:tabs>
        <w:ind w:left="820"/>
        <w:rPr>
          <w:sz w:val="24"/>
        </w:rPr>
      </w:pPr>
      <w:r>
        <w:rPr>
          <w:sz w:val="24"/>
        </w:rPr>
        <w:t>F</w:t>
      </w:r>
      <w:r>
        <w:rPr>
          <w:sz w:val="19"/>
        </w:rPr>
        <w:t xml:space="preserve">IGURE </w:t>
      </w:r>
      <w:r>
        <w:rPr>
          <w:sz w:val="24"/>
        </w:rPr>
        <w:t>12. S</w:t>
      </w:r>
      <w:r>
        <w:rPr>
          <w:sz w:val="19"/>
        </w:rPr>
        <w:t xml:space="preserve">CHEMATIC ILLUSTRATION OF THE </w:t>
      </w:r>
      <w:r>
        <w:rPr>
          <w:sz w:val="24"/>
        </w:rPr>
        <w:t>2-</w:t>
      </w:r>
      <w:r>
        <w:rPr>
          <w:sz w:val="19"/>
        </w:rPr>
        <w:t>BACK</w:t>
      </w:r>
      <w:r>
        <w:rPr>
          <w:spacing w:val="-28"/>
          <w:sz w:val="19"/>
        </w:rPr>
        <w:t xml:space="preserve"> </w:t>
      </w:r>
      <w:r>
        <w:rPr>
          <w:sz w:val="19"/>
        </w:rPr>
        <w:t>ONGOING</w:t>
      </w:r>
      <w:r>
        <w:rPr>
          <w:spacing w:val="-5"/>
          <w:sz w:val="19"/>
        </w:rPr>
        <w:t xml:space="preserve"> </w:t>
      </w:r>
      <w:r>
        <w:rPr>
          <w:sz w:val="19"/>
        </w:rPr>
        <w:t>TASK</w:t>
      </w:r>
      <w:r>
        <w:rPr>
          <w:sz w:val="19"/>
        </w:rPr>
        <w:tab/>
      </w:r>
      <w:r>
        <w:rPr>
          <w:sz w:val="24"/>
        </w:rPr>
        <w:t>133</w:t>
      </w:r>
    </w:p>
    <w:p w14:paraId="2DA62186" w14:textId="77777777" w:rsidR="00C75312" w:rsidRDefault="00BB293A">
      <w:pPr>
        <w:tabs>
          <w:tab w:val="left" w:leader="dot" w:pos="9474"/>
        </w:tabs>
        <w:spacing w:before="276" w:line="480" w:lineRule="auto"/>
        <w:ind w:left="1784" w:right="943" w:hanging="965"/>
        <w:rPr>
          <w:sz w:val="24"/>
        </w:rPr>
      </w:pPr>
      <w:r>
        <w:rPr>
          <w:sz w:val="24"/>
        </w:rPr>
        <w:t>F</w:t>
      </w:r>
      <w:r>
        <w:rPr>
          <w:sz w:val="19"/>
        </w:rPr>
        <w:t xml:space="preserve">IGURE </w:t>
      </w:r>
      <w:r>
        <w:rPr>
          <w:sz w:val="24"/>
        </w:rPr>
        <w:t>13. D</w:t>
      </w:r>
      <w:r>
        <w:rPr>
          <w:sz w:val="19"/>
        </w:rPr>
        <w:t xml:space="preserve">ISTRIBUTION OF </w:t>
      </w:r>
      <w:r>
        <w:rPr>
          <w:sz w:val="24"/>
        </w:rPr>
        <w:t>C</w:t>
      </w:r>
      <w:r>
        <w:rPr>
          <w:sz w:val="19"/>
        </w:rPr>
        <w:t>OOK</w:t>
      </w:r>
      <w:r>
        <w:rPr>
          <w:sz w:val="24"/>
        </w:rPr>
        <w:t>’</w:t>
      </w:r>
      <w:r>
        <w:rPr>
          <w:sz w:val="19"/>
        </w:rPr>
        <w:t xml:space="preserve">S DISTANCE </w:t>
      </w:r>
      <w:r>
        <w:rPr>
          <w:spacing w:val="-3"/>
          <w:sz w:val="19"/>
        </w:rPr>
        <w:t xml:space="preserve">VALUES </w:t>
      </w:r>
      <w:r>
        <w:rPr>
          <w:sz w:val="19"/>
        </w:rPr>
        <w:t>IN THE TIME</w:t>
      </w:r>
      <w:r>
        <w:rPr>
          <w:sz w:val="24"/>
        </w:rPr>
        <w:t>-</w:t>
      </w:r>
      <w:r>
        <w:rPr>
          <w:sz w:val="19"/>
        </w:rPr>
        <w:t xml:space="preserve">BASED </w:t>
      </w:r>
      <w:r>
        <w:rPr>
          <w:sz w:val="24"/>
        </w:rPr>
        <w:t>PM (</w:t>
      </w:r>
      <w:r>
        <w:rPr>
          <w:sz w:val="19"/>
        </w:rPr>
        <w:t>LEFT</w:t>
      </w:r>
      <w:r>
        <w:rPr>
          <w:sz w:val="24"/>
        </w:rPr>
        <w:t xml:space="preserve">) </w:t>
      </w:r>
      <w:r>
        <w:rPr>
          <w:sz w:val="19"/>
        </w:rPr>
        <w:t>AND EVENT</w:t>
      </w:r>
      <w:r>
        <w:rPr>
          <w:sz w:val="24"/>
        </w:rPr>
        <w:t>-</w:t>
      </w:r>
      <w:r>
        <w:rPr>
          <w:sz w:val="19"/>
        </w:rPr>
        <w:t xml:space="preserve">BASED </w:t>
      </w:r>
      <w:r>
        <w:rPr>
          <w:sz w:val="24"/>
        </w:rPr>
        <w:t>PM (</w:t>
      </w:r>
      <w:r>
        <w:rPr>
          <w:sz w:val="19"/>
        </w:rPr>
        <w:t>RIGHT</w:t>
      </w:r>
      <w:r>
        <w:rPr>
          <w:sz w:val="24"/>
        </w:rPr>
        <w:t xml:space="preserve">) </w:t>
      </w:r>
      <w:r>
        <w:rPr>
          <w:sz w:val="19"/>
        </w:rPr>
        <w:t>CONDITION</w:t>
      </w:r>
      <w:r>
        <w:rPr>
          <w:sz w:val="24"/>
        </w:rPr>
        <w:t>. T</w:t>
      </w:r>
      <w:r>
        <w:rPr>
          <w:sz w:val="19"/>
        </w:rPr>
        <w:t>HE DOTTED</w:t>
      </w:r>
      <w:r>
        <w:rPr>
          <w:sz w:val="24"/>
        </w:rPr>
        <w:t>-</w:t>
      </w:r>
      <w:r>
        <w:rPr>
          <w:sz w:val="19"/>
        </w:rPr>
        <w:t>DASHED LINE MARKS THE CUT</w:t>
      </w:r>
      <w:r>
        <w:rPr>
          <w:sz w:val="24"/>
        </w:rPr>
        <w:t xml:space="preserve">- </w:t>
      </w:r>
      <w:r>
        <w:rPr>
          <w:sz w:val="19"/>
        </w:rPr>
        <w:t>OFF POINT ABOVE WHICH PARTICIPANTS WERE EXCLUDED</w:t>
      </w:r>
      <w:r>
        <w:rPr>
          <w:sz w:val="24"/>
        </w:rPr>
        <w:t>. T</w:t>
      </w:r>
      <w:r>
        <w:rPr>
          <w:sz w:val="19"/>
        </w:rPr>
        <w:t xml:space="preserve">HE DASH LINE MARKS THE MEAN </w:t>
      </w:r>
      <w:r>
        <w:rPr>
          <w:sz w:val="24"/>
        </w:rPr>
        <w:t>C</w:t>
      </w:r>
      <w:r>
        <w:rPr>
          <w:sz w:val="19"/>
        </w:rPr>
        <w:t>OOK</w:t>
      </w:r>
      <w:r>
        <w:rPr>
          <w:sz w:val="24"/>
        </w:rPr>
        <w:t>’</w:t>
      </w:r>
      <w:r>
        <w:rPr>
          <w:sz w:val="19"/>
        </w:rPr>
        <w:t>S DISTANCE IN</w:t>
      </w:r>
      <w:r>
        <w:rPr>
          <w:spacing w:val="-14"/>
          <w:sz w:val="19"/>
        </w:rPr>
        <w:t xml:space="preserve"> </w:t>
      </w:r>
      <w:r>
        <w:rPr>
          <w:sz w:val="19"/>
        </w:rPr>
        <w:t>EACH</w:t>
      </w:r>
      <w:r>
        <w:rPr>
          <w:spacing w:val="2"/>
          <w:sz w:val="19"/>
        </w:rPr>
        <w:t xml:space="preserve"> </w:t>
      </w:r>
      <w:r>
        <w:rPr>
          <w:sz w:val="19"/>
        </w:rPr>
        <w:t>SAMPLE</w:t>
      </w:r>
      <w:r>
        <w:rPr>
          <w:sz w:val="19"/>
        </w:rPr>
        <w:tab/>
      </w:r>
      <w:r>
        <w:rPr>
          <w:spacing w:val="-6"/>
          <w:sz w:val="24"/>
        </w:rPr>
        <w:t>136</w:t>
      </w:r>
    </w:p>
    <w:p w14:paraId="5960CAA0" w14:textId="77777777" w:rsidR="00C75312" w:rsidRDefault="00C75312">
      <w:pPr>
        <w:spacing w:line="480" w:lineRule="auto"/>
        <w:rPr>
          <w:sz w:val="24"/>
        </w:rPr>
        <w:sectPr w:rsidR="00C75312">
          <w:pgSz w:w="11900" w:h="16840"/>
          <w:pgMar w:top="1020" w:right="500" w:bottom="280" w:left="620" w:header="715" w:footer="0" w:gutter="0"/>
          <w:cols w:space="720"/>
        </w:sectPr>
      </w:pPr>
    </w:p>
    <w:p w14:paraId="714A37C2" w14:textId="77777777" w:rsidR="00C75312" w:rsidRDefault="00BB293A">
      <w:pPr>
        <w:spacing w:before="414"/>
        <w:ind w:left="820"/>
        <w:rPr>
          <w:sz w:val="24"/>
        </w:rPr>
      </w:pPr>
      <w:r>
        <w:rPr>
          <w:sz w:val="24"/>
        </w:rPr>
        <w:lastRenderedPageBreak/>
        <w:t>F</w:t>
      </w:r>
      <w:r>
        <w:rPr>
          <w:sz w:val="19"/>
        </w:rPr>
        <w:t xml:space="preserve">IGURE </w:t>
      </w:r>
      <w:r>
        <w:rPr>
          <w:sz w:val="24"/>
        </w:rPr>
        <w:t>14. I</w:t>
      </w:r>
      <w:r>
        <w:rPr>
          <w:sz w:val="19"/>
        </w:rPr>
        <w:t>LLUSTRATION OF THE TIME MONITORING PATTERN IN THE TIME</w:t>
      </w:r>
      <w:r>
        <w:rPr>
          <w:sz w:val="24"/>
        </w:rPr>
        <w:t>-</w:t>
      </w:r>
      <w:r>
        <w:rPr>
          <w:sz w:val="19"/>
        </w:rPr>
        <w:t xml:space="preserve">BASED </w:t>
      </w:r>
      <w:r>
        <w:rPr>
          <w:sz w:val="24"/>
        </w:rPr>
        <w:t>PM</w:t>
      </w:r>
    </w:p>
    <w:p w14:paraId="474A134C" w14:textId="77777777" w:rsidR="00C75312" w:rsidRDefault="00BB293A">
      <w:pPr>
        <w:tabs>
          <w:tab w:val="left" w:leader="dot" w:pos="9474"/>
        </w:tabs>
        <w:spacing w:before="276"/>
        <w:ind w:left="1784"/>
        <w:rPr>
          <w:sz w:val="24"/>
        </w:rPr>
      </w:pPr>
      <w:r>
        <w:rPr>
          <w:sz w:val="19"/>
        </w:rPr>
        <w:t>CONDITION</w:t>
      </w:r>
      <w:r>
        <w:rPr>
          <w:sz w:val="19"/>
        </w:rPr>
        <w:tab/>
      </w:r>
      <w:r>
        <w:rPr>
          <w:sz w:val="24"/>
        </w:rPr>
        <w:t>138</w:t>
      </w:r>
    </w:p>
    <w:p w14:paraId="7FD33454" w14:textId="77777777" w:rsidR="00C75312" w:rsidRDefault="00BB293A">
      <w:pPr>
        <w:spacing w:before="276" w:line="480" w:lineRule="auto"/>
        <w:ind w:left="1784" w:right="943" w:hanging="965"/>
        <w:rPr>
          <w:sz w:val="24"/>
        </w:rPr>
      </w:pPr>
      <w:r>
        <w:rPr>
          <w:sz w:val="24"/>
        </w:rPr>
        <w:t>F</w:t>
      </w:r>
      <w:r>
        <w:rPr>
          <w:sz w:val="19"/>
        </w:rPr>
        <w:t xml:space="preserve">IGURE </w:t>
      </w:r>
      <w:r>
        <w:rPr>
          <w:sz w:val="24"/>
        </w:rPr>
        <w:t>15. I</w:t>
      </w:r>
      <w:r>
        <w:rPr>
          <w:sz w:val="19"/>
        </w:rPr>
        <w:t xml:space="preserve">LLUSTRATION OF PARTIAL CORRELATIONS BY PLOTTING THE CORRELATIONS BETWEEN THE RESPECTIVE RESIDUALS FOR </w:t>
      </w:r>
      <w:r>
        <w:rPr>
          <w:sz w:val="24"/>
        </w:rPr>
        <w:t xml:space="preserve">(1) </w:t>
      </w:r>
      <w:r>
        <w:rPr>
          <w:sz w:val="19"/>
        </w:rPr>
        <w:t>INTEROCEPTIVE ACCURACY AND TIME</w:t>
      </w:r>
      <w:r>
        <w:rPr>
          <w:sz w:val="24"/>
        </w:rPr>
        <w:t xml:space="preserve">- </w:t>
      </w:r>
      <w:r>
        <w:rPr>
          <w:sz w:val="19"/>
        </w:rPr>
        <w:t xml:space="preserve">BASED </w:t>
      </w:r>
      <w:r>
        <w:rPr>
          <w:sz w:val="24"/>
        </w:rPr>
        <w:t xml:space="preserve">PM </w:t>
      </w:r>
      <w:r>
        <w:rPr>
          <w:sz w:val="19"/>
        </w:rPr>
        <w:t xml:space="preserve">TARGET ACCURACY CONTROLLING FOR AUTISTIC TRAITS </w:t>
      </w:r>
      <w:r>
        <w:rPr>
          <w:sz w:val="24"/>
        </w:rPr>
        <w:t>(</w:t>
      </w:r>
      <w:r>
        <w:rPr>
          <w:sz w:val="19"/>
        </w:rPr>
        <w:t>LEFT</w:t>
      </w:r>
      <w:r>
        <w:rPr>
          <w:sz w:val="24"/>
        </w:rPr>
        <w:t xml:space="preserve">), (2) </w:t>
      </w:r>
      <w:r>
        <w:rPr>
          <w:sz w:val="19"/>
        </w:rPr>
        <w:t>AUTISM TRAITS AND TIME</w:t>
      </w:r>
      <w:r>
        <w:rPr>
          <w:sz w:val="24"/>
        </w:rPr>
        <w:t>-</w:t>
      </w:r>
      <w:r>
        <w:rPr>
          <w:sz w:val="19"/>
        </w:rPr>
        <w:t xml:space="preserve">BASED </w:t>
      </w:r>
      <w:r>
        <w:rPr>
          <w:sz w:val="24"/>
        </w:rPr>
        <w:t xml:space="preserve">PM </w:t>
      </w:r>
      <w:r>
        <w:rPr>
          <w:sz w:val="19"/>
        </w:rPr>
        <w:t xml:space="preserve">TARGET ACCURACY CONTROLLING </w:t>
      </w:r>
      <w:r>
        <w:rPr>
          <w:spacing w:val="-3"/>
          <w:sz w:val="19"/>
        </w:rPr>
        <w:t xml:space="preserve">FOR </w:t>
      </w:r>
      <w:r>
        <w:rPr>
          <w:sz w:val="19"/>
        </w:rPr>
        <w:t xml:space="preserve">ALEXITHYMIA TRAITS </w:t>
      </w:r>
      <w:r>
        <w:rPr>
          <w:sz w:val="24"/>
        </w:rPr>
        <w:t>(</w:t>
      </w:r>
      <w:r>
        <w:rPr>
          <w:sz w:val="19"/>
        </w:rPr>
        <w:t>MIDDLE</w:t>
      </w:r>
      <w:r>
        <w:rPr>
          <w:sz w:val="24"/>
        </w:rPr>
        <w:t xml:space="preserve">), </w:t>
      </w:r>
      <w:r>
        <w:rPr>
          <w:sz w:val="19"/>
        </w:rPr>
        <w:t xml:space="preserve">AND </w:t>
      </w:r>
      <w:r>
        <w:rPr>
          <w:sz w:val="24"/>
        </w:rPr>
        <w:t xml:space="preserve">(3) </w:t>
      </w:r>
      <w:r>
        <w:rPr>
          <w:sz w:val="19"/>
        </w:rPr>
        <w:t>INTEROCEPTIVE ACCURACY AND EVENT</w:t>
      </w:r>
      <w:r>
        <w:rPr>
          <w:sz w:val="24"/>
        </w:rPr>
        <w:t xml:space="preserve">- </w:t>
      </w:r>
      <w:r>
        <w:rPr>
          <w:sz w:val="19"/>
        </w:rPr>
        <w:t xml:space="preserve">BASED </w:t>
      </w:r>
      <w:r>
        <w:rPr>
          <w:sz w:val="24"/>
        </w:rPr>
        <w:t>PM</w:t>
      </w:r>
      <w:r>
        <w:rPr>
          <w:spacing w:val="-44"/>
          <w:sz w:val="24"/>
        </w:rPr>
        <w:t xml:space="preserve"> </w:t>
      </w:r>
      <w:r>
        <w:rPr>
          <w:sz w:val="19"/>
        </w:rPr>
        <w:t xml:space="preserve">PROPORTION HITS CONTROLLING </w:t>
      </w:r>
      <w:r>
        <w:rPr>
          <w:spacing w:val="-3"/>
          <w:sz w:val="19"/>
        </w:rPr>
        <w:t xml:space="preserve">FOR </w:t>
      </w:r>
      <w:r>
        <w:rPr>
          <w:sz w:val="19"/>
        </w:rPr>
        <w:t>COGNITIVE FLEXIBILITY</w:t>
      </w:r>
      <w:r>
        <w:rPr>
          <w:sz w:val="24"/>
        </w:rPr>
        <w:t>(</w:t>
      </w:r>
      <w:r>
        <w:rPr>
          <w:sz w:val="19"/>
        </w:rPr>
        <w:t>RIGHT</w:t>
      </w:r>
      <w:r>
        <w:rPr>
          <w:sz w:val="24"/>
        </w:rPr>
        <w:t>). 141</w:t>
      </w:r>
    </w:p>
    <w:p w14:paraId="648B8608" w14:textId="77777777" w:rsidR="00C75312" w:rsidRDefault="00C75312">
      <w:pPr>
        <w:spacing w:line="480" w:lineRule="auto"/>
        <w:rPr>
          <w:sz w:val="24"/>
        </w:rPr>
        <w:sectPr w:rsidR="00C75312">
          <w:pgSz w:w="11900" w:h="16840"/>
          <w:pgMar w:top="1020" w:right="500" w:bottom="280" w:left="620" w:header="715" w:footer="0" w:gutter="0"/>
          <w:cols w:space="720"/>
        </w:sectPr>
      </w:pPr>
    </w:p>
    <w:p w14:paraId="57A1C323" w14:textId="77777777" w:rsidR="00C75312" w:rsidRDefault="00C75312">
      <w:pPr>
        <w:pStyle w:val="BodyText"/>
        <w:rPr>
          <w:sz w:val="26"/>
        </w:rPr>
      </w:pPr>
    </w:p>
    <w:p w14:paraId="73C7F492" w14:textId="77777777" w:rsidR="00C75312" w:rsidRDefault="00BB293A">
      <w:pPr>
        <w:pStyle w:val="Heading1"/>
        <w:spacing w:before="197"/>
        <w:ind w:left="820" w:right="941"/>
        <w:jc w:val="center"/>
      </w:pPr>
      <w:bookmarkStart w:id="3" w:name="_TOC_250030"/>
      <w:bookmarkEnd w:id="3"/>
      <w:r>
        <w:t>LIST OF TABLES</w:t>
      </w:r>
    </w:p>
    <w:p w14:paraId="58FE8397" w14:textId="77777777" w:rsidR="00C75312" w:rsidRDefault="00C75312">
      <w:pPr>
        <w:pStyle w:val="BodyText"/>
        <w:rPr>
          <w:b/>
          <w:sz w:val="26"/>
        </w:rPr>
      </w:pPr>
    </w:p>
    <w:p w14:paraId="370B301E" w14:textId="77777777" w:rsidR="00C75312" w:rsidRDefault="00C75312">
      <w:pPr>
        <w:pStyle w:val="BodyText"/>
        <w:spacing w:before="2"/>
        <w:rPr>
          <w:b/>
          <w:sz w:val="22"/>
        </w:rPr>
      </w:pPr>
    </w:p>
    <w:p w14:paraId="4341B6D4" w14:textId="77777777" w:rsidR="00C75312" w:rsidRDefault="00BB293A">
      <w:pPr>
        <w:tabs>
          <w:tab w:val="left" w:leader="dot" w:pos="8774"/>
        </w:tabs>
        <w:ind w:right="123"/>
        <w:jc w:val="center"/>
        <w:rPr>
          <w:sz w:val="24"/>
        </w:rPr>
      </w:pPr>
      <w:r>
        <w:rPr>
          <w:sz w:val="24"/>
        </w:rPr>
        <w:t>T</w:t>
      </w:r>
      <w:r>
        <w:rPr>
          <w:sz w:val="19"/>
        </w:rPr>
        <w:t xml:space="preserve">ABLE </w:t>
      </w:r>
      <w:r>
        <w:rPr>
          <w:spacing w:val="-3"/>
          <w:sz w:val="24"/>
        </w:rPr>
        <w:t xml:space="preserve">1. </w:t>
      </w:r>
      <w:r>
        <w:rPr>
          <w:sz w:val="24"/>
        </w:rPr>
        <w:t>O</w:t>
      </w:r>
      <w:r>
        <w:rPr>
          <w:sz w:val="19"/>
        </w:rPr>
        <w:t>VERVIEW OF CHARACTERISTICS OF TIME</w:t>
      </w:r>
      <w:r>
        <w:rPr>
          <w:sz w:val="24"/>
        </w:rPr>
        <w:t>-</w:t>
      </w:r>
      <w:r>
        <w:rPr>
          <w:sz w:val="19"/>
        </w:rPr>
        <w:t xml:space="preserve">BASED </w:t>
      </w:r>
      <w:r>
        <w:rPr>
          <w:sz w:val="24"/>
        </w:rPr>
        <w:t>PM</w:t>
      </w:r>
      <w:r>
        <w:rPr>
          <w:spacing w:val="-44"/>
          <w:sz w:val="24"/>
        </w:rPr>
        <w:t xml:space="preserve"> </w:t>
      </w:r>
      <w:r>
        <w:rPr>
          <w:sz w:val="19"/>
        </w:rPr>
        <w:t>STUDIES IN</w:t>
      </w:r>
      <w:r>
        <w:rPr>
          <w:spacing w:val="1"/>
          <w:sz w:val="19"/>
        </w:rPr>
        <w:t xml:space="preserve"> </w:t>
      </w:r>
      <w:r>
        <w:rPr>
          <w:sz w:val="24"/>
        </w:rPr>
        <w:t>ASD</w:t>
      </w:r>
      <w:r>
        <w:rPr>
          <w:sz w:val="24"/>
        </w:rPr>
        <w:tab/>
        <w:t>11</w:t>
      </w:r>
    </w:p>
    <w:p w14:paraId="4B0FCB3E" w14:textId="77777777" w:rsidR="00C75312" w:rsidRDefault="00C75312">
      <w:pPr>
        <w:pStyle w:val="BodyText"/>
      </w:pPr>
    </w:p>
    <w:p w14:paraId="37F4D667" w14:textId="77777777" w:rsidR="00C75312" w:rsidRDefault="00BB293A">
      <w:pPr>
        <w:tabs>
          <w:tab w:val="left" w:leader="dot" w:pos="8774"/>
        </w:tabs>
        <w:ind w:right="123"/>
        <w:jc w:val="center"/>
        <w:rPr>
          <w:sz w:val="24"/>
        </w:rPr>
      </w:pPr>
      <w:r>
        <w:rPr>
          <w:sz w:val="24"/>
        </w:rPr>
        <w:t>T</w:t>
      </w:r>
      <w:r>
        <w:rPr>
          <w:sz w:val="19"/>
        </w:rPr>
        <w:t xml:space="preserve">ABLE </w:t>
      </w:r>
      <w:r>
        <w:rPr>
          <w:spacing w:val="-3"/>
          <w:sz w:val="24"/>
        </w:rPr>
        <w:t xml:space="preserve">2. </w:t>
      </w:r>
      <w:r>
        <w:rPr>
          <w:sz w:val="24"/>
        </w:rPr>
        <w:t>O</w:t>
      </w:r>
      <w:r>
        <w:rPr>
          <w:sz w:val="19"/>
        </w:rPr>
        <w:t>VERVIEW OF CHARACTERISTICS OF EVENT</w:t>
      </w:r>
      <w:r>
        <w:rPr>
          <w:sz w:val="24"/>
        </w:rPr>
        <w:t>-</w:t>
      </w:r>
      <w:r>
        <w:rPr>
          <w:sz w:val="19"/>
        </w:rPr>
        <w:t xml:space="preserve">BASED </w:t>
      </w:r>
      <w:r>
        <w:rPr>
          <w:sz w:val="24"/>
        </w:rPr>
        <w:t>PM</w:t>
      </w:r>
      <w:r>
        <w:rPr>
          <w:spacing w:val="-46"/>
          <w:sz w:val="24"/>
        </w:rPr>
        <w:t xml:space="preserve"> </w:t>
      </w:r>
      <w:r>
        <w:rPr>
          <w:sz w:val="19"/>
        </w:rPr>
        <w:t>STUDIES IN</w:t>
      </w:r>
      <w:r>
        <w:rPr>
          <w:spacing w:val="1"/>
          <w:sz w:val="19"/>
        </w:rPr>
        <w:t xml:space="preserve"> </w:t>
      </w:r>
      <w:r>
        <w:rPr>
          <w:sz w:val="24"/>
        </w:rPr>
        <w:t>ASD</w:t>
      </w:r>
      <w:r>
        <w:rPr>
          <w:sz w:val="24"/>
        </w:rPr>
        <w:tab/>
        <w:t>12</w:t>
      </w:r>
    </w:p>
    <w:p w14:paraId="46D1EED5" w14:textId="77777777" w:rsidR="00C75312" w:rsidRDefault="00C75312">
      <w:pPr>
        <w:pStyle w:val="BodyText"/>
      </w:pPr>
    </w:p>
    <w:p w14:paraId="7EC42ACE" w14:textId="77777777" w:rsidR="00C75312" w:rsidRDefault="00BB293A">
      <w:pPr>
        <w:tabs>
          <w:tab w:val="left" w:leader="dot" w:pos="9594"/>
        </w:tabs>
        <w:spacing w:line="480" w:lineRule="auto"/>
        <w:ind w:left="820" w:right="943"/>
        <w:jc w:val="center"/>
        <w:rPr>
          <w:sz w:val="24"/>
        </w:rPr>
      </w:pPr>
      <w:r>
        <w:rPr>
          <w:sz w:val="24"/>
        </w:rPr>
        <w:t>T</w:t>
      </w:r>
      <w:r>
        <w:rPr>
          <w:sz w:val="19"/>
        </w:rPr>
        <w:t xml:space="preserve">ABLE </w:t>
      </w:r>
      <w:r>
        <w:rPr>
          <w:spacing w:val="-3"/>
          <w:sz w:val="24"/>
        </w:rPr>
        <w:t>3.</w:t>
      </w:r>
      <w:r>
        <w:rPr>
          <w:spacing w:val="-44"/>
          <w:sz w:val="24"/>
        </w:rPr>
        <w:t xml:space="preserve"> </w:t>
      </w:r>
      <w:r>
        <w:rPr>
          <w:sz w:val="24"/>
        </w:rPr>
        <w:t>O</w:t>
      </w:r>
      <w:r>
        <w:rPr>
          <w:sz w:val="19"/>
        </w:rPr>
        <w:t xml:space="preserve">VERVIEW OF INCLUDED STUDIES WITH REGARD TO KEY METHODOLOGICAL ISSUES </w:t>
      </w:r>
      <w:r>
        <w:rPr>
          <w:sz w:val="24"/>
        </w:rPr>
        <w:t>22 T</w:t>
      </w:r>
      <w:r>
        <w:rPr>
          <w:sz w:val="19"/>
        </w:rPr>
        <w:t xml:space="preserve">ABLE </w:t>
      </w:r>
      <w:r>
        <w:rPr>
          <w:spacing w:val="-3"/>
          <w:sz w:val="24"/>
        </w:rPr>
        <w:t xml:space="preserve">4. </w:t>
      </w:r>
      <w:r>
        <w:rPr>
          <w:sz w:val="24"/>
        </w:rPr>
        <w:t>O</w:t>
      </w:r>
      <w:r>
        <w:rPr>
          <w:sz w:val="19"/>
        </w:rPr>
        <w:t>VERVIEW OF</w:t>
      </w:r>
      <w:r>
        <w:rPr>
          <w:spacing w:val="-15"/>
          <w:sz w:val="19"/>
        </w:rPr>
        <w:t xml:space="preserve"> </w:t>
      </w:r>
      <w:r>
        <w:rPr>
          <w:sz w:val="24"/>
        </w:rPr>
        <w:t>PM</w:t>
      </w:r>
      <w:r>
        <w:rPr>
          <w:spacing w:val="-15"/>
          <w:sz w:val="24"/>
        </w:rPr>
        <w:t xml:space="preserve"> </w:t>
      </w:r>
      <w:r>
        <w:rPr>
          <w:sz w:val="19"/>
        </w:rPr>
        <w:t>CORRELATES</w:t>
      </w:r>
      <w:r>
        <w:rPr>
          <w:sz w:val="19"/>
        </w:rPr>
        <w:tab/>
      </w:r>
      <w:r>
        <w:rPr>
          <w:spacing w:val="-9"/>
          <w:sz w:val="24"/>
        </w:rPr>
        <w:t>44</w:t>
      </w:r>
    </w:p>
    <w:p w14:paraId="46AB2156" w14:textId="77777777" w:rsidR="00C75312" w:rsidRDefault="00BB293A">
      <w:pPr>
        <w:tabs>
          <w:tab w:val="left" w:leader="dot" w:pos="9594"/>
        </w:tabs>
        <w:ind w:left="820"/>
        <w:rPr>
          <w:sz w:val="24"/>
        </w:rPr>
      </w:pPr>
      <w:r>
        <w:rPr>
          <w:sz w:val="24"/>
        </w:rPr>
        <w:t>T</w:t>
      </w:r>
      <w:r>
        <w:rPr>
          <w:sz w:val="19"/>
        </w:rPr>
        <w:t xml:space="preserve">ABLE </w:t>
      </w:r>
      <w:r>
        <w:rPr>
          <w:spacing w:val="-3"/>
          <w:sz w:val="24"/>
        </w:rPr>
        <w:t>5.</w:t>
      </w:r>
      <w:r>
        <w:rPr>
          <w:spacing w:val="-11"/>
          <w:sz w:val="24"/>
        </w:rPr>
        <w:t xml:space="preserve"> </w:t>
      </w:r>
      <w:r>
        <w:rPr>
          <w:sz w:val="24"/>
        </w:rPr>
        <w:t>S</w:t>
      </w:r>
      <w:r>
        <w:rPr>
          <w:sz w:val="19"/>
        </w:rPr>
        <w:t>AMPLE</w:t>
      </w:r>
      <w:r>
        <w:rPr>
          <w:spacing w:val="-6"/>
          <w:sz w:val="19"/>
        </w:rPr>
        <w:t xml:space="preserve"> </w:t>
      </w:r>
      <w:r>
        <w:rPr>
          <w:sz w:val="19"/>
        </w:rPr>
        <w:t>CHARACTERISTICS</w:t>
      </w:r>
      <w:r>
        <w:rPr>
          <w:sz w:val="19"/>
        </w:rPr>
        <w:tab/>
      </w:r>
      <w:r>
        <w:rPr>
          <w:sz w:val="24"/>
        </w:rPr>
        <w:t>53</w:t>
      </w:r>
    </w:p>
    <w:p w14:paraId="2E2ACDDD" w14:textId="77777777" w:rsidR="00C75312" w:rsidRDefault="00C75312">
      <w:pPr>
        <w:pStyle w:val="BodyText"/>
      </w:pPr>
    </w:p>
    <w:p w14:paraId="3B286729" w14:textId="77777777" w:rsidR="00C75312" w:rsidRDefault="00BB293A">
      <w:pPr>
        <w:tabs>
          <w:tab w:val="left" w:leader="dot" w:pos="9594"/>
        </w:tabs>
        <w:spacing w:line="480" w:lineRule="auto"/>
        <w:ind w:left="1784" w:right="943" w:hanging="965"/>
        <w:rPr>
          <w:sz w:val="24"/>
        </w:rPr>
      </w:pPr>
      <w:r>
        <w:rPr>
          <w:sz w:val="24"/>
        </w:rPr>
        <w:t>T</w:t>
      </w:r>
      <w:r>
        <w:rPr>
          <w:sz w:val="19"/>
        </w:rPr>
        <w:t xml:space="preserve">ABLE </w:t>
      </w:r>
      <w:r>
        <w:rPr>
          <w:spacing w:val="-3"/>
          <w:sz w:val="24"/>
        </w:rPr>
        <w:t xml:space="preserve">6. </w:t>
      </w:r>
      <w:r>
        <w:rPr>
          <w:sz w:val="24"/>
        </w:rPr>
        <w:t>N</w:t>
      </w:r>
      <w:r>
        <w:rPr>
          <w:sz w:val="19"/>
        </w:rPr>
        <w:t xml:space="preserve">UMBER OF PARTICIPANTS </w:t>
      </w:r>
      <w:r>
        <w:rPr>
          <w:spacing w:val="-4"/>
          <w:sz w:val="19"/>
        </w:rPr>
        <w:t xml:space="preserve">IN </w:t>
      </w:r>
      <w:r>
        <w:rPr>
          <w:sz w:val="19"/>
        </w:rPr>
        <w:t xml:space="preserve">EACH </w:t>
      </w:r>
      <w:r>
        <w:rPr>
          <w:spacing w:val="-3"/>
          <w:sz w:val="19"/>
        </w:rPr>
        <w:t xml:space="preserve">GROUP </w:t>
      </w:r>
      <w:r>
        <w:rPr>
          <w:sz w:val="19"/>
        </w:rPr>
        <w:t xml:space="preserve">PASSING THE </w:t>
      </w:r>
      <w:r>
        <w:rPr>
          <w:sz w:val="24"/>
        </w:rPr>
        <w:t xml:space="preserve">PM </w:t>
      </w:r>
      <w:r>
        <w:rPr>
          <w:sz w:val="19"/>
        </w:rPr>
        <w:t>INSTRUCTION MEMORY CHECK SPONTANEOUSLY VS</w:t>
      </w:r>
      <w:r>
        <w:rPr>
          <w:sz w:val="24"/>
        </w:rPr>
        <w:t xml:space="preserve">. </w:t>
      </w:r>
      <w:r>
        <w:rPr>
          <w:sz w:val="19"/>
        </w:rPr>
        <w:t xml:space="preserve">NEEDING A </w:t>
      </w:r>
      <w:r>
        <w:rPr>
          <w:spacing w:val="-3"/>
          <w:sz w:val="19"/>
        </w:rPr>
        <w:t xml:space="preserve">GENERAL PROMPT </w:t>
      </w:r>
      <w:r>
        <w:rPr>
          <w:sz w:val="19"/>
        </w:rPr>
        <w:t>IN ORDER</w:t>
      </w:r>
      <w:r>
        <w:rPr>
          <w:spacing w:val="3"/>
          <w:sz w:val="19"/>
        </w:rPr>
        <w:t xml:space="preserve"> </w:t>
      </w:r>
      <w:r>
        <w:rPr>
          <w:sz w:val="19"/>
        </w:rPr>
        <w:t>TO</w:t>
      </w:r>
      <w:r>
        <w:rPr>
          <w:spacing w:val="4"/>
          <w:sz w:val="19"/>
        </w:rPr>
        <w:t xml:space="preserve"> </w:t>
      </w:r>
      <w:r>
        <w:rPr>
          <w:spacing w:val="-3"/>
          <w:sz w:val="19"/>
        </w:rPr>
        <w:t>PASS</w:t>
      </w:r>
      <w:r>
        <w:rPr>
          <w:spacing w:val="-3"/>
          <w:sz w:val="19"/>
        </w:rPr>
        <w:tab/>
      </w:r>
      <w:r>
        <w:rPr>
          <w:spacing w:val="-9"/>
          <w:sz w:val="24"/>
        </w:rPr>
        <w:t>57</w:t>
      </w:r>
    </w:p>
    <w:p w14:paraId="180A5B80" w14:textId="77777777" w:rsidR="00C75312" w:rsidRDefault="00BB293A">
      <w:pPr>
        <w:spacing w:line="480" w:lineRule="auto"/>
        <w:ind w:left="1784" w:right="943" w:hanging="965"/>
        <w:rPr>
          <w:sz w:val="24"/>
        </w:rPr>
      </w:pPr>
      <w:r>
        <w:rPr>
          <w:sz w:val="24"/>
        </w:rPr>
        <w:t>T</w:t>
      </w:r>
      <w:r>
        <w:rPr>
          <w:sz w:val="19"/>
        </w:rPr>
        <w:t xml:space="preserve">ABLE </w:t>
      </w:r>
      <w:r>
        <w:rPr>
          <w:sz w:val="24"/>
        </w:rPr>
        <w:t>7. E</w:t>
      </w:r>
      <w:r>
        <w:rPr>
          <w:sz w:val="19"/>
        </w:rPr>
        <w:t>VENT</w:t>
      </w:r>
      <w:r>
        <w:rPr>
          <w:sz w:val="24"/>
        </w:rPr>
        <w:t>-</w:t>
      </w:r>
      <w:r>
        <w:rPr>
          <w:sz w:val="19"/>
        </w:rPr>
        <w:t xml:space="preserve">BASED </w:t>
      </w:r>
      <w:r>
        <w:rPr>
          <w:sz w:val="24"/>
        </w:rPr>
        <w:t xml:space="preserve">PM </w:t>
      </w:r>
      <w:r>
        <w:rPr>
          <w:sz w:val="19"/>
        </w:rPr>
        <w:t xml:space="preserve">TASK PERFORMANCE </w:t>
      </w:r>
      <w:r>
        <w:rPr>
          <w:sz w:val="24"/>
        </w:rPr>
        <w:t>(</w:t>
      </w:r>
      <w:r>
        <w:rPr>
          <w:sz w:val="19"/>
        </w:rPr>
        <w:t>COLLAPSED ACROSS CUES AND FOR EACH CUE TYPE</w:t>
      </w:r>
      <w:r>
        <w:rPr>
          <w:sz w:val="24"/>
        </w:rPr>
        <w:t xml:space="preserve">), </w:t>
      </w:r>
      <w:r>
        <w:rPr>
          <w:sz w:val="19"/>
        </w:rPr>
        <w:t xml:space="preserve">AS WELL AS ONGOING PERFORMANCE BY CONDITION </w:t>
      </w:r>
      <w:r>
        <w:rPr>
          <w:sz w:val="24"/>
        </w:rPr>
        <w:t>(M</w:t>
      </w:r>
      <w:r>
        <w:rPr>
          <w:sz w:val="19"/>
        </w:rPr>
        <w:t xml:space="preserve">EANS AND </w:t>
      </w:r>
      <w:r>
        <w:rPr>
          <w:sz w:val="24"/>
        </w:rPr>
        <w:t>SD</w:t>
      </w:r>
      <w:r>
        <w:rPr>
          <w:sz w:val="19"/>
        </w:rPr>
        <w:t>S</w:t>
      </w:r>
      <w:r>
        <w:rPr>
          <w:sz w:val="24"/>
        </w:rPr>
        <w:t>)</w:t>
      </w:r>
    </w:p>
    <w:p w14:paraId="6064FB8A" w14:textId="77777777" w:rsidR="00C75312" w:rsidRDefault="00BB293A">
      <w:pPr>
        <w:pStyle w:val="BodyText"/>
        <w:spacing w:before="1"/>
        <w:ind w:left="1804"/>
      </w:pPr>
      <w:r>
        <w:t xml:space="preserve">............................................................................................................................    </w:t>
      </w:r>
      <w:r>
        <w:rPr>
          <w:spacing w:val="1"/>
        </w:rPr>
        <w:t xml:space="preserve"> </w:t>
      </w:r>
      <w:r>
        <w:t>62</w:t>
      </w:r>
    </w:p>
    <w:p w14:paraId="1D12C642" w14:textId="77777777" w:rsidR="00C75312" w:rsidRDefault="00C75312">
      <w:pPr>
        <w:pStyle w:val="BodyText"/>
        <w:spacing w:before="11"/>
        <w:rPr>
          <w:sz w:val="23"/>
        </w:rPr>
      </w:pPr>
    </w:p>
    <w:p w14:paraId="744CA5BE" w14:textId="77777777" w:rsidR="00C75312" w:rsidRDefault="00BB293A">
      <w:pPr>
        <w:tabs>
          <w:tab w:val="left" w:leader="dot" w:pos="9594"/>
        </w:tabs>
        <w:spacing w:line="480" w:lineRule="auto"/>
        <w:ind w:left="1784" w:right="943" w:hanging="965"/>
        <w:rPr>
          <w:sz w:val="24"/>
        </w:rPr>
      </w:pPr>
      <w:r>
        <w:rPr>
          <w:sz w:val="24"/>
        </w:rPr>
        <w:t>T</w:t>
      </w:r>
      <w:r>
        <w:rPr>
          <w:sz w:val="19"/>
        </w:rPr>
        <w:t xml:space="preserve">ABLE </w:t>
      </w:r>
      <w:r>
        <w:rPr>
          <w:spacing w:val="-3"/>
          <w:sz w:val="24"/>
        </w:rPr>
        <w:t xml:space="preserve">8. </w:t>
      </w:r>
      <w:r>
        <w:rPr>
          <w:sz w:val="24"/>
        </w:rPr>
        <w:t>C</w:t>
      </w:r>
      <w:r>
        <w:rPr>
          <w:sz w:val="19"/>
        </w:rPr>
        <w:t>ATEGORICAL ANALYSIS</w:t>
      </w:r>
      <w:r>
        <w:rPr>
          <w:sz w:val="24"/>
        </w:rPr>
        <w:t xml:space="preserve">: </w:t>
      </w:r>
      <w:r>
        <w:rPr>
          <w:sz w:val="19"/>
        </w:rPr>
        <w:t xml:space="preserve">NUMBER OF PARTICIPANTS SCORING ABOVE </w:t>
      </w:r>
      <w:r>
        <w:rPr>
          <w:spacing w:val="-3"/>
          <w:sz w:val="19"/>
        </w:rPr>
        <w:t xml:space="preserve">OR </w:t>
      </w:r>
      <w:r>
        <w:rPr>
          <w:sz w:val="19"/>
        </w:rPr>
        <w:t xml:space="preserve">BELOW MEAN </w:t>
      </w:r>
      <w:r>
        <w:rPr>
          <w:sz w:val="24"/>
        </w:rPr>
        <w:t>(</w:t>
      </w:r>
      <w:r>
        <w:rPr>
          <w:sz w:val="19"/>
        </w:rPr>
        <w:t>LEFT</w:t>
      </w:r>
      <w:r>
        <w:rPr>
          <w:sz w:val="24"/>
        </w:rPr>
        <w:t xml:space="preserve">) </w:t>
      </w:r>
      <w:r>
        <w:rPr>
          <w:sz w:val="19"/>
        </w:rPr>
        <w:t xml:space="preserve">AND MEDIAN </w:t>
      </w:r>
      <w:r>
        <w:rPr>
          <w:sz w:val="24"/>
        </w:rPr>
        <w:t>(</w:t>
      </w:r>
      <w:r>
        <w:rPr>
          <w:sz w:val="19"/>
        </w:rPr>
        <w:t>RIGHT</w:t>
      </w:r>
      <w:r>
        <w:rPr>
          <w:sz w:val="24"/>
        </w:rPr>
        <w:t xml:space="preserve">) PM </w:t>
      </w:r>
      <w:r>
        <w:rPr>
          <w:sz w:val="19"/>
        </w:rPr>
        <w:t xml:space="preserve">TASK PERFORMANCE OF THE </w:t>
      </w:r>
      <w:r>
        <w:rPr>
          <w:sz w:val="24"/>
        </w:rPr>
        <w:t xml:space="preserve">NT </w:t>
      </w:r>
      <w:r>
        <w:rPr>
          <w:sz w:val="19"/>
        </w:rPr>
        <w:t xml:space="preserve">GROUP </w:t>
      </w:r>
      <w:r>
        <w:rPr>
          <w:spacing w:val="-3"/>
          <w:sz w:val="19"/>
        </w:rPr>
        <w:t xml:space="preserve">FOR </w:t>
      </w:r>
      <w:r>
        <w:rPr>
          <w:sz w:val="19"/>
        </w:rPr>
        <w:t>EACH</w:t>
      </w:r>
      <w:r>
        <w:rPr>
          <w:spacing w:val="-5"/>
          <w:sz w:val="19"/>
        </w:rPr>
        <w:t xml:space="preserve"> </w:t>
      </w:r>
      <w:r>
        <w:rPr>
          <w:sz w:val="19"/>
        </w:rPr>
        <w:t>CONDITION</w:t>
      </w:r>
      <w:r>
        <w:rPr>
          <w:sz w:val="19"/>
        </w:rPr>
        <w:tab/>
      </w:r>
      <w:r>
        <w:rPr>
          <w:spacing w:val="-9"/>
          <w:sz w:val="24"/>
        </w:rPr>
        <w:t>64</w:t>
      </w:r>
    </w:p>
    <w:p w14:paraId="3B7F6D13" w14:textId="77777777" w:rsidR="00C75312" w:rsidRDefault="00BB293A">
      <w:pPr>
        <w:tabs>
          <w:tab w:val="left" w:leader="dot" w:pos="9594"/>
        </w:tabs>
        <w:ind w:left="820"/>
        <w:rPr>
          <w:sz w:val="24"/>
        </w:rPr>
      </w:pPr>
      <w:r>
        <w:rPr>
          <w:sz w:val="24"/>
        </w:rPr>
        <w:t>T</w:t>
      </w:r>
      <w:r>
        <w:rPr>
          <w:sz w:val="19"/>
        </w:rPr>
        <w:t xml:space="preserve">ABLE </w:t>
      </w:r>
      <w:r>
        <w:rPr>
          <w:spacing w:val="-3"/>
          <w:sz w:val="24"/>
        </w:rPr>
        <w:t>9.</w:t>
      </w:r>
      <w:r>
        <w:rPr>
          <w:spacing w:val="-11"/>
          <w:sz w:val="24"/>
        </w:rPr>
        <w:t xml:space="preserve"> </w:t>
      </w:r>
      <w:r>
        <w:rPr>
          <w:sz w:val="24"/>
        </w:rPr>
        <w:t>S</w:t>
      </w:r>
      <w:r>
        <w:rPr>
          <w:sz w:val="19"/>
        </w:rPr>
        <w:t>AMPLE</w:t>
      </w:r>
      <w:r>
        <w:rPr>
          <w:spacing w:val="-6"/>
          <w:sz w:val="19"/>
        </w:rPr>
        <w:t xml:space="preserve"> </w:t>
      </w:r>
      <w:r>
        <w:rPr>
          <w:sz w:val="19"/>
        </w:rPr>
        <w:t>CHARACTERISTICS</w:t>
      </w:r>
      <w:r>
        <w:rPr>
          <w:sz w:val="19"/>
        </w:rPr>
        <w:tab/>
      </w:r>
      <w:r>
        <w:rPr>
          <w:sz w:val="24"/>
        </w:rPr>
        <w:t>76</w:t>
      </w:r>
    </w:p>
    <w:p w14:paraId="22883FE8" w14:textId="77777777" w:rsidR="00C75312" w:rsidRDefault="00C75312">
      <w:pPr>
        <w:pStyle w:val="BodyText"/>
      </w:pPr>
    </w:p>
    <w:p w14:paraId="60085E21" w14:textId="77777777" w:rsidR="00C75312" w:rsidRDefault="00BB293A">
      <w:pPr>
        <w:ind w:left="820"/>
        <w:rPr>
          <w:sz w:val="19"/>
        </w:rPr>
      </w:pPr>
      <w:r>
        <w:rPr>
          <w:sz w:val="24"/>
        </w:rPr>
        <w:t>T</w:t>
      </w:r>
      <w:r>
        <w:rPr>
          <w:sz w:val="19"/>
        </w:rPr>
        <w:t xml:space="preserve">ABLE </w:t>
      </w:r>
      <w:r>
        <w:rPr>
          <w:sz w:val="24"/>
        </w:rPr>
        <w:t>10. M</w:t>
      </w:r>
      <w:r>
        <w:rPr>
          <w:sz w:val="19"/>
        </w:rPr>
        <w:t xml:space="preserve">EANS </w:t>
      </w:r>
      <w:r>
        <w:rPr>
          <w:sz w:val="24"/>
        </w:rPr>
        <w:t>(SD</w:t>
      </w:r>
      <w:r>
        <w:rPr>
          <w:sz w:val="19"/>
        </w:rPr>
        <w:t>S</w:t>
      </w:r>
      <w:r>
        <w:rPr>
          <w:sz w:val="24"/>
        </w:rPr>
        <w:t xml:space="preserve">) </w:t>
      </w:r>
      <w:r>
        <w:rPr>
          <w:sz w:val="19"/>
        </w:rPr>
        <w:t xml:space="preserve">OF PROPORTION HIT SCORES AND MEAN HIT </w:t>
      </w:r>
      <w:r>
        <w:rPr>
          <w:sz w:val="24"/>
        </w:rPr>
        <w:t>RT</w:t>
      </w:r>
      <w:r>
        <w:rPr>
          <w:sz w:val="19"/>
        </w:rPr>
        <w:t>S FOR ONGOING AND</w:t>
      </w:r>
    </w:p>
    <w:p w14:paraId="3C0FF054" w14:textId="77777777" w:rsidR="00C75312" w:rsidRDefault="00C75312">
      <w:pPr>
        <w:pStyle w:val="BodyText"/>
      </w:pPr>
    </w:p>
    <w:p w14:paraId="4A83A646" w14:textId="77777777" w:rsidR="00C75312" w:rsidRDefault="00BB293A">
      <w:pPr>
        <w:tabs>
          <w:tab w:val="left" w:leader="dot" w:pos="9594"/>
        </w:tabs>
        <w:ind w:left="1784"/>
        <w:rPr>
          <w:sz w:val="24"/>
        </w:rPr>
      </w:pPr>
      <w:r>
        <w:rPr>
          <w:sz w:val="24"/>
        </w:rPr>
        <w:t xml:space="preserve">PM </w:t>
      </w:r>
      <w:r>
        <w:rPr>
          <w:sz w:val="19"/>
        </w:rPr>
        <w:t>PERFORMANCE BY</w:t>
      </w:r>
      <w:r>
        <w:rPr>
          <w:spacing w:val="-23"/>
          <w:sz w:val="19"/>
        </w:rPr>
        <w:t xml:space="preserve"> </w:t>
      </w:r>
      <w:r>
        <w:rPr>
          <w:sz w:val="19"/>
        </w:rPr>
        <w:t>TASK</w:t>
      </w:r>
      <w:r>
        <w:rPr>
          <w:spacing w:val="-4"/>
          <w:sz w:val="19"/>
        </w:rPr>
        <w:t xml:space="preserve"> </w:t>
      </w:r>
      <w:r>
        <w:rPr>
          <w:sz w:val="19"/>
        </w:rPr>
        <w:t>CONDITION</w:t>
      </w:r>
      <w:r>
        <w:rPr>
          <w:sz w:val="19"/>
        </w:rPr>
        <w:tab/>
      </w:r>
      <w:r>
        <w:rPr>
          <w:sz w:val="24"/>
        </w:rPr>
        <w:t>81</w:t>
      </w:r>
    </w:p>
    <w:p w14:paraId="378EAA84" w14:textId="77777777" w:rsidR="00C75312" w:rsidRDefault="00C75312">
      <w:pPr>
        <w:pStyle w:val="BodyText"/>
      </w:pPr>
    </w:p>
    <w:p w14:paraId="773050AF" w14:textId="77777777" w:rsidR="00C75312" w:rsidRDefault="00BB293A">
      <w:pPr>
        <w:tabs>
          <w:tab w:val="left" w:leader="dot" w:pos="9594"/>
        </w:tabs>
        <w:spacing w:line="480" w:lineRule="auto"/>
        <w:ind w:left="1784" w:right="943" w:hanging="965"/>
        <w:rPr>
          <w:sz w:val="24"/>
        </w:rPr>
      </w:pPr>
      <w:r>
        <w:rPr>
          <w:sz w:val="24"/>
        </w:rPr>
        <w:t>T</w:t>
      </w:r>
      <w:r>
        <w:rPr>
          <w:sz w:val="19"/>
        </w:rPr>
        <w:t xml:space="preserve">ABLE </w:t>
      </w:r>
      <w:r>
        <w:rPr>
          <w:sz w:val="24"/>
        </w:rPr>
        <w:t>11. C</w:t>
      </w:r>
      <w:r>
        <w:rPr>
          <w:sz w:val="19"/>
        </w:rPr>
        <w:t>ATEGORICAL ANALYSIS</w:t>
      </w:r>
      <w:r>
        <w:rPr>
          <w:sz w:val="24"/>
        </w:rPr>
        <w:t xml:space="preserve">: </w:t>
      </w:r>
      <w:r>
        <w:rPr>
          <w:sz w:val="19"/>
        </w:rPr>
        <w:t xml:space="preserve">NUMBER OF PARTICIPANTS SCORING ABOVE </w:t>
      </w:r>
      <w:r>
        <w:rPr>
          <w:spacing w:val="-3"/>
          <w:sz w:val="19"/>
        </w:rPr>
        <w:t xml:space="preserve">OR </w:t>
      </w:r>
      <w:r>
        <w:rPr>
          <w:sz w:val="19"/>
        </w:rPr>
        <w:t xml:space="preserve">BELOW MEAN </w:t>
      </w:r>
      <w:r>
        <w:rPr>
          <w:sz w:val="24"/>
        </w:rPr>
        <w:t>(</w:t>
      </w:r>
      <w:r>
        <w:rPr>
          <w:sz w:val="19"/>
        </w:rPr>
        <w:t>LEFT</w:t>
      </w:r>
      <w:r>
        <w:rPr>
          <w:sz w:val="24"/>
        </w:rPr>
        <w:t xml:space="preserve">) </w:t>
      </w:r>
      <w:r>
        <w:rPr>
          <w:sz w:val="19"/>
        </w:rPr>
        <w:t xml:space="preserve">AND MEDIAN </w:t>
      </w:r>
      <w:r>
        <w:rPr>
          <w:sz w:val="24"/>
        </w:rPr>
        <w:t>(</w:t>
      </w:r>
      <w:r>
        <w:rPr>
          <w:sz w:val="19"/>
        </w:rPr>
        <w:t>RIGHT</w:t>
      </w:r>
      <w:r>
        <w:rPr>
          <w:sz w:val="24"/>
        </w:rPr>
        <w:t xml:space="preserve">) PM </w:t>
      </w:r>
      <w:r>
        <w:rPr>
          <w:sz w:val="19"/>
        </w:rPr>
        <w:t xml:space="preserve">TASK PERFORMANCE OF THE </w:t>
      </w:r>
      <w:r>
        <w:rPr>
          <w:sz w:val="24"/>
        </w:rPr>
        <w:t xml:space="preserve">NT </w:t>
      </w:r>
      <w:r>
        <w:rPr>
          <w:sz w:val="19"/>
        </w:rPr>
        <w:t xml:space="preserve">GROUP </w:t>
      </w:r>
      <w:r>
        <w:rPr>
          <w:spacing w:val="-3"/>
          <w:sz w:val="19"/>
        </w:rPr>
        <w:t xml:space="preserve">FOR </w:t>
      </w:r>
      <w:r>
        <w:rPr>
          <w:sz w:val="19"/>
        </w:rPr>
        <w:t>EACH</w:t>
      </w:r>
      <w:r>
        <w:rPr>
          <w:spacing w:val="-5"/>
          <w:sz w:val="19"/>
        </w:rPr>
        <w:t xml:space="preserve"> </w:t>
      </w:r>
      <w:r>
        <w:rPr>
          <w:sz w:val="19"/>
        </w:rPr>
        <w:t>CONDITION</w:t>
      </w:r>
      <w:r>
        <w:rPr>
          <w:sz w:val="19"/>
        </w:rPr>
        <w:tab/>
      </w:r>
      <w:r>
        <w:rPr>
          <w:spacing w:val="-9"/>
          <w:sz w:val="24"/>
        </w:rPr>
        <w:t>82</w:t>
      </w:r>
    </w:p>
    <w:p w14:paraId="13943566" w14:textId="77777777" w:rsidR="00C75312" w:rsidRDefault="00BB293A">
      <w:pPr>
        <w:tabs>
          <w:tab w:val="left" w:leader="dot" w:pos="9594"/>
        </w:tabs>
        <w:spacing w:before="1"/>
        <w:ind w:left="820"/>
        <w:rPr>
          <w:sz w:val="24"/>
        </w:rPr>
      </w:pPr>
      <w:r>
        <w:rPr>
          <w:sz w:val="24"/>
        </w:rPr>
        <w:t>T</w:t>
      </w:r>
      <w:r>
        <w:rPr>
          <w:sz w:val="19"/>
        </w:rPr>
        <w:t xml:space="preserve">ABLE </w:t>
      </w:r>
      <w:r>
        <w:rPr>
          <w:sz w:val="24"/>
        </w:rPr>
        <w:t>12.</w:t>
      </w:r>
      <w:r>
        <w:rPr>
          <w:spacing w:val="-13"/>
          <w:sz w:val="24"/>
        </w:rPr>
        <w:t xml:space="preserve"> </w:t>
      </w:r>
      <w:r>
        <w:rPr>
          <w:sz w:val="24"/>
        </w:rPr>
        <w:t>S</w:t>
      </w:r>
      <w:r>
        <w:rPr>
          <w:sz w:val="19"/>
        </w:rPr>
        <w:t>AMPLE</w:t>
      </w:r>
      <w:r>
        <w:rPr>
          <w:spacing w:val="-7"/>
          <w:sz w:val="19"/>
        </w:rPr>
        <w:t xml:space="preserve"> </w:t>
      </w:r>
      <w:r>
        <w:rPr>
          <w:sz w:val="19"/>
        </w:rPr>
        <w:t>CHARACTERISTICS</w:t>
      </w:r>
      <w:r>
        <w:rPr>
          <w:sz w:val="19"/>
        </w:rPr>
        <w:tab/>
      </w:r>
      <w:r>
        <w:rPr>
          <w:sz w:val="24"/>
        </w:rPr>
        <w:t>98</w:t>
      </w:r>
    </w:p>
    <w:p w14:paraId="37D14C38" w14:textId="77777777" w:rsidR="00C75312" w:rsidRDefault="00C75312">
      <w:pPr>
        <w:pStyle w:val="BodyText"/>
        <w:spacing w:before="11"/>
        <w:rPr>
          <w:sz w:val="23"/>
        </w:rPr>
      </w:pPr>
    </w:p>
    <w:p w14:paraId="7365C2BA" w14:textId="77777777" w:rsidR="00C75312" w:rsidRDefault="00BB293A">
      <w:pPr>
        <w:tabs>
          <w:tab w:val="left" w:leader="dot" w:pos="9474"/>
        </w:tabs>
        <w:spacing w:line="480" w:lineRule="auto"/>
        <w:ind w:left="1784" w:right="943" w:hanging="965"/>
        <w:rPr>
          <w:sz w:val="24"/>
        </w:rPr>
      </w:pPr>
      <w:r>
        <w:rPr>
          <w:sz w:val="24"/>
        </w:rPr>
        <w:t>T</w:t>
      </w:r>
      <w:r>
        <w:rPr>
          <w:sz w:val="19"/>
        </w:rPr>
        <w:t xml:space="preserve">ABLE </w:t>
      </w:r>
      <w:r>
        <w:rPr>
          <w:sz w:val="24"/>
        </w:rPr>
        <w:t>13. S</w:t>
      </w:r>
      <w:r>
        <w:rPr>
          <w:sz w:val="19"/>
        </w:rPr>
        <w:t xml:space="preserve">AMPLE CHARACTERISTICS </w:t>
      </w:r>
      <w:r>
        <w:rPr>
          <w:spacing w:val="-4"/>
          <w:sz w:val="19"/>
        </w:rPr>
        <w:t xml:space="preserve">FOR </w:t>
      </w:r>
      <w:r>
        <w:rPr>
          <w:sz w:val="19"/>
        </w:rPr>
        <w:t>BEHAVIOURAL AND SELF</w:t>
      </w:r>
      <w:r>
        <w:rPr>
          <w:sz w:val="24"/>
        </w:rPr>
        <w:t>-</w:t>
      </w:r>
      <w:r>
        <w:rPr>
          <w:sz w:val="19"/>
        </w:rPr>
        <w:t>REPORT MEASURES OF MIND READING</w:t>
      </w:r>
      <w:r>
        <w:rPr>
          <w:sz w:val="24"/>
        </w:rPr>
        <w:t>, PM,</w:t>
      </w:r>
      <w:r>
        <w:rPr>
          <w:spacing w:val="-34"/>
          <w:sz w:val="24"/>
        </w:rPr>
        <w:t xml:space="preserve"> </w:t>
      </w:r>
      <w:r>
        <w:rPr>
          <w:sz w:val="19"/>
        </w:rPr>
        <w:t>AND EXECUTIVE</w:t>
      </w:r>
      <w:r>
        <w:rPr>
          <w:spacing w:val="-4"/>
          <w:sz w:val="19"/>
        </w:rPr>
        <w:t xml:space="preserve"> </w:t>
      </w:r>
      <w:r>
        <w:rPr>
          <w:sz w:val="19"/>
        </w:rPr>
        <w:t>FUNCTIONS</w:t>
      </w:r>
      <w:r>
        <w:rPr>
          <w:sz w:val="19"/>
        </w:rPr>
        <w:tab/>
      </w:r>
      <w:r>
        <w:rPr>
          <w:spacing w:val="-6"/>
          <w:sz w:val="24"/>
        </w:rPr>
        <w:t>107</w:t>
      </w:r>
    </w:p>
    <w:p w14:paraId="21EC573A" w14:textId="77777777" w:rsidR="00C75312" w:rsidRDefault="00BB293A">
      <w:pPr>
        <w:tabs>
          <w:tab w:val="left" w:leader="dot" w:pos="9474"/>
        </w:tabs>
        <w:ind w:left="820"/>
        <w:rPr>
          <w:sz w:val="24"/>
        </w:rPr>
      </w:pPr>
      <w:r>
        <w:rPr>
          <w:sz w:val="24"/>
        </w:rPr>
        <w:t>T</w:t>
      </w:r>
      <w:r>
        <w:rPr>
          <w:sz w:val="19"/>
        </w:rPr>
        <w:t xml:space="preserve">ABLE </w:t>
      </w:r>
      <w:r>
        <w:rPr>
          <w:sz w:val="24"/>
        </w:rPr>
        <w:t>14. O</w:t>
      </w:r>
      <w:r>
        <w:rPr>
          <w:sz w:val="19"/>
        </w:rPr>
        <w:t xml:space="preserve">NGOING AND </w:t>
      </w:r>
      <w:r>
        <w:rPr>
          <w:sz w:val="24"/>
        </w:rPr>
        <w:t xml:space="preserve">PM </w:t>
      </w:r>
      <w:r>
        <w:rPr>
          <w:sz w:val="19"/>
        </w:rPr>
        <w:t xml:space="preserve">PERFORMANCE </w:t>
      </w:r>
      <w:r>
        <w:rPr>
          <w:spacing w:val="-3"/>
          <w:sz w:val="19"/>
        </w:rPr>
        <w:t xml:space="preserve">SCORES </w:t>
      </w:r>
      <w:r>
        <w:rPr>
          <w:sz w:val="19"/>
        </w:rPr>
        <w:t>BY GROUP</w:t>
      </w:r>
      <w:r>
        <w:rPr>
          <w:spacing w:val="-14"/>
          <w:sz w:val="19"/>
        </w:rPr>
        <w:t xml:space="preserve"> </w:t>
      </w:r>
      <w:r>
        <w:rPr>
          <w:sz w:val="19"/>
        </w:rPr>
        <w:t>AND</w:t>
      </w:r>
      <w:r>
        <w:rPr>
          <w:spacing w:val="-2"/>
          <w:sz w:val="19"/>
        </w:rPr>
        <w:t xml:space="preserve"> </w:t>
      </w:r>
      <w:r>
        <w:rPr>
          <w:spacing w:val="-3"/>
          <w:sz w:val="19"/>
        </w:rPr>
        <w:t>CONDITION</w:t>
      </w:r>
      <w:r>
        <w:rPr>
          <w:spacing w:val="-3"/>
          <w:sz w:val="19"/>
        </w:rPr>
        <w:tab/>
      </w:r>
      <w:r>
        <w:rPr>
          <w:sz w:val="24"/>
        </w:rPr>
        <w:t>107</w:t>
      </w:r>
    </w:p>
    <w:p w14:paraId="02DB1714" w14:textId="77777777" w:rsidR="00C75312" w:rsidRDefault="00C75312">
      <w:pPr>
        <w:rPr>
          <w:sz w:val="24"/>
        </w:rPr>
        <w:sectPr w:rsidR="00C75312">
          <w:headerReference w:type="default" r:id="rId14"/>
          <w:pgSz w:w="11900" w:h="16840"/>
          <w:pgMar w:top="1020" w:right="500" w:bottom="280" w:left="620" w:header="715" w:footer="0" w:gutter="0"/>
          <w:pgNumType w:start="11"/>
          <w:cols w:space="720"/>
        </w:sectPr>
      </w:pPr>
    </w:p>
    <w:p w14:paraId="2A1106ED" w14:textId="77777777" w:rsidR="00C75312" w:rsidRDefault="00C75312">
      <w:pPr>
        <w:pStyle w:val="BodyText"/>
        <w:spacing w:before="2"/>
        <w:rPr>
          <w:sz w:val="28"/>
        </w:rPr>
      </w:pPr>
    </w:p>
    <w:p w14:paraId="6A436F77" w14:textId="77777777" w:rsidR="00C75312" w:rsidRDefault="00BB293A">
      <w:pPr>
        <w:tabs>
          <w:tab w:val="right" w:leader="dot" w:pos="9834"/>
        </w:tabs>
        <w:spacing w:before="90" w:line="480" w:lineRule="auto"/>
        <w:ind w:left="1784" w:right="943" w:hanging="965"/>
        <w:rPr>
          <w:sz w:val="24"/>
        </w:rPr>
      </w:pPr>
      <w:r>
        <w:rPr>
          <w:sz w:val="24"/>
        </w:rPr>
        <w:t>T</w:t>
      </w:r>
      <w:r>
        <w:rPr>
          <w:sz w:val="19"/>
        </w:rPr>
        <w:t xml:space="preserve">ABLE </w:t>
      </w:r>
      <w:r>
        <w:rPr>
          <w:sz w:val="24"/>
        </w:rPr>
        <w:t>15. C</w:t>
      </w:r>
      <w:r>
        <w:rPr>
          <w:sz w:val="19"/>
        </w:rPr>
        <w:t xml:space="preserve">ORRELATES OF CHANGE </w:t>
      </w:r>
      <w:r>
        <w:rPr>
          <w:sz w:val="24"/>
        </w:rPr>
        <w:t xml:space="preserve">(Δ) </w:t>
      </w:r>
      <w:r>
        <w:rPr>
          <w:spacing w:val="-4"/>
          <w:sz w:val="19"/>
        </w:rPr>
        <w:t xml:space="preserve">IN </w:t>
      </w:r>
      <w:r>
        <w:rPr>
          <w:sz w:val="24"/>
        </w:rPr>
        <w:t xml:space="preserve">PM </w:t>
      </w:r>
      <w:r>
        <w:rPr>
          <w:sz w:val="19"/>
        </w:rPr>
        <w:t>AND ONGOING PERFORMANCE</w:t>
      </w:r>
      <w:r>
        <w:rPr>
          <w:sz w:val="24"/>
        </w:rPr>
        <w:t xml:space="preserve">, </w:t>
      </w:r>
      <w:r>
        <w:rPr>
          <w:sz w:val="19"/>
        </w:rPr>
        <w:t>AND ONGOING PERFORMANCE</w:t>
      </w:r>
      <w:r>
        <w:rPr>
          <w:spacing w:val="-3"/>
          <w:sz w:val="19"/>
        </w:rPr>
        <w:t xml:space="preserve"> </w:t>
      </w:r>
      <w:r>
        <w:rPr>
          <w:sz w:val="19"/>
        </w:rPr>
        <w:t>OVERALL</w:t>
      </w:r>
      <w:r>
        <w:rPr>
          <w:sz w:val="19"/>
        </w:rPr>
        <w:tab/>
      </w:r>
      <w:r>
        <w:rPr>
          <w:sz w:val="24"/>
        </w:rPr>
        <w:t>113</w:t>
      </w:r>
    </w:p>
    <w:p w14:paraId="38181002" w14:textId="77777777" w:rsidR="00C75312" w:rsidRDefault="00BB293A">
      <w:pPr>
        <w:tabs>
          <w:tab w:val="right" w:leader="dot" w:pos="9834"/>
        </w:tabs>
        <w:spacing w:line="480" w:lineRule="auto"/>
        <w:ind w:left="1784" w:right="943" w:hanging="965"/>
        <w:rPr>
          <w:sz w:val="24"/>
        </w:rPr>
      </w:pPr>
      <w:r>
        <w:rPr>
          <w:sz w:val="24"/>
        </w:rPr>
        <w:t>T</w:t>
      </w:r>
      <w:r>
        <w:rPr>
          <w:sz w:val="19"/>
        </w:rPr>
        <w:t xml:space="preserve">ABLE </w:t>
      </w:r>
      <w:r>
        <w:rPr>
          <w:sz w:val="24"/>
        </w:rPr>
        <w:t>16. D</w:t>
      </w:r>
      <w:r>
        <w:rPr>
          <w:sz w:val="19"/>
        </w:rPr>
        <w:t xml:space="preserve">ESCRIPTIVES </w:t>
      </w:r>
      <w:r>
        <w:rPr>
          <w:sz w:val="24"/>
        </w:rPr>
        <w:t>(</w:t>
      </w:r>
      <w:r>
        <w:rPr>
          <w:sz w:val="19"/>
        </w:rPr>
        <w:t>MEAN</w:t>
      </w:r>
      <w:r>
        <w:rPr>
          <w:sz w:val="24"/>
        </w:rPr>
        <w:t xml:space="preserve">, SD) </w:t>
      </w:r>
      <w:r>
        <w:rPr>
          <w:sz w:val="19"/>
        </w:rPr>
        <w:t xml:space="preserve">AND RESULTS OF </w:t>
      </w:r>
      <w:r>
        <w:rPr>
          <w:spacing w:val="-3"/>
          <w:sz w:val="19"/>
        </w:rPr>
        <w:t xml:space="preserve">INDEPENDENT </w:t>
      </w:r>
      <w:r>
        <w:rPr>
          <w:sz w:val="19"/>
        </w:rPr>
        <w:t>SAMPLE T</w:t>
      </w:r>
      <w:r>
        <w:rPr>
          <w:sz w:val="24"/>
        </w:rPr>
        <w:t>-</w:t>
      </w:r>
      <w:r>
        <w:rPr>
          <w:sz w:val="19"/>
        </w:rPr>
        <w:t>TESTS OF ALL OUTCOME</w:t>
      </w:r>
      <w:r>
        <w:rPr>
          <w:spacing w:val="-7"/>
          <w:sz w:val="19"/>
        </w:rPr>
        <w:t xml:space="preserve"> </w:t>
      </w:r>
      <w:r>
        <w:rPr>
          <w:sz w:val="19"/>
        </w:rPr>
        <w:t>VARIABLES</w:t>
      </w:r>
      <w:r>
        <w:rPr>
          <w:sz w:val="19"/>
        </w:rPr>
        <w:tab/>
      </w:r>
      <w:r>
        <w:rPr>
          <w:sz w:val="24"/>
        </w:rPr>
        <w:t>137</w:t>
      </w:r>
    </w:p>
    <w:p w14:paraId="0E2AE629" w14:textId="77777777" w:rsidR="00C75312" w:rsidRDefault="00BB293A">
      <w:pPr>
        <w:tabs>
          <w:tab w:val="right" w:leader="dot" w:pos="9834"/>
        </w:tabs>
        <w:spacing w:line="480" w:lineRule="auto"/>
        <w:ind w:left="1784" w:right="943" w:hanging="965"/>
        <w:rPr>
          <w:sz w:val="24"/>
        </w:rPr>
      </w:pPr>
      <w:r>
        <w:rPr>
          <w:sz w:val="24"/>
        </w:rPr>
        <w:t>T</w:t>
      </w:r>
      <w:r>
        <w:rPr>
          <w:sz w:val="19"/>
        </w:rPr>
        <w:t xml:space="preserve">ABLE </w:t>
      </w:r>
      <w:r>
        <w:rPr>
          <w:sz w:val="24"/>
        </w:rPr>
        <w:t>17. I</w:t>
      </w:r>
      <w:r>
        <w:rPr>
          <w:sz w:val="19"/>
        </w:rPr>
        <w:t>NTERCORRELATIONS OF VARIABLES FOR EVENT</w:t>
      </w:r>
      <w:r>
        <w:rPr>
          <w:sz w:val="24"/>
        </w:rPr>
        <w:t>-</w:t>
      </w:r>
      <w:r>
        <w:rPr>
          <w:sz w:val="19"/>
        </w:rPr>
        <w:t xml:space="preserve">BASED </w:t>
      </w:r>
      <w:r>
        <w:rPr>
          <w:sz w:val="24"/>
        </w:rPr>
        <w:t>PM (</w:t>
      </w:r>
      <w:r>
        <w:rPr>
          <w:sz w:val="19"/>
        </w:rPr>
        <w:t xml:space="preserve">N </w:t>
      </w:r>
      <w:r>
        <w:rPr>
          <w:sz w:val="24"/>
        </w:rPr>
        <w:t xml:space="preserve">= 28, </w:t>
      </w:r>
      <w:r>
        <w:rPr>
          <w:sz w:val="19"/>
        </w:rPr>
        <w:t xml:space="preserve">DARK </w:t>
      </w:r>
      <w:r>
        <w:rPr>
          <w:spacing w:val="-3"/>
          <w:sz w:val="19"/>
        </w:rPr>
        <w:t>GREY</w:t>
      </w:r>
      <w:r>
        <w:rPr>
          <w:spacing w:val="-3"/>
          <w:sz w:val="24"/>
        </w:rPr>
        <w:t xml:space="preserve">) </w:t>
      </w:r>
      <w:r>
        <w:rPr>
          <w:sz w:val="19"/>
        </w:rPr>
        <w:t>AND TIME</w:t>
      </w:r>
      <w:r>
        <w:rPr>
          <w:sz w:val="24"/>
        </w:rPr>
        <w:t>-</w:t>
      </w:r>
      <w:r>
        <w:rPr>
          <w:sz w:val="19"/>
        </w:rPr>
        <w:t xml:space="preserve">BASED </w:t>
      </w:r>
      <w:r>
        <w:rPr>
          <w:sz w:val="24"/>
        </w:rPr>
        <w:t>PM (</w:t>
      </w:r>
      <w:r>
        <w:rPr>
          <w:sz w:val="19"/>
        </w:rPr>
        <w:t xml:space="preserve">N </w:t>
      </w:r>
      <w:r>
        <w:rPr>
          <w:sz w:val="24"/>
        </w:rPr>
        <w:t>= 27,</w:t>
      </w:r>
      <w:r>
        <w:rPr>
          <w:spacing w:val="-45"/>
          <w:sz w:val="24"/>
        </w:rPr>
        <w:t xml:space="preserve"> </w:t>
      </w:r>
      <w:r>
        <w:rPr>
          <w:sz w:val="19"/>
        </w:rPr>
        <w:t>LIGHT</w:t>
      </w:r>
      <w:r>
        <w:rPr>
          <w:spacing w:val="3"/>
          <w:sz w:val="19"/>
        </w:rPr>
        <w:t xml:space="preserve"> </w:t>
      </w:r>
      <w:r>
        <w:rPr>
          <w:spacing w:val="-3"/>
          <w:sz w:val="19"/>
        </w:rPr>
        <w:t>GREY</w:t>
      </w:r>
      <w:r>
        <w:rPr>
          <w:spacing w:val="-3"/>
          <w:sz w:val="24"/>
        </w:rPr>
        <w:t>)</w:t>
      </w:r>
      <w:r>
        <w:rPr>
          <w:spacing w:val="-3"/>
          <w:sz w:val="24"/>
        </w:rPr>
        <w:tab/>
      </w:r>
      <w:r>
        <w:rPr>
          <w:sz w:val="24"/>
        </w:rPr>
        <w:t>140</w:t>
      </w:r>
    </w:p>
    <w:p w14:paraId="1ECC66AC" w14:textId="77777777" w:rsidR="00C75312" w:rsidRDefault="00C75312">
      <w:pPr>
        <w:spacing w:line="480" w:lineRule="auto"/>
        <w:rPr>
          <w:sz w:val="24"/>
        </w:rPr>
        <w:sectPr w:rsidR="00C75312">
          <w:pgSz w:w="11900" w:h="16840"/>
          <w:pgMar w:top="1020" w:right="500" w:bottom="280" w:left="620" w:header="715" w:footer="0" w:gutter="0"/>
          <w:cols w:space="720"/>
        </w:sectPr>
      </w:pPr>
    </w:p>
    <w:p w14:paraId="228B9BAB" w14:textId="77777777" w:rsidR="00C75312" w:rsidRDefault="00C75312">
      <w:pPr>
        <w:pStyle w:val="BodyText"/>
        <w:rPr>
          <w:sz w:val="20"/>
        </w:rPr>
      </w:pPr>
    </w:p>
    <w:p w14:paraId="60DFB806" w14:textId="77777777" w:rsidR="00C75312" w:rsidRDefault="00C75312">
      <w:pPr>
        <w:pStyle w:val="BodyText"/>
        <w:spacing w:before="4"/>
        <w:rPr>
          <w:sz w:val="27"/>
        </w:rPr>
      </w:pPr>
    </w:p>
    <w:tbl>
      <w:tblPr>
        <w:tblW w:w="0" w:type="auto"/>
        <w:tblInd w:w="1603" w:type="dxa"/>
        <w:tblLayout w:type="fixed"/>
        <w:tblCellMar>
          <w:left w:w="0" w:type="dxa"/>
          <w:right w:w="0" w:type="dxa"/>
        </w:tblCellMar>
        <w:tblLook w:val="01E0" w:firstRow="1" w:lastRow="1" w:firstColumn="1" w:lastColumn="1" w:noHBand="0" w:noVBand="0"/>
      </w:tblPr>
      <w:tblGrid>
        <w:gridCol w:w="1454"/>
        <w:gridCol w:w="5660"/>
      </w:tblGrid>
      <w:tr w:rsidR="00C75312" w14:paraId="50EF8A94" w14:textId="77777777">
        <w:trPr>
          <w:trHeight w:val="548"/>
        </w:trPr>
        <w:tc>
          <w:tcPr>
            <w:tcW w:w="1454" w:type="dxa"/>
          </w:tcPr>
          <w:p w14:paraId="01A3B445" w14:textId="77777777" w:rsidR="00C75312" w:rsidRDefault="00C75312">
            <w:pPr>
              <w:pStyle w:val="TableParagraph"/>
            </w:pPr>
          </w:p>
        </w:tc>
        <w:tc>
          <w:tcPr>
            <w:tcW w:w="5660" w:type="dxa"/>
          </w:tcPr>
          <w:p w14:paraId="004778BD" w14:textId="77777777" w:rsidR="00C75312" w:rsidRDefault="00BB293A">
            <w:pPr>
              <w:pStyle w:val="TableParagraph"/>
              <w:spacing w:line="266" w:lineRule="exact"/>
              <w:ind w:left="775"/>
              <w:rPr>
                <w:b/>
                <w:sz w:val="24"/>
              </w:rPr>
            </w:pPr>
            <w:r>
              <w:rPr>
                <w:b/>
                <w:sz w:val="24"/>
              </w:rPr>
              <w:t>LIST OF ABBREVIATIONS</w:t>
            </w:r>
          </w:p>
        </w:tc>
      </w:tr>
      <w:tr w:rsidR="00C75312" w14:paraId="15C1DD87" w14:textId="77777777">
        <w:trPr>
          <w:trHeight w:val="751"/>
        </w:trPr>
        <w:tc>
          <w:tcPr>
            <w:tcW w:w="1454" w:type="dxa"/>
          </w:tcPr>
          <w:p w14:paraId="10A443A5" w14:textId="77777777" w:rsidR="00C75312" w:rsidRDefault="00C75312">
            <w:pPr>
              <w:pStyle w:val="TableParagraph"/>
              <w:spacing w:before="7"/>
              <w:rPr>
                <w:sz w:val="23"/>
              </w:rPr>
            </w:pPr>
          </w:p>
          <w:p w14:paraId="08C3BFED" w14:textId="77777777" w:rsidR="00C75312" w:rsidRDefault="00BB293A">
            <w:pPr>
              <w:pStyle w:val="TableParagraph"/>
              <w:ind w:left="50"/>
              <w:rPr>
                <w:sz w:val="24"/>
              </w:rPr>
            </w:pPr>
            <w:r>
              <w:rPr>
                <w:sz w:val="24"/>
              </w:rPr>
              <w:t>ADOS</w:t>
            </w:r>
          </w:p>
        </w:tc>
        <w:tc>
          <w:tcPr>
            <w:tcW w:w="5660" w:type="dxa"/>
          </w:tcPr>
          <w:p w14:paraId="58A6964D" w14:textId="77777777" w:rsidR="00C75312" w:rsidRDefault="00C75312">
            <w:pPr>
              <w:pStyle w:val="TableParagraph"/>
              <w:spacing w:before="7"/>
              <w:rPr>
                <w:sz w:val="23"/>
              </w:rPr>
            </w:pPr>
          </w:p>
          <w:p w14:paraId="09E0F273" w14:textId="77777777" w:rsidR="00C75312" w:rsidRDefault="00BB293A">
            <w:pPr>
              <w:pStyle w:val="TableParagraph"/>
              <w:ind w:left="722"/>
              <w:rPr>
                <w:sz w:val="24"/>
              </w:rPr>
            </w:pPr>
            <w:r>
              <w:rPr>
                <w:sz w:val="24"/>
              </w:rPr>
              <w:t>Autism Diagnostic Observation Schedule</w:t>
            </w:r>
          </w:p>
        </w:tc>
      </w:tr>
      <w:tr w:rsidR="00C75312" w14:paraId="0D421D6E" w14:textId="77777777">
        <w:trPr>
          <w:trHeight w:val="671"/>
        </w:trPr>
        <w:tc>
          <w:tcPr>
            <w:tcW w:w="1454" w:type="dxa"/>
          </w:tcPr>
          <w:p w14:paraId="495C3CEA" w14:textId="77777777" w:rsidR="00C75312" w:rsidRDefault="00BB293A">
            <w:pPr>
              <w:pStyle w:val="TableParagraph"/>
              <w:spacing w:before="193"/>
              <w:ind w:left="50"/>
              <w:rPr>
                <w:sz w:val="24"/>
              </w:rPr>
            </w:pPr>
            <w:r>
              <w:rPr>
                <w:sz w:val="24"/>
              </w:rPr>
              <w:t>AQ</w:t>
            </w:r>
          </w:p>
        </w:tc>
        <w:tc>
          <w:tcPr>
            <w:tcW w:w="5660" w:type="dxa"/>
          </w:tcPr>
          <w:p w14:paraId="7299B1AD" w14:textId="77777777" w:rsidR="00C75312" w:rsidRDefault="00BB293A">
            <w:pPr>
              <w:pStyle w:val="TableParagraph"/>
              <w:spacing w:before="193"/>
              <w:ind w:left="722"/>
              <w:rPr>
                <w:sz w:val="24"/>
              </w:rPr>
            </w:pPr>
            <w:r>
              <w:rPr>
                <w:sz w:val="24"/>
              </w:rPr>
              <w:t>Autism Spectrum Quotient</w:t>
            </w:r>
          </w:p>
        </w:tc>
      </w:tr>
      <w:tr w:rsidR="00C75312" w14:paraId="4CF0424A" w14:textId="77777777">
        <w:trPr>
          <w:trHeight w:val="671"/>
        </w:trPr>
        <w:tc>
          <w:tcPr>
            <w:tcW w:w="1454" w:type="dxa"/>
          </w:tcPr>
          <w:p w14:paraId="3C6FC7DF" w14:textId="77777777" w:rsidR="00C75312" w:rsidRDefault="00BB293A">
            <w:pPr>
              <w:pStyle w:val="TableParagraph"/>
              <w:spacing w:before="193"/>
              <w:ind w:left="50"/>
              <w:rPr>
                <w:sz w:val="24"/>
              </w:rPr>
            </w:pPr>
            <w:r>
              <w:rPr>
                <w:sz w:val="24"/>
              </w:rPr>
              <w:t>ASD</w:t>
            </w:r>
          </w:p>
        </w:tc>
        <w:tc>
          <w:tcPr>
            <w:tcW w:w="5660" w:type="dxa"/>
          </w:tcPr>
          <w:p w14:paraId="275397B8" w14:textId="77777777" w:rsidR="00C75312" w:rsidRDefault="00BB293A">
            <w:pPr>
              <w:pStyle w:val="TableParagraph"/>
              <w:spacing w:before="193"/>
              <w:ind w:left="722"/>
              <w:rPr>
                <w:sz w:val="24"/>
              </w:rPr>
            </w:pPr>
            <w:r>
              <w:rPr>
                <w:sz w:val="24"/>
              </w:rPr>
              <w:t>Autism spectrum disorder</w:t>
            </w:r>
          </w:p>
        </w:tc>
      </w:tr>
      <w:tr w:rsidR="00C75312" w14:paraId="6AA5CB6B" w14:textId="77777777">
        <w:trPr>
          <w:trHeight w:val="672"/>
        </w:trPr>
        <w:tc>
          <w:tcPr>
            <w:tcW w:w="1454" w:type="dxa"/>
          </w:tcPr>
          <w:p w14:paraId="382BDF8F" w14:textId="77777777" w:rsidR="00C75312" w:rsidRDefault="00BB293A">
            <w:pPr>
              <w:pStyle w:val="TableParagraph"/>
              <w:spacing w:before="193"/>
              <w:ind w:left="50"/>
              <w:rPr>
                <w:sz w:val="24"/>
              </w:rPr>
            </w:pPr>
            <w:r>
              <w:rPr>
                <w:sz w:val="24"/>
              </w:rPr>
              <w:t>BRIEF</w:t>
            </w:r>
          </w:p>
        </w:tc>
        <w:tc>
          <w:tcPr>
            <w:tcW w:w="5660" w:type="dxa"/>
          </w:tcPr>
          <w:p w14:paraId="062C4027" w14:textId="77777777" w:rsidR="00C75312" w:rsidRDefault="00BB293A">
            <w:pPr>
              <w:pStyle w:val="TableParagraph"/>
              <w:spacing w:before="193"/>
              <w:ind w:left="722"/>
              <w:rPr>
                <w:sz w:val="24"/>
              </w:rPr>
            </w:pPr>
            <w:proofErr w:type="spellStart"/>
            <w:r>
              <w:rPr>
                <w:sz w:val="24"/>
              </w:rPr>
              <w:t>Behaviour</w:t>
            </w:r>
            <w:proofErr w:type="spellEnd"/>
            <w:r>
              <w:rPr>
                <w:sz w:val="24"/>
              </w:rPr>
              <w:t xml:space="preserve"> Rating Inventory of Executive Function</w:t>
            </w:r>
          </w:p>
        </w:tc>
      </w:tr>
      <w:tr w:rsidR="00C75312" w14:paraId="7D9D2D5C" w14:textId="77777777">
        <w:trPr>
          <w:trHeight w:val="671"/>
        </w:trPr>
        <w:tc>
          <w:tcPr>
            <w:tcW w:w="1454" w:type="dxa"/>
          </w:tcPr>
          <w:p w14:paraId="7579AB00" w14:textId="77777777" w:rsidR="00C75312" w:rsidRDefault="00BB293A">
            <w:pPr>
              <w:pStyle w:val="TableParagraph"/>
              <w:spacing w:before="193"/>
              <w:ind w:left="50"/>
              <w:rPr>
                <w:sz w:val="24"/>
              </w:rPr>
            </w:pPr>
            <w:r>
              <w:rPr>
                <w:sz w:val="24"/>
              </w:rPr>
              <w:t>EBPM</w:t>
            </w:r>
          </w:p>
        </w:tc>
        <w:tc>
          <w:tcPr>
            <w:tcW w:w="5660" w:type="dxa"/>
          </w:tcPr>
          <w:p w14:paraId="57A204C0" w14:textId="77777777" w:rsidR="00C75312" w:rsidRDefault="00BB293A">
            <w:pPr>
              <w:pStyle w:val="TableParagraph"/>
              <w:spacing w:before="193"/>
              <w:ind w:left="722"/>
              <w:rPr>
                <w:sz w:val="24"/>
              </w:rPr>
            </w:pPr>
            <w:r>
              <w:rPr>
                <w:sz w:val="24"/>
              </w:rPr>
              <w:t>Event-based prospective memory</w:t>
            </w:r>
          </w:p>
        </w:tc>
      </w:tr>
      <w:tr w:rsidR="00C75312" w14:paraId="29931B0B" w14:textId="77777777">
        <w:trPr>
          <w:trHeight w:val="672"/>
        </w:trPr>
        <w:tc>
          <w:tcPr>
            <w:tcW w:w="1454" w:type="dxa"/>
          </w:tcPr>
          <w:p w14:paraId="11E22D0B" w14:textId="77777777" w:rsidR="00C75312" w:rsidRDefault="00BB293A">
            <w:pPr>
              <w:pStyle w:val="TableParagraph"/>
              <w:spacing w:before="193"/>
              <w:ind w:left="50"/>
              <w:rPr>
                <w:sz w:val="24"/>
              </w:rPr>
            </w:pPr>
            <w:r>
              <w:rPr>
                <w:sz w:val="24"/>
              </w:rPr>
              <w:t>ES</w:t>
            </w:r>
          </w:p>
        </w:tc>
        <w:tc>
          <w:tcPr>
            <w:tcW w:w="5660" w:type="dxa"/>
          </w:tcPr>
          <w:p w14:paraId="2CE6B3F9" w14:textId="77777777" w:rsidR="00C75312" w:rsidRDefault="00BB293A">
            <w:pPr>
              <w:pStyle w:val="TableParagraph"/>
              <w:spacing w:before="193"/>
              <w:ind w:left="722"/>
              <w:rPr>
                <w:sz w:val="24"/>
              </w:rPr>
            </w:pPr>
            <w:r>
              <w:rPr>
                <w:sz w:val="24"/>
              </w:rPr>
              <w:t>Effect size</w:t>
            </w:r>
          </w:p>
        </w:tc>
      </w:tr>
      <w:tr w:rsidR="00C75312" w14:paraId="02AB85DE" w14:textId="77777777">
        <w:trPr>
          <w:trHeight w:val="671"/>
        </w:trPr>
        <w:tc>
          <w:tcPr>
            <w:tcW w:w="1454" w:type="dxa"/>
          </w:tcPr>
          <w:p w14:paraId="0B8148B2" w14:textId="77777777" w:rsidR="00C75312" w:rsidRDefault="00BB293A">
            <w:pPr>
              <w:pStyle w:val="TableParagraph"/>
              <w:spacing w:before="193"/>
              <w:ind w:left="50"/>
              <w:rPr>
                <w:sz w:val="24"/>
              </w:rPr>
            </w:pPr>
            <w:r>
              <w:rPr>
                <w:sz w:val="24"/>
              </w:rPr>
              <w:t>IA</w:t>
            </w:r>
          </w:p>
        </w:tc>
        <w:tc>
          <w:tcPr>
            <w:tcW w:w="5660" w:type="dxa"/>
          </w:tcPr>
          <w:p w14:paraId="79CE8404" w14:textId="77777777" w:rsidR="00C75312" w:rsidRDefault="00BB293A">
            <w:pPr>
              <w:pStyle w:val="TableParagraph"/>
              <w:spacing w:before="193"/>
              <w:ind w:left="722"/>
              <w:rPr>
                <w:sz w:val="24"/>
              </w:rPr>
            </w:pPr>
            <w:r>
              <w:rPr>
                <w:sz w:val="24"/>
              </w:rPr>
              <w:t>Interoceptive accuracy</w:t>
            </w:r>
          </w:p>
        </w:tc>
      </w:tr>
      <w:tr w:rsidR="00C75312" w14:paraId="22F02BAE" w14:textId="77777777">
        <w:trPr>
          <w:trHeight w:val="671"/>
        </w:trPr>
        <w:tc>
          <w:tcPr>
            <w:tcW w:w="1454" w:type="dxa"/>
          </w:tcPr>
          <w:p w14:paraId="093B453B" w14:textId="77777777" w:rsidR="00C75312" w:rsidRDefault="00BB293A">
            <w:pPr>
              <w:pStyle w:val="TableParagraph"/>
              <w:spacing w:before="193"/>
              <w:ind w:left="50"/>
              <w:rPr>
                <w:sz w:val="24"/>
              </w:rPr>
            </w:pPr>
            <w:r>
              <w:rPr>
                <w:sz w:val="24"/>
              </w:rPr>
              <w:t>ISI</w:t>
            </w:r>
          </w:p>
        </w:tc>
        <w:tc>
          <w:tcPr>
            <w:tcW w:w="5660" w:type="dxa"/>
          </w:tcPr>
          <w:p w14:paraId="41DBA906" w14:textId="77777777" w:rsidR="00C75312" w:rsidRDefault="00BB293A">
            <w:pPr>
              <w:pStyle w:val="TableParagraph"/>
              <w:spacing w:before="193"/>
              <w:ind w:left="722"/>
              <w:rPr>
                <w:sz w:val="24"/>
              </w:rPr>
            </w:pPr>
            <w:r>
              <w:rPr>
                <w:sz w:val="24"/>
              </w:rPr>
              <w:t>Inter-stimulus interval</w:t>
            </w:r>
          </w:p>
        </w:tc>
      </w:tr>
      <w:tr w:rsidR="00C75312" w14:paraId="0CACCD2A" w14:textId="77777777">
        <w:trPr>
          <w:trHeight w:val="672"/>
        </w:trPr>
        <w:tc>
          <w:tcPr>
            <w:tcW w:w="1454" w:type="dxa"/>
          </w:tcPr>
          <w:p w14:paraId="72C87AF7" w14:textId="77777777" w:rsidR="00C75312" w:rsidRDefault="00BB293A">
            <w:pPr>
              <w:pStyle w:val="TableParagraph"/>
              <w:spacing w:before="193"/>
              <w:ind w:left="50"/>
              <w:rPr>
                <w:sz w:val="24"/>
              </w:rPr>
            </w:pPr>
            <w:r>
              <w:rPr>
                <w:sz w:val="24"/>
              </w:rPr>
              <w:t>NT</w:t>
            </w:r>
          </w:p>
        </w:tc>
        <w:tc>
          <w:tcPr>
            <w:tcW w:w="5660" w:type="dxa"/>
          </w:tcPr>
          <w:p w14:paraId="10223DE2" w14:textId="77777777" w:rsidR="00C75312" w:rsidRDefault="00BB293A">
            <w:pPr>
              <w:pStyle w:val="TableParagraph"/>
              <w:spacing w:before="193"/>
              <w:ind w:left="722"/>
              <w:rPr>
                <w:sz w:val="24"/>
              </w:rPr>
            </w:pPr>
            <w:r>
              <w:rPr>
                <w:sz w:val="24"/>
              </w:rPr>
              <w:t>Neurotypical</w:t>
            </w:r>
          </w:p>
        </w:tc>
      </w:tr>
      <w:tr w:rsidR="00C75312" w14:paraId="713A32C6" w14:textId="77777777">
        <w:trPr>
          <w:trHeight w:val="672"/>
        </w:trPr>
        <w:tc>
          <w:tcPr>
            <w:tcW w:w="1454" w:type="dxa"/>
          </w:tcPr>
          <w:p w14:paraId="5C47715D" w14:textId="77777777" w:rsidR="00C75312" w:rsidRDefault="00BB293A">
            <w:pPr>
              <w:pStyle w:val="TableParagraph"/>
              <w:spacing w:before="193"/>
              <w:ind w:left="50"/>
              <w:rPr>
                <w:sz w:val="24"/>
              </w:rPr>
            </w:pPr>
            <w:r>
              <w:rPr>
                <w:sz w:val="24"/>
              </w:rPr>
              <w:t>PM</w:t>
            </w:r>
          </w:p>
        </w:tc>
        <w:tc>
          <w:tcPr>
            <w:tcW w:w="5660" w:type="dxa"/>
          </w:tcPr>
          <w:p w14:paraId="3BD4E3F6" w14:textId="77777777" w:rsidR="00C75312" w:rsidRDefault="00BB293A">
            <w:pPr>
              <w:pStyle w:val="TableParagraph"/>
              <w:spacing w:before="193"/>
              <w:ind w:left="722"/>
              <w:rPr>
                <w:sz w:val="24"/>
              </w:rPr>
            </w:pPr>
            <w:r>
              <w:rPr>
                <w:sz w:val="24"/>
              </w:rPr>
              <w:t>Prospective memory</w:t>
            </w:r>
          </w:p>
        </w:tc>
      </w:tr>
      <w:tr w:rsidR="00C75312" w14:paraId="5B4A86E0" w14:textId="77777777">
        <w:trPr>
          <w:trHeight w:val="671"/>
        </w:trPr>
        <w:tc>
          <w:tcPr>
            <w:tcW w:w="1454" w:type="dxa"/>
          </w:tcPr>
          <w:p w14:paraId="60BAD109" w14:textId="77777777" w:rsidR="00C75312" w:rsidRDefault="00BB293A">
            <w:pPr>
              <w:pStyle w:val="TableParagraph"/>
              <w:spacing w:before="193"/>
              <w:ind w:left="50"/>
              <w:rPr>
                <w:sz w:val="24"/>
              </w:rPr>
            </w:pPr>
            <w:r>
              <w:rPr>
                <w:sz w:val="24"/>
              </w:rPr>
              <w:t>PRMQ</w:t>
            </w:r>
          </w:p>
        </w:tc>
        <w:tc>
          <w:tcPr>
            <w:tcW w:w="5660" w:type="dxa"/>
          </w:tcPr>
          <w:p w14:paraId="79F230E4" w14:textId="77777777" w:rsidR="00C75312" w:rsidRDefault="00BB293A">
            <w:pPr>
              <w:pStyle w:val="TableParagraph"/>
              <w:spacing w:before="193"/>
              <w:ind w:left="722"/>
              <w:rPr>
                <w:sz w:val="24"/>
              </w:rPr>
            </w:pPr>
            <w:r>
              <w:rPr>
                <w:sz w:val="24"/>
              </w:rPr>
              <w:t>Prospective-Retrospective Memory Questionnaire</w:t>
            </w:r>
          </w:p>
        </w:tc>
      </w:tr>
      <w:tr w:rsidR="00C75312" w14:paraId="74B50FFE" w14:textId="77777777">
        <w:trPr>
          <w:trHeight w:val="672"/>
        </w:trPr>
        <w:tc>
          <w:tcPr>
            <w:tcW w:w="1454" w:type="dxa"/>
          </w:tcPr>
          <w:p w14:paraId="55251684" w14:textId="77777777" w:rsidR="00C75312" w:rsidRDefault="00BB293A">
            <w:pPr>
              <w:pStyle w:val="TableParagraph"/>
              <w:spacing w:before="193"/>
              <w:ind w:left="50"/>
              <w:rPr>
                <w:sz w:val="24"/>
              </w:rPr>
            </w:pPr>
            <w:proofErr w:type="spellStart"/>
            <w:r>
              <w:rPr>
                <w:sz w:val="24"/>
              </w:rPr>
              <w:t>rPFC</w:t>
            </w:r>
            <w:proofErr w:type="spellEnd"/>
          </w:p>
        </w:tc>
        <w:tc>
          <w:tcPr>
            <w:tcW w:w="5660" w:type="dxa"/>
          </w:tcPr>
          <w:p w14:paraId="0ADDA950" w14:textId="77777777" w:rsidR="00C75312" w:rsidRDefault="00BB293A">
            <w:pPr>
              <w:pStyle w:val="TableParagraph"/>
              <w:spacing w:before="193"/>
              <w:ind w:left="722"/>
              <w:rPr>
                <w:sz w:val="24"/>
              </w:rPr>
            </w:pPr>
            <w:r>
              <w:rPr>
                <w:sz w:val="24"/>
              </w:rPr>
              <w:t>Rostral prefrontal cortex</w:t>
            </w:r>
          </w:p>
        </w:tc>
      </w:tr>
      <w:tr w:rsidR="00C75312" w14:paraId="5B39484A" w14:textId="77777777">
        <w:trPr>
          <w:trHeight w:val="672"/>
        </w:trPr>
        <w:tc>
          <w:tcPr>
            <w:tcW w:w="1454" w:type="dxa"/>
          </w:tcPr>
          <w:p w14:paraId="61336A60" w14:textId="77777777" w:rsidR="00C75312" w:rsidRDefault="00BB293A">
            <w:pPr>
              <w:pStyle w:val="TableParagraph"/>
              <w:spacing w:before="193"/>
              <w:ind w:left="50"/>
              <w:rPr>
                <w:sz w:val="24"/>
              </w:rPr>
            </w:pPr>
            <w:r>
              <w:rPr>
                <w:sz w:val="24"/>
              </w:rPr>
              <w:t>SRS</w:t>
            </w:r>
          </w:p>
        </w:tc>
        <w:tc>
          <w:tcPr>
            <w:tcW w:w="5660" w:type="dxa"/>
          </w:tcPr>
          <w:p w14:paraId="0C84BC52" w14:textId="77777777" w:rsidR="00C75312" w:rsidRDefault="00BB293A">
            <w:pPr>
              <w:pStyle w:val="TableParagraph"/>
              <w:spacing w:before="193"/>
              <w:ind w:left="722"/>
              <w:rPr>
                <w:sz w:val="24"/>
              </w:rPr>
            </w:pPr>
            <w:r>
              <w:rPr>
                <w:sz w:val="24"/>
              </w:rPr>
              <w:t>Social Responsiveness Scale</w:t>
            </w:r>
          </w:p>
        </w:tc>
      </w:tr>
      <w:tr w:rsidR="00C75312" w14:paraId="47B4B74B" w14:textId="77777777">
        <w:trPr>
          <w:trHeight w:val="671"/>
        </w:trPr>
        <w:tc>
          <w:tcPr>
            <w:tcW w:w="1454" w:type="dxa"/>
          </w:tcPr>
          <w:p w14:paraId="3F97290E" w14:textId="77777777" w:rsidR="00C75312" w:rsidRDefault="00BB293A">
            <w:pPr>
              <w:pStyle w:val="TableParagraph"/>
              <w:spacing w:before="193"/>
              <w:ind w:left="50"/>
              <w:rPr>
                <w:sz w:val="24"/>
              </w:rPr>
            </w:pPr>
            <w:r>
              <w:rPr>
                <w:sz w:val="24"/>
              </w:rPr>
              <w:t>TBPM</w:t>
            </w:r>
          </w:p>
        </w:tc>
        <w:tc>
          <w:tcPr>
            <w:tcW w:w="5660" w:type="dxa"/>
          </w:tcPr>
          <w:p w14:paraId="250EE6B0" w14:textId="77777777" w:rsidR="00C75312" w:rsidRDefault="00BB293A">
            <w:pPr>
              <w:pStyle w:val="TableParagraph"/>
              <w:spacing w:before="193"/>
              <w:ind w:left="722"/>
              <w:rPr>
                <w:sz w:val="24"/>
              </w:rPr>
            </w:pPr>
            <w:r>
              <w:rPr>
                <w:sz w:val="24"/>
              </w:rPr>
              <w:t>Time-based prospective memory</w:t>
            </w:r>
          </w:p>
        </w:tc>
      </w:tr>
      <w:tr w:rsidR="00C75312" w14:paraId="2038ADF5" w14:textId="77777777">
        <w:trPr>
          <w:trHeight w:val="671"/>
        </w:trPr>
        <w:tc>
          <w:tcPr>
            <w:tcW w:w="1454" w:type="dxa"/>
          </w:tcPr>
          <w:p w14:paraId="7AE88B6A" w14:textId="77777777" w:rsidR="00C75312" w:rsidRDefault="00BB293A">
            <w:pPr>
              <w:pStyle w:val="TableParagraph"/>
              <w:spacing w:before="193"/>
              <w:ind w:left="50"/>
              <w:rPr>
                <w:sz w:val="24"/>
              </w:rPr>
            </w:pPr>
            <w:r>
              <w:rPr>
                <w:sz w:val="24"/>
              </w:rPr>
              <w:t>TAS</w:t>
            </w:r>
          </w:p>
        </w:tc>
        <w:tc>
          <w:tcPr>
            <w:tcW w:w="5660" w:type="dxa"/>
          </w:tcPr>
          <w:p w14:paraId="4639532D" w14:textId="77777777" w:rsidR="00C75312" w:rsidRDefault="00BB293A">
            <w:pPr>
              <w:pStyle w:val="TableParagraph"/>
              <w:spacing w:before="193"/>
              <w:ind w:left="722"/>
              <w:rPr>
                <w:sz w:val="24"/>
              </w:rPr>
            </w:pPr>
            <w:r>
              <w:rPr>
                <w:sz w:val="24"/>
              </w:rPr>
              <w:t>Toronto Alexithymia Scale</w:t>
            </w:r>
          </w:p>
        </w:tc>
      </w:tr>
      <w:tr w:rsidR="00C75312" w14:paraId="2AA668E7" w14:textId="77777777">
        <w:trPr>
          <w:trHeight w:val="468"/>
        </w:trPr>
        <w:tc>
          <w:tcPr>
            <w:tcW w:w="1454" w:type="dxa"/>
          </w:tcPr>
          <w:p w14:paraId="397643DB" w14:textId="77777777" w:rsidR="00C75312" w:rsidRDefault="00BB293A">
            <w:pPr>
              <w:pStyle w:val="TableParagraph"/>
              <w:spacing w:before="193" w:line="256" w:lineRule="exact"/>
              <w:ind w:left="50"/>
              <w:rPr>
                <w:sz w:val="24"/>
              </w:rPr>
            </w:pPr>
            <w:r>
              <w:rPr>
                <w:sz w:val="24"/>
              </w:rPr>
              <w:t>WASI</w:t>
            </w:r>
          </w:p>
        </w:tc>
        <w:tc>
          <w:tcPr>
            <w:tcW w:w="5660" w:type="dxa"/>
          </w:tcPr>
          <w:p w14:paraId="0915F6B6" w14:textId="77777777" w:rsidR="00C75312" w:rsidRDefault="00BB293A">
            <w:pPr>
              <w:pStyle w:val="TableParagraph"/>
              <w:spacing w:before="193" w:line="256" w:lineRule="exact"/>
              <w:ind w:left="722"/>
              <w:rPr>
                <w:sz w:val="24"/>
              </w:rPr>
            </w:pPr>
            <w:r>
              <w:rPr>
                <w:sz w:val="24"/>
              </w:rPr>
              <w:t>Wechsler Abbreviated Scale of Intelligence</w:t>
            </w:r>
          </w:p>
        </w:tc>
      </w:tr>
    </w:tbl>
    <w:p w14:paraId="4D133604" w14:textId="77777777" w:rsidR="00C75312" w:rsidRDefault="00C75312">
      <w:pPr>
        <w:spacing w:line="256" w:lineRule="exact"/>
        <w:rPr>
          <w:sz w:val="24"/>
        </w:rPr>
        <w:sectPr w:rsidR="00C75312">
          <w:headerReference w:type="default" r:id="rId15"/>
          <w:pgSz w:w="11900" w:h="16840"/>
          <w:pgMar w:top="1020" w:right="500" w:bottom="280" w:left="620" w:header="715" w:footer="0" w:gutter="0"/>
          <w:cols w:space="720"/>
        </w:sectPr>
      </w:pPr>
    </w:p>
    <w:p w14:paraId="750C17F5" w14:textId="77777777" w:rsidR="00C75312" w:rsidRDefault="00C75312">
      <w:pPr>
        <w:pStyle w:val="BodyText"/>
        <w:rPr>
          <w:sz w:val="20"/>
        </w:rPr>
      </w:pPr>
    </w:p>
    <w:p w14:paraId="6C001068" w14:textId="77777777" w:rsidR="00C75312" w:rsidRDefault="00C75312">
      <w:pPr>
        <w:pStyle w:val="BodyText"/>
        <w:spacing w:before="1"/>
        <w:rPr>
          <w:sz w:val="23"/>
        </w:rPr>
      </w:pPr>
    </w:p>
    <w:p w14:paraId="5982501A" w14:textId="77777777" w:rsidR="00C75312" w:rsidRDefault="00BB293A">
      <w:pPr>
        <w:pStyle w:val="Heading1"/>
        <w:ind w:left="820" w:right="937"/>
        <w:jc w:val="center"/>
      </w:pPr>
      <w:bookmarkStart w:id="4" w:name="_TOC_250029"/>
      <w:bookmarkEnd w:id="4"/>
      <w:r>
        <w:t>ABSTRACT</w:t>
      </w:r>
    </w:p>
    <w:p w14:paraId="7747EC0E" w14:textId="77777777" w:rsidR="00C75312" w:rsidRDefault="00C75312">
      <w:pPr>
        <w:pStyle w:val="BodyText"/>
        <w:rPr>
          <w:b/>
          <w:sz w:val="26"/>
        </w:rPr>
      </w:pPr>
    </w:p>
    <w:p w14:paraId="1D37C388" w14:textId="77777777" w:rsidR="00C75312" w:rsidRDefault="00C75312">
      <w:pPr>
        <w:pStyle w:val="BodyText"/>
        <w:spacing w:before="2"/>
        <w:rPr>
          <w:b/>
          <w:sz w:val="22"/>
        </w:rPr>
      </w:pPr>
    </w:p>
    <w:p w14:paraId="7F55085A" w14:textId="77777777" w:rsidR="00C75312" w:rsidRDefault="00BB293A">
      <w:pPr>
        <w:pStyle w:val="BodyText"/>
        <w:spacing w:before="1" w:line="480" w:lineRule="auto"/>
        <w:ind w:left="820" w:right="928" w:firstLine="720"/>
        <w:jc w:val="both"/>
      </w:pPr>
      <w:r>
        <w:t xml:space="preserve">Prospective memory (PM) </w:t>
      </w:r>
      <w:r>
        <w:rPr>
          <w:spacing w:val="-3"/>
        </w:rPr>
        <w:t xml:space="preserve">or </w:t>
      </w:r>
      <w:r>
        <w:t>memory for delayed intentions refers to the ability to remember to carry out a planned intention at an appropriate moment in the future. Autism spectrum</w:t>
      </w:r>
      <w:r>
        <w:rPr>
          <w:spacing w:val="-10"/>
        </w:rPr>
        <w:t xml:space="preserve"> </w:t>
      </w:r>
      <w:r>
        <w:t>disorder</w:t>
      </w:r>
      <w:r>
        <w:rPr>
          <w:spacing w:val="-8"/>
        </w:rPr>
        <w:t xml:space="preserve"> </w:t>
      </w:r>
      <w:r>
        <w:t>(ASD)</w:t>
      </w:r>
      <w:r>
        <w:rPr>
          <w:spacing w:val="-13"/>
        </w:rPr>
        <w:t xml:space="preserve"> </w:t>
      </w:r>
      <w:r>
        <w:t>is</w:t>
      </w:r>
      <w:r>
        <w:rPr>
          <w:spacing w:val="-12"/>
        </w:rPr>
        <w:t xml:space="preserve"> </w:t>
      </w:r>
      <w:r>
        <w:t>a</w:t>
      </w:r>
      <w:r>
        <w:rPr>
          <w:spacing w:val="-12"/>
        </w:rPr>
        <w:t xml:space="preserve"> </w:t>
      </w:r>
      <w:r>
        <w:t>neurodevelopmental</w:t>
      </w:r>
      <w:r>
        <w:rPr>
          <w:spacing w:val="-14"/>
        </w:rPr>
        <w:t xml:space="preserve"> </w:t>
      </w:r>
      <w:r>
        <w:t>disorder</w:t>
      </w:r>
      <w:r>
        <w:rPr>
          <w:spacing w:val="-8"/>
        </w:rPr>
        <w:t xml:space="preserve"> </w:t>
      </w:r>
      <w:proofErr w:type="spellStart"/>
      <w:r>
        <w:t>characterised</w:t>
      </w:r>
      <w:proofErr w:type="spellEnd"/>
      <w:r>
        <w:rPr>
          <w:spacing w:val="-10"/>
        </w:rPr>
        <w:t xml:space="preserve"> </w:t>
      </w:r>
      <w:r>
        <w:t>by</w:t>
      </w:r>
      <w:r>
        <w:rPr>
          <w:spacing w:val="-11"/>
        </w:rPr>
        <w:t xml:space="preserve"> </w:t>
      </w:r>
      <w:r>
        <w:t>a</w:t>
      </w:r>
      <w:r>
        <w:rPr>
          <w:spacing w:val="-11"/>
        </w:rPr>
        <w:t xml:space="preserve"> </w:t>
      </w:r>
      <w:r>
        <w:t>cognitive</w:t>
      </w:r>
      <w:r>
        <w:rPr>
          <w:spacing w:val="-11"/>
        </w:rPr>
        <w:t xml:space="preserve"> </w:t>
      </w:r>
      <w:r>
        <w:t xml:space="preserve">profile of strengths and weaknesses, which suggest that PM may be a challenge for individuals with this condition. A small group of studies investigating PM in ASD have produced heterogeneous evidence. Thus, the aim </w:t>
      </w:r>
      <w:r>
        <w:rPr>
          <w:spacing w:val="-3"/>
        </w:rPr>
        <w:t xml:space="preserve">of </w:t>
      </w:r>
      <w:r>
        <w:t>this thesis was to advance our understanding of</w:t>
      </w:r>
      <w:r>
        <w:rPr>
          <w:spacing w:val="-39"/>
        </w:rPr>
        <w:t xml:space="preserve"> </w:t>
      </w:r>
      <w:r>
        <w:t>PM abilities in</w:t>
      </w:r>
      <w:r>
        <w:t xml:space="preserve"> ASD. Based on a meta-analysis as well as a thorough review of the existing literature,</w:t>
      </w:r>
      <w:r>
        <w:rPr>
          <w:spacing w:val="-7"/>
        </w:rPr>
        <w:t xml:space="preserve"> </w:t>
      </w:r>
      <w:r>
        <w:t>the</w:t>
      </w:r>
      <w:r>
        <w:rPr>
          <w:spacing w:val="-15"/>
        </w:rPr>
        <w:t xml:space="preserve"> </w:t>
      </w:r>
      <w:r>
        <w:t>experiments</w:t>
      </w:r>
      <w:r>
        <w:rPr>
          <w:spacing w:val="-11"/>
        </w:rPr>
        <w:t xml:space="preserve"> </w:t>
      </w:r>
      <w:r>
        <w:t>in</w:t>
      </w:r>
      <w:r>
        <w:rPr>
          <w:spacing w:val="-10"/>
        </w:rPr>
        <w:t xml:space="preserve"> </w:t>
      </w:r>
      <w:r>
        <w:t>this</w:t>
      </w:r>
      <w:r>
        <w:rPr>
          <w:spacing w:val="-12"/>
        </w:rPr>
        <w:t xml:space="preserve"> </w:t>
      </w:r>
      <w:r>
        <w:t>thesis</w:t>
      </w:r>
      <w:r>
        <w:rPr>
          <w:spacing w:val="-11"/>
        </w:rPr>
        <w:t xml:space="preserve"> </w:t>
      </w:r>
      <w:r>
        <w:t>targeted</w:t>
      </w:r>
      <w:r>
        <w:rPr>
          <w:spacing w:val="-10"/>
        </w:rPr>
        <w:t xml:space="preserve"> </w:t>
      </w:r>
      <w:r>
        <w:t>two</w:t>
      </w:r>
      <w:r>
        <w:rPr>
          <w:spacing w:val="-10"/>
        </w:rPr>
        <w:t xml:space="preserve"> </w:t>
      </w:r>
      <w:r>
        <w:t>main</w:t>
      </w:r>
      <w:r>
        <w:rPr>
          <w:spacing w:val="-9"/>
        </w:rPr>
        <w:t xml:space="preserve"> </w:t>
      </w:r>
      <w:r>
        <w:t>questions.</w:t>
      </w:r>
      <w:r>
        <w:rPr>
          <w:spacing w:val="44"/>
        </w:rPr>
        <w:t xml:space="preserve"> </w:t>
      </w:r>
      <w:r>
        <w:t>(1)</w:t>
      </w:r>
      <w:r>
        <w:rPr>
          <w:spacing w:val="-12"/>
        </w:rPr>
        <w:t xml:space="preserve"> </w:t>
      </w:r>
      <w:r>
        <w:t>What</w:t>
      </w:r>
      <w:r>
        <w:rPr>
          <w:spacing w:val="-9"/>
        </w:rPr>
        <w:t xml:space="preserve"> </w:t>
      </w:r>
      <w:r>
        <w:t>underpins</w:t>
      </w:r>
      <w:r>
        <w:rPr>
          <w:spacing w:val="-11"/>
        </w:rPr>
        <w:t xml:space="preserve"> </w:t>
      </w:r>
      <w:r>
        <w:t xml:space="preserve">time- based PM problems in ASD and how could they be addressed? (2) Is event-based PM in ASD impaired </w:t>
      </w:r>
      <w:r>
        <w:rPr>
          <w:spacing w:val="-3"/>
        </w:rPr>
        <w:t xml:space="preserve">or </w:t>
      </w:r>
      <w:r>
        <w:t xml:space="preserve">spared? The findings in this thesis indicate that ASD is </w:t>
      </w:r>
      <w:proofErr w:type="spellStart"/>
      <w:r>
        <w:t>characterised</w:t>
      </w:r>
      <w:proofErr w:type="spellEnd"/>
      <w:r>
        <w:t xml:space="preserve"> by time- based</w:t>
      </w:r>
      <w:r>
        <w:rPr>
          <w:spacing w:val="-6"/>
        </w:rPr>
        <w:t xml:space="preserve"> </w:t>
      </w:r>
      <w:r>
        <w:t>PM</w:t>
      </w:r>
      <w:r>
        <w:rPr>
          <w:spacing w:val="-7"/>
        </w:rPr>
        <w:t xml:space="preserve"> </w:t>
      </w:r>
      <w:r>
        <w:t>impairments,</w:t>
      </w:r>
      <w:r>
        <w:rPr>
          <w:spacing w:val="-7"/>
        </w:rPr>
        <w:t xml:space="preserve"> </w:t>
      </w:r>
      <w:r>
        <w:t>which</w:t>
      </w:r>
      <w:r>
        <w:rPr>
          <w:spacing w:val="-5"/>
        </w:rPr>
        <w:t xml:space="preserve"> </w:t>
      </w:r>
      <w:r>
        <w:t>were</w:t>
      </w:r>
      <w:r>
        <w:rPr>
          <w:spacing w:val="-11"/>
        </w:rPr>
        <w:t xml:space="preserve"> </w:t>
      </w:r>
      <w:r>
        <w:t>related</w:t>
      </w:r>
      <w:r>
        <w:rPr>
          <w:spacing w:val="-9"/>
        </w:rPr>
        <w:t xml:space="preserve"> </w:t>
      </w:r>
      <w:r>
        <w:t>to</w:t>
      </w:r>
      <w:r>
        <w:rPr>
          <w:spacing w:val="-10"/>
        </w:rPr>
        <w:t xml:space="preserve"> </w:t>
      </w:r>
      <w:r>
        <w:t>executive</w:t>
      </w:r>
      <w:r>
        <w:rPr>
          <w:spacing w:val="-6"/>
        </w:rPr>
        <w:t xml:space="preserve"> </w:t>
      </w:r>
      <w:r>
        <w:t>functioning,</w:t>
      </w:r>
      <w:r>
        <w:rPr>
          <w:spacing w:val="-7"/>
        </w:rPr>
        <w:t xml:space="preserve"> </w:t>
      </w:r>
      <w:r>
        <w:t>on</w:t>
      </w:r>
      <w:r>
        <w:rPr>
          <w:spacing w:val="-6"/>
        </w:rPr>
        <w:t xml:space="preserve"> </w:t>
      </w:r>
      <w:r>
        <w:t>the</w:t>
      </w:r>
      <w:r>
        <w:rPr>
          <w:spacing w:val="-10"/>
        </w:rPr>
        <w:t xml:space="preserve"> </w:t>
      </w:r>
      <w:r>
        <w:t>one</w:t>
      </w:r>
      <w:r>
        <w:rPr>
          <w:spacing w:val="-11"/>
        </w:rPr>
        <w:t xml:space="preserve"> </w:t>
      </w:r>
      <w:r>
        <w:t>hand,</w:t>
      </w:r>
      <w:r>
        <w:rPr>
          <w:spacing w:val="-7"/>
        </w:rPr>
        <w:t xml:space="preserve"> </w:t>
      </w:r>
      <w:r>
        <w:t xml:space="preserve">whereas on the other hand event-based </w:t>
      </w:r>
      <w:r>
        <w:rPr>
          <w:spacing w:val="2"/>
        </w:rPr>
        <w:t xml:space="preserve">PM </w:t>
      </w:r>
      <w:r>
        <w:t>abilities remain spared. The theoretical and practical implications of these results, as well as directions for future research are</w:t>
      </w:r>
      <w:r>
        <w:rPr>
          <w:spacing w:val="-4"/>
        </w:rPr>
        <w:t xml:space="preserve"> </w:t>
      </w:r>
      <w:r>
        <w:t>discussed.</w:t>
      </w:r>
    </w:p>
    <w:p w14:paraId="7C2E5DA0" w14:textId="77777777" w:rsidR="00C75312" w:rsidRDefault="00C75312">
      <w:pPr>
        <w:spacing w:line="480" w:lineRule="auto"/>
        <w:jc w:val="both"/>
        <w:sectPr w:rsidR="00C75312">
          <w:headerReference w:type="default" r:id="rId16"/>
          <w:pgSz w:w="11900" w:h="16840"/>
          <w:pgMar w:top="1020" w:right="500" w:bottom="280" w:left="620" w:header="715" w:footer="0" w:gutter="0"/>
          <w:cols w:space="720"/>
        </w:sectPr>
      </w:pPr>
    </w:p>
    <w:p w14:paraId="19CAC9EC" w14:textId="77777777" w:rsidR="00C75312" w:rsidRDefault="00C75312">
      <w:pPr>
        <w:pStyle w:val="BodyText"/>
        <w:rPr>
          <w:sz w:val="20"/>
        </w:rPr>
      </w:pPr>
    </w:p>
    <w:p w14:paraId="13B133E2" w14:textId="77777777" w:rsidR="00C75312" w:rsidRDefault="00C75312">
      <w:pPr>
        <w:pStyle w:val="BodyText"/>
        <w:spacing w:before="7"/>
        <w:rPr>
          <w:sz w:val="18"/>
        </w:rPr>
      </w:pPr>
    </w:p>
    <w:p w14:paraId="10203414" w14:textId="77777777" w:rsidR="00C75312" w:rsidRDefault="00BB293A">
      <w:pPr>
        <w:pStyle w:val="Heading1"/>
        <w:spacing w:before="90"/>
        <w:ind w:left="820" w:right="935"/>
        <w:jc w:val="center"/>
      </w:pPr>
      <w:r>
        <w:t>CHAPTER 1</w:t>
      </w:r>
    </w:p>
    <w:p w14:paraId="3E7AA7FA" w14:textId="77777777" w:rsidR="00C75312" w:rsidRDefault="00C75312">
      <w:pPr>
        <w:pStyle w:val="BodyText"/>
        <w:rPr>
          <w:b/>
          <w:sz w:val="26"/>
        </w:rPr>
      </w:pPr>
    </w:p>
    <w:p w14:paraId="028AEAF4" w14:textId="77777777" w:rsidR="00C75312" w:rsidRDefault="00C75312">
      <w:pPr>
        <w:pStyle w:val="BodyText"/>
        <w:spacing w:before="2"/>
        <w:rPr>
          <w:b/>
          <w:sz w:val="22"/>
        </w:rPr>
      </w:pPr>
    </w:p>
    <w:p w14:paraId="266450E8" w14:textId="77777777" w:rsidR="00C75312" w:rsidRDefault="00BB293A">
      <w:pPr>
        <w:spacing w:before="1" w:line="480" w:lineRule="auto"/>
        <w:ind w:left="820" w:right="938"/>
        <w:jc w:val="center"/>
        <w:rPr>
          <w:b/>
          <w:sz w:val="24"/>
        </w:rPr>
      </w:pPr>
      <w:r>
        <w:rPr>
          <w:b/>
          <w:sz w:val="24"/>
        </w:rPr>
        <w:t>INTRODUCTION TO PROSPECTIVE MEMORY IN AUTISM SPECTRUM DISORDERS: A LITERATURE REVIEW AND META-ANALYSIS</w:t>
      </w:r>
    </w:p>
    <w:p w14:paraId="7180ABF2" w14:textId="77777777" w:rsidR="00C75312" w:rsidRDefault="00C75312">
      <w:pPr>
        <w:pStyle w:val="BodyText"/>
        <w:spacing w:before="7"/>
        <w:rPr>
          <w:b/>
        </w:rPr>
      </w:pPr>
    </w:p>
    <w:p w14:paraId="705167AF" w14:textId="77777777" w:rsidR="00C75312" w:rsidRDefault="00BB293A">
      <w:pPr>
        <w:pStyle w:val="Heading1"/>
        <w:ind w:left="820" w:right="938"/>
        <w:jc w:val="center"/>
      </w:pPr>
      <w:bookmarkStart w:id="5" w:name="_TOC_250028"/>
      <w:bookmarkEnd w:id="5"/>
      <w:r>
        <w:t>Prospective Memory</w:t>
      </w:r>
    </w:p>
    <w:p w14:paraId="7E039FAE" w14:textId="77777777" w:rsidR="00C75312" w:rsidRDefault="00C75312">
      <w:pPr>
        <w:pStyle w:val="BodyText"/>
        <w:rPr>
          <w:b/>
        </w:rPr>
      </w:pPr>
    </w:p>
    <w:p w14:paraId="6C11C0D5" w14:textId="77777777" w:rsidR="00C75312" w:rsidRDefault="00BB293A">
      <w:pPr>
        <w:pStyle w:val="BodyText"/>
        <w:spacing w:line="480" w:lineRule="auto"/>
        <w:ind w:left="820" w:right="928" w:firstLine="720"/>
        <w:jc w:val="both"/>
      </w:pPr>
      <w:r>
        <w:t>Prospective</w:t>
      </w:r>
      <w:r>
        <w:rPr>
          <w:spacing w:val="-6"/>
        </w:rPr>
        <w:t xml:space="preserve"> </w:t>
      </w:r>
      <w:r>
        <w:t>memory</w:t>
      </w:r>
      <w:r>
        <w:rPr>
          <w:spacing w:val="-9"/>
        </w:rPr>
        <w:t xml:space="preserve"> </w:t>
      </w:r>
      <w:r>
        <w:t>(PM)</w:t>
      </w:r>
      <w:r>
        <w:rPr>
          <w:spacing w:val="-7"/>
        </w:rPr>
        <w:t xml:space="preserve"> </w:t>
      </w:r>
      <w:r>
        <w:t>is</w:t>
      </w:r>
      <w:r>
        <w:rPr>
          <w:spacing w:val="-7"/>
        </w:rPr>
        <w:t xml:space="preserve"> </w:t>
      </w:r>
      <w:r>
        <w:t>the</w:t>
      </w:r>
      <w:r>
        <w:rPr>
          <w:spacing w:val="-10"/>
        </w:rPr>
        <w:t xml:space="preserve"> </w:t>
      </w:r>
      <w:r>
        <w:t>ability</w:t>
      </w:r>
      <w:r>
        <w:rPr>
          <w:spacing w:val="-9"/>
        </w:rPr>
        <w:t xml:space="preserve"> </w:t>
      </w:r>
      <w:r>
        <w:t>to</w:t>
      </w:r>
      <w:r>
        <w:rPr>
          <w:spacing w:val="-9"/>
        </w:rPr>
        <w:t xml:space="preserve"> </w:t>
      </w:r>
      <w:r>
        <w:t>remember</w:t>
      </w:r>
      <w:r>
        <w:rPr>
          <w:spacing w:val="-3"/>
        </w:rPr>
        <w:t xml:space="preserve"> </w:t>
      </w:r>
      <w:r>
        <w:t>to</w:t>
      </w:r>
      <w:r>
        <w:rPr>
          <w:spacing w:val="-9"/>
        </w:rPr>
        <w:t xml:space="preserve"> </w:t>
      </w:r>
      <w:r>
        <w:t>carry</w:t>
      </w:r>
      <w:r>
        <w:rPr>
          <w:spacing w:val="-9"/>
        </w:rPr>
        <w:t xml:space="preserve"> </w:t>
      </w:r>
      <w:r>
        <w:t>out</w:t>
      </w:r>
      <w:r>
        <w:rPr>
          <w:spacing w:val="-4"/>
        </w:rPr>
        <w:t xml:space="preserve"> </w:t>
      </w:r>
      <w:r>
        <w:t>planned</w:t>
      </w:r>
      <w:r>
        <w:rPr>
          <w:spacing w:val="-4"/>
        </w:rPr>
        <w:t xml:space="preserve"> </w:t>
      </w:r>
      <w:r>
        <w:t>actions</w:t>
      </w:r>
      <w:r>
        <w:rPr>
          <w:spacing w:val="-7"/>
        </w:rPr>
        <w:t xml:space="preserve"> </w:t>
      </w:r>
      <w:r>
        <w:t>at</w:t>
      </w:r>
      <w:r>
        <w:rPr>
          <w:spacing w:val="-8"/>
        </w:rPr>
        <w:t xml:space="preserve"> </w:t>
      </w:r>
      <w:r>
        <w:t xml:space="preserve">the appropriate point in the </w:t>
      </w:r>
      <w:r>
        <w:rPr>
          <w:i/>
        </w:rPr>
        <w:t xml:space="preserve">future </w:t>
      </w:r>
      <w:r>
        <w:t xml:space="preserve">(McDaniel &amp; Einstein, 2007). Everyday examples of PM tasks include remembering to stop at the supermarket </w:t>
      </w:r>
      <w:r>
        <w:rPr>
          <w:spacing w:val="-3"/>
        </w:rPr>
        <w:t xml:space="preserve">to </w:t>
      </w:r>
      <w:r>
        <w:t>buy milk on the way home from work, remembering to call somebody on their birthday, or remembering to turn off the bath taps before</w:t>
      </w:r>
      <w:r>
        <w:rPr>
          <w:spacing w:val="-11"/>
        </w:rPr>
        <w:t xml:space="preserve"> </w:t>
      </w:r>
      <w:r>
        <w:t>the</w:t>
      </w:r>
      <w:r>
        <w:rPr>
          <w:spacing w:val="-15"/>
        </w:rPr>
        <w:t xml:space="preserve"> </w:t>
      </w:r>
      <w:r>
        <w:t>bath</w:t>
      </w:r>
      <w:r>
        <w:rPr>
          <w:spacing w:val="-14"/>
        </w:rPr>
        <w:t xml:space="preserve"> </w:t>
      </w:r>
      <w:r>
        <w:t>overflows.</w:t>
      </w:r>
      <w:r>
        <w:rPr>
          <w:spacing w:val="34"/>
        </w:rPr>
        <w:t xml:space="preserve"> </w:t>
      </w:r>
      <w:r>
        <w:t>McDaniel</w:t>
      </w:r>
      <w:r>
        <w:rPr>
          <w:spacing w:val="-9"/>
        </w:rPr>
        <w:t xml:space="preserve"> </w:t>
      </w:r>
      <w:r>
        <w:t>and</w:t>
      </w:r>
      <w:r>
        <w:rPr>
          <w:spacing w:val="-14"/>
        </w:rPr>
        <w:t xml:space="preserve"> </w:t>
      </w:r>
      <w:r>
        <w:t>Einstein</w:t>
      </w:r>
      <w:r>
        <w:rPr>
          <w:spacing w:val="-14"/>
        </w:rPr>
        <w:t xml:space="preserve"> </w:t>
      </w:r>
      <w:r>
        <w:t>(2007)</w:t>
      </w:r>
      <w:r>
        <w:rPr>
          <w:spacing w:val="-8"/>
        </w:rPr>
        <w:t xml:space="preserve"> </w:t>
      </w:r>
      <w:r>
        <w:t>have</w:t>
      </w:r>
      <w:r>
        <w:rPr>
          <w:spacing w:val="-15"/>
        </w:rPr>
        <w:t xml:space="preserve"> </w:t>
      </w:r>
      <w:r>
        <w:t>outlined</w:t>
      </w:r>
      <w:r>
        <w:rPr>
          <w:spacing w:val="-14"/>
        </w:rPr>
        <w:t xml:space="preserve"> </w:t>
      </w:r>
      <w:r>
        <w:t>the</w:t>
      </w:r>
      <w:r>
        <w:rPr>
          <w:spacing w:val="-11"/>
        </w:rPr>
        <w:t xml:space="preserve"> </w:t>
      </w:r>
      <w:r>
        <w:t>core</w:t>
      </w:r>
      <w:r>
        <w:rPr>
          <w:spacing w:val="-14"/>
        </w:rPr>
        <w:t xml:space="preserve"> </w:t>
      </w:r>
      <w:r>
        <w:t>characteristics of</w:t>
      </w:r>
      <w:r>
        <w:rPr>
          <w:spacing w:val="-8"/>
        </w:rPr>
        <w:t xml:space="preserve"> </w:t>
      </w:r>
      <w:r>
        <w:t>a</w:t>
      </w:r>
      <w:r>
        <w:rPr>
          <w:spacing w:val="-10"/>
        </w:rPr>
        <w:t xml:space="preserve"> </w:t>
      </w:r>
      <w:r>
        <w:t>PM</w:t>
      </w:r>
      <w:r>
        <w:rPr>
          <w:spacing w:val="-12"/>
        </w:rPr>
        <w:t xml:space="preserve"> </w:t>
      </w:r>
      <w:r>
        <w:t>task</w:t>
      </w:r>
      <w:r>
        <w:rPr>
          <w:spacing w:val="-9"/>
        </w:rPr>
        <w:t xml:space="preserve"> </w:t>
      </w:r>
      <w:r>
        <w:t>as</w:t>
      </w:r>
      <w:r>
        <w:rPr>
          <w:spacing w:val="-11"/>
        </w:rPr>
        <w:t xml:space="preserve"> </w:t>
      </w:r>
      <w:r>
        <w:t>follows.</w:t>
      </w:r>
      <w:r>
        <w:rPr>
          <w:spacing w:val="45"/>
        </w:rPr>
        <w:t xml:space="preserve"> </w:t>
      </w:r>
      <w:r>
        <w:t>First,</w:t>
      </w:r>
      <w:r>
        <w:rPr>
          <w:spacing w:val="-12"/>
        </w:rPr>
        <w:t xml:space="preserve"> </w:t>
      </w:r>
      <w:r>
        <w:t>there</w:t>
      </w:r>
      <w:r>
        <w:rPr>
          <w:spacing w:val="-10"/>
        </w:rPr>
        <w:t xml:space="preserve"> </w:t>
      </w:r>
      <w:r>
        <w:t>must</w:t>
      </w:r>
      <w:r>
        <w:rPr>
          <w:spacing w:val="-8"/>
        </w:rPr>
        <w:t xml:space="preserve"> </w:t>
      </w:r>
      <w:r>
        <w:t>be</w:t>
      </w:r>
      <w:r>
        <w:rPr>
          <w:spacing w:val="-11"/>
        </w:rPr>
        <w:t xml:space="preserve"> </w:t>
      </w:r>
      <w:r>
        <w:t>a</w:t>
      </w:r>
      <w:r>
        <w:rPr>
          <w:spacing w:val="-10"/>
        </w:rPr>
        <w:t xml:space="preserve"> </w:t>
      </w:r>
      <w:r>
        <w:t>consciously</w:t>
      </w:r>
      <w:r>
        <w:rPr>
          <w:spacing w:val="-10"/>
        </w:rPr>
        <w:t xml:space="preserve"> </w:t>
      </w:r>
      <w:r>
        <w:t>formed</w:t>
      </w:r>
      <w:r>
        <w:rPr>
          <w:spacing w:val="-9"/>
        </w:rPr>
        <w:t xml:space="preserve"> </w:t>
      </w:r>
      <w:r>
        <w:t>intention</w:t>
      </w:r>
      <w:r>
        <w:rPr>
          <w:spacing w:val="-9"/>
        </w:rPr>
        <w:t xml:space="preserve"> </w:t>
      </w:r>
      <w:r>
        <w:t>or</w:t>
      </w:r>
      <w:r>
        <w:rPr>
          <w:spacing w:val="-13"/>
        </w:rPr>
        <w:t xml:space="preserve"> </w:t>
      </w:r>
      <w:r>
        <w:t>plan</w:t>
      </w:r>
      <w:r>
        <w:rPr>
          <w:spacing w:val="-9"/>
        </w:rPr>
        <w:t xml:space="preserve"> </w:t>
      </w:r>
      <w:r>
        <w:t>that</w:t>
      </w:r>
      <w:r>
        <w:rPr>
          <w:spacing w:val="-9"/>
        </w:rPr>
        <w:t xml:space="preserve"> </w:t>
      </w:r>
      <w:r>
        <w:t xml:space="preserve">should be carried out </w:t>
      </w:r>
      <w:r>
        <w:rPr>
          <w:i/>
        </w:rPr>
        <w:t>in the future</w:t>
      </w:r>
      <w:r>
        <w:t xml:space="preserve">. That is, there should </w:t>
      </w:r>
      <w:r>
        <w:rPr>
          <w:spacing w:val="-3"/>
        </w:rPr>
        <w:t xml:space="preserve">be </w:t>
      </w:r>
      <w:r>
        <w:t xml:space="preserve">a delay between formation of an intention to act and the execution of that intention; if there was no delay, then the task would be more akin to a vigilance/monitoring task than a PM task, because the intention can be held in short- term/working memory for the entire period between formation and execution (Graf &amp; </w:t>
      </w:r>
      <w:proofErr w:type="spellStart"/>
      <w:r>
        <w:t>Uttl</w:t>
      </w:r>
      <w:proofErr w:type="spellEnd"/>
      <w:r>
        <w:t>, 2001).</w:t>
      </w:r>
      <w:r>
        <w:rPr>
          <w:spacing w:val="46"/>
        </w:rPr>
        <w:t xml:space="preserve"> </w:t>
      </w:r>
      <w:r>
        <w:t>Second,</w:t>
      </w:r>
      <w:r>
        <w:rPr>
          <w:spacing w:val="-7"/>
        </w:rPr>
        <w:t xml:space="preserve"> </w:t>
      </w:r>
      <w:r>
        <w:t>the</w:t>
      </w:r>
      <w:r>
        <w:rPr>
          <w:spacing w:val="-13"/>
        </w:rPr>
        <w:t xml:space="preserve"> </w:t>
      </w:r>
      <w:r>
        <w:t>PM</w:t>
      </w:r>
      <w:r>
        <w:rPr>
          <w:spacing w:val="-11"/>
        </w:rPr>
        <w:t xml:space="preserve"> </w:t>
      </w:r>
      <w:r>
        <w:t>task</w:t>
      </w:r>
      <w:r>
        <w:rPr>
          <w:spacing w:val="-9"/>
        </w:rPr>
        <w:t xml:space="preserve"> </w:t>
      </w:r>
      <w:r>
        <w:t>has</w:t>
      </w:r>
      <w:r>
        <w:rPr>
          <w:spacing w:val="-11"/>
        </w:rPr>
        <w:t xml:space="preserve"> </w:t>
      </w:r>
      <w:r>
        <w:t>to</w:t>
      </w:r>
      <w:r>
        <w:rPr>
          <w:spacing w:val="-9"/>
        </w:rPr>
        <w:t xml:space="preserve"> </w:t>
      </w:r>
      <w:r>
        <w:t>be</w:t>
      </w:r>
      <w:r>
        <w:rPr>
          <w:spacing w:val="-10"/>
        </w:rPr>
        <w:t xml:space="preserve"> </w:t>
      </w:r>
      <w:r>
        <w:t>embedded</w:t>
      </w:r>
      <w:r>
        <w:rPr>
          <w:spacing w:val="-9"/>
        </w:rPr>
        <w:t xml:space="preserve"> </w:t>
      </w:r>
      <w:r>
        <w:t>in</w:t>
      </w:r>
      <w:r>
        <w:rPr>
          <w:spacing w:val="-4"/>
        </w:rPr>
        <w:t xml:space="preserve"> </w:t>
      </w:r>
      <w:r>
        <w:t>an</w:t>
      </w:r>
      <w:r>
        <w:rPr>
          <w:spacing w:val="-9"/>
        </w:rPr>
        <w:t xml:space="preserve"> </w:t>
      </w:r>
      <w:r>
        <w:rPr>
          <w:i/>
        </w:rPr>
        <w:t>ongoing</w:t>
      </w:r>
      <w:r>
        <w:rPr>
          <w:i/>
          <w:spacing w:val="-9"/>
        </w:rPr>
        <w:t xml:space="preserve"> </w:t>
      </w:r>
      <w:r>
        <w:rPr>
          <w:i/>
        </w:rPr>
        <w:t>activity</w:t>
      </w:r>
      <w:r>
        <w:rPr>
          <w:i/>
          <w:spacing w:val="-10"/>
        </w:rPr>
        <w:t xml:space="preserve"> </w:t>
      </w:r>
      <w:r>
        <w:t>that</w:t>
      </w:r>
      <w:r>
        <w:rPr>
          <w:spacing w:val="-8"/>
        </w:rPr>
        <w:t xml:space="preserve"> </w:t>
      </w:r>
      <w:r>
        <w:t>requires</w:t>
      </w:r>
      <w:r>
        <w:rPr>
          <w:spacing w:val="-11"/>
        </w:rPr>
        <w:t xml:space="preserve"> </w:t>
      </w:r>
      <w:r>
        <w:t xml:space="preserve">attentional resources. Thus, a person needs to consciously interrupt the ongoing </w:t>
      </w:r>
      <w:r>
        <w:t>task to perform their intended action for the task to be considered a measure of</w:t>
      </w:r>
      <w:r>
        <w:rPr>
          <w:spacing w:val="3"/>
        </w:rPr>
        <w:t xml:space="preserve"> </w:t>
      </w:r>
      <w:r>
        <w:t>PM.</w:t>
      </w:r>
    </w:p>
    <w:p w14:paraId="001F9781" w14:textId="77777777" w:rsidR="00C75312" w:rsidRDefault="00C75312">
      <w:pPr>
        <w:pStyle w:val="BodyText"/>
        <w:spacing w:before="10"/>
        <w:rPr>
          <w:sz w:val="20"/>
        </w:rPr>
      </w:pPr>
    </w:p>
    <w:p w14:paraId="5703E789" w14:textId="77777777" w:rsidR="00C75312" w:rsidRDefault="00BB293A">
      <w:pPr>
        <w:pStyle w:val="BodyText"/>
        <w:spacing w:before="1" w:line="480" w:lineRule="auto"/>
        <w:ind w:left="820" w:right="928" w:firstLine="720"/>
        <w:jc w:val="both"/>
      </w:pPr>
      <w:r>
        <w:t>In experimental studies, researchers commonly distinguish between event-based and time-based PM (Einstein &amp; McDaniel, 1990). Event-based PM involves carrying out an intention upon the occurrence of a particular event (e.g., taking the cake out of the oven when the timer goes off; taking medication after breakfast). Time-based PM involves carrying out an intention at a particular future time point (e.g., call somebody in one hour; take medication at 1pm). In experimental measures of PM (time- or event-based)</w:t>
      </w:r>
      <w:r>
        <w:t>, an ongoing task/activity might be a lexical decision task (e.g., deciding whether items that appear on-screen are words</w:t>
      </w:r>
    </w:p>
    <w:p w14:paraId="4BD64B09" w14:textId="77777777" w:rsidR="00C75312" w:rsidRDefault="00C75312">
      <w:pPr>
        <w:spacing w:line="480" w:lineRule="auto"/>
        <w:jc w:val="both"/>
        <w:sectPr w:rsidR="00C75312">
          <w:headerReference w:type="default" r:id="rId17"/>
          <w:pgSz w:w="11900" w:h="16840"/>
          <w:pgMar w:top="1020" w:right="500" w:bottom="280" w:left="620" w:header="715" w:footer="0" w:gutter="0"/>
          <w:pgNumType w:start="1"/>
          <w:cols w:space="720"/>
        </w:sectPr>
      </w:pPr>
    </w:p>
    <w:p w14:paraId="77097F71" w14:textId="77777777" w:rsidR="00C75312" w:rsidRDefault="00C75312">
      <w:pPr>
        <w:pStyle w:val="BodyText"/>
        <w:spacing w:before="2"/>
        <w:rPr>
          <w:sz w:val="28"/>
        </w:rPr>
      </w:pPr>
    </w:p>
    <w:p w14:paraId="426B16D3" w14:textId="77777777" w:rsidR="00C75312" w:rsidRDefault="00BB293A">
      <w:pPr>
        <w:pStyle w:val="BodyText"/>
        <w:spacing w:before="90" w:line="480" w:lineRule="auto"/>
        <w:ind w:left="820" w:right="926"/>
        <w:jc w:val="both"/>
      </w:pPr>
      <w:r>
        <w:t>or nonwords). In an event-based task with this ongoing activity, the PM instruction might be to “press the space bar when the item ‘Dog’ appears on screen”. In this example, the appearance of the word “Dog” represents the event that should be responded to in accordance with the PM instruction. In a time-based task with this ongoing activity, the PM instruction might be to “press the space bar at exactly 2-minute intervals throughout the task”. Additionally,</w:t>
      </w:r>
      <w:r>
        <w:rPr>
          <w:spacing w:val="-13"/>
        </w:rPr>
        <w:t xml:space="preserve"> </w:t>
      </w:r>
      <w:r>
        <w:t>in</w:t>
      </w:r>
      <w:r>
        <w:rPr>
          <w:spacing w:val="-14"/>
        </w:rPr>
        <w:t xml:space="preserve"> </w:t>
      </w:r>
      <w:r>
        <w:t>time-based</w:t>
      </w:r>
      <w:r>
        <w:rPr>
          <w:spacing w:val="-11"/>
        </w:rPr>
        <w:t xml:space="preserve"> </w:t>
      </w:r>
      <w:r>
        <w:t>PM</w:t>
      </w:r>
      <w:r>
        <w:rPr>
          <w:spacing w:val="-12"/>
        </w:rPr>
        <w:t xml:space="preserve"> </w:t>
      </w:r>
      <w:r>
        <w:t>tasks,</w:t>
      </w:r>
      <w:r>
        <w:rPr>
          <w:spacing w:val="-8"/>
        </w:rPr>
        <w:t xml:space="preserve"> </w:t>
      </w:r>
      <w:r>
        <w:t>participants</w:t>
      </w:r>
      <w:r>
        <w:rPr>
          <w:spacing w:val="-17"/>
        </w:rPr>
        <w:t xml:space="preserve"> </w:t>
      </w:r>
      <w:r>
        <w:t>need</w:t>
      </w:r>
      <w:r>
        <w:rPr>
          <w:spacing w:val="-11"/>
        </w:rPr>
        <w:t xml:space="preserve"> </w:t>
      </w:r>
      <w:r>
        <w:t>to</w:t>
      </w:r>
      <w:r>
        <w:rPr>
          <w:spacing w:val="-14"/>
        </w:rPr>
        <w:t xml:space="preserve"> </w:t>
      </w:r>
      <w:r>
        <w:t>monitor</w:t>
      </w:r>
      <w:r>
        <w:rPr>
          <w:spacing w:val="-14"/>
        </w:rPr>
        <w:t xml:space="preserve"> </w:t>
      </w:r>
      <w:r>
        <w:t>time</w:t>
      </w:r>
      <w:r>
        <w:rPr>
          <w:spacing w:val="-15"/>
        </w:rPr>
        <w:t xml:space="preserve"> </w:t>
      </w:r>
      <w:r>
        <w:t>during</w:t>
      </w:r>
      <w:r>
        <w:rPr>
          <w:spacing w:val="-15"/>
        </w:rPr>
        <w:t xml:space="preserve"> </w:t>
      </w:r>
      <w:r>
        <w:t>the</w:t>
      </w:r>
      <w:r>
        <w:rPr>
          <w:spacing w:val="-11"/>
        </w:rPr>
        <w:t xml:space="preserve"> </w:t>
      </w:r>
      <w:r>
        <w:t>task</w:t>
      </w:r>
      <w:r>
        <w:rPr>
          <w:spacing w:val="-14"/>
        </w:rPr>
        <w:t xml:space="preserve"> </w:t>
      </w:r>
      <w:r>
        <w:t>in</w:t>
      </w:r>
      <w:r>
        <w:rPr>
          <w:spacing w:val="-15"/>
        </w:rPr>
        <w:t xml:space="preserve"> </w:t>
      </w:r>
      <w:r>
        <w:t>order to</w:t>
      </w:r>
      <w:r>
        <w:rPr>
          <w:spacing w:val="-6"/>
        </w:rPr>
        <w:t xml:space="preserve"> </w:t>
      </w:r>
      <w:r>
        <w:t>carry</w:t>
      </w:r>
      <w:r>
        <w:rPr>
          <w:spacing w:val="-11"/>
        </w:rPr>
        <w:t xml:space="preserve"> </w:t>
      </w:r>
      <w:r>
        <w:t>out</w:t>
      </w:r>
      <w:r>
        <w:rPr>
          <w:spacing w:val="-10"/>
        </w:rPr>
        <w:t xml:space="preserve"> </w:t>
      </w:r>
      <w:r>
        <w:t>the</w:t>
      </w:r>
      <w:r>
        <w:rPr>
          <w:spacing w:val="-11"/>
        </w:rPr>
        <w:t xml:space="preserve"> </w:t>
      </w:r>
      <w:r>
        <w:t>PM</w:t>
      </w:r>
      <w:r>
        <w:rPr>
          <w:spacing w:val="-8"/>
        </w:rPr>
        <w:t xml:space="preserve"> </w:t>
      </w:r>
      <w:r>
        <w:t>instruction.</w:t>
      </w:r>
      <w:r>
        <w:rPr>
          <w:spacing w:val="46"/>
        </w:rPr>
        <w:t xml:space="preserve"> </w:t>
      </w:r>
      <w:r>
        <w:t>Usually,</w:t>
      </w:r>
      <w:r>
        <w:rPr>
          <w:spacing w:val="-7"/>
        </w:rPr>
        <w:t xml:space="preserve"> </w:t>
      </w:r>
      <w:r>
        <w:t>in</w:t>
      </w:r>
      <w:r>
        <w:rPr>
          <w:spacing w:val="-11"/>
        </w:rPr>
        <w:t xml:space="preserve"> </w:t>
      </w:r>
      <w:r>
        <w:t>computer-based</w:t>
      </w:r>
      <w:r>
        <w:rPr>
          <w:spacing w:val="-6"/>
        </w:rPr>
        <w:t xml:space="preserve"> </w:t>
      </w:r>
      <w:r>
        <w:t>tasks,</w:t>
      </w:r>
      <w:r>
        <w:rPr>
          <w:spacing w:val="-3"/>
        </w:rPr>
        <w:t xml:space="preserve"> </w:t>
      </w:r>
      <w:r>
        <w:t>participants</w:t>
      </w:r>
      <w:r>
        <w:rPr>
          <w:spacing w:val="-7"/>
        </w:rPr>
        <w:t xml:space="preserve"> </w:t>
      </w:r>
      <w:r>
        <w:t>can</w:t>
      </w:r>
      <w:r>
        <w:rPr>
          <w:spacing w:val="-11"/>
        </w:rPr>
        <w:t xml:space="preserve"> </w:t>
      </w:r>
      <w:r>
        <w:t>press</w:t>
      </w:r>
      <w:r>
        <w:rPr>
          <w:spacing w:val="-8"/>
        </w:rPr>
        <w:t xml:space="preserve"> </w:t>
      </w:r>
      <w:r>
        <w:t>a</w:t>
      </w:r>
      <w:r>
        <w:rPr>
          <w:spacing w:val="-7"/>
        </w:rPr>
        <w:t xml:space="preserve"> </w:t>
      </w:r>
      <w:r>
        <w:t xml:space="preserve">pre- specified keyboard key to display a clock, which remains on screen for a short period). For both event- and time-based PM tasks, performance is usually measured by: a) the proportion of correct responses in the ongoing task (e.g., the proportion </w:t>
      </w:r>
      <w:r>
        <w:rPr>
          <w:spacing w:val="-3"/>
        </w:rPr>
        <w:t xml:space="preserve">of </w:t>
      </w:r>
      <w:r>
        <w:t xml:space="preserve">items correctly classified as words/nonwords in the lexical decision task; </w:t>
      </w:r>
      <w:r>
        <w:rPr>
          <w:i/>
        </w:rPr>
        <w:t>ongoing</w:t>
      </w:r>
      <w:r>
        <w:rPr>
          <w:i/>
        </w:rPr>
        <w:t xml:space="preserve"> task performance/accuracy</w:t>
      </w:r>
      <w:r>
        <w:t xml:space="preserve">), and b) the proportion </w:t>
      </w:r>
      <w:r>
        <w:rPr>
          <w:spacing w:val="-3"/>
        </w:rPr>
        <w:t xml:space="preserve">of </w:t>
      </w:r>
      <w:r>
        <w:t xml:space="preserve">PM failures (the proportion </w:t>
      </w:r>
      <w:r>
        <w:rPr>
          <w:spacing w:val="-3"/>
        </w:rPr>
        <w:t xml:space="preserve">of </w:t>
      </w:r>
      <w:r>
        <w:t xml:space="preserve">occasions that participants did not carry out the PM instruction when they should have; </w:t>
      </w:r>
      <w:r>
        <w:rPr>
          <w:i/>
        </w:rPr>
        <w:t>PM task performance/accuracy</w:t>
      </w:r>
      <w:r>
        <w:t xml:space="preserve">). Additionally, the frequency (total number) and distribution </w:t>
      </w:r>
      <w:r>
        <w:rPr>
          <w:spacing w:val="-3"/>
        </w:rPr>
        <w:t xml:space="preserve">of </w:t>
      </w:r>
      <w:r>
        <w:t>clock checks is another measure that is usually taken in time-based PM tasks. An adaptive time-monitoring strategy would mean that a participant only makes a few clock checks at the beginning of the task establishing a feel for the</w:t>
      </w:r>
      <w:r>
        <w:rPr>
          <w:spacing w:val="-15"/>
        </w:rPr>
        <w:t xml:space="preserve"> </w:t>
      </w:r>
      <w:r>
        <w:t>passage</w:t>
      </w:r>
      <w:r>
        <w:rPr>
          <w:spacing w:val="-15"/>
        </w:rPr>
        <w:t xml:space="preserve"> </w:t>
      </w:r>
      <w:r>
        <w:t>of</w:t>
      </w:r>
      <w:r>
        <w:rPr>
          <w:spacing w:val="-13"/>
        </w:rPr>
        <w:t xml:space="preserve"> </w:t>
      </w:r>
      <w:r>
        <w:t>time</w:t>
      </w:r>
      <w:r>
        <w:rPr>
          <w:spacing w:val="-15"/>
        </w:rPr>
        <w:t xml:space="preserve"> </w:t>
      </w:r>
      <w:r>
        <w:t>(e.g.,</w:t>
      </w:r>
      <w:r>
        <w:rPr>
          <w:spacing w:val="-16"/>
        </w:rPr>
        <w:t xml:space="preserve"> </w:t>
      </w:r>
      <w:r>
        <w:t>five</w:t>
      </w:r>
      <w:r>
        <w:rPr>
          <w:spacing w:val="-15"/>
        </w:rPr>
        <w:t xml:space="preserve"> </w:t>
      </w:r>
      <w:r>
        <w:t>checks</w:t>
      </w:r>
      <w:r>
        <w:rPr>
          <w:spacing w:val="-17"/>
        </w:rPr>
        <w:t xml:space="preserve"> </w:t>
      </w:r>
      <w:r>
        <w:t>within</w:t>
      </w:r>
      <w:r>
        <w:rPr>
          <w:spacing w:val="-18"/>
        </w:rPr>
        <w:t xml:space="preserve"> </w:t>
      </w:r>
      <w:r>
        <w:t>the</w:t>
      </w:r>
      <w:r>
        <w:rPr>
          <w:spacing w:val="-15"/>
        </w:rPr>
        <w:t xml:space="preserve"> </w:t>
      </w:r>
      <w:r>
        <w:t>first</w:t>
      </w:r>
      <w:r>
        <w:rPr>
          <w:spacing w:val="-14"/>
        </w:rPr>
        <w:t xml:space="preserve"> </w:t>
      </w:r>
      <w:r>
        <w:t>minute</w:t>
      </w:r>
      <w:r>
        <w:rPr>
          <w:spacing w:val="-15"/>
        </w:rPr>
        <w:t xml:space="preserve"> </w:t>
      </w:r>
      <w:r>
        <w:t>of</w:t>
      </w:r>
      <w:r>
        <w:rPr>
          <w:spacing w:val="-17"/>
        </w:rPr>
        <w:t xml:space="preserve"> </w:t>
      </w:r>
      <w:r>
        <w:t>the</w:t>
      </w:r>
      <w:r>
        <w:rPr>
          <w:spacing w:val="-15"/>
        </w:rPr>
        <w:t xml:space="preserve"> </w:t>
      </w:r>
      <w:r>
        <w:t>task),</w:t>
      </w:r>
      <w:r>
        <w:rPr>
          <w:spacing w:val="-17"/>
        </w:rPr>
        <w:t xml:space="preserve"> </w:t>
      </w:r>
      <w:r>
        <w:t>but</w:t>
      </w:r>
      <w:r>
        <w:rPr>
          <w:spacing w:val="-18"/>
        </w:rPr>
        <w:t xml:space="preserve"> </w:t>
      </w:r>
      <w:r>
        <w:t>increasingly</w:t>
      </w:r>
      <w:r>
        <w:rPr>
          <w:spacing w:val="-14"/>
        </w:rPr>
        <w:t xml:space="preserve"> </w:t>
      </w:r>
      <w:r>
        <w:t>checks the clock more frequently closer to target time (e.g., five checks within the last 20 seconds before the target time;</w:t>
      </w:r>
      <w:r>
        <w:t xml:space="preserve"> Mäntylä, Carelli, &amp; Forman,</w:t>
      </w:r>
      <w:r>
        <w:rPr>
          <w:spacing w:val="8"/>
        </w:rPr>
        <w:t xml:space="preserve"> </w:t>
      </w:r>
      <w:r>
        <w:t>2007).</w:t>
      </w:r>
    </w:p>
    <w:p w14:paraId="21577166" w14:textId="77777777" w:rsidR="00C75312" w:rsidRDefault="00BB293A">
      <w:pPr>
        <w:pStyle w:val="BodyText"/>
        <w:spacing w:before="121" w:line="480" w:lineRule="auto"/>
        <w:ind w:left="820" w:right="928" w:firstLine="720"/>
        <w:jc w:val="both"/>
      </w:pPr>
      <w:r>
        <w:t>Evidence for the distinction between time-based and event-based PM comes from a) neuroimaging</w:t>
      </w:r>
      <w:r>
        <w:rPr>
          <w:spacing w:val="-7"/>
        </w:rPr>
        <w:t xml:space="preserve"> </w:t>
      </w:r>
      <w:r>
        <w:t>and</w:t>
      </w:r>
      <w:r>
        <w:rPr>
          <w:spacing w:val="-10"/>
        </w:rPr>
        <w:t xml:space="preserve"> </w:t>
      </w:r>
      <w:r>
        <w:t>lesion</w:t>
      </w:r>
      <w:r>
        <w:rPr>
          <w:spacing w:val="-6"/>
        </w:rPr>
        <w:t xml:space="preserve"> </w:t>
      </w:r>
      <w:r>
        <w:t>studies,</w:t>
      </w:r>
      <w:r>
        <w:rPr>
          <w:spacing w:val="-4"/>
        </w:rPr>
        <w:t xml:space="preserve"> </w:t>
      </w:r>
      <w:r>
        <w:t>which</w:t>
      </w:r>
      <w:r>
        <w:rPr>
          <w:spacing w:val="-10"/>
        </w:rPr>
        <w:t xml:space="preserve"> </w:t>
      </w:r>
      <w:r>
        <w:t>report</w:t>
      </w:r>
      <w:r>
        <w:rPr>
          <w:spacing w:val="-5"/>
        </w:rPr>
        <w:t xml:space="preserve"> </w:t>
      </w:r>
      <w:r>
        <w:t>that</w:t>
      </w:r>
      <w:r>
        <w:rPr>
          <w:spacing w:val="-15"/>
        </w:rPr>
        <w:t xml:space="preserve"> </w:t>
      </w:r>
      <w:r>
        <w:t>distinct</w:t>
      </w:r>
      <w:r>
        <w:rPr>
          <w:spacing w:val="-5"/>
        </w:rPr>
        <w:t xml:space="preserve"> </w:t>
      </w:r>
      <w:r>
        <w:t>sub-regions</w:t>
      </w:r>
      <w:r>
        <w:rPr>
          <w:spacing w:val="-8"/>
        </w:rPr>
        <w:t xml:space="preserve"> </w:t>
      </w:r>
      <w:r>
        <w:t>of</w:t>
      </w:r>
      <w:r>
        <w:rPr>
          <w:spacing w:val="-4"/>
        </w:rPr>
        <w:t xml:space="preserve"> </w:t>
      </w:r>
      <w:r>
        <w:t>the</w:t>
      </w:r>
      <w:r>
        <w:rPr>
          <w:spacing w:val="-12"/>
        </w:rPr>
        <w:t xml:space="preserve"> </w:t>
      </w:r>
      <w:r>
        <w:t>rostral</w:t>
      </w:r>
      <w:r>
        <w:rPr>
          <w:spacing w:val="-10"/>
        </w:rPr>
        <w:t xml:space="preserve"> </w:t>
      </w:r>
      <w:r>
        <w:t>prefrontal cortex (</w:t>
      </w:r>
      <w:proofErr w:type="spellStart"/>
      <w:r>
        <w:t>rPFC</w:t>
      </w:r>
      <w:proofErr w:type="spellEnd"/>
      <w:r>
        <w:t>) underpin time-based vs. event-based PM (Burgess, Gonen-</w:t>
      </w:r>
      <w:proofErr w:type="spellStart"/>
      <w:r>
        <w:t>Yaacovi</w:t>
      </w:r>
      <w:proofErr w:type="spellEnd"/>
      <w:r>
        <w:t xml:space="preserve">, &amp; Volle, 2011; </w:t>
      </w:r>
      <w:proofErr w:type="spellStart"/>
      <w:r>
        <w:t>Gonneaud</w:t>
      </w:r>
      <w:proofErr w:type="spellEnd"/>
      <w:r>
        <w:t xml:space="preserve"> et al., 2014; Okuda et al., 2007) and that lesions to specific regions </w:t>
      </w:r>
      <w:r>
        <w:rPr>
          <w:spacing w:val="-3"/>
        </w:rPr>
        <w:t xml:space="preserve">of </w:t>
      </w:r>
      <w:r>
        <w:t xml:space="preserve">the </w:t>
      </w:r>
      <w:proofErr w:type="spellStart"/>
      <w:r>
        <w:t>rPFC</w:t>
      </w:r>
      <w:proofErr w:type="spellEnd"/>
      <w:r>
        <w:t xml:space="preserve"> impair one aspect of </w:t>
      </w:r>
      <w:r>
        <w:rPr>
          <w:spacing w:val="-3"/>
        </w:rPr>
        <w:t xml:space="preserve">PM, </w:t>
      </w:r>
      <w:r>
        <w:t xml:space="preserve">but not the </w:t>
      </w:r>
      <w:r>
        <w:rPr>
          <w:spacing w:val="-3"/>
        </w:rPr>
        <w:t xml:space="preserve">other </w:t>
      </w:r>
      <w:r>
        <w:t>(e.g., Volle et al., 2011); b) studies of development,</w:t>
      </w:r>
      <w:r>
        <w:rPr>
          <w:spacing w:val="34"/>
        </w:rPr>
        <w:t xml:space="preserve"> </w:t>
      </w:r>
      <w:r>
        <w:t>which</w:t>
      </w:r>
      <w:r>
        <w:rPr>
          <w:spacing w:val="33"/>
        </w:rPr>
        <w:t xml:space="preserve"> </w:t>
      </w:r>
      <w:r>
        <w:t>reveal</w:t>
      </w:r>
      <w:r>
        <w:rPr>
          <w:spacing w:val="33"/>
        </w:rPr>
        <w:t xml:space="preserve"> </w:t>
      </w:r>
      <w:r>
        <w:t>different</w:t>
      </w:r>
      <w:r>
        <w:rPr>
          <w:spacing w:val="33"/>
        </w:rPr>
        <w:t xml:space="preserve"> </w:t>
      </w:r>
      <w:r>
        <w:t>patterns</w:t>
      </w:r>
      <w:r>
        <w:rPr>
          <w:spacing w:val="30"/>
        </w:rPr>
        <w:t xml:space="preserve"> </w:t>
      </w:r>
      <w:r>
        <w:t>of</w:t>
      </w:r>
      <w:r>
        <w:rPr>
          <w:spacing w:val="29"/>
        </w:rPr>
        <w:t xml:space="preserve"> </w:t>
      </w:r>
      <w:r>
        <w:t>age-related</w:t>
      </w:r>
      <w:r>
        <w:rPr>
          <w:spacing w:val="33"/>
        </w:rPr>
        <w:t xml:space="preserve"> </w:t>
      </w:r>
      <w:r>
        <w:t>improvement</w:t>
      </w:r>
      <w:r>
        <w:rPr>
          <w:spacing w:val="33"/>
        </w:rPr>
        <w:t xml:space="preserve"> </w:t>
      </w:r>
      <w:r>
        <w:t>(in</w:t>
      </w:r>
      <w:r>
        <w:rPr>
          <w:spacing w:val="32"/>
        </w:rPr>
        <w:t xml:space="preserve"> </w:t>
      </w:r>
      <w:r>
        <w:t>children)</w:t>
      </w:r>
      <w:r>
        <w:rPr>
          <w:spacing w:val="34"/>
        </w:rPr>
        <w:t xml:space="preserve"> </w:t>
      </w:r>
      <w:r>
        <w:t>and</w:t>
      </w:r>
    </w:p>
    <w:p w14:paraId="32A61A3E" w14:textId="77777777" w:rsidR="00C75312" w:rsidRDefault="00C75312">
      <w:pPr>
        <w:spacing w:line="480" w:lineRule="auto"/>
        <w:jc w:val="both"/>
        <w:sectPr w:rsidR="00C75312">
          <w:pgSz w:w="11900" w:h="16840"/>
          <w:pgMar w:top="1020" w:right="500" w:bottom="280" w:left="620" w:header="715" w:footer="0" w:gutter="0"/>
          <w:cols w:space="720"/>
        </w:sectPr>
      </w:pPr>
    </w:p>
    <w:p w14:paraId="29497B3D" w14:textId="77777777" w:rsidR="00C75312" w:rsidRDefault="00C75312">
      <w:pPr>
        <w:pStyle w:val="BodyText"/>
        <w:spacing w:before="2"/>
        <w:rPr>
          <w:sz w:val="28"/>
        </w:rPr>
      </w:pPr>
    </w:p>
    <w:p w14:paraId="0309AE47" w14:textId="77777777" w:rsidR="00C75312" w:rsidRDefault="00BB293A">
      <w:pPr>
        <w:pStyle w:val="BodyText"/>
        <w:spacing w:before="90" w:line="480" w:lineRule="auto"/>
        <w:ind w:left="820" w:right="926"/>
        <w:jc w:val="both"/>
      </w:pPr>
      <w:r>
        <w:t xml:space="preserve">decline (in older adults) in event-based versus time-based PM (Henry, MacLeod, Phillips, &amp; Crawford, 2004; </w:t>
      </w:r>
      <w:proofErr w:type="spellStart"/>
      <w:r>
        <w:t>Kliegel</w:t>
      </w:r>
      <w:proofErr w:type="spellEnd"/>
      <w:r>
        <w:t xml:space="preserve"> et al., 2013); and c) neuropsychology studies that indicate possible double-dissociations</w:t>
      </w:r>
      <w:r>
        <w:rPr>
          <w:spacing w:val="-9"/>
        </w:rPr>
        <w:t xml:space="preserve"> </w:t>
      </w:r>
      <w:r>
        <w:t>between</w:t>
      </w:r>
      <w:r>
        <w:rPr>
          <w:spacing w:val="-7"/>
        </w:rPr>
        <w:t xml:space="preserve"> </w:t>
      </w:r>
      <w:r>
        <w:t>these</w:t>
      </w:r>
      <w:r>
        <w:rPr>
          <w:spacing w:val="-8"/>
        </w:rPr>
        <w:t xml:space="preserve"> </w:t>
      </w:r>
      <w:r>
        <w:t>two</w:t>
      </w:r>
      <w:r>
        <w:rPr>
          <w:spacing w:val="-11"/>
        </w:rPr>
        <w:t xml:space="preserve"> </w:t>
      </w:r>
      <w:r>
        <w:t>types</w:t>
      </w:r>
      <w:r>
        <w:rPr>
          <w:spacing w:val="-9"/>
        </w:rPr>
        <w:t xml:space="preserve"> </w:t>
      </w:r>
      <w:r>
        <w:rPr>
          <w:spacing w:val="-3"/>
        </w:rPr>
        <w:t>of</w:t>
      </w:r>
      <w:r>
        <w:rPr>
          <w:spacing w:val="-9"/>
        </w:rPr>
        <w:t xml:space="preserve"> </w:t>
      </w:r>
      <w:r>
        <w:t>PM</w:t>
      </w:r>
      <w:r>
        <w:rPr>
          <w:spacing w:val="-9"/>
        </w:rPr>
        <w:t xml:space="preserve"> </w:t>
      </w:r>
      <w:r>
        <w:t>(</w:t>
      </w:r>
      <w:proofErr w:type="spellStart"/>
      <w:r>
        <w:t>Altgassen</w:t>
      </w:r>
      <w:proofErr w:type="spellEnd"/>
      <w:r>
        <w:t>,</w:t>
      </w:r>
      <w:r>
        <w:rPr>
          <w:spacing w:val="-4"/>
        </w:rPr>
        <w:t xml:space="preserve"> </w:t>
      </w:r>
      <w:r>
        <w:t>Kretschmer,</w:t>
      </w:r>
      <w:r>
        <w:rPr>
          <w:spacing w:val="-8"/>
        </w:rPr>
        <w:t xml:space="preserve"> </w:t>
      </w:r>
      <w:r>
        <w:t>&amp;</w:t>
      </w:r>
      <w:r>
        <w:rPr>
          <w:spacing w:val="-11"/>
        </w:rPr>
        <w:t xml:space="preserve"> </w:t>
      </w:r>
      <w:proofErr w:type="spellStart"/>
      <w:r>
        <w:t>Kliegel</w:t>
      </w:r>
      <w:proofErr w:type="spellEnd"/>
      <w:r>
        <w:t>,</w:t>
      </w:r>
      <w:r>
        <w:rPr>
          <w:spacing w:val="-9"/>
        </w:rPr>
        <w:t xml:space="preserve"> </w:t>
      </w:r>
      <w:r>
        <w:t>2014; Katai, Maruyama, Hashimoto, &amp; Ikeda, 2003). One of the crucial differences between event- based and time-based PM is the retrieval context. In event-based tasks, the occurrence of the target event can automatically activate retrieval of one’s intention (cued retrieval of one’s intention providing one registers/perceives the event). In contra</w:t>
      </w:r>
      <w:r>
        <w:t>st, time-based PM tasks do</w:t>
      </w:r>
      <w:r>
        <w:rPr>
          <w:spacing w:val="-40"/>
        </w:rPr>
        <w:t xml:space="preserve"> </w:t>
      </w:r>
      <w:r>
        <w:t>not have</w:t>
      </w:r>
      <w:r>
        <w:rPr>
          <w:spacing w:val="-6"/>
        </w:rPr>
        <w:t xml:space="preserve"> </w:t>
      </w:r>
      <w:r>
        <w:t>any</w:t>
      </w:r>
      <w:r>
        <w:rPr>
          <w:spacing w:val="-4"/>
        </w:rPr>
        <w:t xml:space="preserve"> </w:t>
      </w:r>
      <w:r>
        <w:t>specific</w:t>
      </w:r>
      <w:r>
        <w:rPr>
          <w:spacing w:val="-6"/>
        </w:rPr>
        <w:t xml:space="preserve"> </w:t>
      </w:r>
      <w:r>
        <w:t>event</w:t>
      </w:r>
      <w:r>
        <w:rPr>
          <w:spacing w:val="-8"/>
        </w:rPr>
        <w:t xml:space="preserve"> </w:t>
      </w:r>
      <w:r>
        <w:t>that</w:t>
      </w:r>
      <w:r>
        <w:rPr>
          <w:spacing w:val="-3"/>
        </w:rPr>
        <w:t xml:space="preserve"> </w:t>
      </w:r>
      <w:r>
        <w:t>one</w:t>
      </w:r>
      <w:r>
        <w:rPr>
          <w:spacing w:val="-11"/>
        </w:rPr>
        <w:t xml:space="preserve"> </w:t>
      </w:r>
      <w:r>
        <w:t>needs</w:t>
      </w:r>
      <w:r>
        <w:rPr>
          <w:spacing w:val="-6"/>
        </w:rPr>
        <w:t xml:space="preserve"> </w:t>
      </w:r>
      <w:r>
        <w:t>to</w:t>
      </w:r>
      <w:r>
        <w:rPr>
          <w:spacing w:val="-9"/>
        </w:rPr>
        <w:t xml:space="preserve"> </w:t>
      </w:r>
      <w:r>
        <w:t>respond</w:t>
      </w:r>
      <w:r>
        <w:rPr>
          <w:spacing w:val="-5"/>
        </w:rPr>
        <w:t xml:space="preserve"> </w:t>
      </w:r>
      <w:r>
        <w:rPr>
          <w:spacing w:val="-3"/>
        </w:rPr>
        <w:t>to</w:t>
      </w:r>
      <w:r>
        <w:rPr>
          <w:spacing w:val="-4"/>
        </w:rPr>
        <w:t xml:space="preserve"> </w:t>
      </w:r>
      <w:r>
        <w:t>and,</w:t>
      </w:r>
      <w:r>
        <w:rPr>
          <w:spacing w:val="-6"/>
        </w:rPr>
        <w:t xml:space="preserve"> </w:t>
      </w:r>
      <w:r>
        <w:t>thus,</w:t>
      </w:r>
      <w:r>
        <w:rPr>
          <w:spacing w:val="-7"/>
        </w:rPr>
        <w:t xml:space="preserve"> </w:t>
      </w:r>
      <w:r>
        <w:t>retrieval</w:t>
      </w:r>
      <w:r>
        <w:rPr>
          <w:spacing w:val="-8"/>
        </w:rPr>
        <w:t xml:space="preserve"> </w:t>
      </w:r>
      <w:r>
        <w:t>of</w:t>
      </w:r>
      <w:r>
        <w:rPr>
          <w:spacing w:val="-7"/>
        </w:rPr>
        <w:t xml:space="preserve"> </w:t>
      </w:r>
      <w:r>
        <w:t>one’s</w:t>
      </w:r>
      <w:r>
        <w:rPr>
          <w:spacing w:val="-7"/>
        </w:rPr>
        <w:t xml:space="preserve"> </w:t>
      </w:r>
      <w:r>
        <w:t>intention</w:t>
      </w:r>
      <w:r>
        <w:rPr>
          <w:spacing w:val="-9"/>
        </w:rPr>
        <w:t xml:space="preserve"> </w:t>
      </w:r>
      <w:r>
        <w:t>must be self-initiated, which places a high demand on executive</w:t>
      </w:r>
      <w:r>
        <w:rPr>
          <w:spacing w:val="4"/>
        </w:rPr>
        <w:t xml:space="preserve"> </w:t>
      </w:r>
      <w:r>
        <w:t>functioning.</w:t>
      </w:r>
    </w:p>
    <w:p w14:paraId="256F887A" w14:textId="77777777" w:rsidR="00C75312" w:rsidRDefault="00BB293A">
      <w:pPr>
        <w:pStyle w:val="Heading1"/>
        <w:spacing w:before="120"/>
        <w:ind w:left="820"/>
        <w:jc w:val="both"/>
      </w:pPr>
      <w:r>
        <w:t>Relevant theories of PM</w:t>
      </w:r>
    </w:p>
    <w:p w14:paraId="42D36A05" w14:textId="77777777" w:rsidR="00C75312" w:rsidRDefault="00C75312">
      <w:pPr>
        <w:pStyle w:val="BodyText"/>
        <w:rPr>
          <w:b/>
        </w:rPr>
      </w:pPr>
    </w:p>
    <w:p w14:paraId="4397070D" w14:textId="77777777" w:rsidR="00C75312" w:rsidRDefault="00BB293A">
      <w:pPr>
        <w:pStyle w:val="BodyText"/>
        <w:spacing w:before="1" w:line="480" w:lineRule="auto"/>
        <w:ind w:left="820" w:right="927" w:firstLine="720"/>
        <w:jc w:val="both"/>
      </w:pPr>
      <w:r>
        <w:t>Two</w:t>
      </w:r>
      <w:r>
        <w:rPr>
          <w:spacing w:val="-6"/>
        </w:rPr>
        <w:t xml:space="preserve"> </w:t>
      </w:r>
      <w:r>
        <w:t>theories,</w:t>
      </w:r>
      <w:r>
        <w:rPr>
          <w:spacing w:val="-3"/>
        </w:rPr>
        <w:t xml:space="preserve"> </w:t>
      </w:r>
      <w:r>
        <w:t>the</w:t>
      </w:r>
      <w:r>
        <w:rPr>
          <w:spacing w:val="-7"/>
        </w:rPr>
        <w:t xml:space="preserve"> </w:t>
      </w:r>
      <w:proofErr w:type="spellStart"/>
      <w:r>
        <w:t>multiprocess</w:t>
      </w:r>
      <w:proofErr w:type="spellEnd"/>
      <w:r>
        <w:rPr>
          <w:spacing w:val="-7"/>
        </w:rPr>
        <w:t xml:space="preserve"> </w:t>
      </w:r>
      <w:r>
        <w:t>framework</w:t>
      </w:r>
      <w:r>
        <w:rPr>
          <w:spacing w:val="-6"/>
        </w:rPr>
        <w:t xml:space="preserve"> </w:t>
      </w:r>
      <w:r>
        <w:t>(McDaniel</w:t>
      </w:r>
      <w:r>
        <w:rPr>
          <w:spacing w:val="-5"/>
        </w:rPr>
        <w:t xml:space="preserve"> </w:t>
      </w:r>
      <w:r>
        <w:t>&amp;</w:t>
      </w:r>
      <w:r>
        <w:rPr>
          <w:spacing w:val="-5"/>
        </w:rPr>
        <w:t xml:space="preserve"> </w:t>
      </w:r>
      <w:r>
        <w:t>Einstein,</w:t>
      </w:r>
      <w:r>
        <w:rPr>
          <w:spacing w:val="-3"/>
        </w:rPr>
        <w:t xml:space="preserve"> </w:t>
      </w:r>
      <w:r>
        <w:t>2000,</w:t>
      </w:r>
      <w:r>
        <w:rPr>
          <w:spacing w:val="-2"/>
        </w:rPr>
        <w:t xml:space="preserve"> </w:t>
      </w:r>
      <w:r>
        <w:t>2007),</w:t>
      </w:r>
      <w:r>
        <w:rPr>
          <w:spacing w:val="-3"/>
        </w:rPr>
        <w:t xml:space="preserve"> </w:t>
      </w:r>
      <w:r>
        <w:t>as</w:t>
      </w:r>
      <w:r>
        <w:rPr>
          <w:spacing w:val="-8"/>
        </w:rPr>
        <w:t xml:space="preserve"> </w:t>
      </w:r>
      <w:r>
        <w:t>well as the preparatory attentional and memory (PAM) processes account (R. E.</w:t>
      </w:r>
      <w:r>
        <w:rPr>
          <w:spacing w:val="-43"/>
        </w:rPr>
        <w:t xml:space="preserve"> </w:t>
      </w:r>
      <w:r>
        <w:t xml:space="preserve">Smith, 2003; </w:t>
      </w:r>
      <w:r>
        <w:rPr>
          <w:spacing w:val="-4"/>
        </w:rPr>
        <w:t xml:space="preserve">R. </w:t>
      </w:r>
      <w:r>
        <w:t>E. Smith &amp; Bayen, 2004), have been proposed to explain the factors and processes involved in the</w:t>
      </w:r>
      <w:r>
        <w:rPr>
          <w:spacing w:val="-15"/>
        </w:rPr>
        <w:t xml:space="preserve"> </w:t>
      </w:r>
      <w:r>
        <w:t>success</w:t>
      </w:r>
      <w:r>
        <w:rPr>
          <w:spacing w:val="-17"/>
        </w:rPr>
        <w:t xml:space="preserve"> </w:t>
      </w:r>
      <w:r>
        <w:t>or</w:t>
      </w:r>
      <w:r>
        <w:rPr>
          <w:spacing w:val="-13"/>
        </w:rPr>
        <w:t xml:space="preserve"> </w:t>
      </w:r>
      <w:r>
        <w:t>failure</w:t>
      </w:r>
      <w:r>
        <w:rPr>
          <w:spacing w:val="-15"/>
        </w:rPr>
        <w:t xml:space="preserve"> </w:t>
      </w:r>
      <w:r>
        <w:t>of</w:t>
      </w:r>
      <w:r>
        <w:rPr>
          <w:spacing w:val="-13"/>
        </w:rPr>
        <w:t xml:space="preserve"> </w:t>
      </w:r>
      <w:r>
        <w:t>the</w:t>
      </w:r>
      <w:r>
        <w:rPr>
          <w:spacing w:val="-15"/>
        </w:rPr>
        <w:t xml:space="preserve"> </w:t>
      </w:r>
      <w:r>
        <w:t>execution</w:t>
      </w:r>
      <w:r>
        <w:rPr>
          <w:spacing w:val="-13"/>
        </w:rPr>
        <w:t xml:space="preserve"> </w:t>
      </w:r>
      <w:r>
        <w:t>of</w:t>
      </w:r>
      <w:r>
        <w:rPr>
          <w:spacing w:val="-13"/>
        </w:rPr>
        <w:t xml:space="preserve"> </w:t>
      </w:r>
      <w:r>
        <w:t>event-based</w:t>
      </w:r>
      <w:r>
        <w:rPr>
          <w:spacing w:val="-14"/>
        </w:rPr>
        <w:t xml:space="preserve"> </w:t>
      </w:r>
      <w:r>
        <w:t>intentions.</w:t>
      </w:r>
      <w:r>
        <w:rPr>
          <w:spacing w:val="34"/>
        </w:rPr>
        <w:t xml:space="preserve"> </w:t>
      </w:r>
      <w:r>
        <w:t>Both</w:t>
      </w:r>
      <w:r>
        <w:rPr>
          <w:spacing w:val="-14"/>
        </w:rPr>
        <w:t xml:space="preserve"> </w:t>
      </w:r>
      <w:r>
        <w:t>models</w:t>
      </w:r>
      <w:r>
        <w:rPr>
          <w:spacing w:val="-17"/>
        </w:rPr>
        <w:t xml:space="preserve"> </w:t>
      </w:r>
      <w:r>
        <w:t>make</w:t>
      </w:r>
      <w:r>
        <w:rPr>
          <w:spacing w:val="-14"/>
        </w:rPr>
        <w:t xml:space="preserve"> </w:t>
      </w:r>
      <w:r>
        <w:t xml:space="preserve">predictions about how different task characteristics specifically affect prospective remembering. The </w:t>
      </w:r>
      <w:proofErr w:type="spellStart"/>
      <w:r>
        <w:t>multiprocess</w:t>
      </w:r>
      <w:proofErr w:type="spellEnd"/>
      <w:r>
        <w:t xml:space="preserve"> theory posits that, depending on (intra-)individual characteristics (motivation, personality)</w:t>
      </w:r>
      <w:r>
        <w:rPr>
          <w:spacing w:val="1"/>
        </w:rPr>
        <w:t xml:space="preserve"> </w:t>
      </w:r>
      <w:r>
        <w:t>and</w:t>
      </w:r>
      <w:r>
        <w:rPr>
          <w:spacing w:val="-5"/>
        </w:rPr>
        <w:t xml:space="preserve"> </w:t>
      </w:r>
      <w:r>
        <w:t>situational</w:t>
      </w:r>
      <w:r>
        <w:rPr>
          <w:spacing w:val="-4"/>
        </w:rPr>
        <w:t xml:space="preserve"> </w:t>
      </w:r>
      <w:r>
        <w:t>task factors</w:t>
      </w:r>
      <w:r>
        <w:rPr>
          <w:spacing w:val="-7"/>
        </w:rPr>
        <w:t xml:space="preserve"> </w:t>
      </w:r>
      <w:r>
        <w:t>(th</w:t>
      </w:r>
      <w:r>
        <w:t>e</w:t>
      </w:r>
      <w:r>
        <w:rPr>
          <w:spacing w:val="-6"/>
        </w:rPr>
        <w:t xml:space="preserve"> </w:t>
      </w:r>
      <w:r>
        <w:t>nature</w:t>
      </w:r>
      <w:r>
        <w:rPr>
          <w:spacing w:val="-11"/>
        </w:rPr>
        <w:t xml:space="preserve"> </w:t>
      </w:r>
      <w:r>
        <w:t>of</w:t>
      </w:r>
      <w:r>
        <w:rPr>
          <w:spacing w:val="2"/>
        </w:rPr>
        <w:t xml:space="preserve"> </w:t>
      </w:r>
      <w:r>
        <w:t>the</w:t>
      </w:r>
      <w:r>
        <w:rPr>
          <w:spacing w:val="-6"/>
        </w:rPr>
        <w:t xml:space="preserve"> </w:t>
      </w:r>
      <w:r>
        <w:t>intention</w:t>
      </w:r>
      <w:r>
        <w:rPr>
          <w:spacing w:val="-6"/>
        </w:rPr>
        <w:t xml:space="preserve"> </w:t>
      </w:r>
      <w:r>
        <w:t>itself,</w:t>
      </w:r>
      <w:r>
        <w:rPr>
          <w:spacing w:val="-2"/>
        </w:rPr>
        <w:t xml:space="preserve"> </w:t>
      </w:r>
      <w:r>
        <w:t>the</w:t>
      </w:r>
      <w:r>
        <w:rPr>
          <w:spacing w:val="-1"/>
        </w:rPr>
        <w:t xml:space="preserve"> </w:t>
      </w:r>
      <w:r>
        <w:t>ongoing</w:t>
      </w:r>
      <w:r>
        <w:rPr>
          <w:spacing w:val="-5"/>
        </w:rPr>
        <w:t xml:space="preserve"> </w:t>
      </w:r>
      <w:r>
        <w:t>task,</w:t>
      </w:r>
      <w:r>
        <w:rPr>
          <w:spacing w:val="2"/>
        </w:rPr>
        <w:t xml:space="preserve"> </w:t>
      </w:r>
      <w:r>
        <w:t>the PM cue, and the retention interval), intention retrieval is supported more strongly by either automatic spontaneous or strategic monitoring processes (Einstein et al., 2005). The PAM theory assumes</w:t>
      </w:r>
      <w:r>
        <w:rPr>
          <w:spacing w:val="-2"/>
        </w:rPr>
        <w:t xml:space="preserve"> </w:t>
      </w:r>
      <w:r>
        <w:t>that</w:t>
      </w:r>
      <w:r>
        <w:rPr>
          <w:spacing w:val="-4"/>
        </w:rPr>
        <w:t xml:space="preserve"> </w:t>
      </w:r>
      <w:r>
        <w:t>preparatory</w:t>
      </w:r>
      <w:r>
        <w:rPr>
          <w:spacing w:val="-5"/>
        </w:rPr>
        <w:t xml:space="preserve"> </w:t>
      </w:r>
      <w:r>
        <w:t>attentional</w:t>
      </w:r>
      <w:r>
        <w:rPr>
          <w:spacing w:val="-4"/>
        </w:rPr>
        <w:t xml:space="preserve"> </w:t>
      </w:r>
      <w:r>
        <w:t>processes</w:t>
      </w:r>
      <w:r>
        <w:rPr>
          <w:spacing w:val="-1"/>
        </w:rPr>
        <w:t xml:space="preserve"> </w:t>
      </w:r>
      <w:r>
        <w:t>are</w:t>
      </w:r>
      <w:r>
        <w:rPr>
          <w:spacing w:val="-6"/>
        </w:rPr>
        <w:t xml:space="preserve"> </w:t>
      </w:r>
      <w:r>
        <w:t>required</w:t>
      </w:r>
      <w:r>
        <w:rPr>
          <w:spacing w:val="-5"/>
        </w:rPr>
        <w:t xml:space="preserve"> </w:t>
      </w:r>
      <w:r>
        <w:t>to</w:t>
      </w:r>
      <w:r>
        <w:rPr>
          <w:spacing w:val="-5"/>
        </w:rPr>
        <w:t xml:space="preserve"> </w:t>
      </w:r>
      <w:r>
        <w:t>remember</w:t>
      </w:r>
      <w:r>
        <w:rPr>
          <w:spacing w:val="-2"/>
        </w:rPr>
        <w:t xml:space="preserve"> </w:t>
      </w:r>
      <w:r>
        <w:t>that</w:t>
      </w:r>
      <w:r>
        <w:rPr>
          <w:spacing w:val="-4"/>
        </w:rPr>
        <w:t xml:space="preserve"> </w:t>
      </w:r>
      <w:r>
        <w:t>one</w:t>
      </w:r>
      <w:r>
        <w:rPr>
          <w:spacing w:val="-6"/>
        </w:rPr>
        <w:t xml:space="preserve"> </w:t>
      </w:r>
      <w:r>
        <w:t>has</w:t>
      </w:r>
      <w:r>
        <w:rPr>
          <w:spacing w:val="-7"/>
        </w:rPr>
        <w:t xml:space="preserve"> </w:t>
      </w:r>
      <w:r>
        <w:t>to carry out an intention, which will result in costs for the concurrently performed task (R. E. Smith, 2017). Importantly, these attentional processes are thought to only be engaged during a context-dependent “performance interval”,</w:t>
      </w:r>
      <w:r>
        <w:t xml:space="preserve"> which will contain the opportunity to carry out the delayed</w:t>
      </w:r>
      <w:r>
        <w:rPr>
          <w:spacing w:val="2"/>
        </w:rPr>
        <w:t xml:space="preserve"> </w:t>
      </w:r>
      <w:r>
        <w:t>intention.</w:t>
      </w:r>
    </w:p>
    <w:p w14:paraId="13F65145" w14:textId="77777777" w:rsidR="00C75312" w:rsidRDefault="00C75312">
      <w:pPr>
        <w:spacing w:line="480" w:lineRule="auto"/>
        <w:jc w:val="both"/>
        <w:sectPr w:rsidR="00C75312">
          <w:pgSz w:w="11900" w:h="16840"/>
          <w:pgMar w:top="1020" w:right="500" w:bottom="280" w:left="620" w:header="715" w:footer="0" w:gutter="0"/>
          <w:cols w:space="720"/>
        </w:sectPr>
      </w:pPr>
    </w:p>
    <w:p w14:paraId="6B988BD8" w14:textId="77777777" w:rsidR="00C75312" w:rsidRDefault="00C75312">
      <w:pPr>
        <w:pStyle w:val="BodyText"/>
        <w:spacing w:before="2"/>
        <w:rPr>
          <w:sz w:val="28"/>
        </w:rPr>
      </w:pPr>
    </w:p>
    <w:p w14:paraId="5639DE1F" w14:textId="77777777" w:rsidR="00C75312" w:rsidRDefault="00BB293A">
      <w:pPr>
        <w:pStyle w:val="BodyText"/>
        <w:spacing w:before="90" w:line="480" w:lineRule="auto"/>
        <w:ind w:left="820" w:right="926" w:firstLine="720"/>
        <w:jc w:val="both"/>
      </w:pPr>
      <w:r>
        <w:t>Processes</w:t>
      </w:r>
      <w:r>
        <w:rPr>
          <w:spacing w:val="-9"/>
        </w:rPr>
        <w:t xml:space="preserve"> </w:t>
      </w:r>
      <w:r>
        <w:t>involved</w:t>
      </w:r>
      <w:r>
        <w:rPr>
          <w:spacing w:val="-6"/>
        </w:rPr>
        <w:t xml:space="preserve"> </w:t>
      </w:r>
      <w:r>
        <w:t>in</w:t>
      </w:r>
      <w:r>
        <w:rPr>
          <w:spacing w:val="-7"/>
        </w:rPr>
        <w:t xml:space="preserve"> </w:t>
      </w:r>
      <w:r>
        <w:t>time-based</w:t>
      </w:r>
      <w:r>
        <w:rPr>
          <w:spacing w:val="-7"/>
        </w:rPr>
        <w:t xml:space="preserve"> </w:t>
      </w:r>
      <w:r>
        <w:t>PM,</w:t>
      </w:r>
      <w:r>
        <w:rPr>
          <w:spacing w:val="-3"/>
        </w:rPr>
        <w:t xml:space="preserve"> </w:t>
      </w:r>
      <w:r>
        <w:t>however,</w:t>
      </w:r>
      <w:r>
        <w:rPr>
          <w:spacing w:val="-9"/>
        </w:rPr>
        <w:t xml:space="preserve"> </w:t>
      </w:r>
      <w:r>
        <w:t>have</w:t>
      </w:r>
      <w:r>
        <w:rPr>
          <w:spacing w:val="-7"/>
        </w:rPr>
        <w:t xml:space="preserve"> </w:t>
      </w:r>
      <w:r>
        <w:t>been</w:t>
      </w:r>
      <w:r>
        <w:rPr>
          <w:spacing w:val="-7"/>
        </w:rPr>
        <w:t xml:space="preserve"> </w:t>
      </w:r>
      <w:r>
        <w:t>not</w:t>
      </w:r>
      <w:r>
        <w:rPr>
          <w:spacing w:val="-5"/>
        </w:rPr>
        <w:t xml:space="preserve"> </w:t>
      </w:r>
      <w:r>
        <w:t>been</w:t>
      </w:r>
      <w:r>
        <w:rPr>
          <w:spacing w:val="-12"/>
        </w:rPr>
        <w:t xml:space="preserve"> </w:t>
      </w:r>
      <w:r>
        <w:t>addressed</w:t>
      </w:r>
      <w:r>
        <w:rPr>
          <w:spacing w:val="-6"/>
        </w:rPr>
        <w:t xml:space="preserve"> </w:t>
      </w:r>
      <w:r>
        <w:t>in</w:t>
      </w:r>
      <w:r>
        <w:rPr>
          <w:spacing w:val="-7"/>
        </w:rPr>
        <w:t xml:space="preserve"> </w:t>
      </w:r>
      <w:r>
        <w:t xml:space="preserve">either of the above models. Arguably, the lack of a clearly defined PM cue impedes the direct application of the </w:t>
      </w:r>
      <w:proofErr w:type="spellStart"/>
      <w:r>
        <w:t>multiprocess</w:t>
      </w:r>
      <w:proofErr w:type="spellEnd"/>
      <w:r>
        <w:t xml:space="preserve"> or PAM frameworks to time-based PM (at least those aspects that</w:t>
      </w:r>
      <w:r>
        <w:rPr>
          <w:spacing w:val="-5"/>
        </w:rPr>
        <w:t xml:space="preserve"> </w:t>
      </w:r>
      <w:proofErr w:type="spellStart"/>
      <w:r>
        <w:t>centre</w:t>
      </w:r>
      <w:proofErr w:type="spellEnd"/>
      <w:r>
        <w:rPr>
          <w:spacing w:val="-11"/>
        </w:rPr>
        <w:t xml:space="preserve"> </w:t>
      </w:r>
      <w:r>
        <w:t>on</w:t>
      </w:r>
      <w:r>
        <w:rPr>
          <w:spacing w:val="-9"/>
        </w:rPr>
        <w:t xml:space="preserve"> </w:t>
      </w:r>
      <w:r>
        <w:t>the</w:t>
      </w:r>
      <w:r>
        <w:rPr>
          <w:spacing w:val="-11"/>
        </w:rPr>
        <w:t xml:space="preserve"> </w:t>
      </w:r>
      <w:r>
        <w:t>PM</w:t>
      </w:r>
      <w:r>
        <w:rPr>
          <w:spacing w:val="-7"/>
        </w:rPr>
        <w:t xml:space="preserve"> </w:t>
      </w:r>
      <w:r>
        <w:t>cue,</w:t>
      </w:r>
      <w:r>
        <w:rPr>
          <w:spacing w:val="-7"/>
        </w:rPr>
        <w:t xml:space="preserve"> </w:t>
      </w:r>
      <w:r>
        <w:t>but</w:t>
      </w:r>
      <w:r>
        <w:rPr>
          <w:spacing w:val="-9"/>
        </w:rPr>
        <w:t xml:space="preserve"> </w:t>
      </w:r>
      <w:r>
        <w:t>see</w:t>
      </w:r>
      <w:r>
        <w:rPr>
          <w:spacing w:val="-6"/>
        </w:rPr>
        <w:t xml:space="preserve"> </w:t>
      </w:r>
      <w:r>
        <w:t>Graf</w:t>
      </w:r>
      <w:r>
        <w:rPr>
          <w:spacing w:val="-8"/>
        </w:rPr>
        <w:t xml:space="preserve"> </w:t>
      </w:r>
      <w:r>
        <w:t>&amp;</w:t>
      </w:r>
      <w:r>
        <w:rPr>
          <w:spacing w:val="-9"/>
        </w:rPr>
        <w:t xml:space="preserve"> </w:t>
      </w:r>
      <w:r>
        <w:t>Grondin,</w:t>
      </w:r>
      <w:r>
        <w:rPr>
          <w:spacing w:val="-12"/>
        </w:rPr>
        <w:t xml:space="preserve"> </w:t>
      </w:r>
      <w:r>
        <w:t>2006,</w:t>
      </w:r>
      <w:r>
        <w:rPr>
          <w:spacing w:val="-2"/>
        </w:rPr>
        <w:t xml:space="preserve"> </w:t>
      </w:r>
      <w:r>
        <w:t>and</w:t>
      </w:r>
      <w:r>
        <w:rPr>
          <w:spacing w:val="-10"/>
        </w:rPr>
        <w:t xml:space="preserve"> </w:t>
      </w:r>
      <w:r>
        <w:t>Redshaw,</w:t>
      </w:r>
      <w:r>
        <w:rPr>
          <w:spacing w:val="-2"/>
        </w:rPr>
        <w:t xml:space="preserve"> </w:t>
      </w:r>
      <w:r>
        <w:t>Henry,</w:t>
      </w:r>
      <w:r>
        <w:rPr>
          <w:spacing w:val="-8"/>
        </w:rPr>
        <w:t xml:space="preserve"> </w:t>
      </w:r>
      <w:r>
        <w:t>&amp;</w:t>
      </w:r>
      <w:r>
        <w:rPr>
          <w:spacing w:val="-8"/>
        </w:rPr>
        <w:t xml:space="preserve"> </w:t>
      </w:r>
      <w:proofErr w:type="spellStart"/>
      <w:r>
        <w:t>Suddendorf</w:t>
      </w:r>
      <w:proofErr w:type="spellEnd"/>
      <w:r>
        <w:t>, 2016 for a discussion of how time-based PM may be event-cued at least in some cases). The attentional</w:t>
      </w:r>
      <w:r>
        <w:rPr>
          <w:spacing w:val="-9"/>
        </w:rPr>
        <w:t xml:space="preserve"> </w:t>
      </w:r>
      <w:r>
        <w:t>gate</w:t>
      </w:r>
      <w:r>
        <w:rPr>
          <w:spacing w:val="-11"/>
        </w:rPr>
        <w:t xml:space="preserve"> </w:t>
      </w:r>
      <w:r>
        <w:t>model</w:t>
      </w:r>
      <w:r>
        <w:rPr>
          <w:spacing w:val="-9"/>
        </w:rPr>
        <w:t xml:space="preserve"> </w:t>
      </w:r>
      <w:r>
        <w:t>(Block</w:t>
      </w:r>
      <w:r>
        <w:rPr>
          <w:spacing w:val="-10"/>
        </w:rPr>
        <w:t xml:space="preserve"> </w:t>
      </w:r>
      <w:r>
        <w:t>&amp;</w:t>
      </w:r>
      <w:r>
        <w:rPr>
          <w:spacing w:val="-8"/>
        </w:rPr>
        <w:t xml:space="preserve"> </w:t>
      </w:r>
      <w:r>
        <w:t>Zakay,</w:t>
      </w:r>
      <w:r>
        <w:rPr>
          <w:spacing w:val="-12"/>
        </w:rPr>
        <w:t xml:space="preserve"> </w:t>
      </w:r>
      <w:r>
        <w:t>2006)</w:t>
      </w:r>
      <w:r>
        <w:rPr>
          <w:spacing w:val="-8"/>
        </w:rPr>
        <w:t xml:space="preserve"> </w:t>
      </w:r>
      <w:r>
        <w:t>directly</w:t>
      </w:r>
      <w:r>
        <w:rPr>
          <w:spacing w:val="-10"/>
        </w:rPr>
        <w:t xml:space="preserve"> </w:t>
      </w:r>
      <w:r>
        <w:t>addresses</w:t>
      </w:r>
      <w:r>
        <w:rPr>
          <w:spacing w:val="-11"/>
        </w:rPr>
        <w:t xml:space="preserve"> </w:t>
      </w:r>
      <w:r>
        <w:t>these</w:t>
      </w:r>
      <w:r>
        <w:rPr>
          <w:spacing w:val="-11"/>
        </w:rPr>
        <w:t xml:space="preserve"> </w:t>
      </w:r>
      <w:r>
        <w:t>issues</w:t>
      </w:r>
      <w:r>
        <w:rPr>
          <w:spacing w:val="-12"/>
        </w:rPr>
        <w:t xml:space="preserve"> </w:t>
      </w:r>
      <w:r>
        <w:t>and</w:t>
      </w:r>
      <w:r>
        <w:rPr>
          <w:spacing w:val="-10"/>
        </w:rPr>
        <w:t xml:space="preserve"> </w:t>
      </w:r>
      <w:r>
        <w:t>proposes</w:t>
      </w:r>
      <w:r>
        <w:rPr>
          <w:spacing w:val="-11"/>
        </w:rPr>
        <w:t xml:space="preserve"> </w:t>
      </w:r>
      <w:r>
        <w:t>that time-based PM depends on prospective time estimates. Prospective timing can be referred to as “experienced duration”; i.e., prospective duration judgements depend on the amount of attentional resources dedicating to temporal processing. The model suggests an internal pacemaker that sends pulses through an attentio</w:t>
      </w:r>
      <w:r>
        <w:t>nal gate to an accumulator while timing an interval. In the dual-task context of a time-based PM task, the number of signals that pass through</w:t>
      </w:r>
      <w:r>
        <w:rPr>
          <w:spacing w:val="-14"/>
        </w:rPr>
        <w:t xml:space="preserve"> </w:t>
      </w:r>
      <w:r>
        <w:t>the</w:t>
      </w:r>
      <w:r>
        <w:rPr>
          <w:spacing w:val="-14"/>
        </w:rPr>
        <w:t xml:space="preserve"> </w:t>
      </w:r>
      <w:r>
        <w:t>gate,</w:t>
      </w:r>
      <w:r>
        <w:rPr>
          <w:spacing w:val="-12"/>
        </w:rPr>
        <w:t xml:space="preserve"> </w:t>
      </w:r>
      <w:r>
        <w:t>however,</w:t>
      </w:r>
      <w:r>
        <w:rPr>
          <w:spacing w:val="-12"/>
        </w:rPr>
        <w:t xml:space="preserve"> </w:t>
      </w:r>
      <w:r>
        <w:t>depend</w:t>
      </w:r>
      <w:r>
        <w:rPr>
          <w:spacing w:val="-13"/>
        </w:rPr>
        <w:t xml:space="preserve"> </w:t>
      </w:r>
      <w:r>
        <w:t>on</w:t>
      </w:r>
      <w:r>
        <w:rPr>
          <w:spacing w:val="-14"/>
        </w:rPr>
        <w:t xml:space="preserve"> </w:t>
      </w:r>
      <w:r>
        <w:t>how</w:t>
      </w:r>
      <w:r>
        <w:rPr>
          <w:spacing w:val="-14"/>
        </w:rPr>
        <w:t xml:space="preserve"> </w:t>
      </w:r>
      <w:r>
        <w:t>many</w:t>
      </w:r>
      <w:r>
        <w:rPr>
          <w:spacing w:val="-14"/>
        </w:rPr>
        <w:t xml:space="preserve"> </w:t>
      </w:r>
      <w:r>
        <w:t>executive</w:t>
      </w:r>
      <w:r>
        <w:rPr>
          <w:spacing w:val="-14"/>
        </w:rPr>
        <w:t xml:space="preserve"> </w:t>
      </w:r>
      <w:r>
        <w:t>resources</w:t>
      </w:r>
      <w:r>
        <w:rPr>
          <w:spacing w:val="-17"/>
        </w:rPr>
        <w:t xml:space="preserve"> </w:t>
      </w:r>
      <w:r>
        <w:t>are</w:t>
      </w:r>
      <w:r>
        <w:rPr>
          <w:spacing w:val="-14"/>
        </w:rPr>
        <w:t xml:space="preserve"> </w:t>
      </w:r>
      <w:r>
        <w:t>allocated</w:t>
      </w:r>
      <w:r>
        <w:rPr>
          <w:spacing w:val="-14"/>
        </w:rPr>
        <w:t xml:space="preserve"> </w:t>
      </w:r>
      <w:r>
        <w:t>to</w:t>
      </w:r>
      <w:r>
        <w:rPr>
          <w:spacing w:val="-13"/>
        </w:rPr>
        <w:t xml:space="preserve"> </w:t>
      </w:r>
      <w:r>
        <w:t>the</w:t>
      </w:r>
      <w:r>
        <w:rPr>
          <w:spacing w:val="-15"/>
        </w:rPr>
        <w:t xml:space="preserve"> </w:t>
      </w:r>
      <w:r>
        <w:t>timing process whilst dividing attention between the timing and the ongoing task. Meanwhile, the signals in the accumulator are constantly compared to a stored representation of an interval retrieved from long-term memory. Based on this comparison, pulses are accumulated until a match occu</w:t>
      </w:r>
      <w:r>
        <w:t xml:space="preserve">rs, which results in the time-based PM target response being carried out. Thus, </w:t>
      </w:r>
      <w:r>
        <w:rPr>
          <w:spacing w:val="-3"/>
        </w:rPr>
        <w:t xml:space="preserve">if </w:t>
      </w:r>
      <w:r>
        <w:t>few</w:t>
      </w:r>
      <w:r>
        <w:rPr>
          <w:spacing w:val="-2"/>
        </w:rPr>
        <w:t xml:space="preserve"> </w:t>
      </w:r>
      <w:r>
        <w:t>resources</w:t>
      </w:r>
      <w:r>
        <w:rPr>
          <w:spacing w:val="-3"/>
        </w:rPr>
        <w:t xml:space="preserve"> </w:t>
      </w:r>
      <w:r>
        <w:t>are</w:t>
      </w:r>
      <w:r>
        <w:rPr>
          <w:spacing w:val="-6"/>
        </w:rPr>
        <w:t xml:space="preserve"> </w:t>
      </w:r>
      <w:r>
        <w:t>allocated</w:t>
      </w:r>
      <w:r>
        <w:rPr>
          <w:spacing w:val="-5"/>
        </w:rPr>
        <w:t xml:space="preserve"> </w:t>
      </w:r>
      <w:r>
        <w:t>to</w:t>
      </w:r>
      <w:r>
        <w:rPr>
          <w:spacing w:val="-6"/>
        </w:rPr>
        <w:t xml:space="preserve"> </w:t>
      </w:r>
      <w:r>
        <w:t>timing,</w:t>
      </w:r>
      <w:r>
        <w:rPr>
          <w:spacing w:val="-2"/>
        </w:rPr>
        <w:t xml:space="preserve"> </w:t>
      </w:r>
      <w:r>
        <w:t>then</w:t>
      </w:r>
      <w:r>
        <w:rPr>
          <w:spacing w:val="-6"/>
        </w:rPr>
        <w:t xml:space="preserve"> </w:t>
      </w:r>
      <w:r>
        <w:t>less</w:t>
      </w:r>
      <w:r>
        <w:rPr>
          <w:spacing w:val="-2"/>
        </w:rPr>
        <w:t xml:space="preserve"> </w:t>
      </w:r>
      <w:r>
        <w:t>pulses</w:t>
      </w:r>
      <w:r>
        <w:rPr>
          <w:spacing w:val="-3"/>
        </w:rPr>
        <w:t xml:space="preserve"> </w:t>
      </w:r>
      <w:r>
        <w:t>enter</w:t>
      </w:r>
      <w:r>
        <w:rPr>
          <w:spacing w:val="2"/>
        </w:rPr>
        <w:t xml:space="preserve"> </w:t>
      </w:r>
      <w:r>
        <w:t>the</w:t>
      </w:r>
      <w:r>
        <w:rPr>
          <w:spacing w:val="-7"/>
        </w:rPr>
        <w:t xml:space="preserve"> </w:t>
      </w:r>
      <w:r>
        <w:t>accumulator</w:t>
      </w:r>
      <w:r>
        <w:rPr>
          <w:spacing w:val="-3"/>
        </w:rPr>
        <w:t xml:space="preserve"> </w:t>
      </w:r>
      <w:r>
        <w:t>(as</w:t>
      </w:r>
      <w:r>
        <w:rPr>
          <w:spacing w:val="-3"/>
        </w:rPr>
        <w:t xml:space="preserve"> </w:t>
      </w:r>
      <w:r>
        <w:t>the</w:t>
      </w:r>
      <w:r>
        <w:rPr>
          <w:spacing w:val="-6"/>
        </w:rPr>
        <w:t xml:space="preserve"> </w:t>
      </w:r>
      <w:r>
        <w:t>attentional gate is narrower or closed metaphorically speaking, leading to an underestimation of the objective</w:t>
      </w:r>
      <w:r>
        <w:rPr>
          <w:spacing w:val="-7"/>
        </w:rPr>
        <w:t xml:space="preserve"> </w:t>
      </w:r>
      <w:r>
        <w:t>time)</w:t>
      </w:r>
      <w:r>
        <w:rPr>
          <w:spacing w:val="-3"/>
        </w:rPr>
        <w:t xml:space="preserve"> </w:t>
      </w:r>
      <w:r>
        <w:t>whereas</w:t>
      </w:r>
      <w:r>
        <w:rPr>
          <w:spacing w:val="-7"/>
        </w:rPr>
        <w:t xml:space="preserve"> </w:t>
      </w:r>
      <w:r>
        <w:t>if</w:t>
      </w:r>
      <w:r>
        <w:rPr>
          <w:spacing w:val="-3"/>
        </w:rPr>
        <w:t xml:space="preserve"> </w:t>
      </w:r>
      <w:r>
        <w:t>substantial</w:t>
      </w:r>
      <w:r>
        <w:rPr>
          <w:spacing w:val="-4"/>
        </w:rPr>
        <w:t xml:space="preserve"> </w:t>
      </w:r>
      <w:r>
        <w:t>resources</w:t>
      </w:r>
      <w:r>
        <w:rPr>
          <w:spacing w:val="-7"/>
        </w:rPr>
        <w:t xml:space="preserve"> </w:t>
      </w:r>
      <w:r>
        <w:t>are</w:t>
      </w:r>
      <w:r>
        <w:rPr>
          <w:spacing w:val="-1"/>
        </w:rPr>
        <w:t xml:space="preserve"> </w:t>
      </w:r>
      <w:r>
        <w:t>allocated,</w:t>
      </w:r>
      <w:r>
        <w:rPr>
          <w:spacing w:val="-3"/>
        </w:rPr>
        <w:t xml:space="preserve"> </w:t>
      </w:r>
      <w:r>
        <w:t>then</w:t>
      </w:r>
      <w:r>
        <w:rPr>
          <w:spacing w:val="-5"/>
        </w:rPr>
        <w:t xml:space="preserve"> </w:t>
      </w:r>
      <w:r>
        <w:t>more</w:t>
      </w:r>
      <w:r>
        <w:rPr>
          <w:spacing w:val="-6"/>
        </w:rPr>
        <w:t xml:space="preserve"> </w:t>
      </w:r>
      <w:r>
        <w:t>signals</w:t>
      </w:r>
      <w:r>
        <w:rPr>
          <w:spacing w:val="-7"/>
        </w:rPr>
        <w:t xml:space="preserve"> </w:t>
      </w:r>
      <w:r>
        <w:t>are</w:t>
      </w:r>
      <w:r>
        <w:rPr>
          <w:spacing w:val="-6"/>
        </w:rPr>
        <w:t xml:space="preserve"> </w:t>
      </w:r>
      <w:r>
        <w:t>allowed</w:t>
      </w:r>
      <w:r>
        <w:rPr>
          <w:spacing w:val="-5"/>
        </w:rPr>
        <w:t xml:space="preserve"> </w:t>
      </w:r>
      <w:r>
        <w:t>to pass through into the accumulator (leading to more accurate time estimates, however if too much attention is allocated to timing an overestimation of time</w:t>
      </w:r>
      <w:r>
        <w:rPr>
          <w:spacing w:val="-2"/>
        </w:rPr>
        <w:t xml:space="preserve"> </w:t>
      </w:r>
      <w:r>
        <w:t>occurs).</w:t>
      </w:r>
    </w:p>
    <w:p w14:paraId="050B2076" w14:textId="77777777" w:rsidR="00C75312" w:rsidRDefault="00BB293A">
      <w:pPr>
        <w:pStyle w:val="BodyText"/>
        <w:spacing w:before="121" w:line="480" w:lineRule="auto"/>
        <w:ind w:left="820" w:right="927" w:firstLine="720"/>
        <w:jc w:val="both"/>
      </w:pPr>
      <w:r>
        <w:t xml:space="preserve">A theoretical approach that applies to both event-based and time-based PM is the gateway hypothesis (Burgess, </w:t>
      </w:r>
      <w:proofErr w:type="spellStart"/>
      <w:r>
        <w:t>Dumontheil</w:t>
      </w:r>
      <w:proofErr w:type="spellEnd"/>
      <w:r>
        <w:t>, &amp; Gilbert, 2007; Gilbert, Frith, &amp; Burgess, 2005), which</w:t>
      </w:r>
      <w:r>
        <w:rPr>
          <w:spacing w:val="-10"/>
        </w:rPr>
        <w:t xml:space="preserve"> </w:t>
      </w:r>
      <w:r>
        <w:t>was</w:t>
      </w:r>
      <w:r>
        <w:rPr>
          <w:spacing w:val="-11"/>
        </w:rPr>
        <w:t xml:space="preserve"> </w:t>
      </w:r>
      <w:r>
        <w:t>developed</w:t>
      </w:r>
      <w:r>
        <w:rPr>
          <w:spacing w:val="-9"/>
        </w:rPr>
        <w:t xml:space="preserve"> </w:t>
      </w:r>
      <w:r>
        <w:t>to</w:t>
      </w:r>
      <w:r>
        <w:rPr>
          <w:spacing w:val="-9"/>
        </w:rPr>
        <w:t xml:space="preserve"> </w:t>
      </w:r>
      <w:r>
        <w:t>explain</w:t>
      </w:r>
      <w:r>
        <w:rPr>
          <w:spacing w:val="-9"/>
        </w:rPr>
        <w:t xml:space="preserve"> </w:t>
      </w:r>
      <w:r>
        <w:t>the</w:t>
      </w:r>
      <w:r>
        <w:rPr>
          <w:spacing w:val="-10"/>
        </w:rPr>
        <w:t xml:space="preserve"> </w:t>
      </w:r>
      <w:r>
        <w:t>role</w:t>
      </w:r>
      <w:r>
        <w:rPr>
          <w:spacing w:val="-10"/>
        </w:rPr>
        <w:t xml:space="preserve"> </w:t>
      </w:r>
      <w:r>
        <w:t>of</w:t>
      </w:r>
      <w:r>
        <w:rPr>
          <w:spacing w:val="-7"/>
        </w:rPr>
        <w:t xml:space="preserve"> </w:t>
      </w:r>
      <w:proofErr w:type="spellStart"/>
      <w:r>
        <w:t>rPFC</w:t>
      </w:r>
      <w:proofErr w:type="spellEnd"/>
      <w:r>
        <w:rPr>
          <w:spacing w:val="-10"/>
        </w:rPr>
        <w:t xml:space="preserve"> </w:t>
      </w:r>
      <w:r>
        <w:t>in</w:t>
      </w:r>
      <w:r>
        <w:rPr>
          <w:spacing w:val="-13"/>
        </w:rPr>
        <w:t xml:space="preserve"> </w:t>
      </w:r>
      <w:r>
        <w:t>cognition.</w:t>
      </w:r>
      <w:r>
        <w:rPr>
          <w:spacing w:val="41"/>
        </w:rPr>
        <w:t xml:space="preserve"> </w:t>
      </w:r>
      <w:r>
        <w:t>The</w:t>
      </w:r>
      <w:r>
        <w:rPr>
          <w:spacing w:val="-10"/>
        </w:rPr>
        <w:t xml:space="preserve"> </w:t>
      </w:r>
      <w:r>
        <w:t>hypothesis</w:t>
      </w:r>
      <w:r>
        <w:rPr>
          <w:spacing w:val="-12"/>
        </w:rPr>
        <w:t xml:space="preserve"> </w:t>
      </w:r>
      <w:r>
        <w:t>posits</w:t>
      </w:r>
      <w:r>
        <w:rPr>
          <w:spacing w:val="-11"/>
        </w:rPr>
        <w:t xml:space="preserve"> </w:t>
      </w:r>
      <w:r>
        <w:t>that</w:t>
      </w:r>
      <w:r>
        <w:rPr>
          <w:spacing w:val="-8"/>
        </w:rPr>
        <w:t xml:space="preserve"> </w:t>
      </w:r>
      <w:r>
        <w:t>some forms</w:t>
      </w:r>
      <w:r>
        <w:rPr>
          <w:spacing w:val="-8"/>
        </w:rPr>
        <w:t xml:space="preserve"> </w:t>
      </w:r>
      <w:r>
        <w:t>of</w:t>
      </w:r>
      <w:r>
        <w:rPr>
          <w:spacing w:val="-3"/>
        </w:rPr>
        <w:t xml:space="preserve"> </w:t>
      </w:r>
      <w:r>
        <w:t>cognition</w:t>
      </w:r>
      <w:r>
        <w:rPr>
          <w:spacing w:val="-6"/>
        </w:rPr>
        <w:t xml:space="preserve"> </w:t>
      </w:r>
      <w:r>
        <w:t>occur</w:t>
      </w:r>
      <w:r>
        <w:rPr>
          <w:spacing w:val="-3"/>
        </w:rPr>
        <w:t xml:space="preserve"> </w:t>
      </w:r>
      <w:r>
        <w:t>in</w:t>
      </w:r>
      <w:r>
        <w:rPr>
          <w:spacing w:val="-10"/>
        </w:rPr>
        <w:t xml:space="preserve"> </w:t>
      </w:r>
      <w:r>
        <w:t>response</w:t>
      </w:r>
      <w:r>
        <w:rPr>
          <w:spacing w:val="-6"/>
        </w:rPr>
        <w:t xml:space="preserve"> </w:t>
      </w:r>
      <w:r>
        <w:t>to</w:t>
      </w:r>
      <w:r>
        <w:rPr>
          <w:spacing w:val="-6"/>
        </w:rPr>
        <w:t xml:space="preserve"> </w:t>
      </w:r>
      <w:r>
        <w:t>external</w:t>
      </w:r>
      <w:r>
        <w:rPr>
          <w:spacing w:val="-4"/>
        </w:rPr>
        <w:t xml:space="preserve"> </w:t>
      </w:r>
      <w:r>
        <w:t>sensory</w:t>
      </w:r>
      <w:r>
        <w:rPr>
          <w:spacing w:val="-6"/>
        </w:rPr>
        <w:t xml:space="preserve"> </w:t>
      </w:r>
      <w:r>
        <w:t>stimuli</w:t>
      </w:r>
      <w:r>
        <w:rPr>
          <w:spacing w:val="-4"/>
        </w:rPr>
        <w:t xml:space="preserve"> </w:t>
      </w:r>
      <w:r>
        <w:t>(e.g.,</w:t>
      </w:r>
      <w:r>
        <w:rPr>
          <w:spacing w:val="-7"/>
        </w:rPr>
        <w:t xml:space="preserve"> </w:t>
      </w:r>
      <w:r>
        <w:t>reading</w:t>
      </w:r>
      <w:r>
        <w:rPr>
          <w:spacing w:val="-6"/>
        </w:rPr>
        <w:t xml:space="preserve"> </w:t>
      </w:r>
      <w:r>
        <w:t>a</w:t>
      </w:r>
      <w:r>
        <w:rPr>
          <w:spacing w:val="-6"/>
        </w:rPr>
        <w:t xml:space="preserve"> </w:t>
      </w:r>
      <w:r>
        <w:t>book)</w:t>
      </w:r>
      <w:r>
        <w:rPr>
          <w:spacing w:val="-3"/>
        </w:rPr>
        <w:t xml:space="preserve"> </w:t>
      </w:r>
      <w:r>
        <w:t>whereas</w:t>
      </w:r>
    </w:p>
    <w:p w14:paraId="16E8F023" w14:textId="77777777" w:rsidR="00C75312" w:rsidRDefault="00C75312">
      <w:pPr>
        <w:spacing w:line="480" w:lineRule="auto"/>
        <w:jc w:val="both"/>
        <w:sectPr w:rsidR="00C75312">
          <w:pgSz w:w="11900" w:h="16840"/>
          <w:pgMar w:top="1020" w:right="500" w:bottom="280" w:left="620" w:header="715" w:footer="0" w:gutter="0"/>
          <w:cols w:space="720"/>
        </w:sectPr>
      </w:pPr>
    </w:p>
    <w:p w14:paraId="01513B12" w14:textId="77777777" w:rsidR="00C75312" w:rsidRDefault="00C75312">
      <w:pPr>
        <w:pStyle w:val="BodyText"/>
        <w:spacing w:before="2"/>
        <w:rPr>
          <w:sz w:val="28"/>
        </w:rPr>
      </w:pPr>
    </w:p>
    <w:p w14:paraId="2453D88A" w14:textId="77777777" w:rsidR="00C75312" w:rsidRDefault="00BB293A">
      <w:pPr>
        <w:pStyle w:val="BodyText"/>
        <w:spacing w:before="90" w:line="480" w:lineRule="auto"/>
        <w:ind w:left="820" w:right="924"/>
        <w:jc w:val="both"/>
      </w:pPr>
      <w:r>
        <w:t xml:space="preserve">others are generated in the absence of sensory input (e.g., mentally imagining a story </w:t>
      </w:r>
      <w:r>
        <w:rPr>
          <w:spacing w:val="-3"/>
        </w:rPr>
        <w:t xml:space="preserve">or </w:t>
      </w:r>
      <w:r>
        <w:t xml:space="preserve">mind wandering). The hypothesis proposes that a supervisory attentional gate coordinates and switches between the amount of cognitive resources allocated to stimulus-oriented (attention towards external stimuli) versus stimulus-independent thoughts (attention towards internal representations). The structure of PM task matches with this concept in that an individual has to perform an ongoing task (stimulus-oriented thought) while keeping an intention in mind (stimulus-independent thought). Therefore, it </w:t>
      </w:r>
      <w:r>
        <w:rPr>
          <w:spacing w:val="-3"/>
        </w:rPr>
        <w:t>i</w:t>
      </w:r>
      <w:r>
        <w:rPr>
          <w:spacing w:val="-3"/>
        </w:rPr>
        <w:t xml:space="preserve">s </w:t>
      </w:r>
      <w:r>
        <w:t>no surprise that neuroimaging studies (Burgess et al., 2011; Burgess, Quayle, &amp; Frith, 2001; Burgess, Scott, &amp; Frith, 2003) have clearly</w:t>
      </w:r>
      <w:r>
        <w:rPr>
          <w:spacing w:val="-14"/>
        </w:rPr>
        <w:t xml:space="preserve"> </w:t>
      </w:r>
      <w:r>
        <w:t>implicated</w:t>
      </w:r>
      <w:r>
        <w:rPr>
          <w:spacing w:val="-14"/>
        </w:rPr>
        <w:t xml:space="preserve"> </w:t>
      </w:r>
      <w:r>
        <w:t>the</w:t>
      </w:r>
      <w:r>
        <w:rPr>
          <w:spacing w:val="-15"/>
        </w:rPr>
        <w:t xml:space="preserve"> </w:t>
      </w:r>
      <w:proofErr w:type="spellStart"/>
      <w:r>
        <w:t>rPFC</w:t>
      </w:r>
      <w:proofErr w:type="spellEnd"/>
      <w:r>
        <w:rPr>
          <w:spacing w:val="-15"/>
        </w:rPr>
        <w:t xml:space="preserve"> </w:t>
      </w:r>
      <w:r>
        <w:t>in</w:t>
      </w:r>
      <w:r>
        <w:rPr>
          <w:spacing w:val="-19"/>
        </w:rPr>
        <w:t xml:space="preserve"> </w:t>
      </w:r>
      <w:r>
        <w:t>PM</w:t>
      </w:r>
      <w:r>
        <w:rPr>
          <w:spacing w:val="-17"/>
        </w:rPr>
        <w:t xml:space="preserve"> </w:t>
      </w:r>
      <w:r>
        <w:t>processes.</w:t>
      </w:r>
      <w:r>
        <w:rPr>
          <w:spacing w:val="35"/>
        </w:rPr>
        <w:t xml:space="preserve"> </w:t>
      </w:r>
      <w:r>
        <w:t>Specifically,</w:t>
      </w:r>
      <w:r>
        <w:rPr>
          <w:spacing w:val="-12"/>
        </w:rPr>
        <w:t xml:space="preserve"> </w:t>
      </w:r>
      <w:r>
        <w:t>the</w:t>
      </w:r>
      <w:r>
        <w:rPr>
          <w:spacing w:val="-15"/>
        </w:rPr>
        <w:t xml:space="preserve"> </w:t>
      </w:r>
      <w:r>
        <w:t>lateral</w:t>
      </w:r>
      <w:r>
        <w:rPr>
          <w:spacing w:val="-18"/>
        </w:rPr>
        <w:t xml:space="preserve"> </w:t>
      </w:r>
      <w:proofErr w:type="spellStart"/>
      <w:r>
        <w:t>rPFC</w:t>
      </w:r>
      <w:proofErr w:type="spellEnd"/>
      <w:r>
        <w:rPr>
          <w:spacing w:val="-16"/>
        </w:rPr>
        <w:t xml:space="preserve"> </w:t>
      </w:r>
      <w:r>
        <w:t>has</w:t>
      </w:r>
      <w:r>
        <w:rPr>
          <w:spacing w:val="-16"/>
        </w:rPr>
        <w:t xml:space="preserve"> </w:t>
      </w:r>
      <w:r>
        <w:t>been</w:t>
      </w:r>
      <w:r>
        <w:rPr>
          <w:spacing w:val="-14"/>
        </w:rPr>
        <w:t xml:space="preserve"> </w:t>
      </w:r>
      <w:r>
        <w:t xml:space="preserve">implicated in stimulus-independent thought and is thought </w:t>
      </w:r>
      <w:r>
        <w:rPr>
          <w:spacing w:val="-3"/>
        </w:rPr>
        <w:t xml:space="preserve">to </w:t>
      </w:r>
      <w:r>
        <w:t>represent activation related to having a delayed intention in mind whereas the medial part seems to be involved in representing the content of a delayed intention (Barban, Carlesimo, Macaluso, Caltagirone, &amp; Costa, 2013, 2014; Gilbert,</w:t>
      </w:r>
      <w:r>
        <w:t xml:space="preserve"> Simons, Frith, &amp; Burgess, 2006; Landsiedel &amp; Gilbert, 2015; Underwood, Guynn, &amp; Cohen, 2015). Furthermore, distinct brain activation within these PM brain regions have</w:t>
      </w:r>
      <w:r>
        <w:rPr>
          <w:spacing w:val="-6"/>
        </w:rPr>
        <w:t xml:space="preserve"> </w:t>
      </w:r>
      <w:r>
        <w:t>been</w:t>
      </w:r>
      <w:r>
        <w:rPr>
          <w:spacing w:val="-5"/>
        </w:rPr>
        <w:t xml:space="preserve"> </w:t>
      </w:r>
      <w:r>
        <w:t>implicated</w:t>
      </w:r>
      <w:r>
        <w:rPr>
          <w:spacing w:val="-5"/>
        </w:rPr>
        <w:t xml:space="preserve"> </w:t>
      </w:r>
      <w:r>
        <w:t>in</w:t>
      </w:r>
      <w:r>
        <w:rPr>
          <w:spacing w:val="-4"/>
        </w:rPr>
        <w:t xml:space="preserve"> </w:t>
      </w:r>
      <w:r>
        <w:t>time-</w:t>
      </w:r>
      <w:r>
        <w:rPr>
          <w:spacing w:val="-8"/>
        </w:rPr>
        <w:t xml:space="preserve"> </w:t>
      </w:r>
      <w:r>
        <w:t>and</w:t>
      </w:r>
      <w:r>
        <w:rPr>
          <w:spacing w:val="-5"/>
        </w:rPr>
        <w:t xml:space="preserve"> </w:t>
      </w:r>
      <w:r>
        <w:t>event-based</w:t>
      </w:r>
      <w:r>
        <w:rPr>
          <w:spacing w:val="-5"/>
        </w:rPr>
        <w:t xml:space="preserve"> </w:t>
      </w:r>
      <w:r>
        <w:t>PM</w:t>
      </w:r>
      <w:r>
        <w:rPr>
          <w:spacing w:val="-1"/>
        </w:rPr>
        <w:t xml:space="preserve"> </w:t>
      </w:r>
      <w:r>
        <w:t>(</w:t>
      </w:r>
      <w:proofErr w:type="spellStart"/>
      <w:r>
        <w:t>Gonneaud</w:t>
      </w:r>
      <w:proofErr w:type="spellEnd"/>
      <w:r>
        <w:rPr>
          <w:spacing w:val="-5"/>
        </w:rPr>
        <w:t xml:space="preserve"> </w:t>
      </w:r>
      <w:r>
        <w:t>et</w:t>
      </w:r>
      <w:r>
        <w:rPr>
          <w:spacing w:val="-4"/>
        </w:rPr>
        <w:t xml:space="preserve"> </w:t>
      </w:r>
      <w:r>
        <w:t>al.,</w:t>
      </w:r>
      <w:r>
        <w:rPr>
          <w:spacing w:val="-7"/>
        </w:rPr>
        <w:t xml:space="preserve"> </w:t>
      </w:r>
      <w:r>
        <w:t>2014;</w:t>
      </w:r>
      <w:r>
        <w:rPr>
          <w:spacing w:val="-3"/>
        </w:rPr>
        <w:t xml:space="preserve"> </w:t>
      </w:r>
      <w:r>
        <w:t>Okuda</w:t>
      </w:r>
      <w:r>
        <w:rPr>
          <w:spacing w:val="-6"/>
        </w:rPr>
        <w:t xml:space="preserve"> </w:t>
      </w:r>
      <w:r>
        <w:t>et</w:t>
      </w:r>
      <w:r>
        <w:rPr>
          <w:spacing w:val="-4"/>
        </w:rPr>
        <w:t xml:space="preserve"> </w:t>
      </w:r>
      <w:r>
        <w:t>al.,</w:t>
      </w:r>
      <w:r>
        <w:rPr>
          <w:spacing w:val="-7"/>
        </w:rPr>
        <w:t xml:space="preserve"> </w:t>
      </w:r>
      <w:r>
        <w:t>2007; Volle et al.,</w:t>
      </w:r>
      <w:r>
        <w:rPr>
          <w:spacing w:val="6"/>
        </w:rPr>
        <w:t xml:space="preserve"> </w:t>
      </w:r>
      <w:r>
        <w:t>2011).</w:t>
      </w:r>
    </w:p>
    <w:p w14:paraId="3FA6E60C" w14:textId="77777777" w:rsidR="00C75312" w:rsidRDefault="00BB293A">
      <w:pPr>
        <w:pStyle w:val="Heading1"/>
        <w:spacing w:before="121"/>
        <w:ind w:left="820"/>
        <w:jc w:val="both"/>
      </w:pPr>
      <w:r>
        <w:t>Neurocognitive underpinnings of prospective memory</w:t>
      </w:r>
    </w:p>
    <w:p w14:paraId="00D43D62" w14:textId="77777777" w:rsidR="00C75312" w:rsidRDefault="00C75312">
      <w:pPr>
        <w:pStyle w:val="BodyText"/>
        <w:rPr>
          <w:b/>
        </w:rPr>
      </w:pPr>
    </w:p>
    <w:p w14:paraId="69437A51" w14:textId="77777777" w:rsidR="00C75312" w:rsidRDefault="00BB293A">
      <w:pPr>
        <w:pStyle w:val="BodyText"/>
        <w:spacing w:line="480" w:lineRule="auto"/>
        <w:ind w:left="820" w:right="924" w:firstLine="720"/>
        <w:jc w:val="both"/>
      </w:pPr>
      <w:r>
        <w:t xml:space="preserve">Executive functioning is an umbrella term for various cognitive process that enable goal-directed and problem-solving thoughts and </w:t>
      </w:r>
      <w:proofErr w:type="spellStart"/>
      <w:r>
        <w:t>behaviour</w:t>
      </w:r>
      <w:proofErr w:type="spellEnd"/>
      <w:r>
        <w:t xml:space="preserve"> (Diamond, 2013), including</w:t>
      </w:r>
      <w:r>
        <w:rPr>
          <w:spacing w:val="-38"/>
        </w:rPr>
        <w:t xml:space="preserve"> </w:t>
      </w:r>
      <w:r>
        <w:t xml:space="preserve">PM. It is commonly accepted that executive functioning has a tripartite structure </w:t>
      </w:r>
      <w:r>
        <w:rPr>
          <w:spacing w:val="-3"/>
        </w:rPr>
        <w:t xml:space="preserve">of </w:t>
      </w:r>
      <w:r>
        <w:t>three separable but correlated factors: inhibition, shifting/cognitive flexibility, and updating/working memory (Miyake et al. 2000; Miyake &amp; Friedman, 2012). Inhibition encompasses inhibitory control or response</w:t>
      </w:r>
      <w:r>
        <w:rPr>
          <w:spacing w:val="-12"/>
        </w:rPr>
        <w:t xml:space="preserve"> </w:t>
      </w:r>
      <w:r>
        <w:t>inhibition,</w:t>
      </w:r>
      <w:r>
        <w:rPr>
          <w:spacing w:val="-8"/>
        </w:rPr>
        <w:t xml:space="preserve"> </w:t>
      </w:r>
      <w:r>
        <w:t>which</w:t>
      </w:r>
      <w:r>
        <w:rPr>
          <w:spacing w:val="-10"/>
        </w:rPr>
        <w:t xml:space="preserve"> </w:t>
      </w:r>
      <w:r>
        <w:t>is</w:t>
      </w:r>
      <w:r>
        <w:rPr>
          <w:spacing w:val="-17"/>
        </w:rPr>
        <w:t xml:space="preserve"> </w:t>
      </w:r>
      <w:r>
        <w:t>the</w:t>
      </w:r>
      <w:r>
        <w:rPr>
          <w:spacing w:val="-12"/>
        </w:rPr>
        <w:t xml:space="preserve"> </w:t>
      </w:r>
      <w:r>
        <w:t>ability</w:t>
      </w:r>
      <w:r>
        <w:rPr>
          <w:spacing w:val="-14"/>
        </w:rPr>
        <w:t xml:space="preserve"> </w:t>
      </w:r>
      <w:r>
        <w:t>to</w:t>
      </w:r>
      <w:r>
        <w:rPr>
          <w:spacing w:val="-10"/>
        </w:rPr>
        <w:t xml:space="preserve"> </w:t>
      </w:r>
      <w:r>
        <w:t>consciously</w:t>
      </w:r>
      <w:r>
        <w:rPr>
          <w:spacing w:val="-11"/>
        </w:rPr>
        <w:t xml:space="preserve"> </w:t>
      </w:r>
      <w:r>
        <w:t>inhibit</w:t>
      </w:r>
      <w:r>
        <w:rPr>
          <w:spacing w:val="-9"/>
        </w:rPr>
        <w:t xml:space="preserve"> </w:t>
      </w:r>
      <w:r>
        <w:t>automatic</w:t>
      </w:r>
      <w:r>
        <w:rPr>
          <w:spacing w:val="-12"/>
        </w:rPr>
        <w:t xml:space="preserve"> </w:t>
      </w:r>
      <w:r>
        <w:rPr>
          <w:spacing w:val="-3"/>
        </w:rPr>
        <w:t>or</w:t>
      </w:r>
      <w:r>
        <w:rPr>
          <w:spacing w:val="-8"/>
        </w:rPr>
        <w:t xml:space="preserve"> </w:t>
      </w:r>
      <w:r>
        <w:t>prepotent</w:t>
      </w:r>
      <w:r>
        <w:rPr>
          <w:spacing w:val="-10"/>
        </w:rPr>
        <w:t xml:space="preserve"> </w:t>
      </w:r>
      <w:r>
        <w:t>responses when a situation requires it, as well as interference control, which is the ability to i</w:t>
      </w:r>
      <w:r>
        <w:t xml:space="preserve">gnore irrelevant or distracting information </w:t>
      </w:r>
      <w:r>
        <w:rPr>
          <w:spacing w:val="-3"/>
        </w:rPr>
        <w:t xml:space="preserve">or </w:t>
      </w:r>
      <w:r>
        <w:t>stimuli. Cognitive flexibility denotes the</w:t>
      </w:r>
      <w:r>
        <w:rPr>
          <w:spacing w:val="21"/>
        </w:rPr>
        <w:t xml:space="preserve"> </w:t>
      </w:r>
      <w:r>
        <w:t>ability to</w:t>
      </w:r>
    </w:p>
    <w:p w14:paraId="5CB86B96" w14:textId="77777777" w:rsidR="00C75312" w:rsidRDefault="00C75312">
      <w:pPr>
        <w:spacing w:line="480" w:lineRule="auto"/>
        <w:jc w:val="both"/>
        <w:sectPr w:rsidR="00C75312">
          <w:pgSz w:w="11900" w:h="16840"/>
          <w:pgMar w:top="1020" w:right="500" w:bottom="280" w:left="620" w:header="715" w:footer="0" w:gutter="0"/>
          <w:cols w:space="720"/>
        </w:sectPr>
      </w:pPr>
    </w:p>
    <w:p w14:paraId="2A044FF5" w14:textId="77777777" w:rsidR="00C75312" w:rsidRDefault="00C75312">
      <w:pPr>
        <w:pStyle w:val="BodyText"/>
        <w:spacing w:before="2"/>
        <w:rPr>
          <w:sz w:val="28"/>
        </w:rPr>
      </w:pPr>
    </w:p>
    <w:p w14:paraId="027C2427" w14:textId="77777777" w:rsidR="00C75312" w:rsidRDefault="00BB293A">
      <w:pPr>
        <w:pStyle w:val="BodyText"/>
        <w:spacing w:before="90" w:line="480" w:lineRule="auto"/>
        <w:ind w:left="820" w:right="929"/>
        <w:jc w:val="both"/>
      </w:pPr>
      <w:r>
        <w:t xml:space="preserve">flexibly switch between </w:t>
      </w:r>
      <w:proofErr w:type="spellStart"/>
      <w:r>
        <w:t>behaviours</w:t>
      </w:r>
      <w:proofErr w:type="spellEnd"/>
      <w:r>
        <w:t xml:space="preserve"> and strategies in response to changing environments or task demands. Working memory is the ability to store and manipulate/process information in mind for a limited period. It is generally agreed that working memory consists of a)</w:t>
      </w:r>
      <w:r>
        <w:rPr>
          <w:spacing w:val="-44"/>
        </w:rPr>
        <w:t xml:space="preserve"> </w:t>
      </w:r>
      <w:r>
        <w:t>separable, domain-specific storage mechanisms that maintain verbal information and visuospatial information,</w:t>
      </w:r>
      <w:r>
        <w:rPr>
          <w:spacing w:val="-13"/>
        </w:rPr>
        <w:t xml:space="preserve"> </w:t>
      </w:r>
      <w:r>
        <w:t>respectively,</w:t>
      </w:r>
      <w:r>
        <w:rPr>
          <w:spacing w:val="-4"/>
        </w:rPr>
        <w:t xml:space="preserve"> </w:t>
      </w:r>
      <w:r>
        <w:t>in</w:t>
      </w:r>
      <w:r>
        <w:rPr>
          <w:spacing w:val="-11"/>
        </w:rPr>
        <w:t xml:space="preserve"> </w:t>
      </w:r>
      <w:r>
        <w:t>mind,</w:t>
      </w:r>
      <w:r>
        <w:rPr>
          <w:spacing w:val="-9"/>
        </w:rPr>
        <w:t xml:space="preserve"> </w:t>
      </w:r>
      <w:r>
        <w:t>and</w:t>
      </w:r>
      <w:r>
        <w:rPr>
          <w:spacing w:val="-11"/>
        </w:rPr>
        <w:t xml:space="preserve"> </w:t>
      </w:r>
      <w:r>
        <w:t>b)</w:t>
      </w:r>
      <w:r>
        <w:rPr>
          <w:spacing w:val="-9"/>
        </w:rPr>
        <w:t xml:space="preserve"> </w:t>
      </w:r>
      <w:r>
        <w:t>a</w:t>
      </w:r>
      <w:r>
        <w:rPr>
          <w:spacing w:val="-7"/>
        </w:rPr>
        <w:t xml:space="preserve"> </w:t>
      </w:r>
      <w:r>
        <w:t>domain-general</w:t>
      </w:r>
      <w:r>
        <w:rPr>
          <w:spacing w:val="-6"/>
        </w:rPr>
        <w:t xml:space="preserve"> </w:t>
      </w:r>
      <w:r>
        <w:t>(executive)</w:t>
      </w:r>
      <w:r>
        <w:rPr>
          <w:spacing w:val="-4"/>
        </w:rPr>
        <w:t xml:space="preserve"> </w:t>
      </w:r>
      <w:r>
        <w:t>processing</w:t>
      </w:r>
      <w:r>
        <w:rPr>
          <w:spacing w:val="-7"/>
        </w:rPr>
        <w:t xml:space="preserve"> </w:t>
      </w:r>
      <w:r>
        <w:t>component that acts on the information contained in each of the short-term stores (</w:t>
      </w:r>
      <w:proofErr w:type="spellStart"/>
      <w:r>
        <w:t>Repovs</w:t>
      </w:r>
      <w:proofErr w:type="spellEnd"/>
      <w:r>
        <w:t xml:space="preserve"> &amp;</w:t>
      </w:r>
      <w:r>
        <w:t xml:space="preserve"> Baddeley, 2006).</w:t>
      </w:r>
    </w:p>
    <w:p w14:paraId="6F839DD8" w14:textId="77777777" w:rsidR="00C75312" w:rsidRDefault="00BB293A">
      <w:pPr>
        <w:pStyle w:val="BodyText"/>
        <w:spacing w:before="120" w:line="480" w:lineRule="auto"/>
        <w:ind w:left="820" w:right="929" w:firstLine="720"/>
        <w:jc w:val="both"/>
      </w:pPr>
      <w:r>
        <w:t xml:space="preserve">PM requires the complex interplay </w:t>
      </w:r>
      <w:r>
        <w:rPr>
          <w:spacing w:val="-3"/>
        </w:rPr>
        <w:t xml:space="preserve">of </w:t>
      </w:r>
      <w:r>
        <w:t xml:space="preserve">several cognitive processes, including aspects of executive functioning (M. Martin, </w:t>
      </w:r>
      <w:proofErr w:type="spellStart"/>
      <w:r>
        <w:t>Kliegel</w:t>
      </w:r>
      <w:proofErr w:type="spellEnd"/>
      <w:r>
        <w:t>, &amp; McDaniel, 2003). Planning is involved during the</w:t>
      </w:r>
      <w:r>
        <w:rPr>
          <w:spacing w:val="-7"/>
        </w:rPr>
        <w:t xml:space="preserve"> </w:t>
      </w:r>
      <w:r>
        <w:t>formation</w:t>
      </w:r>
      <w:r>
        <w:rPr>
          <w:spacing w:val="-6"/>
        </w:rPr>
        <w:t xml:space="preserve"> </w:t>
      </w:r>
      <w:r>
        <w:t>and</w:t>
      </w:r>
      <w:r>
        <w:rPr>
          <w:spacing w:val="-11"/>
        </w:rPr>
        <w:t xml:space="preserve"> </w:t>
      </w:r>
      <w:r>
        <w:t>encoding</w:t>
      </w:r>
      <w:r>
        <w:rPr>
          <w:spacing w:val="-5"/>
        </w:rPr>
        <w:t xml:space="preserve"> </w:t>
      </w:r>
      <w:r>
        <w:rPr>
          <w:spacing w:val="-3"/>
        </w:rPr>
        <w:t>of</w:t>
      </w:r>
      <w:r>
        <w:rPr>
          <w:spacing w:val="-9"/>
        </w:rPr>
        <w:t xml:space="preserve"> </w:t>
      </w:r>
      <w:r>
        <w:t>an</w:t>
      </w:r>
      <w:r>
        <w:rPr>
          <w:spacing w:val="-6"/>
        </w:rPr>
        <w:t xml:space="preserve"> </w:t>
      </w:r>
      <w:r>
        <w:t>intention</w:t>
      </w:r>
      <w:r>
        <w:rPr>
          <w:spacing w:val="-10"/>
        </w:rPr>
        <w:t xml:space="preserve"> </w:t>
      </w:r>
      <w:r>
        <w:t>(</w:t>
      </w:r>
      <w:proofErr w:type="spellStart"/>
      <w:r>
        <w:t>Kliegel</w:t>
      </w:r>
      <w:proofErr w:type="spellEnd"/>
      <w:r>
        <w:t>,</w:t>
      </w:r>
      <w:r>
        <w:rPr>
          <w:spacing w:val="-3"/>
        </w:rPr>
        <w:t xml:space="preserve"> </w:t>
      </w:r>
      <w:r>
        <w:t>Martin,</w:t>
      </w:r>
      <w:r>
        <w:rPr>
          <w:spacing w:val="-2"/>
        </w:rPr>
        <w:t xml:space="preserve"> </w:t>
      </w:r>
      <w:r>
        <w:t>McDaniel,</w:t>
      </w:r>
      <w:r>
        <w:rPr>
          <w:spacing w:val="-8"/>
        </w:rPr>
        <w:t xml:space="preserve"> </w:t>
      </w:r>
      <w:r>
        <w:t>&amp;</w:t>
      </w:r>
      <w:r>
        <w:rPr>
          <w:spacing w:val="-10"/>
        </w:rPr>
        <w:t xml:space="preserve"> </w:t>
      </w:r>
      <w:r>
        <w:t>Einstein,</w:t>
      </w:r>
      <w:r>
        <w:rPr>
          <w:spacing w:val="-8"/>
        </w:rPr>
        <w:t xml:space="preserve"> </w:t>
      </w:r>
      <w:r>
        <w:t>2002),</w:t>
      </w:r>
      <w:r>
        <w:rPr>
          <w:spacing w:val="-7"/>
        </w:rPr>
        <w:t xml:space="preserve"> </w:t>
      </w:r>
      <w:r>
        <w:t>and retrospective/working</w:t>
      </w:r>
      <w:r>
        <w:rPr>
          <w:spacing w:val="-10"/>
        </w:rPr>
        <w:t xml:space="preserve"> </w:t>
      </w:r>
      <w:r>
        <w:t>memory</w:t>
      </w:r>
      <w:r>
        <w:rPr>
          <w:spacing w:val="-10"/>
        </w:rPr>
        <w:t xml:space="preserve"> </w:t>
      </w:r>
      <w:r>
        <w:t>is</w:t>
      </w:r>
      <w:r>
        <w:rPr>
          <w:spacing w:val="-11"/>
        </w:rPr>
        <w:t xml:space="preserve"> </w:t>
      </w:r>
      <w:r>
        <w:t>necessary</w:t>
      </w:r>
      <w:r>
        <w:rPr>
          <w:spacing w:val="-10"/>
        </w:rPr>
        <w:t xml:space="preserve"> </w:t>
      </w:r>
      <w:r>
        <w:t>to</w:t>
      </w:r>
      <w:r>
        <w:rPr>
          <w:spacing w:val="-10"/>
        </w:rPr>
        <w:t xml:space="preserve"> </w:t>
      </w:r>
      <w:r>
        <w:t>store</w:t>
      </w:r>
      <w:r>
        <w:rPr>
          <w:spacing w:val="-10"/>
        </w:rPr>
        <w:t xml:space="preserve"> </w:t>
      </w:r>
      <w:r>
        <w:t>the</w:t>
      </w:r>
      <w:r>
        <w:rPr>
          <w:spacing w:val="-11"/>
        </w:rPr>
        <w:t xml:space="preserve"> </w:t>
      </w:r>
      <w:r>
        <w:t>delayed</w:t>
      </w:r>
      <w:r>
        <w:rPr>
          <w:spacing w:val="-10"/>
        </w:rPr>
        <w:t xml:space="preserve"> </w:t>
      </w:r>
      <w:r>
        <w:t>intention</w:t>
      </w:r>
      <w:r>
        <w:rPr>
          <w:spacing w:val="-9"/>
        </w:rPr>
        <w:t xml:space="preserve"> </w:t>
      </w:r>
      <w:r>
        <w:t>while</w:t>
      </w:r>
      <w:r>
        <w:rPr>
          <w:spacing w:val="-11"/>
        </w:rPr>
        <w:t xml:space="preserve"> </w:t>
      </w:r>
      <w:r>
        <w:t>performing</w:t>
      </w:r>
      <w:r>
        <w:rPr>
          <w:spacing w:val="-13"/>
        </w:rPr>
        <w:t xml:space="preserve"> </w:t>
      </w:r>
      <w:r>
        <w:t xml:space="preserve">the ongoing task or filler tasks (Marsh &amp; Hicks, 1998). At the same time, attentional monitoring of the environment is required to </w:t>
      </w:r>
      <w:proofErr w:type="spellStart"/>
      <w:r>
        <w:t>recognise</w:t>
      </w:r>
      <w:proofErr w:type="spellEnd"/>
      <w:r>
        <w:t xml:space="preserve"> the appropriate moment to initiate the PM action (</w:t>
      </w:r>
      <w:proofErr w:type="spellStart"/>
      <w:r>
        <w:t>Kliegel</w:t>
      </w:r>
      <w:proofErr w:type="spellEnd"/>
      <w:r>
        <w:t xml:space="preserve">, Jäger, </w:t>
      </w:r>
      <w:proofErr w:type="spellStart"/>
      <w:r>
        <w:t>Altgassen</w:t>
      </w:r>
      <w:proofErr w:type="spellEnd"/>
      <w:r>
        <w:t>, &amp; Shum, 2008). Finally, in order to successfully execute one’s intention,</w:t>
      </w:r>
      <w:r>
        <w:rPr>
          <w:spacing w:val="-7"/>
        </w:rPr>
        <w:t xml:space="preserve"> </w:t>
      </w:r>
      <w:r>
        <w:t>a</w:t>
      </w:r>
      <w:r>
        <w:rPr>
          <w:spacing w:val="-15"/>
        </w:rPr>
        <w:t xml:space="preserve"> </w:t>
      </w:r>
      <w:r>
        <w:t>person</w:t>
      </w:r>
      <w:r>
        <w:rPr>
          <w:spacing w:val="-10"/>
        </w:rPr>
        <w:t xml:space="preserve"> </w:t>
      </w:r>
      <w:r>
        <w:t>has</w:t>
      </w:r>
      <w:r>
        <w:rPr>
          <w:spacing w:val="-11"/>
        </w:rPr>
        <w:t xml:space="preserve"> </w:t>
      </w:r>
      <w:r>
        <w:t>to</w:t>
      </w:r>
      <w:r>
        <w:rPr>
          <w:spacing w:val="-14"/>
        </w:rPr>
        <w:t xml:space="preserve"> </w:t>
      </w:r>
      <w:r>
        <w:t>shift</w:t>
      </w:r>
      <w:r>
        <w:rPr>
          <w:spacing w:val="-14"/>
        </w:rPr>
        <w:t xml:space="preserve"> </w:t>
      </w:r>
      <w:r>
        <w:t>their</w:t>
      </w:r>
      <w:r>
        <w:rPr>
          <w:spacing w:val="-12"/>
        </w:rPr>
        <w:t xml:space="preserve"> </w:t>
      </w:r>
      <w:r>
        <w:t>attention</w:t>
      </w:r>
      <w:r>
        <w:rPr>
          <w:spacing w:val="-14"/>
        </w:rPr>
        <w:t xml:space="preserve"> </w:t>
      </w:r>
      <w:r>
        <w:t>away</w:t>
      </w:r>
      <w:r>
        <w:rPr>
          <w:spacing w:val="-10"/>
        </w:rPr>
        <w:t xml:space="preserve"> </w:t>
      </w:r>
      <w:r>
        <w:t>from</w:t>
      </w:r>
      <w:r>
        <w:rPr>
          <w:spacing w:val="-8"/>
        </w:rPr>
        <w:t xml:space="preserve"> </w:t>
      </w:r>
      <w:r>
        <w:t>the</w:t>
      </w:r>
      <w:r>
        <w:rPr>
          <w:spacing w:val="-15"/>
        </w:rPr>
        <w:t xml:space="preserve"> </w:t>
      </w:r>
      <w:r>
        <w:t>ongoing</w:t>
      </w:r>
      <w:r>
        <w:rPr>
          <w:spacing w:val="-14"/>
        </w:rPr>
        <w:t xml:space="preserve"> </w:t>
      </w:r>
      <w:r>
        <w:t>task</w:t>
      </w:r>
      <w:r>
        <w:rPr>
          <w:spacing w:val="-9"/>
        </w:rPr>
        <w:t xml:space="preserve"> </w:t>
      </w:r>
      <w:r>
        <w:t>and</w:t>
      </w:r>
      <w:r>
        <w:rPr>
          <w:spacing w:val="-10"/>
        </w:rPr>
        <w:t xml:space="preserve"> </w:t>
      </w:r>
      <w:r>
        <w:t>switch</w:t>
      </w:r>
      <w:r>
        <w:rPr>
          <w:spacing w:val="-10"/>
        </w:rPr>
        <w:t xml:space="preserve"> </w:t>
      </w:r>
      <w:r>
        <w:t>the</w:t>
      </w:r>
      <w:r>
        <w:rPr>
          <w:spacing w:val="-15"/>
        </w:rPr>
        <w:t xml:space="preserve"> </w:t>
      </w:r>
      <w:r>
        <w:t>mental focus</w:t>
      </w:r>
      <w:r>
        <w:rPr>
          <w:spacing w:val="-7"/>
        </w:rPr>
        <w:t xml:space="preserve"> </w:t>
      </w:r>
      <w:r>
        <w:t>on</w:t>
      </w:r>
      <w:r>
        <w:rPr>
          <w:spacing w:val="-5"/>
        </w:rPr>
        <w:t xml:space="preserve"> </w:t>
      </w:r>
      <w:r>
        <w:t>the</w:t>
      </w:r>
      <w:r>
        <w:rPr>
          <w:spacing w:val="-10"/>
        </w:rPr>
        <w:t xml:space="preserve"> </w:t>
      </w:r>
      <w:r>
        <w:t>PM</w:t>
      </w:r>
      <w:r>
        <w:rPr>
          <w:spacing w:val="-12"/>
        </w:rPr>
        <w:t xml:space="preserve"> </w:t>
      </w:r>
      <w:r>
        <w:t>task,</w:t>
      </w:r>
      <w:r>
        <w:rPr>
          <w:spacing w:val="-2"/>
        </w:rPr>
        <w:t xml:space="preserve"> </w:t>
      </w:r>
      <w:r>
        <w:t>which</w:t>
      </w:r>
      <w:r>
        <w:rPr>
          <w:spacing w:val="-9"/>
        </w:rPr>
        <w:t xml:space="preserve"> </w:t>
      </w:r>
      <w:r>
        <w:t>requires</w:t>
      </w:r>
      <w:r>
        <w:rPr>
          <w:spacing w:val="-12"/>
        </w:rPr>
        <w:t xml:space="preserve"> </w:t>
      </w:r>
      <w:r>
        <w:t>cognitive</w:t>
      </w:r>
      <w:r>
        <w:rPr>
          <w:spacing w:val="-11"/>
        </w:rPr>
        <w:t xml:space="preserve"> </w:t>
      </w:r>
      <w:r>
        <w:t>flexibility</w:t>
      </w:r>
      <w:r>
        <w:rPr>
          <w:spacing w:val="-4"/>
        </w:rPr>
        <w:t xml:space="preserve"> </w:t>
      </w:r>
      <w:r>
        <w:t>and</w:t>
      </w:r>
      <w:r>
        <w:rPr>
          <w:spacing w:val="-10"/>
        </w:rPr>
        <w:t xml:space="preserve"> </w:t>
      </w:r>
      <w:r>
        <w:t>inhibitory</w:t>
      </w:r>
      <w:r>
        <w:rPr>
          <w:spacing w:val="-9"/>
        </w:rPr>
        <w:t xml:space="preserve"> </w:t>
      </w:r>
      <w:r>
        <w:t>control</w:t>
      </w:r>
      <w:r>
        <w:rPr>
          <w:spacing w:val="-9"/>
        </w:rPr>
        <w:t xml:space="preserve"> </w:t>
      </w:r>
      <w:r>
        <w:t>(</w:t>
      </w:r>
      <w:proofErr w:type="spellStart"/>
      <w:r>
        <w:t>Kliegel</w:t>
      </w:r>
      <w:proofErr w:type="spellEnd"/>
      <w:r>
        <w:rPr>
          <w:spacing w:val="-9"/>
        </w:rPr>
        <w:t xml:space="preserve"> </w:t>
      </w:r>
      <w:r>
        <w:t>et</w:t>
      </w:r>
      <w:r>
        <w:rPr>
          <w:spacing w:val="-3"/>
        </w:rPr>
        <w:t xml:space="preserve"> </w:t>
      </w:r>
      <w:r>
        <w:t>al., 2002).</w:t>
      </w:r>
    </w:p>
    <w:p w14:paraId="274B51B9" w14:textId="77777777" w:rsidR="00C75312" w:rsidRDefault="00BB293A">
      <w:pPr>
        <w:pStyle w:val="BodyText"/>
        <w:spacing w:before="121" w:line="480" w:lineRule="auto"/>
        <w:ind w:left="820" w:right="928" w:firstLine="720"/>
        <w:jc w:val="both"/>
      </w:pPr>
      <w:r>
        <w:t>Another cognitive process which is thought to play a key role in PM is episodic future thinking</w:t>
      </w:r>
      <w:r>
        <w:rPr>
          <w:spacing w:val="-11"/>
        </w:rPr>
        <w:t xml:space="preserve"> </w:t>
      </w:r>
      <w:r>
        <w:t>(the</w:t>
      </w:r>
      <w:r>
        <w:rPr>
          <w:spacing w:val="-12"/>
        </w:rPr>
        <w:t xml:space="preserve"> </w:t>
      </w:r>
      <w:r>
        <w:t>ability</w:t>
      </w:r>
      <w:r>
        <w:rPr>
          <w:spacing w:val="-14"/>
        </w:rPr>
        <w:t xml:space="preserve"> </w:t>
      </w:r>
      <w:r>
        <w:t>to</w:t>
      </w:r>
      <w:r>
        <w:rPr>
          <w:spacing w:val="-15"/>
        </w:rPr>
        <w:t xml:space="preserve"> </w:t>
      </w:r>
      <w:r>
        <w:t>project</w:t>
      </w:r>
      <w:r>
        <w:rPr>
          <w:spacing w:val="-10"/>
        </w:rPr>
        <w:t xml:space="preserve"> </w:t>
      </w:r>
      <w:r>
        <w:t>oneself</w:t>
      </w:r>
      <w:r>
        <w:rPr>
          <w:spacing w:val="-13"/>
        </w:rPr>
        <w:t xml:space="preserve"> </w:t>
      </w:r>
      <w:r>
        <w:t>mentally</w:t>
      </w:r>
      <w:r>
        <w:rPr>
          <w:spacing w:val="-11"/>
        </w:rPr>
        <w:t xml:space="preserve"> </w:t>
      </w:r>
      <w:r>
        <w:t>into</w:t>
      </w:r>
      <w:r>
        <w:rPr>
          <w:spacing w:val="-15"/>
        </w:rPr>
        <w:t xml:space="preserve"> </w:t>
      </w:r>
      <w:r>
        <w:t>the</w:t>
      </w:r>
      <w:r>
        <w:rPr>
          <w:spacing w:val="-15"/>
        </w:rPr>
        <w:t xml:space="preserve"> </w:t>
      </w:r>
      <w:r>
        <w:t>future</w:t>
      </w:r>
      <w:r>
        <w:rPr>
          <w:spacing w:val="-15"/>
        </w:rPr>
        <w:t xml:space="preserve"> </w:t>
      </w:r>
      <w:r>
        <w:t>to</w:t>
      </w:r>
      <w:r>
        <w:rPr>
          <w:spacing w:val="-15"/>
        </w:rPr>
        <w:t xml:space="preserve"> </w:t>
      </w:r>
      <w:r>
        <w:t>imagine/pre-experience</w:t>
      </w:r>
      <w:r>
        <w:rPr>
          <w:spacing w:val="-12"/>
        </w:rPr>
        <w:t xml:space="preserve"> </w:t>
      </w:r>
      <w:r>
        <w:t>future events/states</w:t>
      </w:r>
      <w:r>
        <w:rPr>
          <w:spacing w:val="-18"/>
        </w:rPr>
        <w:t xml:space="preserve"> </w:t>
      </w:r>
      <w:r>
        <w:t>of</w:t>
      </w:r>
      <w:r>
        <w:rPr>
          <w:spacing w:val="-14"/>
        </w:rPr>
        <w:t xml:space="preserve"> </w:t>
      </w:r>
      <w:r>
        <w:t>self;</w:t>
      </w:r>
      <w:r>
        <w:rPr>
          <w:spacing w:val="-14"/>
        </w:rPr>
        <w:t xml:space="preserve"> </w:t>
      </w:r>
      <w:proofErr w:type="spellStart"/>
      <w:r>
        <w:t>Atance</w:t>
      </w:r>
      <w:proofErr w:type="spellEnd"/>
      <w:r>
        <w:rPr>
          <w:spacing w:val="-16"/>
        </w:rPr>
        <w:t xml:space="preserve"> </w:t>
      </w:r>
      <w:r>
        <w:t>&amp;</w:t>
      </w:r>
      <w:r>
        <w:rPr>
          <w:spacing w:val="-15"/>
        </w:rPr>
        <w:t xml:space="preserve"> </w:t>
      </w:r>
      <w:r>
        <w:t>O’Neill,</w:t>
      </w:r>
      <w:r>
        <w:rPr>
          <w:spacing w:val="-12"/>
        </w:rPr>
        <w:t xml:space="preserve"> </w:t>
      </w:r>
      <w:r>
        <w:t>2001).</w:t>
      </w:r>
      <w:r>
        <w:rPr>
          <w:spacing w:val="28"/>
        </w:rPr>
        <w:t xml:space="preserve"> </w:t>
      </w:r>
      <w:r>
        <w:t>Specifically,</w:t>
      </w:r>
      <w:r>
        <w:rPr>
          <w:spacing w:val="-13"/>
        </w:rPr>
        <w:t xml:space="preserve"> </w:t>
      </w:r>
      <w:r>
        <w:t>episodic</w:t>
      </w:r>
      <w:r>
        <w:rPr>
          <w:spacing w:val="-16"/>
        </w:rPr>
        <w:t xml:space="preserve"> </w:t>
      </w:r>
      <w:r>
        <w:t>future</w:t>
      </w:r>
      <w:r>
        <w:rPr>
          <w:spacing w:val="-15"/>
        </w:rPr>
        <w:t xml:space="preserve"> </w:t>
      </w:r>
      <w:r>
        <w:t>thinking</w:t>
      </w:r>
      <w:r>
        <w:rPr>
          <w:spacing w:val="26"/>
        </w:rPr>
        <w:t xml:space="preserve"> </w:t>
      </w:r>
      <w:r>
        <w:t>is</w:t>
      </w:r>
      <w:r>
        <w:rPr>
          <w:spacing w:val="-18"/>
        </w:rPr>
        <w:t xml:space="preserve"> </w:t>
      </w:r>
      <w:r>
        <w:t xml:space="preserve">thought to play an important role during intention formation in terms </w:t>
      </w:r>
      <w:r>
        <w:rPr>
          <w:spacing w:val="-3"/>
        </w:rPr>
        <w:t xml:space="preserve">of </w:t>
      </w:r>
      <w:r>
        <w:t xml:space="preserve">cue-to-retrieval-context association (G. A. Brewer, Knight, Meeks, &amp; Marsh, 2011). That is, episodic future thinking might support PM retrieval by strengthening the association between PM cues and the future context that they will appear in. For example, at </w:t>
      </w:r>
      <w:r>
        <w:t>the stage of encoding one’s intention to visit the supermarket on the way home from work, one might imagine taking the turn at the</w:t>
      </w:r>
      <w:r>
        <w:rPr>
          <w:spacing w:val="8"/>
        </w:rPr>
        <w:t xml:space="preserve"> </w:t>
      </w:r>
      <w:r>
        <w:t>traffic</w:t>
      </w:r>
    </w:p>
    <w:p w14:paraId="0F8AE021" w14:textId="77777777" w:rsidR="00C75312" w:rsidRDefault="00C75312">
      <w:pPr>
        <w:spacing w:line="480" w:lineRule="auto"/>
        <w:jc w:val="both"/>
        <w:sectPr w:rsidR="00C75312">
          <w:pgSz w:w="11900" w:h="16840"/>
          <w:pgMar w:top="1020" w:right="500" w:bottom="280" w:left="620" w:header="715" w:footer="0" w:gutter="0"/>
          <w:cols w:space="720"/>
        </w:sectPr>
      </w:pPr>
    </w:p>
    <w:p w14:paraId="5DC5151F" w14:textId="77777777" w:rsidR="00C75312" w:rsidRDefault="00C75312">
      <w:pPr>
        <w:pStyle w:val="BodyText"/>
        <w:spacing w:before="2"/>
        <w:rPr>
          <w:sz w:val="28"/>
        </w:rPr>
      </w:pPr>
    </w:p>
    <w:p w14:paraId="6CC83CDF" w14:textId="77777777" w:rsidR="00C75312" w:rsidRDefault="00BB293A">
      <w:pPr>
        <w:pStyle w:val="BodyText"/>
        <w:spacing w:before="90" w:line="480" w:lineRule="auto"/>
        <w:ind w:left="820" w:right="928"/>
        <w:jc w:val="both"/>
      </w:pPr>
      <w:r>
        <w:t>light</w:t>
      </w:r>
      <w:r>
        <w:rPr>
          <w:spacing w:val="-9"/>
        </w:rPr>
        <w:t xml:space="preserve"> </w:t>
      </w:r>
      <w:r>
        <w:t>to</w:t>
      </w:r>
      <w:r>
        <w:rPr>
          <w:spacing w:val="-10"/>
        </w:rPr>
        <w:t xml:space="preserve"> </w:t>
      </w:r>
      <w:r>
        <w:t>go</w:t>
      </w:r>
      <w:r>
        <w:rPr>
          <w:spacing w:val="-10"/>
        </w:rPr>
        <w:t xml:space="preserve"> </w:t>
      </w:r>
      <w:r>
        <w:t>the</w:t>
      </w:r>
      <w:r>
        <w:rPr>
          <w:spacing w:val="-10"/>
        </w:rPr>
        <w:t xml:space="preserve"> </w:t>
      </w:r>
      <w:r>
        <w:t>supermarket</w:t>
      </w:r>
      <w:r>
        <w:rPr>
          <w:spacing w:val="-9"/>
        </w:rPr>
        <w:t xml:space="preserve"> </w:t>
      </w:r>
      <w:r>
        <w:t>instead</w:t>
      </w:r>
      <w:r>
        <w:rPr>
          <w:spacing w:val="-10"/>
        </w:rPr>
        <w:t xml:space="preserve"> </w:t>
      </w:r>
      <w:r>
        <w:t>of</w:t>
      </w:r>
      <w:r>
        <w:rPr>
          <w:spacing w:val="-12"/>
        </w:rPr>
        <w:t xml:space="preserve"> </w:t>
      </w:r>
      <w:r>
        <w:t>heading</w:t>
      </w:r>
      <w:r>
        <w:rPr>
          <w:spacing w:val="-10"/>
        </w:rPr>
        <w:t xml:space="preserve"> </w:t>
      </w:r>
      <w:r>
        <w:t>straight</w:t>
      </w:r>
      <w:r>
        <w:rPr>
          <w:spacing w:val="-9"/>
        </w:rPr>
        <w:t xml:space="preserve"> </w:t>
      </w:r>
      <w:r>
        <w:t>home.</w:t>
      </w:r>
      <w:r>
        <w:rPr>
          <w:spacing w:val="45"/>
        </w:rPr>
        <w:t xml:space="preserve"> </w:t>
      </w:r>
      <w:r>
        <w:t>Later,</w:t>
      </w:r>
      <w:r>
        <w:rPr>
          <w:spacing w:val="-7"/>
        </w:rPr>
        <w:t xml:space="preserve"> </w:t>
      </w:r>
      <w:r>
        <w:t>when</w:t>
      </w:r>
      <w:r>
        <w:rPr>
          <w:spacing w:val="-10"/>
        </w:rPr>
        <w:t xml:space="preserve"> </w:t>
      </w:r>
      <w:r>
        <w:t>actually</w:t>
      </w:r>
      <w:r>
        <w:rPr>
          <w:spacing w:val="-9"/>
        </w:rPr>
        <w:t xml:space="preserve"> </w:t>
      </w:r>
      <w:r>
        <w:t>at</w:t>
      </w:r>
      <w:r>
        <w:rPr>
          <w:spacing w:val="-14"/>
        </w:rPr>
        <w:t xml:space="preserve"> </w:t>
      </w:r>
      <w:r>
        <w:t>the</w:t>
      </w:r>
      <w:r>
        <w:rPr>
          <w:spacing w:val="-11"/>
        </w:rPr>
        <w:t xml:space="preserve"> </w:t>
      </w:r>
      <w:r>
        <w:t xml:space="preserve">traffic light, the similarity between the environment and one’s earlier episodic simulation may help trigger the activation </w:t>
      </w:r>
      <w:r>
        <w:rPr>
          <w:spacing w:val="-3"/>
        </w:rPr>
        <w:t xml:space="preserve">of </w:t>
      </w:r>
      <w:r>
        <w:t>the PM action (</w:t>
      </w:r>
      <w:proofErr w:type="spellStart"/>
      <w:r>
        <w:t>Altgassen</w:t>
      </w:r>
      <w:proofErr w:type="spellEnd"/>
      <w:r>
        <w:t xml:space="preserve"> et al., 2015). Finally, PM may well depend to</w:t>
      </w:r>
      <w:r>
        <w:rPr>
          <w:spacing w:val="-15"/>
        </w:rPr>
        <w:t xml:space="preserve"> </w:t>
      </w:r>
      <w:r>
        <w:t>some</w:t>
      </w:r>
      <w:r>
        <w:rPr>
          <w:spacing w:val="-15"/>
        </w:rPr>
        <w:t xml:space="preserve"> </w:t>
      </w:r>
      <w:r>
        <w:t>extent</w:t>
      </w:r>
      <w:r>
        <w:rPr>
          <w:spacing w:val="-15"/>
        </w:rPr>
        <w:t xml:space="preserve"> </w:t>
      </w:r>
      <w:r>
        <w:t>on</w:t>
      </w:r>
      <w:r>
        <w:rPr>
          <w:spacing w:val="-14"/>
        </w:rPr>
        <w:t xml:space="preserve"> </w:t>
      </w:r>
      <w:proofErr w:type="spellStart"/>
      <w:r>
        <w:t>mentalising</w:t>
      </w:r>
      <w:proofErr w:type="spellEnd"/>
      <w:r>
        <w:rPr>
          <w:spacing w:val="-15"/>
        </w:rPr>
        <w:t xml:space="preserve"> </w:t>
      </w:r>
      <w:r>
        <w:t>ability.</w:t>
      </w:r>
      <w:r>
        <w:rPr>
          <w:spacing w:val="33"/>
        </w:rPr>
        <w:t xml:space="preserve"> </w:t>
      </w:r>
      <w:r>
        <w:t>Specifically,</w:t>
      </w:r>
      <w:r>
        <w:rPr>
          <w:spacing w:val="-17"/>
        </w:rPr>
        <w:t xml:space="preserve"> </w:t>
      </w:r>
      <w:r>
        <w:t>the</w:t>
      </w:r>
      <w:r>
        <w:rPr>
          <w:spacing w:val="-16"/>
        </w:rPr>
        <w:t xml:space="preserve"> </w:t>
      </w:r>
      <w:r>
        <w:t>ability</w:t>
      </w:r>
      <w:r>
        <w:rPr>
          <w:spacing w:val="-14"/>
        </w:rPr>
        <w:t xml:space="preserve"> </w:t>
      </w:r>
      <w:r>
        <w:t>to</w:t>
      </w:r>
      <w:r>
        <w:rPr>
          <w:spacing w:val="-15"/>
        </w:rPr>
        <w:t xml:space="preserve"> </w:t>
      </w:r>
      <w:r>
        <w:t>represent</w:t>
      </w:r>
      <w:r>
        <w:rPr>
          <w:spacing w:val="-14"/>
        </w:rPr>
        <w:t xml:space="preserve"> </w:t>
      </w:r>
      <w:r>
        <w:t>one’s</w:t>
      </w:r>
      <w:r>
        <w:rPr>
          <w:spacing w:val="-17"/>
        </w:rPr>
        <w:t xml:space="preserve"> </w:t>
      </w:r>
      <w:r>
        <w:t>own</w:t>
      </w:r>
      <w:r>
        <w:rPr>
          <w:spacing w:val="-15"/>
        </w:rPr>
        <w:t xml:space="preserve"> </w:t>
      </w:r>
      <w:r>
        <w:t xml:space="preserve">intentions would seem to be imperative for successful PM (e.g., </w:t>
      </w:r>
      <w:proofErr w:type="spellStart"/>
      <w:r>
        <w:t>Altgassen</w:t>
      </w:r>
      <w:proofErr w:type="spellEnd"/>
      <w:r>
        <w:t xml:space="preserve">, Vetter, Phillips, Akgün, &amp; </w:t>
      </w:r>
      <w:proofErr w:type="spellStart"/>
      <w:r>
        <w:t>Kliegel</w:t>
      </w:r>
      <w:proofErr w:type="spellEnd"/>
      <w:r>
        <w:t>,</w:t>
      </w:r>
      <w:r>
        <w:rPr>
          <w:spacing w:val="3"/>
        </w:rPr>
        <w:t xml:space="preserve"> </w:t>
      </w:r>
      <w:r>
        <w:t>2014).</w:t>
      </w:r>
    </w:p>
    <w:p w14:paraId="58D42574" w14:textId="77777777" w:rsidR="00C75312" w:rsidRDefault="00C75312">
      <w:pPr>
        <w:pStyle w:val="BodyText"/>
        <w:spacing w:before="10"/>
        <w:rPr>
          <w:sz w:val="20"/>
        </w:rPr>
      </w:pPr>
    </w:p>
    <w:p w14:paraId="5DADC973" w14:textId="77777777" w:rsidR="00C75312" w:rsidRDefault="00BB293A">
      <w:pPr>
        <w:pStyle w:val="Heading1"/>
        <w:ind w:left="3983"/>
        <w:jc w:val="both"/>
      </w:pPr>
      <w:bookmarkStart w:id="6" w:name="_TOC_250027"/>
      <w:bookmarkEnd w:id="6"/>
      <w:r>
        <w:t>Autism spectrum disorder</w:t>
      </w:r>
    </w:p>
    <w:p w14:paraId="6F1639B6" w14:textId="77777777" w:rsidR="00C75312" w:rsidRDefault="00C75312">
      <w:pPr>
        <w:pStyle w:val="BodyText"/>
        <w:rPr>
          <w:b/>
        </w:rPr>
      </w:pPr>
    </w:p>
    <w:p w14:paraId="42B0DB66" w14:textId="77777777" w:rsidR="00C75312" w:rsidRDefault="00BB293A">
      <w:pPr>
        <w:pStyle w:val="BodyText"/>
        <w:spacing w:line="480" w:lineRule="auto"/>
        <w:ind w:left="820" w:right="927" w:firstLine="720"/>
        <w:jc w:val="both"/>
      </w:pPr>
      <w:r>
        <w:t>One</w:t>
      </w:r>
      <w:r>
        <w:rPr>
          <w:spacing w:val="-12"/>
        </w:rPr>
        <w:t xml:space="preserve"> </w:t>
      </w:r>
      <w:r>
        <w:t>neurodevelopmental</w:t>
      </w:r>
      <w:r>
        <w:rPr>
          <w:spacing w:val="-9"/>
        </w:rPr>
        <w:t xml:space="preserve"> </w:t>
      </w:r>
      <w:r>
        <w:t>disorder</w:t>
      </w:r>
      <w:r>
        <w:rPr>
          <w:spacing w:val="-9"/>
        </w:rPr>
        <w:t xml:space="preserve"> </w:t>
      </w:r>
      <w:r>
        <w:t>that</w:t>
      </w:r>
      <w:r>
        <w:rPr>
          <w:spacing w:val="-9"/>
        </w:rPr>
        <w:t xml:space="preserve"> </w:t>
      </w:r>
      <w:r>
        <w:t>is</w:t>
      </w:r>
      <w:r>
        <w:rPr>
          <w:spacing w:val="-12"/>
        </w:rPr>
        <w:t xml:space="preserve"> </w:t>
      </w:r>
      <w:proofErr w:type="spellStart"/>
      <w:r>
        <w:t>characterised</w:t>
      </w:r>
      <w:proofErr w:type="spellEnd"/>
      <w:r>
        <w:rPr>
          <w:spacing w:val="-11"/>
        </w:rPr>
        <w:t xml:space="preserve"> </w:t>
      </w:r>
      <w:r>
        <w:t>by</w:t>
      </w:r>
      <w:r>
        <w:rPr>
          <w:spacing w:val="-10"/>
        </w:rPr>
        <w:t xml:space="preserve"> </w:t>
      </w:r>
      <w:r>
        <w:t>impairments</w:t>
      </w:r>
      <w:r>
        <w:rPr>
          <w:spacing w:val="-12"/>
        </w:rPr>
        <w:t xml:space="preserve"> </w:t>
      </w:r>
      <w:r>
        <w:t>of</w:t>
      </w:r>
      <w:r>
        <w:rPr>
          <w:spacing w:val="-9"/>
        </w:rPr>
        <w:t xml:space="preserve"> </w:t>
      </w:r>
      <w:r>
        <w:t>several</w:t>
      </w:r>
      <w:r>
        <w:rPr>
          <w:spacing w:val="-9"/>
        </w:rPr>
        <w:t xml:space="preserve"> </w:t>
      </w:r>
      <w:r>
        <w:t>of</w:t>
      </w:r>
      <w:r>
        <w:rPr>
          <w:spacing w:val="-13"/>
        </w:rPr>
        <w:t xml:space="preserve"> </w:t>
      </w:r>
      <w:r>
        <w:t>the aforementioned</w:t>
      </w:r>
      <w:r>
        <w:rPr>
          <w:spacing w:val="-14"/>
        </w:rPr>
        <w:t xml:space="preserve"> </w:t>
      </w:r>
      <w:r>
        <w:t>neurocognitive</w:t>
      </w:r>
      <w:r>
        <w:rPr>
          <w:spacing w:val="-15"/>
        </w:rPr>
        <w:t xml:space="preserve"> </w:t>
      </w:r>
      <w:r>
        <w:t>underpinnings</w:t>
      </w:r>
      <w:r>
        <w:rPr>
          <w:spacing w:val="-16"/>
        </w:rPr>
        <w:t xml:space="preserve"> </w:t>
      </w:r>
      <w:r>
        <w:rPr>
          <w:spacing w:val="-3"/>
        </w:rPr>
        <w:t>of</w:t>
      </w:r>
      <w:r>
        <w:rPr>
          <w:spacing w:val="-13"/>
        </w:rPr>
        <w:t xml:space="preserve"> </w:t>
      </w:r>
      <w:r>
        <w:t>PM</w:t>
      </w:r>
      <w:r>
        <w:rPr>
          <w:spacing w:val="-16"/>
        </w:rPr>
        <w:t xml:space="preserve"> </w:t>
      </w:r>
      <w:r>
        <w:t>is</w:t>
      </w:r>
      <w:r>
        <w:rPr>
          <w:spacing w:val="-16"/>
        </w:rPr>
        <w:t xml:space="preserve"> </w:t>
      </w:r>
      <w:r>
        <w:t>autism</w:t>
      </w:r>
      <w:r>
        <w:rPr>
          <w:spacing w:val="-13"/>
        </w:rPr>
        <w:t xml:space="preserve"> </w:t>
      </w:r>
      <w:r>
        <w:t>spectrum</w:t>
      </w:r>
      <w:r>
        <w:rPr>
          <w:spacing w:val="-14"/>
        </w:rPr>
        <w:t xml:space="preserve"> </w:t>
      </w:r>
      <w:r>
        <w:t>disorder</w:t>
      </w:r>
      <w:r>
        <w:rPr>
          <w:spacing w:val="-13"/>
        </w:rPr>
        <w:t xml:space="preserve"> </w:t>
      </w:r>
      <w:r>
        <w:t>(ASD).</w:t>
      </w:r>
      <w:r>
        <w:rPr>
          <w:spacing w:val="30"/>
        </w:rPr>
        <w:t xml:space="preserve"> </w:t>
      </w:r>
      <w:r>
        <w:t xml:space="preserve">ASD is a neurodevelopmental disorder that is diagnosed on the basis of impairments in social- communication, and a restricted, repetitive repertoire of </w:t>
      </w:r>
      <w:proofErr w:type="spellStart"/>
      <w:r>
        <w:t>behaviour</w:t>
      </w:r>
      <w:proofErr w:type="spellEnd"/>
      <w:r>
        <w:t xml:space="preserve"> and interests (DSM 5; American Psychiatric Association, 2013; ICD-10; World Health </w:t>
      </w:r>
      <w:proofErr w:type="spellStart"/>
      <w:r>
        <w:t>Organisation</w:t>
      </w:r>
      <w:proofErr w:type="spellEnd"/>
      <w:r>
        <w:t>, 2006). At the cognitive</w:t>
      </w:r>
      <w:r>
        <w:rPr>
          <w:spacing w:val="-12"/>
        </w:rPr>
        <w:t xml:space="preserve"> </w:t>
      </w:r>
      <w:r>
        <w:t>level,</w:t>
      </w:r>
      <w:r>
        <w:rPr>
          <w:spacing w:val="-12"/>
        </w:rPr>
        <w:t xml:space="preserve"> </w:t>
      </w:r>
      <w:r>
        <w:t>ASD</w:t>
      </w:r>
      <w:r>
        <w:rPr>
          <w:spacing w:val="-15"/>
        </w:rPr>
        <w:t xml:space="preserve"> </w:t>
      </w:r>
      <w:r>
        <w:t>is</w:t>
      </w:r>
      <w:r>
        <w:rPr>
          <w:spacing w:val="-13"/>
        </w:rPr>
        <w:t xml:space="preserve"> </w:t>
      </w:r>
      <w:proofErr w:type="spellStart"/>
      <w:r>
        <w:t>characterised</w:t>
      </w:r>
      <w:proofErr w:type="spellEnd"/>
      <w:r>
        <w:rPr>
          <w:spacing w:val="-10"/>
        </w:rPr>
        <w:t xml:space="preserve"> </w:t>
      </w:r>
      <w:r>
        <w:t>by</w:t>
      </w:r>
      <w:r>
        <w:rPr>
          <w:spacing w:val="-14"/>
        </w:rPr>
        <w:t xml:space="preserve"> </w:t>
      </w:r>
      <w:r>
        <w:t>impairments</w:t>
      </w:r>
      <w:r>
        <w:rPr>
          <w:spacing w:val="-13"/>
        </w:rPr>
        <w:t xml:space="preserve"> </w:t>
      </w:r>
      <w:r>
        <w:t>in</w:t>
      </w:r>
      <w:r>
        <w:rPr>
          <w:spacing w:val="-10"/>
        </w:rPr>
        <w:t xml:space="preserve"> </w:t>
      </w:r>
      <w:proofErr w:type="spellStart"/>
      <w:r>
        <w:t>mentalising</w:t>
      </w:r>
      <w:proofErr w:type="spellEnd"/>
      <w:r>
        <w:t>/theory</w:t>
      </w:r>
      <w:r>
        <w:rPr>
          <w:spacing w:val="-15"/>
        </w:rPr>
        <w:t xml:space="preserve"> </w:t>
      </w:r>
      <w:r>
        <w:t>of</w:t>
      </w:r>
      <w:r>
        <w:rPr>
          <w:spacing w:val="-13"/>
        </w:rPr>
        <w:t xml:space="preserve"> </w:t>
      </w:r>
      <w:r>
        <w:t>mind</w:t>
      </w:r>
      <w:r>
        <w:rPr>
          <w:spacing w:val="-14"/>
        </w:rPr>
        <w:t xml:space="preserve"> </w:t>
      </w:r>
      <w:r>
        <w:t xml:space="preserve">difficulties (e.g., </w:t>
      </w:r>
      <w:proofErr w:type="spellStart"/>
      <w:r>
        <w:t>Happé</w:t>
      </w:r>
      <w:proofErr w:type="spellEnd"/>
      <w:r>
        <w:t xml:space="preserve"> &amp; Frith, 1995), episodic memory and future thinking (e.g., Lind, Williams, Bowler, &amp; Peel, 2014) , as well as working memory (e.g.</w:t>
      </w:r>
      <w:r>
        <w:t xml:space="preserve">, Kenworthy, </w:t>
      </w:r>
      <w:proofErr w:type="spellStart"/>
      <w:r>
        <w:t>Yerys</w:t>
      </w:r>
      <w:proofErr w:type="spellEnd"/>
      <w:r>
        <w:t xml:space="preserve">, Anthony, &amp; Wallace, 2008; </w:t>
      </w:r>
      <w:proofErr w:type="spellStart"/>
      <w:r>
        <w:t>Kercood</w:t>
      </w:r>
      <w:proofErr w:type="spellEnd"/>
      <w:r>
        <w:t xml:space="preserve">, </w:t>
      </w:r>
      <w:proofErr w:type="spellStart"/>
      <w:r>
        <w:t>Grskovic</w:t>
      </w:r>
      <w:proofErr w:type="spellEnd"/>
      <w:r>
        <w:t xml:space="preserve">, Banda, &amp; </w:t>
      </w:r>
      <w:proofErr w:type="spellStart"/>
      <w:r>
        <w:t>Begeske</w:t>
      </w:r>
      <w:proofErr w:type="spellEnd"/>
      <w:r>
        <w:t>, 2014), task switching/cognitive flexibility and planning (e.g., Williams &amp; Jarrold, 2013). Inhibitory control, however, seems to be relatively unimpaired in ASD or only in certain cases (Hill, 2004; Lai et al., 2016). Because</w:t>
      </w:r>
      <w:r>
        <w:rPr>
          <w:spacing w:val="-6"/>
        </w:rPr>
        <w:t xml:space="preserve"> </w:t>
      </w:r>
      <w:r>
        <w:t>these</w:t>
      </w:r>
      <w:r>
        <w:rPr>
          <w:spacing w:val="-6"/>
        </w:rPr>
        <w:t xml:space="preserve"> </w:t>
      </w:r>
      <w:r>
        <w:t>neurocognitive</w:t>
      </w:r>
      <w:r>
        <w:rPr>
          <w:spacing w:val="-11"/>
        </w:rPr>
        <w:t xml:space="preserve"> </w:t>
      </w:r>
      <w:r>
        <w:t>abilities</w:t>
      </w:r>
      <w:r>
        <w:rPr>
          <w:spacing w:val="-7"/>
        </w:rPr>
        <w:t xml:space="preserve"> </w:t>
      </w:r>
      <w:r>
        <w:t>are</w:t>
      </w:r>
      <w:r>
        <w:rPr>
          <w:spacing w:val="-11"/>
        </w:rPr>
        <w:t xml:space="preserve"> </w:t>
      </w:r>
      <w:r>
        <w:t>impaired</w:t>
      </w:r>
      <w:r>
        <w:rPr>
          <w:spacing w:val="-10"/>
        </w:rPr>
        <w:t xml:space="preserve"> </w:t>
      </w:r>
      <w:r>
        <w:t>in</w:t>
      </w:r>
      <w:r>
        <w:rPr>
          <w:spacing w:val="-9"/>
        </w:rPr>
        <w:t xml:space="preserve"> </w:t>
      </w:r>
      <w:r>
        <w:t>ASD</w:t>
      </w:r>
      <w:r>
        <w:rPr>
          <w:spacing w:val="-10"/>
        </w:rPr>
        <w:t xml:space="preserve"> </w:t>
      </w:r>
      <w:r>
        <w:t>and</w:t>
      </w:r>
      <w:r>
        <w:rPr>
          <w:spacing w:val="-10"/>
        </w:rPr>
        <w:t xml:space="preserve"> </w:t>
      </w:r>
      <w:r>
        <w:t>an</w:t>
      </w:r>
      <w:r>
        <w:rPr>
          <w:spacing w:val="-10"/>
        </w:rPr>
        <w:t xml:space="preserve"> </w:t>
      </w:r>
      <w:r>
        <w:t>inherent</w:t>
      </w:r>
      <w:r>
        <w:rPr>
          <w:spacing w:val="-9"/>
        </w:rPr>
        <w:t xml:space="preserve"> </w:t>
      </w:r>
      <w:r>
        <w:t>component</w:t>
      </w:r>
      <w:r>
        <w:rPr>
          <w:spacing w:val="-9"/>
        </w:rPr>
        <w:t xml:space="preserve"> </w:t>
      </w:r>
      <w:r>
        <w:t>of</w:t>
      </w:r>
      <w:r>
        <w:rPr>
          <w:spacing w:val="-7"/>
        </w:rPr>
        <w:t xml:space="preserve"> </w:t>
      </w:r>
      <w:r>
        <w:t>PM, it would clearly follow that at least some aspects of PM should be impaired in</w:t>
      </w:r>
      <w:r>
        <w:rPr>
          <w:spacing w:val="-12"/>
        </w:rPr>
        <w:t xml:space="preserve"> </w:t>
      </w:r>
      <w:r>
        <w:t>ASD.</w:t>
      </w:r>
    </w:p>
    <w:p w14:paraId="15DDC1A2" w14:textId="77777777" w:rsidR="00C75312" w:rsidRDefault="00BB293A">
      <w:pPr>
        <w:pStyle w:val="BodyText"/>
        <w:spacing w:before="121" w:line="480" w:lineRule="auto"/>
        <w:ind w:left="820" w:right="927" w:firstLine="720"/>
        <w:jc w:val="both"/>
      </w:pPr>
      <w:r>
        <w:t xml:space="preserve">Importantly, ASD is a highly heterogeneous condition (Masi, DeMayo, </w:t>
      </w:r>
      <w:proofErr w:type="spellStart"/>
      <w:r>
        <w:t>Glozier</w:t>
      </w:r>
      <w:proofErr w:type="spellEnd"/>
      <w:r>
        <w:t xml:space="preserve">, &amp; Guastella, 2017). Individuals with ASD usually show a particular pattern of strengths and weaknesses in different domains, both in terms of the severity of social-communicative impairments and restricted repetitive </w:t>
      </w:r>
      <w:proofErr w:type="spellStart"/>
      <w:r>
        <w:t>behaviours</w:t>
      </w:r>
      <w:proofErr w:type="spellEnd"/>
      <w:r>
        <w:t xml:space="preserve"> (Hus, Gotham, &amp; Lord, 2014) but also in terms of their cognitive difficulties (Geurts, </w:t>
      </w:r>
      <w:proofErr w:type="spellStart"/>
      <w:r>
        <w:t>Sinzig</w:t>
      </w:r>
      <w:proofErr w:type="spellEnd"/>
      <w:r>
        <w:t>, Booth, &amp; Happe, 2014). Therefore, it has</w:t>
      </w:r>
    </w:p>
    <w:p w14:paraId="775A14B4" w14:textId="77777777" w:rsidR="00C75312" w:rsidRDefault="00C75312">
      <w:pPr>
        <w:spacing w:line="480" w:lineRule="auto"/>
        <w:jc w:val="both"/>
        <w:sectPr w:rsidR="00C75312">
          <w:pgSz w:w="11900" w:h="16840"/>
          <w:pgMar w:top="1020" w:right="500" w:bottom="280" w:left="620" w:header="715" w:footer="0" w:gutter="0"/>
          <w:cols w:space="720"/>
        </w:sectPr>
      </w:pPr>
    </w:p>
    <w:p w14:paraId="55D927B6" w14:textId="77777777" w:rsidR="00C75312" w:rsidRDefault="00C75312">
      <w:pPr>
        <w:pStyle w:val="BodyText"/>
        <w:spacing w:before="2"/>
        <w:rPr>
          <w:sz w:val="28"/>
        </w:rPr>
      </w:pPr>
    </w:p>
    <w:p w14:paraId="06D567BC" w14:textId="77777777" w:rsidR="00C75312" w:rsidRDefault="00BB293A">
      <w:pPr>
        <w:pStyle w:val="BodyText"/>
        <w:spacing w:before="90" w:line="480" w:lineRule="auto"/>
        <w:ind w:left="820" w:right="929"/>
        <w:jc w:val="both"/>
      </w:pPr>
      <w:r>
        <w:t xml:space="preserve">been suggested that ASD cannot been seen as a unitary condition, which cannot be explained by one single theory (see e.g., </w:t>
      </w:r>
      <w:proofErr w:type="spellStart"/>
      <w:r>
        <w:t>Happé</w:t>
      </w:r>
      <w:proofErr w:type="spellEnd"/>
      <w:r>
        <w:t xml:space="preserve">, Ronald, &amp; Plomin, 2006). This </w:t>
      </w:r>
      <w:proofErr w:type="spellStart"/>
      <w:r>
        <w:t>behavioural</w:t>
      </w:r>
      <w:proofErr w:type="spellEnd"/>
      <w:r>
        <w:t xml:space="preserve"> heterogeneity is also reflected in the outcomes of genetic research, which to date has not identified a unique set of genes associated with overlapping ASD symptoms (</w:t>
      </w:r>
      <w:proofErr w:type="spellStart"/>
      <w:r>
        <w:t>Lenroot</w:t>
      </w:r>
      <w:proofErr w:type="spellEnd"/>
      <w:r>
        <w:t xml:space="preserve"> &amp; Yeung, 2013).</w:t>
      </w:r>
    </w:p>
    <w:p w14:paraId="43F93904" w14:textId="77777777" w:rsidR="00C75312" w:rsidRDefault="00BB293A">
      <w:pPr>
        <w:pStyle w:val="BodyText"/>
        <w:spacing w:before="120" w:line="480" w:lineRule="auto"/>
        <w:ind w:left="820" w:right="924" w:firstLine="720"/>
        <w:jc w:val="both"/>
      </w:pPr>
      <w:r>
        <w:t>As</w:t>
      </w:r>
      <w:r>
        <w:rPr>
          <w:spacing w:val="-12"/>
        </w:rPr>
        <w:t xml:space="preserve"> </w:t>
      </w:r>
      <w:r>
        <w:t>a</w:t>
      </w:r>
      <w:r>
        <w:rPr>
          <w:spacing w:val="-10"/>
        </w:rPr>
        <w:t xml:space="preserve"> </w:t>
      </w:r>
      <w:r>
        <w:t>result</w:t>
      </w:r>
      <w:r>
        <w:rPr>
          <w:spacing w:val="-8"/>
        </w:rPr>
        <w:t xml:space="preserve"> </w:t>
      </w:r>
      <w:r>
        <w:t>of</w:t>
      </w:r>
      <w:r>
        <w:rPr>
          <w:spacing w:val="-8"/>
        </w:rPr>
        <w:t xml:space="preserve"> </w:t>
      </w:r>
      <w:r>
        <w:t>heterogeneity</w:t>
      </w:r>
      <w:r>
        <w:rPr>
          <w:spacing w:val="-9"/>
        </w:rPr>
        <w:t xml:space="preserve"> </w:t>
      </w:r>
      <w:r>
        <w:t>in</w:t>
      </w:r>
      <w:r>
        <w:rPr>
          <w:spacing w:val="-13"/>
        </w:rPr>
        <w:t xml:space="preserve"> </w:t>
      </w:r>
      <w:r>
        <w:t>ASD,</w:t>
      </w:r>
      <w:r>
        <w:rPr>
          <w:spacing w:val="-12"/>
        </w:rPr>
        <w:t xml:space="preserve"> </w:t>
      </w:r>
      <w:r>
        <w:t>traditional</w:t>
      </w:r>
      <w:r>
        <w:rPr>
          <w:spacing w:val="-13"/>
        </w:rPr>
        <w:t xml:space="preserve"> </w:t>
      </w:r>
      <w:r>
        <w:t>analyses</w:t>
      </w:r>
      <w:r>
        <w:rPr>
          <w:spacing w:val="-11"/>
        </w:rPr>
        <w:t xml:space="preserve"> </w:t>
      </w:r>
      <w:r>
        <w:t>on</w:t>
      </w:r>
      <w:r>
        <w:rPr>
          <w:spacing w:val="-9"/>
        </w:rPr>
        <w:t xml:space="preserve"> </w:t>
      </w:r>
      <w:r>
        <w:t>the</w:t>
      </w:r>
      <w:r>
        <w:rPr>
          <w:spacing w:val="-11"/>
        </w:rPr>
        <w:t xml:space="preserve"> </w:t>
      </w:r>
      <w:r>
        <w:t>group</w:t>
      </w:r>
      <w:r>
        <w:rPr>
          <w:spacing w:val="-9"/>
        </w:rPr>
        <w:t xml:space="preserve"> </w:t>
      </w:r>
      <w:r>
        <w:t>level</w:t>
      </w:r>
      <w:r>
        <w:rPr>
          <w:spacing w:val="-8"/>
        </w:rPr>
        <w:t xml:space="preserve"> </w:t>
      </w:r>
      <w:r>
        <w:t>might</w:t>
      </w:r>
      <w:r>
        <w:rPr>
          <w:spacing w:val="-14"/>
        </w:rPr>
        <w:t xml:space="preserve"> </w:t>
      </w:r>
      <w:r>
        <w:t xml:space="preserve">cover up variation in PM performance. It may well be that a small number of individuals with ASD will display impaired PM performance with the majority of the ASD sample performing at a comparable level to a neurotypical (NT) control group. Similarly, there may be the opposite case for a few individuals with ASD who might perform above the average of the </w:t>
      </w:r>
      <w:r>
        <w:rPr>
          <w:spacing w:val="-3"/>
        </w:rPr>
        <w:t xml:space="preserve">NT </w:t>
      </w:r>
      <w:r>
        <w:t>group. Therefore,</w:t>
      </w:r>
      <w:r>
        <w:rPr>
          <w:spacing w:val="-17"/>
        </w:rPr>
        <w:t xml:space="preserve"> </w:t>
      </w:r>
      <w:r>
        <w:t>depending</w:t>
      </w:r>
      <w:r>
        <w:rPr>
          <w:spacing w:val="-14"/>
        </w:rPr>
        <w:t xml:space="preserve"> </w:t>
      </w:r>
      <w:r>
        <w:t>on</w:t>
      </w:r>
      <w:r>
        <w:rPr>
          <w:spacing w:val="-14"/>
        </w:rPr>
        <w:t xml:space="preserve"> </w:t>
      </w:r>
      <w:r>
        <w:t>the</w:t>
      </w:r>
      <w:r>
        <w:rPr>
          <w:spacing w:val="-15"/>
        </w:rPr>
        <w:t xml:space="preserve"> </w:t>
      </w:r>
      <w:r>
        <w:t>respective</w:t>
      </w:r>
      <w:r>
        <w:rPr>
          <w:spacing w:val="-14"/>
        </w:rPr>
        <w:t xml:space="preserve"> </w:t>
      </w:r>
      <w:r>
        <w:t>sample,</w:t>
      </w:r>
      <w:r>
        <w:rPr>
          <w:spacing w:val="-12"/>
        </w:rPr>
        <w:t xml:space="preserve"> </w:t>
      </w:r>
      <w:r>
        <w:t>averaging</w:t>
      </w:r>
      <w:r>
        <w:rPr>
          <w:spacing w:val="-14"/>
        </w:rPr>
        <w:t xml:space="preserve"> </w:t>
      </w:r>
      <w:r>
        <w:t>performance</w:t>
      </w:r>
      <w:r>
        <w:rPr>
          <w:spacing w:val="-15"/>
        </w:rPr>
        <w:t xml:space="preserve"> </w:t>
      </w:r>
      <w:r>
        <w:t>across</w:t>
      </w:r>
      <w:r>
        <w:rPr>
          <w:spacing w:val="-17"/>
        </w:rPr>
        <w:t xml:space="preserve"> </w:t>
      </w:r>
      <w:r>
        <w:t>participants</w:t>
      </w:r>
      <w:r>
        <w:rPr>
          <w:spacing w:val="-16"/>
        </w:rPr>
        <w:t xml:space="preserve"> </w:t>
      </w:r>
      <w:r>
        <w:t>with ASD might skew their overall performance as a group</w:t>
      </w:r>
      <w:r>
        <w:t xml:space="preserve"> towards (a) impairment (if the group contains a small number </w:t>
      </w:r>
      <w:r>
        <w:rPr>
          <w:spacing w:val="-3"/>
        </w:rPr>
        <w:t xml:space="preserve">of </w:t>
      </w:r>
      <w:r>
        <w:t>participants that perform significantly poorer than the rest of the ASD group), (b) no-impairment comparable to the NT group (if the ASD group contains participants performing in the normal range, as well as participants who perform particularly well</w:t>
      </w:r>
      <w:r>
        <w:rPr>
          <w:spacing w:val="-4"/>
        </w:rPr>
        <w:t xml:space="preserve"> </w:t>
      </w:r>
      <w:r>
        <w:t>and</w:t>
      </w:r>
      <w:r>
        <w:rPr>
          <w:spacing w:val="-5"/>
        </w:rPr>
        <w:t xml:space="preserve"> </w:t>
      </w:r>
      <w:r>
        <w:t>worse</w:t>
      </w:r>
      <w:r>
        <w:rPr>
          <w:spacing w:val="-5"/>
        </w:rPr>
        <w:t xml:space="preserve"> </w:t>
      </w:r>
      <w:r>
        <w:t>in</w:t>
      </w:r>
      <w:r>
        <w:rPr>
          <w:spacing w:val="-5"/>
        </w:rPr>
        <w:t xml:space="preserve"> </w:t>
      </w:r>
      <w:r>
        <w:t>comparison</w:t>
      </w:r>
      <w:r>
        <w:rPr>
          <w:spacing w:val="-4"/>
        </w:rPr>
        <w:t xml:space="preserve"> </w:t>
      </w:r>
      <w:r>
        <w:t>to</w:t>
      </w:r>
      <w:r>
        <w:rPr>
          <w:spacing w:val="-5"/>
        </w:rPr>
        <w:t xml:space="preserve"> </w:t>
      </w:r>
      <w:r>
        <w:t>NT,</w:t>
      </w:r>
      <w:r>
        <w:rPr>
          <w:spacing w:val="-6"/>
        </w:rPr>
        <w:t xml:space="preserve"> </w:t>
      </w:r>
      <w:r>
        <w:t>thus</w:t>
      </w:r>
      <w:r>
        <w:rPr>
          <w:spacing w:val="-7"/>
        </w:rPr>
        <w:t xml:space="preserve"> </w:t>
      </w:r>
      <w:r>
        <w:t>performance</w:t>
      </w:r>
      <w:r>
        <w:rPr>
          <w:spacing w:val="-5"/>
        </w:rPr>
        <w:t xml:space="preserve"> </w:t>
      </w:r>
      <w:r>
        <w:t>would</w:t>
      </w:r>
      <w:r>
        <w:rPr>
          <w:spacing w:val="-5"/>
        </w:rPr>
        <w:t xml:space="preserve"> </w:t>
      </w:r>
      <w:r>
        <w:t>average</w:t>
      </w:r>
      <w:r>
        <w:rPr>
          <w:spacing w:val="-5"/>
        </w:rPr>
        <w:t xml:space="preserve"> </w:t>
      </w:r>
      <w:r>
        <w:t>to</w:t>
      </w:r>
      <w:r>
        <w:rPr>
          <w:spacing w:val="-5"/>
        </w:rPr>
        <w:t xml:space="preserve"> </w:t>
      </w:r>
      <w:r>
        <w:t>be</w:t>
      </w:r>
      <w:r>
        <w:rPr>
          <w:spacing w:val="-5"/>
        </w:rPr>
        <w:t xml:space="preserve"> </w:t>
      </w:r>
      <w:r>
        <w:t>comparable</w:t>
      </w:r>
      <w:r>
        <w:rPr>
          <w:spacing w:val="-6"/>
        </w:rPr>
        <w:t xml:space="preserve"> </w:t>
      </w:r>
      <w:r>
        <w:t>to</w:t>
      </w:r>
      <w:r>
        <w:rPr>
          <w:spacing w:val="-5"/>
        </w:rPr>
        <w:t xml:space="preserve"> </w:t>
      </w:r>
      <w:r>
        <w:t>the NT</w:t>
      </w:r>
      <w:r>
        <w:rPr>
          <w:spacing w:val="-12"/>
        </w:rPr>
        <w:t xml:space="preserve"> </w:t>
      </w:r>
      <w:r>
        <w:t>group),</w:t>
      </w:r>
      <w:r>
        <w:rPr>
          <w:spacing w:val="-12"/>
        </w:rPr>
        <w:t xml:space="preserve"> </w:t>
      </w:r>
      <w:r>
        <w:rPr>
          <w:spacing w:val="-3"/>
        </w:rPr>
        <w:t>or</w:t>
      </w:r>
      <w:r>
        <w:rPr>
          <w:spacing w:val="-12"/>
        </w:rPr>
        <w:t xml:space="preserve"> </w:t>
      </w:r>
      <w:r>
        <w:t>potentially</w:t>
      </w:r>
      <w:r>
        <w:rPr>
          <w:spacing w:val="-19"/>
        </w:rPr>
        <w:t xml:space="preserve"> </w:t>
      </w:r>
      <w:r>
        <w:t>(c)</w:t>
      </w:r>
      <w:r>
        <w:rPr>
          <w:spacing w:val="-17"/>
        </w:rPr>
        <w:t xml:space="preserve"> </w:t>
      </w:r>
      <w:r>
        <w:t>better</w:t>
      </w:r>
      <w:r>
        <w:rPr>
          <w:spacing w:val="-13"/>
        </w:rPr>
        <w:t xml:space="preserve"> </w:t>
      </w:r>
      <w:r>
        <w:t>performance</w:t>
      </w:r>
      <w:r>
        <w:rPr>
          <w:spacing w:val="-14"/>
        </w:rPr>
        <w:t xml:space="preserve"> </w:t>
      </w:r>
      <w:r>
        <w:t>than</w:t>
      </w:r>
      <w:r>
        <w:rPr>
          <w:spacing w:val="-14"/>
        </w:rPr>
        <w:t xml:space="preserve"> </w:t>
      </w:r>
      <w:r>
        <w:t>the</w:t>
      </w:r>
      <w:r>
        <w:rPr>
          <w:spacing w:val="-15"/>
        </w:rPr>
        <w:t xml:space="preserve"> </w:t>
      </w:r>
      <w:r>
        <w:t>NT</w:t>
      </w:r>
      <w:r>
        <w:rPr>
          <w:spacing w:val="-16"/>
        </w:rPr>
        <w:t xml:space="preserve"> </w:t>
      </w:r>
      <w:r>
        <w:t>group</w:t>
      </w:r>
      <w:r>
        <w:rPr>
          <w:spacing w:val="-18"/>
        </w:rPr>
        <w:t xml:space="preserve"> </w:t>
      </w:r>
      <w:r>
        <w:t>(if</w:t>
      </w:r>
      <w:r>
        <w:rPr>
          <w:spacing w:val="-18"/>
        </w:rPr>
        <w:t xml:space="preserve"> </w:t>
      </w:r>
      <w:r>
        <w:t>the</w:t>
      </w:r>
      <w:r>
        <w:rPr>
          <w:spacing w:val="-14"/>
        </w:rPr>
        <w:t xml:space="preserve"> </w:t>
      </w:r>
      <w:r>
        <w:t>ASD</w:t>
      </w:r>
      <w:r>
        <w:rPr>
          <w:spacing w:val="-15"/>
        </w:rPr>
        <w:t xml:space="preserve"> </w:t>
      </w:r>
      <w:r>
        <w:t>sample</w:t>
      </w:r>
      <w:r>
        <w:rPr>
          <w:spacing w:val="-15"/>
        </w:rPr>
        <w:t xml:space="preserve"> </w:t>
      </w:r>
      <w:r>
        <w:t xml:space="preserve">contains individuals at </w:t>
      </w:r>
      <w:r>
        <w:rPr>
          <w:spacing w:val="-3"/>
        </w:rPr>
        <w:t xml:space="preserve">or </w:t>
      </w:r>
      <w:r>
        <w:t xml:space="preserve">above the NT average). The sole use of group analyses would therefore bias our understanding of PM abilities in ASD. Previously, studies into cognitive abilities in ASD have addressed this issue by additionally employing a single-case analyses; e.g. (Towgood, </w:t>
      </w:r>
      <w:proofErr w:type="spellStart"/>
      <w:r>
        <w:t>Meuwese</w:t>
      </w:r>
      <w:proofErr w:type="spellEnd"/>
      <w:r>
        <w:t>, Gilbert, Turner, &amp; Burgess, 2009) used a cut-off of +/- 2SDs above or below the control</w:t>
      </w:r>
      <w:r>
        <w:rPr>
          <w:spacing w:val="-15"/>
        </w:rPr>
        <w:t xml:space="preserve"> </w:t>
      </w:r>
      <w:r>
        <w:t>group</w:t>
      </w:r>
      <w:r>
        <w:rPr>
          <w:spacing w:val="-19"/>
        </w:rPr>
        <w:t xml:space="preserve"> </w:t>
      </w:r>
      <w:r>
        <w:t>mean</w:t>
      </w:r>
      <w:r>
        <w:rPr>
          <w:spacing w:val="-14"/>
        </w:rPr>
        <w:t xml:space="preserve"> </w:t>
      </w:r>
      <w:r>
        <w:t>to</w:t>
      </w:r>
      <w:r>
        <w:rPr>
          <w:spacing w:val="-19"/>
        </w:rPr>
        <w:t xml:space="preserve"> </w:t>
      </w:r>
      <w:r>
        <w:t>identify</w:t>
      </w:r>
      <w:r>
        <w:rPr>
          <w:spacing w:val="-20"/>
        </w:rPr>
        <w:t xml:space="preserve"> </w:t>
      </w:r>
      <w:r>
        <w:t>cases</w:t>
      </w:r>
      <w:r>
        <w:rPr>
          <w:spacing w:val="-17"/>
        </w:rPr>
        <w:t xml:space="preserve"> </w:t>
      </w:r>
      <w:r>
        <w:t>of</w:t>
      </w:r>
      <w:r>
        <w:rPr>
          <w:spacing w:val="-13"/>
        </w:rPr>
        <w:t xml:space="preserve"> </w:t>
      </w:r>
      <w:r>
        <w:t>ASD</w:t>
      </w:r>
      <w:r>
        <w:rPr>
          <w:spacing w:val="-20"/>
        </w:rPr>
        <w:t xml:space="preserve"> </w:t>
      </w:r>
      <w:r>
        <w:t>participants</w:t>
      </w:r>
      <w:r>
        <w:rPr>
          <w:spacing w:val="-17"/>
        </w:rPr>
        <w:t xml:space="preserve"> </w:t>
      </w:r>
      <w:r>
        <w:t>who</w:t>
      </w:r>
      <w:r>
        <w:rPr>
          <w:spacing w:val="-15"/>
        </w:rPr>
        <w:t xml:space="preserve"> </w:t>
      </w:r>
      <w:r>
        <w:t>might</w:t>
      </w:r>
      <w:r>
        <w:rPr>
          <w:spacing w:val="-14"/>
        </w:rPr>
        <w:t xml:space="preserve"> </w:t>
      </w:r>
      <w:r>
        <w:t>show</w:t>
      </w:r>
      <w:r>
        <w:rPr>
          <w:spacing w:val="-16"/>
        </w:rPr>
        <w:t xml:space="preserve"> </w:t>
      </w:r>
      <w:r>
        <w:t>particular</w:t>
      </w:r>
      <w:r>
        <w:rPr>
          <w:spacing w:val="-18"/>
        </w:rPr>
        <w:t xml:space="preserve"> </w:t>
      </w:r>
      <w:r>
        <w:t>difficulties on a battery of neuropsychological tests</w:t>
      </w:r>
      <w:r>
        <w:t>. Following their example, a similar approach was adopted in this thesis to identify potential single cases of ASD individuals who might display particular problems with</w:t>
      </w:r>
      <w:r>
        <w:rPr>
          <w:spacing w:val="5"/>
        </w:rPr>
        <w:t xml:space="preserve"> </w:t>
      </w:r>
      <w:r>
        <w:t>PM.</w:t>
      </w:r>
    </w:p>
    <w:p w14:paraId="4B0D1E40" w14:textId="77777777" w:rsidR="00C75312" w:rsidRDefault="00C75312">
      <w:pPr>
        <w:spacing w:line="480" w:lineRule="auto"/>
        <w:jc w:val="both"/>
        <w:sectPr w:rsidR="00C75312">
          <w:pgSz w:w="11900" w:h="16840"/>
          <w:pgMar w:top="1020" w:right="500" w:bottom="280" w:left="620" w:header="715" w:footer="0" w:gutter="0"/>
          <w:cols w:space="720"/>
        </w:sectPr>
      </w:pPr>
    </w:p>
    <w:p w14:paraId="514E683F" w14:textId="77777777" w:rsidR="00C75312" w:rsidRDefault="00C75312">
      <w:pPr>
        <w:pStyle w:val="BodyText"/>
        <w:spacing w:before="2"/>
        <w:rPr>
          <w:sz w:val="28"/>
        </w:rPr>
      </w:pPr>
    </w:p>
    <w:p w14:paraId="48022169" w14:textId="77777777" w:rsidR="00C75312" w:rsidRDefault="00BB293A">
      <w:pPr>
        <w:pStyle w:val="BodyText"/>
        <w:spacing w:before="90" w:line="480" w:lineRule="auto"/>
        <w:ind w:left="820" w:right="926" w:firstLine="720"/>
        <w:jc w:val="both"/>
      </w:pPr>
      <w:r>
        <w:t>Regardless,</w:t>
      </w:r>
      <w:r>
        <w:rPr>
          <w:spacing w:val="-7"/>
        </w:rPr>
        <w:t xml:space="preserve"> </w:t>
      </w:r>
      <w:r>
        <w:t>whether</w:t>
      </w:r>
      <w:r>
        <w:rPr>
          <w:spacing w:val="-8"/>
        </w:rPr>
        <w:t xml:space="preserve"> </w:t>
      </w:r>
      <w:r>
        <w:t>the</w:t>
      </w:r>
      <w:r>
        <w:rPr>
          <w:spacing w:val="-11"/>
        </w:rPr>
        <w:t xml:space="preserve"> </w:t>
      </w:r>
      <w:r>
        <w:t>study</w:t>
      </w:r>
      <w:r>
        <w:rPr>
          <w:spacing w:val="-10"/>
        </w:rPr>
        <w:t xml:space="preserve"> </w:t>
      </w:r>
      <w:r>
        <w:t>of</w:t>
      </w:r>
      <w:r>
        <w:rPr>
          <w:spacing w:val="-8"/>
        </w:rPr>
        <w:t xml:space="preserve"> </w:t>
      </w:r>
      <w:r>
        <w:t>PM</w:t>
      </w:r>
      <w:r>
        <w:rPr>
          <w:spacing w:val="-12"/>
        </w:rPr>
        <w:t xml:space="preserve"> </w:t>
      </w:r>
      <w:r>
        <w:t>abilities</w:t>
      </w:r>
      <w:r>
        <w:rPr>
          <w:spacing w:val="-11"/>
        </w:rPr>
        <w:t xml:space="preserve"> </w:t>
      </w:r>
      <w:r>
        <w:t>in</w:t>
      </w:r>
      <w:r>
        <w:rPr>
          <w:spacing w:val="-10"/>
        </w:rPr>
        <w:t xml:space="preserve"> </w:t>
      </w:r>
      <w:r>
        <w:t>ASD</w:t>
      </w:r>
      <w:r>
        <w:rPr>
          <w:spacing w:val="-10"/>
        </w:rPr>
        <w:t xml:space="preserve"> </w:t>
      </w:r>
      <w:r>
        <w:t>will</w:t>
      </w:r>
      <w:r>
        <w:rPr>
          <w:spacing w:val="-9"/>
        </w:rPr>
        <w:t xml:space="preserve"> </w:t>
      </w:r>
      <w:r>
        <w:t>conclude</w:t>
      </w:r>
      <w:r>
        <w:rPr>
          <w:spacing w:val="-11"/>
        </w:rPr>
        <w:t xml:space="preserve"> </w:t>
      </w:r>
      <w:r>
        <w:t>a</w:t>
      </w:r>
      <w:r>
        <w:rPr>
          <w:spacing w:val="-11"/>
        </w:rPr>
        <w:t xml:space="preserve"> </w:t>
      </w:r>
      <w:r>
        <w:t>gross</w:t>
      </w:r>
      <w:r>
        <w:rPr>
          <w:spacing w:val="-11"/>
        </w:rPr>
        <w:t xml:space="preserve"> </w:t>
      </w:r>
      <w:r>
        <w:t>impairment on</w:t>
      </w:r>
      <w:r>
        <w:rPr>
          <w:spacing w:val="-5"/>
        </w:rPr>
        <w:t xml:space="preserve"> </w:t>
      </w:r>
      <w:r>
        <w:t>the</w:t>
      </w:r>
      <w:r>
        <w:rPr>
          <w:spacing w:val="-5"/>
        </w:rPr>
        <w:t xml:space="preserve"> </w:t>
      </w:r>
      <w:r>
        <w:t>group</w:t>
      </w:r>
      <w:r>
        <w:rPr>
          <w:spacing w:val="-5"/>
        </w:rPr>
        <w:t xml:space="preserve"> </w:t>
      </w:r>
      <w:r>
        <w:rPr>
          <w:spacing w:val="-3"/>
        </w:rPr>
        <w:t>or</w:t>
      </w:r>
      <w:r>
        <w:rPr>
          <w:spacing w:val="-2"/>
        </w:rPr>
        <w:t xml:space="preserve"> </w:t>
      </w:r>
      <w:r>
        <w:t>case</w:t>
      </w:r>
      <w:r>
        <w:rPr>
          <w:spacing w:val="-6"/>
        </w:rPr>
        <w:t xml:space="preserve"> </w:t>
      </w:r>
      <w:r>
        <w:t>level,</w:t>
      </w:r>
      <w:r>
        <w:rPr>
          <w:spacing w:val="-6"/>
        </w:rPr>
        <w:t xml:space="preserve"> </w:t>
      </w:r>
      <w:r>
        <w:t>if</w:t>
      </w:r>
      <w:r>
        <w:rPr>
          <w:spacing w:val="-7"/>
        </w:rPr>
        <w:t xml:space="preserve"> </w:t>
      </w:r>
      <w:r>
        <w:t>individuals</w:t>
      </w:r>
      <w:r>
        <w:rPr>
          <w:spacing w:val="-7"/>
        </w:rPr>
        <w:t xml:space="preserve"> </w:t>
      </w:r>
      <w:r>
        <w:t>with</w:t>
      </w:r>
      <w:r>
        <w:rPr>
          <w:spacing w:val="-9"/>
        </w:rPr>
        <w:t xml:space="preserve"> </w:t>
      </w:r>
      <w:r>
        <w:t>ASD</w:t>
      </w:r>
      <w:r>
        <w:rPr>
          <w:spacing w:val="-14"/>
        </w:rPr>
        <w:t xml:space="preserve"> </w:t>
      </w:r>
      <w:r>
        <w:t>are</w:t>
      </w:r>
      <w:r>
        <w:rPr>
          <w:spacing w:val="-5"/>
        </w:rPr>
        <w:t xml:space="preserve"> </w:t>
      </w:r>
      <w:r>
        <w:t>indeed</w:t>
      </w:r>
      <w:r>
        <w:rPr>
          <w:spacing w:val="-5"/>
        </w:rPr>
        <w:t xml:space="preserve"> </w:t>
      </w:r>
      <w:r>
        <w:t>impaired</w:t>
      </w:r>
      <w:r>
        <w:rPr>
          <w:spacing w:val="-9"/>
        </w:rPr>
        <w:t xml:space="preserve"> </w:t>
      </w:r>
      <w:r>
        <w:t>in</w:t>
      </w:r>
      <w:r>
        <w:rPr>
          <w:spacing w:val="-9"/>
        </w:rPr>
        <w:t xml:space="preserve"> </w:t>
      </w:r>
      <w:r>
        <w:t>either</w:t>
      </w:r>
      <w:r>
        <w:rPr>
          <w:spacing w:val="-3"/>
        </w:rPr>
        <w:t xml:space="preserve"> or</w:t>
      </w:r>
      <w:r>
        <w:rPr>
          <w:spacing w:val="-2"/>
        </w:rPr>
        <w:t xml:space="preserve"> </w:t>
      </w:r>
      <w:r>
        <w:t>both</w:t>
      </w:r>
      <w:r>
        <w:rPr>
          <w:spacing w:val="-5"/>
        </w:rPr>
        <w:t xml:space="preserve"> </w:t>
      </w:r>
      <w:r>
        <w:t xml:space="preserve">event- based and time-based PM, this would likely have serious ramifications for every-day functioning. Impairments in PM can drastically reduce an individual’s ability to live independently and maintain many activities that are often taken for granted (Mateer, Kerns, &amp; </w:t>
      </w:r>
      <w:proofErr w:type="spellStart"/>
      <w:r>
        <w:t>Eso</w:t>
      </w:r>
      <w:proofErr w:type="spellEnd"/>
      <w:r>
        <w:t xml:space="preserve">, 1996; Terry, 1988). At the extreme end </w:t>
      </w:r>
      <w:r>
        <w:rPr>
          <w:spacing w:val="-3"/>
        </w:rPr>
        <w:t xml:space="preserve">of </w:t>
      </w:r>
      <w:r>
        <w:t>possible consequences, impaired PM could lead</w:t>
      </w:r>
      <w:r>
        <w:rPr>
          <w:spacing w:val="-5"/>
        </w:rPr>
        <w:t xml:space="preserve"> </w:t>
      </w:r>
      <w:r>
        <w:t>one</w:t>
      </w:r>
      <w:r>
        <w:rPr>
          <w:spacing w:val="-5"/>
        </w:rPr>
        <w:t xml:space="preserve"> </w:t>
      </w:r>
      <w:r>
        <w:t>to</w:t>
      </w:r>
      <w:r>
        <w:rPr>
          <w:spacing w:val="-5"/>
        </w:rPr>
        <w:t xml:space="preserve"> </w:t>
      </w:r>
      <w:r>
        <w:t>forget</w:t>
      </w:r>
      <w:r>
        <w:rPr>
          <w:spacing w:val="-4"/>
        </w:rPr>
        <w:t xml:space="preserve"> </w:t>
      </w:r>
      <w:r>
        <w:t>to</w:t>
      </w:r>
      <w:r>
        <w:rPr>
          <w:spacing w:val="-9"/>
        </w:rPr>
        <w:t xml:space="preserve"> </w:t>
      </w:r>
      <w:r>
        <w:t>take</w:t>
      </w:r>
      <w:r>
        <w:rPr>
          <w:spacing w:val="-5"/>
        </w:rPr>
        <w:t xml:space="preserve"> </w:t>
      </w:r>
      <w:r>
        <w:t>medication</w:t>
      </w:r>
      <w:r>
        <w:rPr>
          <w:spacing w:val="-5"/>
        </w:rPr>
        <w:t xml:space="preserve"> </w:t>
      </w:r>
      <w:r>
        <w:rPr>
          <w:spacing w:val="-3"/>
        </w:rPr>
        <w:t>or</w:t>
      </w:r>
      <w:r>
        <w:rPr>
          <w:spacing w:val="-2"/>
        </w:rPr>
        <w:t xml:space="preserve"> </w:t>
      </w:r>
      <w:r>
        <w:t>to</w:t>
      </w:r>
      <w:r>
        <w:rPr>
          <w:spacing w:val="-10"/>
        </w:rPr>
        <w:t xml:space="preserve"> </w:t>
      </w:r>
      <w:r>
        <w:t>take</w:t>
      </w:r>
      <w:r>
        <w:rPr>
          <w:spacing w:val="-5"/>
        </w:rPr>
        <w:t xml:space="preserve"> </w:t>
      </w:r>
      <w:r>
        <w:t>food</w:t>
      </w:r>
      <w:r>
        <w:rPr>
          <w:spacing w:val="-5"/>
        </w:rPr>
        <w:t xml:space="preserve"> </w:t>
      </w:r>
      <w:r>
        <w:t>off</w:t>
      </w:r>
      <w:r>
        <w:rPr>
          <w:spacing w:val="-7"/>
        </w:rPr>
        <w:t xml:space="preserve"> </w:t>
      </w:r>
      <w:r>
        <w:t>the</w:t>
      </w:r>
      <w:r>
        <w:rPr>
          <w:spacing w:val="-6"/>
        </w:rPr>
        <w:t xml:space="preserve"> </w:t>
      </w:r>
      <w:r>
        <w:t>stove,</w:t>
      </w:r>
      <w:r>
        <w:rPr>
          <w:spacing w:val="-1"/>
        </w:rPr>
        <w:t xml:space="preserve"> </w:t>
      </w:r>
      <w:r>
        <w:t>which</w:t>
      </w:r>
      <w:r>
        <w:rPr>
          <w:spacing w:val="-10"/>
        </w:rPr>
        <w:t xml:space="preserve"> </w:t>
      </w:r>
      <w:r>
        <w:t>might</w:t>
      </w:r>
      <w:r>
        <w:rPr>
          <w:spacing w:val="-8"/>
        </w:rPr>
        <w:t xml:space="preserve"> </w:t>
      </w:r>
      <w:r>
        <w:t>have</w:t>
      </w:r>
      <w:r>
        <w:rPr>
          <w:spacing w:val="-6"/>
        </w:rPr>
        <w:t xml:space="preserve"> </w:t>
      </w:r>
      <w:r>
        <w:t xml:space="preserve">disastrous consequences. Less dramatically, an impairment </w:t>
      </w:r>
      <w:r>
        <w:rPr>
          <w:spacing w:val="-3"/>
        </w:rPr>
        <w:t xml:space="preserve">in </w:t>
      </w:r>
      <w:r>
        <w:t>PM wou</w:t>
      </w:r>
      <w:r>
        <w:t>ld seriously hinder opportunity</w:t>
      </w:r>
      <w:r>
        <w:rPr>
          <w:spacing w:val="-38"/>
        </w:rPr>
        <w:t xml:space="preserve"> </w:t>
      </w:r>
      <w:r>
        <w:t>to maintain employment (Howlin &amp; Moss, 2012). Moreover, there are even potentially negative social consequences of a PM impairment. For example, forgetting to call a friend on his birthday, or to attend a funeral, could have a significant impact on social relations, which are already</w:t>
      </w:r>
      <w:r>
        <w:rPr>
          <w:spacing w:val="-5"/>
        </w:rPr>
        <w:t xml:space="preserve"> </w:t>
      </w:r>
      <w:r>
        <w:t>difficult</w:t>
      </w:r>
      <w:r>
        <w:rPr>
          <w:spacing w:val="-8"/>
        </w:rPr>
        <w:t xml:space="preserve"> </w:t>
      </w:r>
      <w:r>
        <w:t>for</w:t>
      </w:r>
      <w:r>
        <w:rPr>
          <w:spacing w:val="-7"/>
        </w:rPr>
        <w:t xml:space="preserve"> </w:t>
      </w:r>
      <w:r>
        <w:t>people</w:t>
      </w:r>
      <w:r>
        <w:rPr>
          <w:spacing w:val="-5"/>
        </w:rPr>
        <w:t xml:space="preserve"> </w:t>
      </w:r>
      <w:r>
        <w:t>with</w:t>
      </w:r>
      <w:r>
        <w:rPr>
          <w:spacing w:val="-9"/>
        </w:rPr>
        <w:t xml:space="preserve"> </w:t>
      </w:r>
      <w:r>
        <w:t>ASD.</w:t>
      </w:r>
      <w:r>
        <w:rPr>
          <w:spacing w:val="46"/>
        </w:rPr>
        <w:t xml:space="preserve"> </w:t>
      </w:r>
      <w:r>
        <w:t>Therefore,</w:t>
      </w:r>
      <w:r>
        <w:rPr>
          <w:spacing w:val="-7"/>
        </w:rPr>
        <w:t xml:space="preserve"> </w:t>
      </w:r>
      <w:r>
        <w:rPr>
          <w:spacing w:val="-3"/>
        </w:rPr>
        <w:t xml:space="preserve">it </w:t>
      </w:r>
      <w:r>
        <w:t>is</w:t>
      </w:r>
      <w:r>
        <w:rPr>
          <w:spacing w:val="-6"/>
        </w:rPr>
        <w:t xml:space="preserve"> </w:t>
      </w:r>
      <w:r>
        <w:t>crucial</w:t>
      </w:r>
      <w:r>
        <w:rPr>
          <w:spacing w:val="-8"/>
        </w:rPr>
        <w:t xml:space="preserve"> </w:t>
      </w:r>
      <w:r>
        <w:t>to</w:t>
      </w:r>
      <w:r>
        <w:rPr>
          <w:spacing w:val="-9"/>
        </w:rPr>
        <w:t xml:space="preserve"> </w:t>
      </w:r>
      <w:r>
        <w:t>investigate</w:t>
      </w:r>
      <w:r>
        <w:rPr>
          <w:spacing w:val="-5"/>
        </w:rPr>
        <w:t xml:space="preserve"> </w:t>
      </w:r>
      <w:r>
        <w:t>PM</w:t>
      </w:r>
      <w:r>
        <w:rPr>
          <w:spacing w:val="-6"/>
        </w:rPr>
        <w:t xml:space="preserve"> </w:t>
      </w:r>
      <w:r>
        <w:t>in</w:t>
      </w:r>
      <w:r>
        <w:rPr>
          <w:spacing w:val="-10"/>
        </w:rPr>
        <w:t xml:space="preserve"> </w:t>
      </w:r>
      <w:r>
        <w:t>ASD</w:t>
      </w:r>
      <w:r>
        <w:rPr>
          <w:spacing w:val="-9"/>
        </w:rPr>
        <w:t xml:space="preserve"> </w:t>
      </w:r>
      <w:r>
        <w:t>as</w:t>
      </w:r>
      <w:r>
        <w:rPr>
          <w:spacing w:val="-6"/>
        </w:rPr>
        <w:t xml:space="preserve"> </w:t>
      </w:r>
      <w:r>
        <w:t xml:space="preserve">PM deficits could contribute to social and </w:t>
      </w:r>
      <w:proofErr w:type="spellStart"/>
      <w:r>
        <w:t>behavioural</w:t>
      </w:r>
      <w:proofErr w:type="spellEnd"/>
      <w:r>
        <w:t xml:space="preserve"> impairments in</w:t>
      </w:r>
      <w:r>
        <w:rPr>
          <w:spacing w:val="-1"/>
        </w:rPr>
        <w:t xml:space="preserve"> </w:t>
      </w:r>
      <w:r>
        <w:t>ASD.</w:t>
      </w:r>
    </w:p>
    <w:p w14:paraId="14C8A1E6" w14:textId="77777777" w:rsidR="00C75312" w:rsidRDefault="00BB293A">
      <w:pPr>
        <w:pStyle w:val="BodyText"/>
        <w:spacing w:before="121" w:line="480" w:lineRule="auto"/>
        <w:ind w:left="820" w:right="925" w:firstLine="720"/>
        <w:jc w:val="both"/>
      </w:pPr>
      <w:r>
        <w:t>In this chapter, I took two approaches to explore PM research in ASD. In Part 1, I will report the results of a meta-analysis that was conducted with the aim of establishing whether or</w:t>
      </w:r>
      <w:r>
        <w:rPr>
          <w:spacing w:val="-9"/>
        </w:rPr>
        <w:t xml:space="preserve"> </w:t>
      </w:r>
      <w:r>
        <w:t>not/the</w:t>
      </w:r>
      <w:r>
        <w:rPr>
          <w:spacing w:val="-11"/>
        </w:rPr>
        <w:t xml:space="preserve"> </w:t>
      </w:r>
      <w:r>
        <w:t>extent</w:t>
      </w:r>
      <w:r>
        <w:rPr>
          <w:spacing w:val="-10"/>
        </w:rPr>
        <w:t xml:space="preserve"> </w:t>
      </w:r>
      <w:r>
        <w:t>to</w:t>
      </w:r>
      <w:r>
        <w:rPr>
          <w:spacing w:val="-10"/>
        </w:rPr>
        <w:t xml:space="preserve"> </w:t>
      </w:r>
      <w:r>
        <w:t>which</w:t>
      </w:r>
      <w:r>
        <w:rPr>
          <w:spacing w:val="-11"/>
        </w:rPr>
        <w:t xml:space="preserve"> </w:t>
      </w:r>
      <w:r>
        <w:t>PM</w:t>
      </w:r>
      <w:r>
        <w:rPr>
          <w:spacing w:val="-12"/>
        </w:rPr>
        <w:t xml:space="preserve"> </w:t>
      </w:r>
      <w:r>
        <w:t>is</w:t>
      </w:r>
      <w:r>
        <w:rPr>
          <w:spacing w:val="-12"/>
        </w:rPr>
        <w:t xml:space="preserve"> </w:t>
      </w:r>
      <w:r>
        <w:t>impaired</w:t>
      </w:r>
      <w:r>
        <w:rPr>
          <w:spacing w:val="-11"/>
        </w:rPr>
        <w:t xml:space="preserve"> </w:t>
      </w:r>
      <w:r>
        <w:t>in</w:t>
      </w:r>
      <w:r>
        <w:rPr>
          <w:spacing w:val="-10"/>
        </w:rPr>
        <w:t xml:space="preserve"> </w:t>
      </w:r>
      <w:r>
        <w:t>ASD.</w:t>
      </w:r>
      <w:r>
        <w:rPr>
          <w:spacing w:val="-13"/>
        </w:rPr>
        <w:t xml:space="preserve"> </w:t>
      </w:r>
      <w:r>
        <w:t>An</w:t>
      </w:r>
      <w:r>
        <w:rPr>
          <w:spacing w:val="-10"/>
        </w:rPr>
        <w:t xml:space="preserve"> </w:t>
      </w:r>
      <w:r>
        <w:t>initial</w:t>
      </w:r>
      <w:r>
        <w:rPr>
          <w:spacing w:val="-9"/>
        </w:rPr>
        <w:t xml:space="preserve"> </w:t>
      </w:r>
      <w:r>
        <w:t>interpretation</w:t>
      </w:r>
      <w:r>
        <w:rPr>
          <w:spacing w:val="-11"/>
        </w:rPr>
        <w:t xml:space="preserve"> </w:t>
      </w:r>
      <w:r>
        <w:t>of</w:t>
      </w:r>
      <w:r>
        <w:rPr>
          <w:spacing w:val="-13"/>
        </w:rPr>
        <w:t xml:space="preserve"> </w:t>
      </w:r>
      <w:r>
        <w:t>the</w:t>
      </w:r>
      <w:r>
        <w:rPr>
          <w:spacing w:val="-12"/>
        </w:rPr>
        <w:t xml:space="preserve"> </w:t>
      </w:r>
      <w:r>
        <w:t>meta-analytic statistics is offered. However, as discussed at length below, the results from a meta-analysis need to be interpreted carefully in light of several methodological issues with some of the studies included. Therefore, in Part 2, I provide a detailed critical reflection on the research included in the meta-analysis, which provides the background for further reflection on the analysis in Part</w:t>
      </w:r>
      <w:r>
        <w:rPr>
          <w:spacing w:val="3"/>
        </w:rPr>
        <w:t xml:space="preserve"> </w:t>
      </w:r>
      <w:r>
        <w:rPr>
          <w:spacing w:val="-3"/>
        </w:rPr>
        <w:t>1.</w:t>
      </w:r>
    </w:p>
    <w:p w14:paraId="6FF7A57B" w14:textId="77777777" w:rsidR="00C75312" w:rsidRDefault="00C75312">
      <w:pPr>
        <w:pStyle w:val="BodyText"/>
        <w:spacing w:before="10"/>
        <w:rPr>
          <w:sz w:val="20"/>
        </w:rPr>
      </w:pPr>
    </w:p>
    <w:p w14:paraId="0A9450FB" w14:textId="77777777" w:rsidR="00C75312" w:rsidRDefault="00BB293A">
      <w:pPr>
        <w:pStyle w:val="Heading1"/>
        <w:ind w:left="2970"/>
        <w:jc w:val="both"/>
      </w:pPr>
      <w:bookmarkStart w:id="7" w:name="_TOC_250026"/>
      <w:bookmarkEnd w:id="7"/>
      <w:r>
        <w:t>Part 1: Meta-analysis of studies of PM in ASD</w:t>
      </w:r>
    </w:p>
    <w:p w14:paraId="76F352DF" w14:textId="77777777" w:rsidR="00C75312" w:rsidRDefault="00C75312">
      <w:pPr>
        <w:pStyle w:val="BodyText"/>
        <w:spacing w:before="4"/>
        <w:rPr>
          <w:b/>
          <w:sz w:val="27"/>
        </w:rPr>
      </w:pPr>
    </w:p>
    <w:p w14:paraId="6FBF1CDC" w14:textId="77777777" w:rsidR="00C75312" w:rsidRDefault="00BB293A">
      <w:pPr>
        <w:ind w:left="820"/>
        <w:rPr>
          <w:b/>
          <w:sz w:val="24"/>
        </w:rPr>
      </w:pPr>
      <w:r>
        <w:rPr>
          <w:b/>
          <w:sz w:val="24"/>
        </w:rPr>
        <w:t>Sample of Studies</w:t>
      </w:r>
    </w:p>
    <w:p w14:paraId="11C31AD6" w14:textId="77777777" w:rsidR="00C75312" w:rsidRDefault="00C75312">
      <w:pPr>
        <w:pStyle w:val="BodyText"/>
        <w:rPr>
          <w:b/>
        </w:rPr>
      </w:pPr>
    </w:p>
    <w:p w14:paraId="04E94169" w14:textId="77777777" w:rsidR="00C75312" w:rsidRDefault="00BB293A">
      <w:pPr>
        <w:pStyle w:val="BodyText"/>
        <w:spacing w:line="480" w:lineRule="auto"/>
        <w:ind w:left="820" w:right="929" w:firstLine="720"/>
        <w:jc w:val="both"/>
      </w:pPr>
      <w:r>
        <w:t>A literature search (see Figure 1) was conducted on Web of Science using the search terms “autism” and “prospective memory” for articles published prior to May 2016 resulting</w:t>
      </w:r>
    </w:p>
    <w:p w14:paraId="037F1F6E" w14:textId="77777777" w:rsidR="00C75312" w:rsidRDefault="00C75312">
      <w:pPr>
        <w:spacing w:line="480" w:lineRule="auto"/>
        <w:jc w:val="both"/>
        <w:sectPr w:rsidR="00C75312">
          <w:pgSz w:w="11900" w:h="16840"/>
          <w:pgMar w:top="1020" w:right="500" w:bottom="280" w:left="620" w:header="715" w:footer="0" w:gutter="0"/>
          <w:cols w:space="720"/>
        </w:sectPr>
      </w:pPr>
    </w:p>
    <w:p w14:paraId="3EE580F9" w14:textId="77777777" w:rsidR="00C75312" w:rsidRDefault="00C75312">
      <w:pPr>
        <w:pStyle w:val="BodyText"/>
        <w:spacing w:before="2"/>
        <w:rPr>
          <w:sz w:val="28"/>
        </w:rPr>
      </w:pPr>
    </w:p>
    <w:p w14:paraId="0591AB46" w14:textId="77777777" w:rsidR="00C75312" w:rsidRDefault="00BB293A">
      <w:pPr>
        <w:pStyle w:val="BodyText"/>
        <w:spacing w:before="90" w:line="480" w:lineRule="auto"/>
        <w:ind w:left="820" w:right="928"/>
        <w:jc w:val="both"/>
      </w:pPr>
      <w:r>
        <w:rPr>
          <w:noProof/>
        </w:rPr>
        <w:drawing>
          <wp:anchor distT="0" distB="0" distL="0" distR="0" simplePos="0" relativeHeight="251659264" behindDoc="0" locked="0" layoutInCell="1" allowOverlap="1" wp14:anchorId="4001BEFC" wp14:editId="0DDC3ACD">
            <wp:simplePos x="0" y="0"/>
            <wp:positionH relativeFrom="page">
              <wp:posOffset>914400</wp:posOffset>
            </wp:positionH>
            <wp:positionV relativeFrom="paragraph">
              <wp:posOffset>4338256</wp:posOffset>
            </wp:positionV>
            <wp:extent cx="5718217" cy="4274820"/>
            <wp:effectExtent l="0" t="0" r="0" b="0"/>
            <wp:wrapTopAndBottom/>
            <wp:docPr id="3" name="image2.jpeg" descr="Flow-chart depicting literature search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Flow-chart depicting literature search process"/>
                    <pic:cNvPicPr/>
                  </pic:nvPicPr>
                  <pic:blipFill>
                    <a:blip r:embed="rId18" cstate="print"/>
                    <a:stretch>
                      <a:fillRect/>
                    </a:stretch>
                  </pic:blipFill>
                  <pic:spPr>
                    <a:xfrm>
                      <a:off x="0" y="0"/>
                      <a:ext cx="5718217" cy="4274820"/>
                    </a:xfrm>
                    <a:prstGeom prst="rect">
                      <a:avLst/>
                    </a:prstGeom>
                  </pic:spPr>
                </pic:pic>
              </a:graphicData>
            </a:graphic>
          </wp:anchor>
        </w:drawing>
      </w:r>
      <w:r>
        <w:t>in 37 articles. Of these, 13 studies with an ASD sample were excluded as they studied something other than PM. Five literature reviews were excluded that did not provide any data of</w:t>
      </w:r>
      <w:r>
        <w:rPr>
          <w:spacing w:val="-3"/>
        </w:rPr>
        <w:t xml:space="preserve"> </w:t>
      </w:r>
      <w:r>
        <w:t>their</w:t>
      </w:r>
      <w:r>
        <w:rPr>
          <w:spacing w:val="-7"/>
        </w:rPr>
        <w:t xml:space="preserve"> </w:t>
      </w:r>
      <w:r>
        <w:t>own</w:t>
      </w:r>
      <w:r>
        <w:rPr>
          <w:spacing w:val="-10"/>
        </w:rPr>
        <w:t xml:space="preserve"> </w:t>
      </w:r>
      <w:r>
        <w:t>(two</w:t>
      </w:r>
      <w:r>
        <w:rPr>
          <w:spacing w:val="-9"/>
        </w:rPr>
        <w:t xml:space="preserve"> </w:t>
      </w:r>
      <w:r>
        <w:t>of</w:t>
      </w:r>
      <w:r>
        <w:rPr>
          <w:spacing w:val="-8"/>
        </w:rPr>
        <w:t xml:space="preserve"> </w:t>
      </w:r>
      <w:r>
        <w:t>which</w:t>
      </w:r>
      <w:r>
        <w:rPr>
          <w:spacing w:val="-4"/>
        </w:rPr>
        <w:t xml:space="preserve"> </w:t>
      </w:r>
      <w:r>
        <w:t>briefly</w:t>
      </w:r>
      <w:r>
        <w:rPr>
          <w:spacing w:val="-9"/>
        </w:rPr>
        <w:t xml:space="preserve"> </w:t>
      </w:r>
      <w:r>
        <w:t>mentioned</w:t>
      </w:r>
      <w:r>
        <w:rPr>
          <w:spacing w:val="-10"/>
        </w:rPr>
        <w:t xml:space="preserve"> </w:t>
      </w:r>
      <w:r>
        <w:t>PM</w:t>
      </w:r>
      <w:r>
        <w:rPr>
          <w:spacing w:val="-11"/>
        </w:rPr>
        <w:t xml:space="preserve"> </w:t>
      </w:r>
      <w:r>
        <w:rPr>
          <w:spacing w:val="-3"/>
        </w:rPr>
        <w:t>in</w:t>
      </w:r>
      <w:r>
        <w:rPr>
          <w:spacing w:val="-5"/>
        </w:rPr>
        <w:t xml:space="preserve"> </w:t>
      </w:r>
      <w:r>
        <w:t>ASD,</w:t>
      </w:r>
      <w:r>
        <w:rPr>
          <w:spacing w:val="-6"/>
        </w:rPr>
        <w:t xml:space="preserve"> </w:t>
      </w:r>
      <w:r>
        <w:t>two</w:t>
      </w:r>
      <w:r>
        <w:rPr>
          <w:spacing w:val="-9"/>
        </w:rPr>
        <w:t xml:space="preserve"> </w:t>
      </w:r>
      <w:r>
        <w:t>were</w:t>
      </w:r>
      <w:r>
        <w:rPr>
          <w:spacing w:val="-11"/>
        </w:rPr>
        <w:t xml:space="preserve"> </w:t>
      </w:r>
      <w:r>
        <w:t>on</w:t>
      </w:r>
      <w:r>
        <w:rPr>
          <w:spacing w:val="-9"/>
        </w:rPr>
        <w:t xml:space="preserve"> </w:t>
      </w:r>
      <w:r>
        <w:t>PM</w:t>
      </w:r>
      <w:r>
        <w:rPr>
          <w:spacing w:val="-11"/>
        </w:rPr>
        <w:t xml:space="preserve"> </w:t>
      </w:r>
      <w:r>
        <w:t>in</w:t>
      </w:r>
      <w:r>
        <w:rPr>
          <w:spacing w:val="-5"/>
        </w:rPr>
        <w:t xml:space="preserve"> </w:t>
      </w:r>
      <w:r>
        <w:t>general,</w:t>
      </w:r>
      <w:r>
        <w:rPr>
          <w:spacing w:val="-6"/>
        </w:rPr>
        <w:t xml:space="preserve"> </w:t>
      </w:r>
      <w:r>
        <w:t>and</w:t>
      </w:r>
      <w:r>
        <w:rPr>
          <w:spacing w:val="-5"/>
        </w:rPr>
        <w:t xml:space="preserve"> </w:t>
      </w:r>
      <w:r>
        <w:t>one was unrelated to PM). Another four studies were excluded as they studied PM in a population other than ASD. Finally, three studies were excluded as they were completely unrelated to ASD</w:t>
      </w:r>
      <w:r>
        <w:rPr>
          <w:spacing w:val="-10"/>
        </w:rPr>
        <w:t xml:space="preserve"> </w:t>
      </w:r>
      <w:r>
        <w:t>and</w:t>
      </w:r>
      <w:r>
        <w:rPr>
          <w:spacing w:val="-10"/>
        </w:rPr>
        <w:t xml:space="preserve"> </w:t>
      </w:r>
      <w:r>
        <w:t>PM.</w:t>
      </w:r>
      <w:r>
        <w:rPr>
          <w:spacing w:val="43"/>
        </w:rPr>
        <w:t xml:space="preserve"> </w:t>
      </w:r>
      <w:r>
        <w:t>Hence,</w:t>
      </w:r>
      <w:r>
        <w:rPr>
          <w:spacing w:val="-7"/>
        </w:rPr>
        <w:t xml:space="preserve"> </w:t>
      </w:r>
      <w:r>
        <w:t>12</w:t>
      </w:r>
      <w:r>
        <w:rPr>
          <w:spacing w:val="-10"/>
        </w:rPr>
        <w:t xml:space="preserve"> </w:t>
      </w:r>
      <w:r>
        <w:t>studies</w:t>
      </w:r>
      <w:r>
        <w:rPr>
          <w:spacing w:val="-11"/>
        </w:rPr>
        <w:t xml:space="preserve"> </w:t>
      </w:r>
      <w:r>
        <w:t>were</w:t>
      </w:r>
      <w:r>
        <w:rPr>
          <w:spacing w:val="-11"/>
        </w:rPr>
        <w:t xml:space="preserve"> </w:t>
      </w:r>
      <w:r>
        <w:t>identified</w:t>
      </w:r>
      <w:r>
        <w:rPr>
          <w:spacing w:val="-10"/>
        </w:rPr>
        <w:t xml:space="preserve"> </w:t>
      </w:r>
      <w:r>
        <w:t>that</w:t>
      </w:r>
      <w:r>
        <w:rPr>
          <w:spacing w:val="-9"/>
        </w:rPr>
        <w:t xml:space="preserve"> </w:t>
      </w:r>
      <w:r>
        <w:t>had</w:t>
      </w:r>
      <w:r>
        <w:rPr>
          <w:spacing w:val="-10"/>
        </w:rPr>
        <w:t xml:space="preserve"> </w:t>
      </w:r>
      <w:r>
        <w:t>inves</w:t>
      </w:r>
      <w:r>
        <w:t>tigated</w:t>
      </w:r>
      <w:r>
        <w:rPr>
          <w:spacing w:val="-10"/>
        </w:rPr>
        <w:t xml:space="preserve"> </w:t>
      </w:r>
      <w:r>
        <w:t>PM</w:t>
      </w:r>
      <w:r>
        <w:rPr>
          <w:spacing w:val="-12"/>
        </w:rPr>
        <w:t xml:space="preserve"> </w:t>
      </w:r>
      <w:r>
        <w:t>in</w:t>
      </w:r>
      <w:r>
        <w:rPr>
          <w:spacing w:val="-10"/>
        </w:rPr>
        <w:t xml:space="preserve"> </w:t>
      </w:r>
      <w:r>
        <w:t>ASD,</w:t>
      </w:r>
      <w:r>
        <w:rPr>
          <w:spacing w:val="-7"/>
        </w:rPr>
        <w:t xml:space="preserve"> </w:t>
      </w:r>
      <w:r>
        <w:t>which</w:t>
      </w:r>
      <w:r>
        <w:rPr>
          <w:spacing w:val="-10"/>
        </w:rPr>
        <w:t xml:space="preserve"> </w:t>
      </w:r>
      <w:r>
        <w:t>were included in the meta-analysis. No further studies were identified from reference lists of other included studies or by replicating the search using additional search engines (</w:t>
      </w:r>
      <w:proofErr w:type="spellStart"/>
      <w:r>
        <w:t>Pubmed</w:t>
      </w:r>
      <w:proofErr w:type="spellEnd"/>
      <w:r>
        <w:t>,</w:t>
      </w:r>
      <w:r>
        <w:rPr>
          <w:spacing w:val="-37"/>
        </w:rPr>
        <w:t xml:space="preserve"> </w:t>
      </w:r>
      <w:r>
        <w:t xml:space="preserve">Google Scholar). Tables 1 and 2 </w:t>
      </w:r>
      <w:proofErr w:type="spellStart"/>
      <w:r>
        <w:t>summarise</w:t>
      </w:r>
      <w:proofErr w:type="spellEnd"/>
      <w:r>
        <w:t xml:space="preserve"> the included studies and give a brief overview </w:t>
      </w:r>
      <w:r>
        <w:rPr>
          <w:spacing w:val="-3"/>
        </w:rPr>
        <w:t xml:space="preserve">of </w:t>
      </w:r>
      <w:r>
        <w:t xml:space="preserve">the experimental approach/protocols, as well as details of group matching, in each study. Figure 2 depicts the mean age for both ASD and the </w:t>
      </w:r>
      <w:r>
        <w:rPr>
          <w:spacing w:val="-3"/>
        </w:rPr>
        <w:t xml:space="preserve">NT </w:t>
      </w:r>
      <w:r>
        <w:t>control groups, together with the overall age range and the ver</w:t>
      </w:r>
      <w:r>
        <w:t xml:space="preserve">bal mental age </w:t>
      </w:r>
      <w:r>
        <w:rPr>
          <w:spacing w:val="-3"/>
        </w:rPr>
        <w:t xml:space="preserve">of </w:t>
      </w:r>
      <w:r>
        <w:t>each experimental</w:t>
      </w:r>
      <w:r>
        <w:rPr>
          <w:spacing w:val="13"/>
        </w:rPr>
        <w:t xml:space="preserve"> </w:t>
      </w:r>
      <w:r>
        <w:t>group.</w:t>
      </w:r>
    </w:p>
    <w:p w14:paraId="4064559A" w14:textId="77777777" w:rsidR="00C75312" w:rsidRDefault="00BB293A">
      <w:pPr>
        <w:spacing w:before="200"/>
        <w:ind w:left="820"/>
        <w:jc w:val="both"/>
        <w:rPr>
          <w:i/>
          <w:sz w:val="20"/>
        </w:rPr>
      </w:pPr>
      <w:r>
        <w:rPr>
          <w:i/>
          <w:sz w:val="20"/>
        </w:rPr>
        <w:t>Figure 1 Flow-chart depicting literature search process</w:t>
      </w:r>
    </w:p>
    <w:p w14:paraId="6434BF1F" w14:textId="77777777" w:rsidR="00C75312" w:rsidRDefault="00C75312">
      <w:pPr>
        <w:jc w:val="both"/>
        <w:rPr>
          <w:sz w:val="20"/>
        </w:rPr>
        <w:sectPr w:rsidR="00C75312">
          <w:pgSz w:w="11900" w:h="16840"/>
          <w:pgMar w:top="1020" w:right="500" w:bottom="280" w:left="620" w:header="715" w:footer="0" w:gutter="0"/>
          <w:cols w:space="720"/>
        </w:sectPr>
      </w:pPr>
    </w:p>
    <w:p w14:paraId="569501B8" w14:textId="77777777" w:rsidR="00C75312" w:rsidRDefault="00C75312">
      <w:pPr>
        <w:pStyle w:val="BodyText"/>
        <w:spacing w:before="6"/>
        <w:rPr>
          <w:i/>
          <w:sz w:val="14"/>
        </w:rPr>
      </w:pPr>
    </w:p>
    <w:p w14:paraId="2D6FDA8B" w14:textId="77777777" w:rsidR="00C75312" w:rsidRDefault="00BB293A">
      <w:pPr>
        <w:spacing w:before="93"/>
        <w:ind w:left="140"/>
        <w:rPr>
          <w:i/>
          <w:sz w:val="20"/>
        </w:rPr>
      </w:pPr>
      <w:r>
        <w:rPr>
          <w:i/>
          <w:sz w:val="20"/>
        </w:rPr>
        <w:t>Table 1. Overview of characteristics of time-based PM studies in ASD.</w:t>
      </w:r>
    </w:p>
    <w:p w14:paraId="371FD326" w14:textId="77777777" w:rsidR="00C75312" w:rsidRDefault="00C75312">
      <w:pPr>
        <w:pStyle w:val="BodyText"/>
        <w:spacing w:before="11"/>
        <w:rPr>
          <w:i/>
          <w:sz w:val="17"/>
        </w:rPr>
      </w:pPr>
    </w:p>
    <w:tbl>
      <w:tblPr>
        <w:tblW w:w="0" w:type="auto"/>
        <w:tblInd w:w="125" w:type="dxa"/>
        <w:tblLayout w:type="fixed"/>
        <w:tblCellMar>
          <w:left w:w="0" w:type="dxa"/>
          <w:right w:w="0" w:type="dxa"/>
        </w:tblCellMar>
        <w:tblLook w:val="01E0" w:firstRow="1" w:lastRow="1" w:firstColumn="1" w:lastColumn="1" w:noHBand="0" w:noVBand="0"/>
      </w:tblPr>
      <w:tblGrid>
        <w:gridCol w:w="1231"/>
        <w:gridCol w:w="4190"/>
        <w:gridCol w:w="3009"/>
        <w:gridCol w:w="1881"/>
        <w:gridCol w:w="3681"/>
      </w:tblGrid>
      <w:tr w:rsidR="00C75312" w14:paraId="29B3BE4C" w14:textId="77777777">
        <w:trPr>
          <w:trHeight w:val="506"/>
        </w:trPr>
        <w:tc>
          <w:tcPr>
            <w:tcW w:w="1231" w:type="dxa"/>
            <w:tcBorders>
              <w:top w:val="single" w:sz="4" w:space="0" w:color="000000"/>
            </w:tcBorders>
          </w:tcPr>
          <w:p w14:paraId="5AF42BAD" w14:textId="77777777" w:rsidR="00C75312" w:rsidRDefault="00BB293A">
            <w:pPr>
              <w:pStyle w:val="TableParagraph"/>
              <w:ind w:left="127"/>
              <w:rPr>
                <w:i/>
                <w:sz w:val="20"/>
              </w:rPr>
            </w:pPr>
            <w:r>
              <w:rPr>
                <w:i/>
                <w:sz w:val="20"/>
              </w:rPr>
              <w:t>Author,</w:t>
            </w:r>
          </w:p>
          <w:p w14:paraId="643C61A3" w14:textId="77777777" w:rsidR="00C75312" w:rsidRDefault="00BB293A">
            <w:pPr>
              <w:pStyle w:val="TableParagraph"/>
              <w:spacing w:before="34" w:line="223" w:lineRule="exact"/>
              <w:ind w:left="127"/>
              <w:rPr>
                <w:i/>
                <w:sz w:val="20"/>
              </w:rPr>
            </w:pPr>
            <w:r>
              <w:rPr>
                <w:i/>
                <w:sz w:val="20"/>
              </w:rPr>
              <w:t>year</w:t>
            </w:r>
          </w:p>
        </w:tc>
        <w:tc>
          <w:tcPr>
            <w:tcW w:w="4190" w:type="dxa"/>
            <w:tcBorders>
              <w:top w:val="single" w:sz="4" w:space="0" w:color="000000"/>
            </w:tcBorders>
          </w:tcPr>
          <w:p w14:paraId="7B7AA997" w14:textId="77777777" w:rsidR="00C75312" w:rsidRDefault="00BB293A">
            <w:pPr>
              <w:pStyle w:val="TableParagraph"/>
              <w:ind w:left="110"/>
              <w:rPr>
                <w:i/>
                <w:sz w:val="20"/>
              </w:rPr>
            </w:pPr>
            <w:r>
              <w:rPr>
                <w:i/>
                <w:sz w:val="20"/>
              </w:rPr>
              <w:t>Participants</w:t>
            </w:r>
          </w:p>
        </w:tc>
        <w:tc>
          <w:tcPr>
            <w:tcW w:w="3009" w:type="dxa"/>
            <w:tcBorders>
              <w:top w:val="single" w:sz="4" w:space="0" w:color="000000"/>
            </w:tcBorders>
          </w:tcPr>
          <w:p w14:paraId="2BC8FDF8" w14:textId="77777777" w:rsidR="00C75312" w:rsidRDefault="00BB293A">
            <w:pPr>
              <w:pStyle w:val="TableParagraph"/>
              <w:ind w:left="230"/>
              <w:rPr>
                <w:i/>
                <w:sz w:val="20"/>
              </w:rPr>
            </w:pPr>
            <w:r>
              <w:rPr>
                <w:i/>
                <w:sz w:val="20"/>
              </w:rPr>
              <w:t>Task characteristics</w:t>
            </w:r>
          </w:p>
        </w:tc>
        <w:tc>
          <w:tcPr>
            <w:tcW w:w="1881" w:type="dxa"/>
            <w:tcBorders>
              <w:top w:val="single" w:sz="4" w:space="0" w:color="000000"/>
            </w:tcBorders>
          </w:tcPr>
          <w:p w14:paraId="58C3CD29" w14:textId="77777777" w:rsidR="00C75312" w:rsidRDefault="00C75312">
            <w:pPr>
              <w:pStyle w:val="TableParagraph"/>
              <w:rPr>
                <w:sz w:val="20"/>
              </w:rPr>
            </w:pPr>
          </w:p>
        </w:tc>
        <w:tc>
          <w:tcPr>
            <w:tcW w:w="3681" w:type="dxa"/>
            <w:tcBorders>
              <w:top w:val="single" w:sz="4" w:space="0" w:color="000000"/>
            </w:tcBorders>
          </w:tcPr>
          <w:p w14:paraId="6AA29554" w14:textId="77777777" w:rsidR="00C75312" w:rsidRDefault="00BB293A">
            <w:pPr>
              <w:pStyle w:val="TableParagraph"/>
              <w:tabs>
                <w:tab w:val="left" w:pos="1585"/>
              </w:tabs>
              <w:ind w:left="165"/>
              <w:rPr>
                <w:i/>
                <w:sz w:val="20"/>
              </w:rPr>
            </w:pPr>
            <w:r>
              <w:rPr>
                <w:i/>
                <w:sz w:val="20"/>
              </w:rPr>
              <w:t>Filler</w:t>
            </w:r>
            <w:r>
              <w:rPr>
                <w:i/>
                <w:spacing w:val="-4"/>
                <w:sz w:val="20"/>
              </w:rPr>
              <w:t xml:space="preserve"> </w:t>
            </w:r>
            <w:r>
              <w:rPr>
                <w:i/>
                <w:sz w:val="20"/>
              </w:rPr>
              <w:t>tasks/</w:t>
            </w:r>
            <w:r>
              <w:rPr>
                <w:i/>
                <w:sz w:val="20"/>
              </w:rPr>
              <w:tab/>
            </w:r>
            <w:r>
              <w:rPr>
                <w:i/>
                <w:sz w:val="20"/>
              </w:rPr>
              <w:t>Authors concluded</w:t>
            </w:r>
            <w:r>
              <w:rPr>
                <w:i/>
                <w:spacing w:val="-9"/>
                <w:sz w:val="20"/>
              </w:rPr>
              <w:t xml:space="preserve"> </w:t>
            </w:r>
            <w:r>
              <w:rPr>
                <w:i/>
                <w:sz w:val="20"/>
              </w:rPr>
              <w:t>PM</w:t>
            </w:r>
          </w:p>
          <w:p w14:paraId="7A47A5E2" w14:textId="77777777" w:rsidR="00C75312" w:rsidRDefault="00BB293A">
            <w:pPr>
              <w:pStyle w:val="TableParagraph"/>
              <w:tabs>
                <w:tab w:val="left" w:pos="1585"/>
              </w:tabs>
              <w:spacing w:before="34" w:line="223" w:lineRule="exact"/>
              <w:ind w:left="165"/>
              <w:rPr>
                <w:i/>
                <w:sz w:val="20"/>
              </w:rPr>
            </w:pPr>
            <w:r>
              <w:rPr>
                <w:i/>
                <w:sz w:val="20"/>
              </w:rPr>
              <w:t>delay</w:t>
            </w:r>
            <w:r>
              <w:rPr>
                <w:i/>
                <w:spacing w:val="-2"/>
                <w:sz w:val="20"/>
              </w:rPr>
              <w:t xml:space="preserve"> </w:t>
            </w:r>
            <w:r>
              <w:rPr>
                <w:i/>
                <w:sz w:val="20"/>
              </w:rPr>
              <w:t>interval</w:t>
            </w:r>
            <w:r>
              <w:rPr>
                <w:i/>
                <w:sz w:val="20"/>
              </w:rPr>
              <w:tab/>
              <w:t>impairment in ASD</w:t>
            </w:r>
            <w:r>
              <w:rPr>
                <w:i/>
                <w:spacing w:val="-1"/>
                <w:sz w:val="20"/>
              </w:rPr>
              <w:t xml:space="preserve"> </w:t>
            </w:r>
            <w:r>
              <w:rPr>
                <w:i/>
                <w:sz w:val="20"/>
              </w:rPr>
              <w:t>group</w:t>
            </w:r>
          </w:p>
        </w:tc>
      </w:tr>
      <w:tr w:rsidR="00C75312" w14:paraId="1589E436" w14:textId="77777777">
        <w:trPr>
          <w:trHeight w:val="332"/>
        </w:trPr>
        <w:tc>
          <w:tcPr>
            <w:tcW w:w="1231" w:type="dxa"/>
            <w:tcBorders>
              <w:bottom w:val="single" w:sz="4" w:space="0" w:color="000000"/>
            </w:tcBorders>
          </w:tcPr>
          <w:p w14:paraId="6F98325D" w14:textId="77777777" w:rsidR="00C75312" w:rsidRDefault="00C75312">
            <w:pPr>
              <w:pStyle w:val="TableParagraph"/>
              <w:rPr>
                <w:sz w:val="20"/>
              </w:rPr>
            </w:pPr>
          </w:p>
        </w:tc>
        <w:tc>
          <w:tcPr>
            <w:tcW w:w="4190" w:type="dxa"/>
            <w:tcBorders>
              <w:bottom w:val="single" w:sz="4" w:space="0" w:color="000000"/>
            </w:tcBorders>
          </w:tcPr>
          <w:p w14:paraId="3CD101F0" w14:textId="77777777" w:rsidR="00C75312" w:rsidRDefault="00C75312">
            <w:pPr>
              <w:pStyle w:val="TableParagraph"/>
              <w:rPr>
                <w:sz w:val="20"/>
              </w:rPr>
            </w:pPr>
          </w:p>
        </w:tc>
        <w:tc>
          <w:tcPr>
            <w:tcW w:w="3009" w:type="dxa"/>
            <w:tcBorders>
              <w:bottom w:val="single" w:sz="4" w:space="0" w:color="000000"/>
            </w:tcBorders>
          </w:tcPr>
          <w:p w14:paraId="39441A3F" w14:textId="77777777" w:rsidR="00C75312" w:rsidRDefault="00C75312">
            <w:pPr>
              <w:pStyle w:val="TableParagraph"/>
              <w:rPr>
                <w:sz w:val="20"/>
              </w:rPr>
            </w:pPr>
          </w:p>
        </w:tc>
        <w:tc>
          <w:tcPr>
            <w:tcW w:w="1881" w:type="dxa"/>
            <w:tcBorders>
              <w:bottom w:val="single" w:sz="4" w:space="0" w:color="000000"/>
            </w:tcBorders>
          </w:tcPr>
          <w:p w14:paraId="04AFB65C" w14:textId="77777777" w:rsidR="00C75312" w:rsidRDefault="00C75312">
            <w:pPr>
              <w:pStyle w:val="TableParagraph"/>
              <w:rPr>
                <w:sz w:val="20"/>
              </w:rPr>
            </w:pPr>
          </w:p>
        </w:tc>
        <w:tc>
          <w:tcPr>
            <w:tcW w:w="3681" w:type="dxa"/>
            <w:tcBorders>
              <w:bottom w:val="single" w:sz="4" w:space="0" w:color="000000"/>
            </w:tcBorders>
          </w:tcPr>
          <w:p w14:paraId="63F3A83C" w14:textId="77777777" w:rsidR="00C75312" w:rsidRDefault="00BB293A">
            <w:pPr>
              <w:pStyle w:val="TableParagraph"/>
              <w:spacing w:before="40"/>
              <w:ind w:left="1585"/>
              <w:rPr>
                <w:i/>
                <w:sz w:val="20"/>
              </w:rPr>
            </w:pPr>
            <w:r>
              <w:rPr>
                <w:i/>
                <w:sz w:val="20"/>
              </w:rPr>
              <w:t>(Hedges ‘g)</w:t>
            </w:r>
            <w:r>
              <w:rPr>
                <w:i/>
                <w:sz w:val="20"/>
                <w:vertAlign w:val="superscript"/>
              </w:rPr>
              <w:t>†</w:t>
            </w:r>
          </w:p>
        </w:tc>
      </w:tr>
      <w:tr w:rsidR="00C75312" w14:paraId="339F1896" w14:textId="77777777">
        <w:trPr>
          <w:trHeight w:val="250"/>
        </w:trPr>
        <w:tc>
          <w:tcPr>
            <w:tcW w:w="1231" w:type="dxa"/>
            <w:tcBorders>
              <w:top w:val="single" w:sz="4" w:space="0" w:color="000000"/>
            </w:tcBorders>
          </w:tcPr>
          <w:p w14:paraId="660499FF" w14:textId="77777777" w:rsidR="00C75312" w:rsidRDefault="00C75312">
            <w:pPr>
              <w:pStyle w:val="TableParagraph"/>
              <w:rPr>
                <w:sz w:val="18"/>
              </w:rPr>
            </w:pPr>
          </w:p>
        </w:tc>
        <w:tc>
          <w:tcPr>
            <w:tcW w:w="4190" w:type="dxa"/>
            <w:tcBorders>
              <w:top w:val="single" w:sz="4" w:space="0" w:color="000000"/>
            </w:tcBorders>
          </w:tcPr>
          <w:p w14:paraId="5994B62F" w14:textId="77777777" w:rsidR="00C75312" w:rsidRDefault="00BB293A">
            <w:pPr>
              <w:pStyle w:val="TableParagraph"/>
              <w:tabs>
                <w:tab w:val="left" w:pos="2150"/>
              </w:tabs>
              <w:ind w:left="110"/>
              <w:rPr>
                <w:sz w:val="20"/>
              </w:rPr>
            </w:pPr>
            <w:r>
              <w:rPr>
                <w:sz w:val="20"/>
              </w:rPr>
              <w:t>Sample size</w:t>
            </w:r>
            <w:r>
              <w:rPr>
                <w:spacing w:val="-5"/>
                <w:sz w:val="20"/>
              </w:rPr>
              <w:t xml:space="preserve"> </w:t>
            </w:r>
            <w:r>
              <w:rPr>
                <w:sz w:val="20"/>
              </w:rPr>
              <w:t>(male</w:t>
            </w:r>
            <w:r>
              <w:rPr>
                <w:spacing w:val="3"/>
                <w:sz w:val="20"/>
              </w:rPr>
              <w:t xml:space="preserve"> </w:t>
            </w:r>
            <w:r>
              <w:rPr>
                <w:sz w:val="20"/>
              </w:rPr>
              <w:t>per</w:t>
            </w:r>
            <w:r>
              <w:rPr>
                <w:sz w:val="20"/>
              </w:rPr>
              <w:tab/>
              <w:t>Mean age per</w:t>
            </w:r>
            <w:r>
              <w:rPr>
                <w:spacing w:val="-5"/>
                <w:sz w:val="20"/>
              </w:rPr>
              <w:t xml:space="preserve"> </w:t>
            </w:r>
            <w:r>
              <w:rPr>
                <w:sz w:val="20"/>
              </w:rPr>
              <w:t>group</w:t>
            </w:r>
          </w:p>
        </w:tc>
        <w:tc>
          <w:tcPr>
            <w:tcW w:w="3009" w:type="dxa"/>
            <w:tcBorders>
              <w:top w:val="single" w:sz="4" w:space="0" w:color="000000"/>
            </w:tcBorders>
          </w:tcPr>
          <w:p w14:paraId="391E0E27" w14:textId="77777777" w:rsidR="00C75312" w:rsidRDefault="00BB293A">
            <w:pPr>
              <w:pStyle w:val="TableParagraph"/>
              <w:ind w:left="230"/>
              <w:rPr>
                <w:sz w:val="20"/>
              </w:rPr>
            </w:pPr>
            <w:r>
              <w:rPr>
                <w:sz w:val="20"/>
              </w:rPr>
              <w:t>Ongoing task</w:t>
            </w:r>
          </w:p>
        </w:tc>
        <w:tc>
          <w:tcPr>
            <w:tcW w:w="1881" w:type="dxa"/>
            <w:tcBorders>
              <w:top w:val="single" w:sz="4" w:space="0" w:color="000000"/>
            </w:tcBorders>
          </w:tcPr>
          <w:p w14:paraId="5111C948" w14:textId="77777777" w:rsidR="00C75312" w:rsidRDefault="00BB293A">
            <w:pPr>
              <w:pStyle w:val="TableParagraph"/>
              <w:ind w:left="202"/>
              <w:rPr>
                <w:sz w:val="20"/>
              </w:rPr>
            </w:pPr>
            <w:r>
              <w:rPr>
                <w:sz w:val="20"/>
              </w:rPr>
              <w:t># of PM trials</w:t>
            </w:r>
          </w:p>
        </w:tc>
        <w:tc>
          <w:tcPr>
            <w:tcW w:w="3681" w:type="dxa"/>
            <w:tcBorders>
              <w:top w:val="single" w:sz="4" w:space="0" w:color="000000"/>
            </w:tcBorders>
          </w:tcPr>
          <w:p w14:paraId="3263A433" w14:textId="77777777" w:rsidR="00C75312" w:rsidRDefault="00C75312">
            <w:pPr>
              <w:pStyle w:val="TableParagraph"/>
              <w:rPr>
                <w:sz w:val="18"/>
              </w:rPr>
            </w:pPr>
          </w:p>
        </w:tc>
      </w:tr>
      <w:tr w:rsidR="00C75312" w14:paraId="4FD8803F" w14:textId="77777777">
        <w:trPr>
          <w:trHeight w:val="363"/>
        </w:trPr>
        <w:tc>
          <w:tcPr>
            <w:tcW w:w="1231" w:type="dxa"/>
            <w:tcBorders>
              <w:bottom w:val="single" w:sz="4" w:space="0" w:color="000000"/>
            </w:tcBorders>
          </w:tcPr>
          <w:p w14:paraId="797F0715" w14:textId="77777777" w:rsidR="00C75312" w:rsidRDefault="00C75312">
            <w:pPr>
              <w:pStyle w:val="TableParagraph"/>
              <w:rPr>
                <w:sz w:val="20"/>
              </w:rPr>
            </w:pPr>
          </w:p>
        </w:tc>
        <w:tc>
          <w:tcPr>
            <w:tcW w:w="4190" w:type="dxa"/>
            <w:tcBorders>
              <w:bottom w:val="single" w:sz="4" w:space="0" w:color="000000"/>
            </w:tcBorders>
          </w:tcPr>
          <w:p w14:paraId="193FB39B" w14:textId="77777777" w:rsidR="00C75312" w:rsidRDefault="00BB293A">
            <w:pPr>
              <w:pStyle w:val="TableParagraph"/>
              <w:tabs>
                <w:tab w:val="left" w:pos="2150"/>
              </w:tabs>
              <w:spacing w:before="13"/>
              <w:ind w:left="110"/>
              <w:rPr>
                <w:sz w:val="20"/>
              </w:rPr>
            </w:pPr>
            <w:r>
              <w:rPr>
                <w:sz w:val="20"/>
              </w:rPr>
              <w:t>group)</w:t>
            </w:r>
            <w:r>
              <w:rPr>
                <w:sz w:val="20"/>
              </w:rPr>
              <w:tab/>
              <w:t>(range)</w:t>
            </w:r>
          </w:p>
        </w:tc>
        <w:tc>
          <w:tcPr>
            <w:tcW w:w="3009" w:type="dxa"/>
            <w:tcBorders>
              <w:bottom w:val="single" w:sz="4" w:space="0" w:color="000000"/>
            </w:tcBorders>
          </w:tcPr>
          <w:p w14:paraId="3BDA0844" w14:textId="77777777" w:rsidR="00C75312" w:rsidRDefault="00C75312">
            <w:pPr>
              <w:pStyle w:val="TableParagraph"/>
              <w:rPr>
                <w:sz w:val="20"/>
              </w:rPr>
            </w:pPr>
          </w:p>
        </w:tc>
        <w:tc>
          <w:tcPr>
            <w:tcW w:w="1881" w:type="dxa"/>
            <w:tcBorders>
              <w:bottom w:val="single" w:sz="4" w:space="0" w:color="000000"/>
            </w:tcBorders>
          </w:tcPr>
          <w:p w14:paraId="367BF311" w14:textId="77777777" w:rsidR="00C75312" w:rsidRDefault="00C75312">
            <w:pPr>
              <w:pStyle w:val="TableParagraph"/>
              <w:rPr>
                <w:sz w:val="20"/>
              </w:rPr>
            </w:pPr>
          </w:p>
        </w:tc>
        <w:tc>
          <w:tcPr>
            <w:tcW w:w="3681" w:type="dxa"/>
            <w:tcBorders>
              <w:bottom w:val="single" w:sz="4" w:space="0" w:color="000000"/>
            </w:tcBorders>
          </w:tcPr>
          <w:p w14:paraId="4C28AF43" w14:textId="77777777" w:rsidR="00C75312" w:rsidRDefault="00C75312">
            <w:pPr>
              <w:pStyle w:val="TableParagraph"/>
              <w:rPr>
                <w:sz w:val="20"/>
              </w:rPr>
            </w:pPr>
          </w:p>
        </w:tc>
      </w:tr>
      <w:tr w:rsidR="00C75312" w14:paraId="1880DE6E" w14:textId="77777777">
        <w:trPr>
          <w:trHeight w:val="250"/>
        </w:trPr>
        <w:tc>
          <w:tcPr>
            <w:tcW w:w="1231" w:type="dxa"/>
            <w:tcBorders>
              <w:top w:val="single" w:sz="4" w:space="0" w:color="000000"/>
            </w:tcBorders>
          </w:tcPr>
          <w:p w14:paraId="3FBCC1BC" w14:textId="77777777" w:rsidR="00C75312" w:rsidRDefault="00BB293A">
            <w:pPr>
              <w:pStyle w:val="TableParagraph"/>
              <w:ind w:left="127"/>
              <w:rPr>
                <w:sz w:val="20"/>
              </w:rPr>
            </w:pPr>
            <w:proofErr w:type="spellStart"/>
            <w:r>
              <w:rPr>
                <w:sz w:val="20"/>
              </w:rPr>
              <w:t>Altgassen</w:t>
            </w:r>
            <w:proofErr w:type="spellEnd"/>
            <w:r>
              <w:rPr>
                <w:sz w:val="20"/>
              </w:rPr>
              <w:t xml:space="preserve"> et</w:t>
            </w:r>
          </w:p>
        </w:tc>
        <w:tc>
          <w:tcPr>
            <w:tcW w:w="4190" w:type="dxa"/>
            <w:tcBorders>
              <w:top w:val="single" w:sz="4" w:space="0" w:color="000000"/>
            </w:tcBorders>
          </w:tcPr>
          <w:p w14:paraId="476122C3" w14:textId="77777777" w:rsidR="00C75312" w:rsidRDefault="00BB293A">
            <w:pPr>
              <w:pStyle w:val="TableParagraph"/>
              <w:tabs>
                <w:tab w:val="left" w:pos="2150"/>
              </w:tabs>
              <w:spacing w:line="231" w:lineRule="exact"/>
              <w:ind w:left="225"/>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w:t>
            </w:r>
            <w:r>
              <w:rPr>
                <w:spacing w:val="7"/>
                <w:position w:val="1"/>
                <w:sz w:val="20"/>
              </w:rPr>
              <w:t xml:space="preserve"> </w:t>
            </w:r>
            <w:r>
              <w:rPr>
                <w:spacing w:val="-3"/>
                <w:position w:val="1"/>
                <w:sz w:val="20"/>
              </w:rPr>
              <w:t>11</w:t>
            </w:r>
            <w:r>
              <w:rPr>
                <w:spacing w:val="4"/>
                <w:position w:val="1"/>
                <w:sz w:val="20"/>
              </w:rPr>
              <w:t xml:space="preserve"> </w:t>
            </w:r>
            <w:r>
              <w:rPr>
                <w:position w:val="1"/>
                <w:sz w:val="20"/>
              </w:rPr>
              <w:t>(ns.)</w:t>
            </w:r>
            <w:r>
              <w:rPr>
                <w:position w:val="1"/>
                <w:sz w:val="20"/>
              </w:rPr>
              <w:tab/>
              <w:t>ASD: 9.6</w:t>
            </w:r>
            <w:r>
              <w:rPr>
                <w:spacing w:val="5"/>
                <w:position w:val="1"/>
                <w:sz w:val="20"/>
              </w:rPr>
              <w:t xml:space="preserve"> </w:t>
            </w:r>
            <w:r>
              <w:rPr>
                <w:position w:val="1"/>
                <w:sz w:val="20"/>
              </w:rPr>
              <w:t>(7-15)</w:t>
            </w:r>
          </w:p>
        </w:tc>
        <w:tc>
          <w:tcPr>
            <w:tcW w:w="3009" w:type="dxa"/>
            <w:tcBorders>
              <w:top w:val="single" w:sz="4" w:space="0" w:color="000000"/>
            </w:tcBorders>
          </w:tcPr>
          <w:p w14:paraId="747F6808" w14:textId="77777777" w:rsidR="00C75312" w:rsidRDefault="00BB293A">
            <w:pPr>
              <w:pStyle w:val="TableParagraph"/>
              <w:ind w:left="230"/>
              <w:rPr>
                <w:sz w:val="20"/>
              </w:rPr>
            </w:pPr>
            <w:r>
              <w:rPr>
                <w:sz w:val="20"/>
              </w:rPr>
              <w:t>Visuospatial working memory</w:t>
            </w:r>
          </w:p>
        </w:tc>
        <w:tc>
          <w:tcPr>
            <w:tcW w:w="1881" w:type="dxa"/>
            <w:tcBorders>
              <w:top w:val="single" w:sz="4" w:space="0" w:color="000000"/>
            </w:tcBorders>
          </w:tcPr>
          <w:p w14:paraId="56C6E8E6" w14:textId="77777777" w:rsidR="00C75312" w:rsidRDefault="00BB293A">
            <w:pPr>
              <w:pStyle w:val="TableParagraph"/>
              <w:ind w:left="202"/>
              <w:rPr>
                <w:sz w:val="20"/>
              </w:rPr>
            </w:pPr>
            <w:r>
              <w:rPr>
                <w:sz w:val="20"/>
              </w:rPr>
              <w:t>5 trials</w:t>
            </w:r>
          </w:p>
        </w:tc>
        <w:tc>
          <w:tcPr>
            <w:tcW w:w="3681" w:type="dxa"/>
            <w:tcBorders>
              <w:top w:val="single" w:sz="4" w:space="0" w:color="000000"/>
            </w:tcBorders>
          </w:tcPr>
          <w:p w14:paraId="27E1B246" w14:textId="77777777" w:rsidR="00C75312" w:rsidRDefault="00BB293A">
            <w:pPr>
              <w:pStyle w:val="TableParagraph"/>
              <w:tabs>
                <w:tab w:val="left" w:pos="1585"/>
              </w:tabs>
              <w:ind w:left="165"/>
              <w:rPr>
                <w:sz w:val="20"/>
              </w:rPr>
            </w:pPr>
            <w:r>
              <w:rPr>
                <w:sz w:val="20"/>
              </w:rPr>
              <w:t>Yes, ~10</w:t>
            </w:r>
            <w:r>
              <w:rPr>
                <w:spacing w:val="-1"/>
                <w:sz w:val="20"/>
              </w:rPr>
              <w:t xml:space="preserve"> </w:t>
            </w:r>
            <w:r>
              <w:rPr>
                <w:sz w:val="20"/>
              </w:rPr>
              <w:t>min</w:t>
            </w:r>
            <w:r>
              <w:rPr>
                <w:sz w:val="20"/>
              </w:rPr>
              <w:tab/>
              <w:t>Yes (</w:t>
            </w:r>
            <w:r>
              <w:rPr>
                <w:i/>
                <w:sz w:val="20"/>
              </w:rPr>
              <w:t xml:space="preserve">g </w:t>
            </w:r>
            <w:r>
              <w:rPr>
                <w:sz w:val="20"/>
              </w:rPr>
              <w:t>=</w:t>
            </w:r>
            <w:r>
              <w:rPr>
                <w:spacing w:val="-2"/>
                <w:sz w:val="20"/>
              </w:rPr>
              <w:t xml:space="preserve"> </w:t>
            </w:r>
            <w:r>
              <w:rPr>
                <w:sz w:val="20"/>
              </w:rPr>
              <w:t>-0.91)</w:t>
            </w:r>
          </w:p>
        </w:tc>
      </w:tr>
      <w:tr w:rsidR="00C75312" w14:paraId="759C3029" w14:textId="77777777">
        <w:trPr>
          <w:trHeight w:val="473"/>
        </w:trPr>
        <w:tc>
          <w:tcPr>
            <w:tcW w:w="1231" w:type="dxa"/>
            <w:tcBorders>
              <w:bottom w:val="single" w:sz="4" w:space="0" w:color="000000"/>
            </w:tcBorders>
          </w:tcPr>
          <w:p w14:paraId="22E1E1E0" w14:textId="77777777" w:rsidR="00C75312" w:rsidRDefault="00BB293A">
            <w:pPr>
              <w:pStyle w:val="TableParagraph"/>
              <w:spacing w:before="13"/>
              <w:ind w:left="127"/>
              <w:rPr>
                <w:sz w:val="20"/>
              </w:rPr>
            </w:pPr>
            <w:r>
              <w:rPr>
                <w:sz w:val="20"/>
              </w:rPr>
              <w:t>al., 2009</w:t>
            </w:r>
          </w:p>
        </w:tc>
        <w:tc>
          <w:tcPr>
            <w:tcW w:w="4190" w:type="dxa"/>
            <w:tcBorders>
              <w:bottom w:val="single" w:sz="4" w:space="0" w:color="000000"/>
            </w:tcBorders>
          </w:tcPr>
          <w:p w14:paraId="4EA325E4" w14:textId="77777777" w:rsidR="00C75312" w:rsidRDefault="00BB293A">
            <w:pPr>
              <w:pStyle w:val="TableParagraph"/>
              <w:tabs>
                <w:tab w:val="left" w:pos="2150"/>
              </w:tabs>
              <w:spacing w:before="51"/>
              <w:ind w:left="225"/>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w:t>
            </w:r>
            <w:r>
              <w:rPr>
                <w:spacing w:val="5"/>
                <w:position w:val="1"/>
                <w:sz w:val="20"/>
              </w:rPr>
              <w:t xml:space="preserve"> </w:t>
            </w:r>
            <w:r>
              <w:rPr>
                <w:position w:val="1"/>
                <w:sz w:val="20"/>
              </w:rPr>
              <w:t>11</w:t>
            </w:r>
            <w:r>
              <w:rPr>
                <w:spacing w:val="-1"/>
                <w:position w:val="1"/>
                <w:sz w:val="20"/>
              </w:rPr>
              <w:t xml:space="preserve"> </w:t>
            </w:r>
            <w:r>
              <w:rPr>
                <w:position w:val="1"/>
                <w:sz w:val="20"/>
              </w:rPr>
              <w:t>(ns.)</w:t>
            </w:r>
            <w:r>
              <w:rPr>
                <w:position w:val="1"/>
                <w:sz w:val="20"/>
              </w:rPr>
              <w:tab/>
              <w:t>NT: 10.6</w:t>
            </w:r>
            <w:r>
              <w:rPr>
                <w:spacing w:val="2"/>
                <w:position w:val="1"/>
                <w:sz w:val="20"/>
              </w:rPr>
              <w:t xml:space="preserve"> </w:t>
            </w:r>
            <w:r>
              <w:rPr>
                <w:position w:val="1"/>
                <w:sz w:val="20"/>
              </w:rPr>
              <w:t>(7-16)</w:t>
            </w:r>
          </w:p>
        </w:tc>
        <w:tc>
          <w:tcPr>
            <w:tcW w:w="3009" w:type="dxa"/>
            <w:tcBorders>
              <w:bottom w:val="single" w:sz="4" w:space="0" w:color="000000"/>
            </w:tcBorders>
          </w:tcPr>
          <w:p w14:paraId="63F17BA9" w14:textId="77777777" w:rsidR="00C75312" w:rsidRDefault="00BB293A">
            <w:pPr>
              <w:pStyle w:val="TableParagraph"/>
              <w:spacing w:before="13"/>
              <w:ind w:left="230"/>
              <w:rPr>
                <w:sz w:val="20"/>
              </w:rPr>
            </w:pPr>
            <w:r>
              <w:rPr>
                <w:sz w:val="20"/>
              </w:rPr>
              <w:t>task</w:t>
            </w:r>
          </w:p>
        </w:tc>
        <w:tc>
          <w:tcPr>
            <w:tcW w:w="1881" w:type="dxa"/>
            <w:tcBorders>
              <w:bottom w:val="single" w:sz="4" w:space="0" w:color="000000"/>
            </w:tcBorders>
          </w:tcPr>
          <w:p w14:paraId="4221E872" w14:textId="77777777" w:rsidR="00C75312" w:rsidRDefault="00C75312">
            <w:pPr>
              <w:pStyle w:val="TableParagraph"/>
              <w:rPr>
                <w:sz w:val="20"/>
              </w:rPr>
            </w:pPr>
          </w:p>
        </w:tc>
        <w:tc>
          <w:tcPr>
            <w:tcW w:w="3681" w:type="dxa"/>
            <w:tcBorders>
              <w:bottom w:val="single" w:sz="4" w:space="0" w:color="000000"/>
            </w:tcBorders>
          </w:tcPr>
          <w:p w14:paraId="29DF4664" w14:textId="77777777" w:rsidR="00C75312" w:rsidRDefault="00C75312">
            <w:pPr>
              <w:pStyle w:val="TableParagraph"/>
              <w:rPr>
                <w:sz w:val="20"/>
              </w:rPr>
            </w:pPr>
          </w:p>
        </w:tc>
      </w:tr>
      <w:tr w:rsidR="00C75312" w14:paraId="75CEEE71" w14:textId="77777777">
        <w:trPr>
          <w:trHeight w:val="250"/>
        </w:trPr>
        <w:tc>
          <w:tcPr>
            <w:tcW w:w="1231" w:type="dxa"/>
            <w:tcBorders>
              <w:top w:val="single" w:sz="4" w:space="0" w:color="000000"/>
            </w:tcBorders>
          </w:tcPr>
          <w:p w14:paraId="03F079D4" w14:textId="77777777" w:rsidR="00C75312" w:rsidRDefault="00BB293A">
            <w:pPr>
              <w:pStyle w:val="TableParagraph"/>
              <w:ind w:left="127"/>
              <w:rPr>
                <w:sz w:val="20"/>
              </w:rPr>
            </w:pPr>
            <w:proofErr w:type="spellStart"/>
            <w:r>
              <w:rPr>
                <w:sz w:val="20"/>
              </w:rPr>
              <w:t>Altgassen</w:t>
            </w:r>
            <w:proofErr w:type="spellEnd"/>
            <w:r>
              <w:rPr>
                <w:sz w:val="20"/>
              </w:rPr>
              <w:t xml:space="preserve"> et</w:t>
            </w:r>
          </w:p>
        </w:tc>
        <w:tc>
          <w:tcPr>
            <w:tcW w:w="4190" w:type="dxa"/>
            <w:tcBorders>
              <w:top w:val="single" w:sz="4" w:space="0" w:color="000000"/>
            </w:tcBorders>
          </w:tcPr>
          <w:p w14:paraId="3B7E60E7" w14:textId="77777777" w:rsidR="00C75312" w:rsidRDefault="00BB293A">
            <w:pPr>
              <w:pStyle w:val="TableParagraph"/>
              <w:tabs>
                <w:tab w:val="left" w:pos="2150"/>
              </w:tabs>
              <w:spacing w:line="231" w:lineRule="exact"/>
              <w:ind w:left="225"/>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xml:space="preserve">= </w:t>
            </w:r>
            <w:r>
              <w:rPr>
                <w:spacing w:val="-3"/>
                <w:position w:val="1"/>
                <w:sz w:val="20"/>
              </w:rPr>
              <w:t>25</w:t>
            </w:r>
            <w:r>
              <w:rPr>
                <w:spacing w:val="8"/>
                <w:position w:val="1"/>
                <w:sz w:val="20"/>
              </w:rPr>
              <w:t xml:space="preserve"> </w:t>
            </w:r>
            <w:r>
              <w:rPr>
                <w:position w:val="1"/>
                <w:sz w:val="20"/>
              </w:rPr>
              <w:t>(20</w:t>
            </w:r>
            <w:r>
              <w:rPr>
                <w:spacing w:val="3"/>
                <w:position w:val="1"/>
                <w:sz w:val="20"/>
              </w:rPr>
              <w:t xml:space="preserve"> </w:t>
            </w:r>
            <w:r>
              <w:rPr>
                <w:position w:val="1"/>
                <w:sz w:val="20"/>
              </w:rPr>
              <w:t>male)</w:t>
            </w:r>
            <w:r>
              <w:rPr>
                <w:position w:val="1"/>
                <w:sz w:val="20"/>
              </w:rPr>
              <w:tab/>
              <w:t>ASD: 21.8</w:t>
            </w:r>
            <w:r>
              <w:rPr>
                <w:spacing w:val="6"/>
                <w:position w:val="1"/>
                <w:sz w:val="20"/>
              </w:rPr>
              <w:t xml:space="preserve"> </w:t>
            </w:r>
            <w:r>
              <w:rPr>
                <w:position w:val="1"/>
                <w:sz w:val="20"/>
              </w:rPr>
              <w:t>(15-41)</w:t>
            </w:r>
          </w:p>
        </w:tc>
        <w:tc>
          <w:tcPr>
            <w:tcW w:w="3009" w:type="dxa"/>
            <w:tcBorders>
              <w:top w:val="single" w:sz="4" w:space="0" w:color="000000"/>
            </w:tcBorders>
          </w:tcPr>
          <w:p w14:paraId="7A58622B" w14:textId="77777777" w:rsidR="00C75312" w:rsidRDefault="00BB293A">
            <w:pPr>
              <w:pStyle w:val="TableParagraph"/>
              <w:ind w:left="230"/>
              <w:rPr>
                <w:sz w:val="20"/>
              </w:rPr>
            </w:pPr>
            <w:r>
              <w:rPr>
                <w:sz w:val="20"/>
              </w:rPr>
              <w:t>Dresden Breakfast task</w:t>
            </w:r>
          </w:p>
        </w:tc>
        <w:tc>
          <w:tcPr>
            <w:tcW w:w="1881" w:type="dxa"/>
            <w:tcBorders>
              <w:top w:val="single" w:sz="4" w:space="0" w:color="000000"/>
            </w:tcBorders>
          </w:tcPr>
          <w:p w14:paraId="2BBB0D2C" w14:textId="77777777" w:rsidR="00C75312" w:rsidRDefault="00BB293A">
            <w:pPr>
              <w:pStyle w:val="TableParagraph"/>
              <w:ind w:left="202"/>
              <w:rPr>
                <w:sz w:val="20"/>
              </w:rPr>
            </w:pPr>
            <w:r>
              <w:rPr>
                <w:sz w:val="20"/>
              </w:rPr>
              <w:t>2 trials</w:t>
            </w:r>
          </w:p>
        </w:tc>
        <w:tc>
          <w:tcPr>
            <w:tcW w:w="3681" w:type="dxa"/>
            <w:tcBorders>
              <w:top w:val="single" w:sz="4" w:space="0" w:color="000000"/>
            </w:tcBorders>
          </w:tcPr>
          <w:p w14:paraId="41F52D12" w14:textId="77777777" w:rsidR="00C75312" w:rsidRDefault="00BB293A">
            <w:pPr>
              <w:pStyle w:val="TableParagraph"/>
              <w:tabs>
                <w:tab w:val="left" w:pos="1585"/>
              </w:tabs>
              <w:ind w:left="165"/>
              <w:rPr>
                <w:sz w:val="20"/>
              </w:rPr>
            </w:pPr>
            <w:r>
              <w:rPr>
                <w:sz w:val="20"/>
              </w:rPr>
              <w:t>Yes ~</w:t>
            </w:r>
            <w:r>
              <w:rPr>
                <w:spacing w:val="-1"/>
                <w:sz w:val="20"/>
              </w:rPr>
              <w:t xml:space="preserve"> </w:t>
            </w:r>
            <w:r>
              <w:rPr>
                <w:sz w:val="20"/>
              </w:rPr>
              <w:t>15</w:t>
            </w:r>
            <w:r>
              <w:rPr>
                <w:spacing w:val="-2"/>
                <w:sz w:val="20"/>
              </w:rPr>
              <w:t xml:space="preserve"> </w:t>
            </w:r>
            <w:r>
              <w:rPr>
                <w:sz w:val="20"/>
              </w:rPr>
              <w:t>min,</w:t>
            </w:r>
            <w:r>
              <w:rPr>
                <w:sz w:val="20"/>
              </w:rPr>
              <w:tab/>
              <w:t>Yes (</w:t>
            </w:r>
            <w:r>
              <w:rPr>
                <w:i/>
                <w:sz w:val="20"/>
              </w:rPr>
              <w:t xml:space="preserve">g </w:t>
            </w:r>
            <w:r>
              <w:rPr>
                <w:sz w:val="20"/>
              </w:rPr>
              <w:t>=</w:t>
            </w:r>
            <w:r>
              <w:rPr>
                <w:spacing w:val="-1"/>
                <w:sz w:val="20"/>
              </w:rPr>
              <w:t xml:space="preserve"> </w:t>
            </w:r>
            <w:r>
              <w:rPr>
                <w:sz w:val="20"/>
              </w:rPr>
              <w:t>-0.94)</w:t>
            </w:r>
          </w:p>
        </w:tc>
      </w:tr>
      <w:tr w:rsidR="00C75312" w14:paraId="723DC8A5" w14:textId="77777777">
        <w:trPr>
          <w:trHeight w:val="478"/>
        </w:trPr>
        <w:tc>
          <w:tcPr>
            <w:tcW w:w="1231" w:type="dxa"/>
            <w:tcBorders>
              <w:bottom w:val="single" w:sz="4" w:space="0" w:color="000000"/>
            </w:tcBorders>
          </w:tcPr>
          <w:p w14:paraId="1E9E5C44" w14:textId="77777777" w:rsidR="00C75312" w:rsidRDefault="00BB293A">
            <w:pPr>
              <w:pStyle w:val="TableParagraph"/>
              <w:spacing w:before="13"/>
              <w:ind w:left="127"/>
              <w:rPr>
                <w:sz w:val="20"/>
              </w:rPr>
            </w:pPr>
            <w:r>
              <w:rPr>
                <w:sz w:val="20"/>
              </w:rPr>
              <w:t>al., 2012*</w:t>
            </w:r>
          </w:p>
        </w:tc>
        <w:tc>
          <w:tcPr>
            <w:tcW w:w="4190" w:type="dxa"/>
            <w:tcBorders>
              <w:bottom w:val="single" w:sz="4" w:space="0" w:color="000000"/>
            </w:tcBorders>
          </w:tcPr>
          <w:p w14:paraId="3C464FE1" w14:textId="77777777" w:rsidR="00C75312" w:rsidRDefault="00BB293A">
            <w:pPr>
              <w:pStyle w:val="TableParagraph"/>
              <w:tabs>
                <w:tab w:val="left" w:pos="2150"/>
              </w:tabs>
              <w:spacing w:before="56"/>
              <w:ind w:left="225"/>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25</w:t>
            </w:r>
            <w:r>
              <w:rPr>
                <w:spacing w:val="2"/>
                <w:position w:val="1"/>
                <w:sz w:val="20"/>
              </w:rPr>
              <w:t xml:space="preserve"> </w:t>
            </w:r>
            <w:r>
              <w:rPr>
                <w:position w:val="1"/>
                <w:sz w:val="20"/>
              </w:rPr>
              <w:t>(19</w:t>
            </w:r>
            <w:r>
              <w:rPr>
                <w:spacing w:val="-1"/>
                <w:position w:val="1"/>
                <w:sz w:val="20"/>
              </w:rPr>
              <w:t xml:space="preserve"> </w:t>
            </w:r>
            <w:r>
              <w:rPr>
                <w:position w:val="1"/>
                <w:sz w:val="20"/>
              </w:rPr>
              <w:t>male)</w:t>
            </w:r>
            <w:r>
              <w:rPr>
                <w:position w:val="1"/>
                <w:sz w:val="20"/>
              </w:rPr>
              <w:tab/>
              <w:t>NT: 21.8</w:t>
            </w:r>
            <w:r>
              <w:rPr>
                <w:spacing w:val="1"/>
                <w:position w:val="1"/>
                <w:sz w:val="20"/>
              </w:rPr>
              <w:t xml:space="preserve"> </w:t>
            </w:r>
            <w:r>
              <w:rPr>
                <w:position w:val="1"/>
                <w:sz w:val="20"/>
              </w:rPr>
              <w:t>(15-42)</w:t>
            </w:r>
          </w:p>
        </w:tc>
        <w:tc>
          <w:tcPr>
            <w:tcW w:w="3009" w:type="dxa"/>
            <w:tcBorders>
              <w:bottom w:val="single" w:sz="4" w:space="0" w:color="000000"/>
            </w:tcBorders>
          </w:tcPr>
          <w:p w14:paraId="707346E6" w14:textId="77777777" w:rsidR="00C75312" w:rsidRDefault="00C75312">
            <w:pPr>
              <w:pStyle w:val="TableParagraph"/>
              <w:rPr>
                <w:sz w:val="20"/>
              </w:rPr>
            </w:pPr>
          </w:p>
        </w:tc>
        <w:tc>
          <w:tcPr>
            <w:tcW w:w="1881" w:type="dxa"/>
            <w:tcBorders>
              <w:bottom w:val="single" w:sz="4" w:space="0" w:color="000000"/>
            </w:tcBorders>
          </w:tcPr>
          <w:p w14:paraId="1173CF6E" w14:textId="77777777" w:rsidR="00C75312" w:rsidRDefault="00C75312">
            <w:pPr>
              <w:pStyle w:val="TableParagraph"/>
              <w:rPr>
                <w:sz w:val="20"/>
              </w:rPr>
            </w:pPr>
          </w:p>
        </w:tc>
        <w:tc>
          <w:tcPr>
            <w:tcW w:w="3681" w:type="dxa"/>
            <w:tcBorders>
              <w:bottom w:val="single" w:sz="4" w:space="0" w:color="000000"/>
            </w:tcBorders>
          </w:tcPr>
          <w:p w14:paraId="22E97BC4" w14:textId="77777777" w:rsidR="00C75312" w:rsidRDefault="00C75312">
            <w:pPr>
              <w:pStyle w:val="TableParagraph"/>
              <w:rPr>
                <w:sz w:val="20"/>
              </w:rPr>
            </w:pPr>
          </w:p>
        </w:tc>
      </w:tr>
      <w:tr w:rsidR="00C75312" w14:paraId="05C8F7FA" w14:textId="77777777">
        <w:trPr>
          <w:trHeight w:val="250"/>
        </w:trPr>
        <w:tc>
          <w:tcPr>
            <w:tcW w:w="1231" w:type="dxa"/>
            <w:tcBorders>
              <w:top w:val="single" w:sz="4" w:space="0" w:color="000000"/>
            </w:tcBorders>
          </w:tcPr>
          <w:p w14:paraId="474755DB" w14:textId="77777777" w:rsidR="00C75312" w:rsidRDefault="00BB293A">
            <w:pPr>
              <w:pStyle w:val="TableParagraph"/>
              <w:ind w:left="127"/>
              <w:rPr>
                <w:sz w:val="20"/>
              </w:rPr>
            </w:pPr>
            <w:r>
              <w:rPr>
                <w:sz w:val="20"/>
              </w:rPr>
              <w:t>Williams et</w:t>
            </w:r>
          </w:p>
        </w:tc>
        <w:tc>
          <w:tcPr>
            <w:tcW w:w="4190" w:type="dxa"/>
            <w:tcBorders>
              <w:top w:val="single" w:sz="4" w:space="0" w:color="000000"/>
            </w:tcBorders>
          </w:tcPr>
          <w:p w14:paraId="16B58C67" w14:textId="77777777" w:rsidR="00C75312" w:rsidRDefault="00BB293A">
            <w:pPr>
              <w:pStyle w:val="TableParagraph"/>
              <w:tabs>
                <w:tab w:val="left" w:pos="2150"/>
              </w:tabs>
              <w:spacing w:line="231" w:lineRule="exact"/>
              <w:ind w:left="225"/>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xml:space="preserve">= </w:t>
            </w:r>
            <w:r>
              <w:rPr>
                <w:spacing w:val="-3"/>
                <w:position w:val="1"/>
                <w:sz w:val="20"/>
              </w:rPr>
              <w:t>21</w:t>
            </w:r>
            <w:r>
              <w:rPr>
                <w:spacing w:val="8"/>
                <w:position w:val="1"/>
                <w:sz w:val="20"/>
              </w:rPr>
              <w:t xml:space="preserve"> </w:t>
            </w:r>
            <w:r>
              <w:rPr>
                <w:position w:val="1"/>
                <w:sz w:val="20"/>
              </w:rPr>
              <w:t>(20</w:t>
            </w:r>
            <w:r>
              <w:rPr>
                <w:spacing w:val="3"/>
                <w:position w:val="1"/>
                <w:sz w:val="20"/>
              </w:rPr>
              <w:t xml:space="preserve"> </w:t>
            </w:r>
            <w:r>
              <w:rPr>
                <w:position w:val="1"/>
                <w:sz w:val="20"/>
              </w:rPr>
              <w:t>male)</w:t>
            </w:r>
            <w:r>
              <w:rPr>
                <w:position w:val="1"/>
                <w:sz w:val="20"/>
              </w:rPr>
              <w:tab/>
              <w:t>ASD: 10.6</w:t>
            </w:r>
            <w:r>
              <w:rPr>
                <w:spacing w:val="5"/>
                <w:position w:val="1"/>
                <w:sz w:val="20"/>
              </w:rPr>
              <w:t xml:space="preserve"> </w:t>
            </w:r>
            <w:r>
              <w:rPr>
                <w:position w:val="1"/>
                <w:sz w:val="20"/>
              </w:rPr>
              <w:t>(7.8-13.8)</w:t>
            </w:r>
          </w:p>
        </w:tc>
        <w:tc>
          <w:tcPr>
            <w:tcW w:w="3009" w:type="dxa"/>
            <w:tcBorders>
              <w:top w:val="single" w:sz="4" w:space="0" w:color="000000"/>
            </w:tcBorders>
          </w:tcPr>
          <w:p w14:paraId="4DD7F6BA" w14:textId="77777777" w:rsidR="00C75312" w:rsidRDefault="00BB293A">
            <w:pPr>
              <w:pStyle w:val="TableParagraph"/>
              <w:ind w:left="230"/>
              <w:rPr>
                <w:sz w:val="20"/>
              </w:rPr>
            </w:pPr>
            <w:r>
              <w:rPr>
                <w:sz w:val="20"/>
              </w:rPr>
              <w:t>Computer-based driving game</w:t>
            </w:r>
          </w:p>
        </w:tc>
        <w:tc>
          <w:tcPr>
            <w:tcW w:w="1881" w:type="dxa"/>
            <w:tcBorders>
              <w:top w:val="single" w:sz="4" w:space="0" w:color="000000"/>
            </w:tcBorders>
          </w:tcPr>
          <w:p w14:paraId="712116F5" w14:textId="77777777" w:rsidR="00C75312" w:rsidRDefault="00BB293A">
            <w:pPr>
              <w:pStyle w:val="TableParagraph"/>
              <w:ind w:left="202"/>
              <w:rPr>
                <w:sz w:val="20"/>
              </w:rPr>
            </w:pPr>
            <w:r>
              <w:rPr>
                <w:sz w:val="20"/>
              </w:rPr>
              <w:t>6 trials</w:t>
            </w:r>
          </w:p>
        </w:tc>
        <w:tc>
          <w:tcPr>
            <w:tcW w:w="3681" w:type="dxa"/>
            <w:tcBorders>
              <w:top w:val="single" w:sz="4" w:space="0" w:color="000000"/>
            </w:tcBorders>
          </w:tcPr>
          <w:p w14:paraId="1D7AA998" w14:textId="77777777" w:rsidR="00C75312" w:rsidRDefault="00BB293A">
            <w:pPr>
              <w:pStyle w:val="TableParagraph"/>
              <w:tabs>
                <w:tab w:val="left" w:pos="1585"/>
              </w:tabs>
              <w:ind w:left="165"/>
              <w:rPr>
                <w:sz w:val="20"/>
              </w:rPr>
            </w:pPr>
            <w:r>
              <w:rPr>
                <w:sz w:val="20"/>
              </w:rPr>
              <w:t>No</w:t>
            </w:r>
            <w:r>
              <w:rPr>
                <w:sz w:val="20"/>
              </w:rPr>
              <w:tab/>
              <w:t>Yes (</w:t>
            </w:r>
            <w:r>
              <w:rPr>
                <w:i/>
                <w:sz w:val="20"/>
              </w:rPr>
              <w:t xml:space="preserve">g </w:t>
            </w:r>
            <w:r>
              <w:rPr>
                <w:sz w:val="20"/>
              </w:rPr>
              <w:t>=</w:t>
            </w:r>
            <w:r>
              <w:rPr>
                <w:spacing w:val="-2"/>
                <w:sz w:val="20"/>
              </w:rPr>
              <w:t xml:space="preserve"> </w:t>
            </w:r>
            <w:r>
              <w:rPr>
                <w:sz w:val="20"/>
              </w:rPr>
              <w:t>-0.66)</w:t>
            </w:r>
          </w:p>
        </w:tc>
      </w:tr>
      <w:tr w:rsidR="00C75312" w14:paraId="47EEB2AC" w14:textId="77777777">
        <w:trPr>
          <w:trHeight w:val="473"/>
        </w:trPr>
        <w:tc>
          <w:tcPr>
            <w:tcW w:w="1231" w:type="dxa"/>
            <w:tcBorders>
              <w:bottom w:val="single" w:sz="4" w:space="0" w:color="000000"/>
            </w:tcBorders>
          </w:tcPr>
          <w:p w14:paraId="09DDD770" w14:textId="77777777" w:rsidR="00C75312" w:rsidRDefault="00BB293A">
            <w:pPr>
              <w:pStyle w:val="TableParagraph"/>
              <w:spacing w:before="13"/>
              <w:ind w:left="127"/>
              <w:rPr>
                <w:sz w:val="20"/>
              </w:rPr>
            </w:pPr>
            <w:r>
              <w:rPr>
                <w:sz w:val="20"/>
              </w:rPr>
              <w:t>al., 2013**</w:t>
            </w:r>
          </w:p>
        </w:tc>
        <w:tc>
          <w:tcPr>
            <w:tcW w:w="4190" w:type="dxa"/>
            <w:tcBorders>
              <w:bottom w:val="single" w:sz="4" w:space="0" w:color="000000"/>
            </w:tcBorders>
          </w:tcPr>
          <w:p w14:paraId="1E9E9E35" w14:textId="77777777" w:rsidR="00C75312" w:rsidRDefault="00BB293A">
            <w:pPr>
              <w:pStyle w:val="TableParagraph"/>
              <w:tabs>
                <w:tab w:val="left" w:pos="2150"/>
              </w:tabs>
              <w:spacing w:before="51"/>
              <w:ind w:left="225"/>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21</w:t>
            </w:r>
            <w:r>
              <w:rPr>
                <w:spacing w:val="2"/>
                <w:position w:val="1"/>
                <w:sz w:val="20"/>
              </w:rPr>
              <w:t xml:space="preserve"> </w:t>
            </w:r>
            <w:r>
              <w:rPr>
                <w:position w:val="1"/>
                <w:sz w:val="20"/>
              </w:rPr>
              <w:t>(17</w:t>
            </w:r>
            <w:r>
              <w:rPr>
                <w:spacing w:val="-1"/>
                <w:position w:val="1"/>
                <w:sz w:val="20"/>
              </w:rPr>
              <w:t xml:space="preserve"> </w:t>
            </w:r>
            <w:r>
              <w:rPr>
                <w:position w:val="1"/>
                <w:sz w:val="20"/>
              </w:rPr>
              <w:t>male)</w:t>
            </w:r>
            <w:r>
              <w:rPr>
                <w:position w:val="1"/>
                <w:sz w:val="20"/>
              </w:rPr>
              <w:tab/>
              <w:t>NT: 10.6</w:t>
            </w:r>
            <w:r>
              <w:rPr>
                <w:spacing w:val="1"/>
                <w:position w:val="1"/>
                <w:sz w:val="20"/>
              </w:rPr>
              <w:t xml:space="preserve"> </w:t>
            </w:r>
            <w:r>
              <w:rPr>
                <w:position w:val="1"/>
                <w:sz w:val="20"/>
              </w:rPr>
              <w:t>(8-12)</w:t>
            </w:r>
          </w:p>
        </w:tc>
        <w:tc>
          <w:tcPr>
            <w:tcW w:w="3009" w:type="dxa"/>
            <w:tcBorders>
              <w:bottom w:val="single" w:sz="4" w:space="0" w:color="000000"/>
            </w:tcBorders>
          </w:tcPr>
          <w:p w14:paraId="46282BC6" w14:textId="77777777" w:rsidR="00C75312" w:rsidRDefault="00BB293A">
            <w:pPr>
              <w:pStyle w:val="TableParagraph"/>
              <w:spacing w:before="13"/>
              <w:ind w:left="230"/>
              <w:rPr>
                <w:sz w:val="20"/>
              </w:rPr>
            </w:pPr>
            <w:r>
              <w:rPr>
                <w:sz w:val="20"/>
              </w:rPr>
              <w:t>simulation</w:t>
            </w:r>
          </w:p>
        </w:tc>
        <w:tc>
          <w:tcPr>
            <w:tcW w:w="1881" w:type="dxa"/>
            <w:tcBorders>
              <w:bottom w:val="single" w:sz="4" w:space="0" w:color="000000"/>
            </w:tcBorders>
          </w:tcPr>
          <w:p w14:paraId="0E242093" w14:textId="77777777" w:rsidR="00C75312" w:rsidRDefault="00C75312">
            <w:pPr>
              <w:pStyle w:val="TableParagraph"/>
              <w:rPr>
                <w:sz w:val="20"/>
              </w:rPr>
            </w:pPr>
          </w:p>
        </w:tc>
        <w:tc>
          <w:tcPr>
            <w:tcW w:w="3681" w:type="dxa"/>
            <w:tcBorders>
              <w:bottom w:val="single" w:sz="4" w:space="0" w:color="000000"/>
            </w:tcBorders>
          </w:tcPr>
          <w:p w14:paraId="1B02727C" w14:textId="77777777" w:rsidR="00C75312" w:rsidRDefault="00C75312">
            <w:pPr>
              <w:pStyle w:val="TableParagraph"/>
              <w:rPr>
                <w:sz w:val="20"/>
              </w:rPr>
            </w:pPr>
          </w:p>
        </w:tc>
      </w:tr>
      <w:tr w:rsidR="00C75312" w14:paraId="20F6D7A5" w14:textId="77777777">
        <w:trPr>
          <w:trHeight w:val="250"/>
        </w:trPr>
        <w:tc>
          <w:tcPr>
            <w:tcW w:w="1231" w:type="dxa"/>
            <w:tcBorders>
              <w:top w:val="single" w:sz="4" w:space="0" w:color="000000"/>
            </w:tcBorders>
          </w:tcPr>
          <w:p w14:paraId="2B495018" w14:textId="77777777" w:rsidR="00C75312" w:rsidRDefault="00BB293A">
            <w:pPr>
              <w:pStyle w:val="TableParagraph"/>
              <w:ind w:left="127"/>
              <w:rPr>
                <w:sz w:val="20"/>
              </w:rPr>
            </w:pPr>
            <w:r>
              <w:rPr>
                <w:sz w:val="20"/>
              </w:rPr>
              <w:t>Williams et</w:t>
            </w:r>
          </w:p>
        </w:tc>
        <w:tc>
          <w:tcPr>
            <w:tcW w:w="4190" w:type="dxa"/>
            <w:tcBorders>
              <w:top w:val="single" w:sz="4" w:space="0" w:color="000000"/>
            </w:tcBorders>
          </w:tcPr>
          <w:p w14:paraId="369279DE" w14:textId="77777777" w:rsidR="00C75312" w:rsidRDefault="00BB293A">
            <w:pPr>
              <w:pStyle w:val="TableParagraph"/>
              <w:tabs>
                <w:tab w:val="left" w:pos="2150"/>
              </w:tabs>
              <w:spacing w:line="231" w:lineRule="exact"/>
              <w:ind w:left="225"/>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xml:space="preserve">= </w:t>
            </w:r>
            <w:r>
              <w:rPr>
                <w:spacing w:val="-3"/>
                <w:position w:val="1"/>
                <w:sz w:val="20"/>
              </w:rPr>
              <w:t>17</w:t>
            </w:r>
            <w:r>
              <w:rPr>
                <w:spacing w:val="8"/>
                <w:position w:val="1"/>
                <w:sz w:val="20"/>
              </w:rPr>
              <w:t xml:space="preserve"> </w:t>
            </w:r>
            <w:r>
              <w:rPr>
                <w:position w:val="1"/>
                <w:sz w:val="20"/>
              </w:rPr>
              <w:t>(14</w:t>
            </w:r>
            <w:r>
              <w:rPr>
                <w:spacing w:val="3"/>
                <w:position w:val="1"/>
                <w:sz w:val="20"/>
              </w:rPr>
              <w:t xml:space="preserve"> </w:t>
            </w:r>
            <w:r>
              <w:rPr>
                <w:position w:val="1"/>
                <w:sz w:val="20"/>
              </w:rPr>
              <w:t>male)</w:t>
            </w:r>
            <w:r>
              <w:rPr>
                <w:position w:val="1"/>
                <w:sz w:val="20"/>
              </w:rPr>
              <w:tab/>
              <w:t>ASD: 31.1</w:t>
            </w:r>
            <w:r>
              <w:rPr>
                <w:spacing w:val="5"/>
                <w:position w:val="1"/>
                <w:sz w:val="20"/>
              </w:rPr>
              <w:t xml:space="preserve"> </w:t>
            </w:r>
            <w:r>
              <w:rPr>
                <w:position w:val="1"/>
                <w:sz w:val="20"/>
              </w:rPr>
              <w:t>(19.1-54.6)</w:t>
            </w:r>
          </w:p>
        </w:tc>
        <w:tc>
          <w:tcPr>
            <w:tcW w:w="3009" w:type="dxa"/>
            <w:tcBorders>
              <w:top w:val="single" w:sz="4" w:space="0" w:color="000000"/>
            </w:tcBorders>
          </w:tcPr>
          <w:p w14:paraId="2C5A08A0" w14:textId="77777777" w:rsidR="00C75312" w:rsidRDefault="00BB293A">
            <w:pPr>
              <w:pStyle w:val="TableParagraph"/>
              <w:ind w:left="230"/>
              <w:rPr>
                <w:sz w:val="20"/>
              </w:rPr>
            </w:pPr>
            <w:r>
              <w:rPr>
                <w:sz w:val="20"/>
              </w:rPr>
              <w:t xml:space="preserve">Word </w:t>
            </w:r>
            <w:proofErr w:type="spellStart"/>
            <w:r>
              <w:rPr>
                <w:sz w:val="20"/>
              </w:rPr>
              <w:t>memorisation</w:t>
            </w:r>
            <w:proofErr w:type="spellEnd"/>
            <w:r>
              <w:rPr>
                <w:sz w:val="20"/>
              </w:rPr>
              <w:t xml:space="preserve"> task</w:t>
            </w:r>
          </w:p>
        </w:tc>
        <w:tc>
          <w:tcPr>
            <w:tcW w:w="1881" w:type="dxa"/>
            <w:tcBorders>
              <w:top w:val="single" w:sz="4" w:space="0" w:color="000000"/>
            </w:tcBorders>
          </w:tcPr>
          <w:p w14:paraId="1509A6D6" w14:textId="77777777" w:rsidR="00C75312" w:rsidRDefault="00BB293A">
            <w:pPr>
              <w:pStyle w:val="TableParagraph"/>
              <w:ind w:left="202"/>
              <w:rPr>
                <w:sz w:val="20"/>
              </w:rPr>
            </w:pPr>
            <w:r>
              <w:rPr>
                <w:sz w:val="20"/>
              </w:rPr>
              <w:t>5 trials</w:t>
            </w:r>
          </w:p>
        </w:tc>
        <w:tc>
          <w:tcPr>
            <w:tcW w:w="3681" w:type="dxa"/>
            <w:tcBorders>
              <w:top w:val="single" w:sz="4" w:space="0" w:color="000000"/>
            </w:tcBorders>
          </w:tcPr>
          <w:p w14:paraId="2E5228E0" w14:textId="77777777" w:rsidR="00C75312" w:rsidRDefault="00BB293A">
            <w:pPr>
              <w:pStyle w:val="TableParagraph"/>
              <w:tabs>
                <w:tab w:val="left" w:pos="1585"/>
              </w:tabs>
              <w:ind w:left="165"/>
              <w:rPr>
                <w:sz w:val="20"/>
              </w:rPr>
            </w:pPr>
            <w:r>
              <w:rPr>
                <w:sz w:val="20"/>
              </w:rPr>
              <w:t>No</w:t>
            </w:r>
            <w:r>
              <w:rPr>
                <w:sz w:val="20"/>
              </w:rPr>
              <w:tab/>
              <w:t>Yes (</w:t>
            </w:r>
            <w:r>
              <w:rPr>
                <w:i/>
                <w:sz w:val="20"/>
              </w:rPr>
              <w:t xml:space="preserve">g </w:t>
            </w:r>
            <w:r>
              <w:rPr>
                <w:sz w:val="20"/>
              </w:rPr>
              <w:t>=</w:t>
            </w:r>
            <w:r>
              <w:rPr>
                <w:spacing w:val="-2"/>
                <w:sz w:val="20"/>
              </w:rPr>
              <w:t xml:space="preserve"> </w:t>
            </w:r>
            <w:r>
              <w:rPr>
                <w:sz w:val="20"/>
              </w:rPr>
              <w:t>-0.66)</w:t>
            </w:r>
          </w:p>
        </w:tc>
      </w:tr>
      <w:tr w:rsidR="00C75312" w14:paraId="4B4C3FC7" w14:textId="77777777">
        <w:trPr>
          <w:trHeight w:val="478"/>
        </w:trPr>
        <w:tc>
          <w:tcPr>
            <w:tcW w:w="1231" w:type="dxa"/>
            <w:tcBorders>
              <w:bottom w:val="single" w:sz="4" w:space="0" w:color="000000"/>
            </w:tcBorders>
          </w:tcPr>
          <w:p w14:paraId="38BB863F" w14:textId="77777777" w:rsidR="00C75312" w:rsidRDefault="00BB293A">
            <w:pPr>
              <w:pStyle w:val="TableParagraph"/>
              <w:spacing w:before="13"/>
              <w:ind w:left="127"/>
              <w:rPr>
                <w:sz w:val="20"/>
              </w:rPr>
            </w:pPr>
            <w:r>
              <w:rPr>
                <w:sz w:val="20"/>
              </w:rPr>
              <w:t>al., 2014**</w:t>
            </w:r>
          </w:p>
        </w:tc>
        <w:tc>
          <w:tcPr>
            <w:tcW w:w="4190" w:type="dxa"/>
            <w:tcBorders>
              <w:bottom w:val="single" w:sz="4" w:space="0" w:color="000000"/>
            </w:tcBorders>
          </w:tcPr>
          <w:p w14:paraId="0D19E64C" w14:textId="77777777" w:rsidR="00C75312" w:rsidRDefault="00BB293A">
            <w:pPr>
              <w:pStyle w:val="TableParagraph"/>
              <w:tabs>
                <w:tab w:val="left" w:pos="2150"/>
              </w:tabs>
              <w:spacing w:before="56"/>
              <w:ind w:left="225"/>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17</w:t>
            </w:r>
            <w:r>
              <w:rPr>
                <w:spacing w:val="2"/>
                <w:position w:val="1"/>
                <w:sz w:val="20"/>
              </w:rPr>
              <w:t xml:space="preserve"> </w:t>
            </w:r>
            <w:r>
              <w:rPr>
                <w:position w:val="1"/>
                <w:sz w:val="20"/>
              </w:rPr>
              <w:t>(14</w:t>
            </w:r>
            <w:r>
              <w:rPr>
                <w:spacing w:val="-1"/>
                <w:position w:val="1"/>
                <w:sz w:val="20"/>
              </w:rPr>
              <w:t xml:space="preserve"> </w:t>
            </w:r>
            <w:r>
              <w:rPr>
                <w:position w:val="1"/>
                <w:sz w:val="20"/>
              </w:rPr>
              <w:t>male)</w:t>
            </w:r>
            <w:r>
              <w:rPr>
                <w:position w:val="1"/>
                <w:sz w:val="20"/>
              </w:rPr>
              <w:tab/>
              <w:t>NT: 31.9</w:t>
            </w:r>
            <w:r>
              <w:rPr>
                <w:spacing w:val="1"/>
                <w:position w:val="1"/>
                <w:sz w:val="20"/>
              </w:rPr>
              <w:t xml:space="preserve"> </w:t>
            </w:r>
            <w:r>
              <w:rPr>
                <w:position w:val="1"/>
                <w:sz w:val="20"/>
              </w:rPr>
              <w:t>(17.7-58.8)</w:t>
            </w:r>
          </w:p>
        </w:tc>
        <w:tc>
          <w:tcPr>
            <w:tcW w:w="3009" w:type="dxa"/>
            <w:tcBorders>
              <w:bottom w:val="single" w:sz="4" w:space="0" w:color="000000"/>
            </w:tcBorders>
          </w:tcPr>
          <w:p w14:paraId="35A4A90F" w14:textId="77777777" w:rsidR="00C75312" w:rsidRDefault="00C75312">
            <w:pPr>
              <w:pStyle w:val="TableParagraph"/>
              <w:rPr>
                <w:sz w:val="20"/>
              </w:rPr>
            </w:pPr>
          </w:p>
        </w:tc>
        <w:tc>
          <w:tcPr>
            <w:tcW w:w="1881" w:type="dxa"/>
            <w:tcBorders>
              <w:bottom w:val="single" w:sz="4" w:space="0" w:color="000000"/>
            </w:tcBorders>
          </w:tcPr>
          <w:p w14:paraId="08F667D0" w14:textId="77777777" w:rsidR="00C75312" w:rsidRDefault="00C75312">
            <w:pPr>
              <w:pStyle w:val="TableParagraph"/>
              <w:rPr>
                <w:sz w:val="20"/>
              </w:rPr>
            </w:pPr>
          </w:p>
        </w:tc>
        <w:tc>
          <w:tcPr>
            <w:tcW w:w="3681" w:type="dxa"/>
            <w:tcBorders>
              <w:bottom w:val="single" w:sz="4" w:space="0" w:color="000000"/>
            </w:tcBorders>
          </w:tcPr>
          <w:p w14:paraId="6FF9555A" w14:textId="77777777" w:rsidR="00C75312" w:rsidRDefault="00C75312">
            <w:pPr>
              <w:pStyle w:val="TableParagraph"/>
              <w:rPr>
                <w:sz w:val="20"/>
              </w:rPr>
            </w:pPr>
          </w:p>
        </w:tc>
      </w:tr>
      <w:tr w:rsidR="00C75312" w14:paraId="24E19886" w14:textId="77777777">
        <w:trPr>
          <w:trHeight w:val="250"/>
        </w:trPr>
        <w:tc>
          <w:tcPr>
            <w:tcW w:w="1231" w:type="dxa"/>
            <w:tcBorders>
              <w:top w:val="single" w:sz="4" w:space="0" w:color="000000"/>
            </w:tcBorders>
          </w:tcPr>
          <w:p w14:paraId="4737864A" w14:textId="77777777" w:rsidR="00C75312" w:rsidRDefault="00BB293A">
            <w:pPr>
              <w:pStyle w:val="TableParagraph"/>
              <w:ind w:left="127"/>
              <w:rPr>
                <w:sz w:val="20"/>
              </w:rPr>
            </w:pPr>
            <w:r>
              <w:rPr>
                <w:sz w:val="20"/>
              </w:rPr>
              <w:t>Henry et al.,</w:t>
            </w:r>
          </w:p>
        </w:tc>
        <w:tc>
          <w:tcPr>
            <w:tcW w:w="4190" w:type="dxa"/>
            <w:tcBorders>
              <w:top w:val="single" w:sz="4" w:space="0" w:color="000000"/>
            </w:tcBorders>
          </w:tcPr>
          <w:p w14:paraId="3827AC49" w14:textId="77777777" w:rsidR="00C75312" w:rsidRDefault="00BB293A">
            <w:pPr>
              <w:pStyle w:val="TableParagraph"/>
              <w:tabs>
                <w:tab w:val="left" w:pos="2150"/>
              </w:tabs>
              <w:spacing w:line="231" w:lineRule="exact"/>
              <w:ind w:left="225"/>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xml:space="preserve">= </w:t>
            </w:r>
            <w:r>
              <w:rPr>
                <w:spacing w:val="-3"/>
                <w:position w:val="1"/>
                <w:sz w:val="20"/>
              </w:rPr>
              <w:t>30</w:t>
            </w:r>
            <w:r>
              <w:rPr>
                <w:spacing w:val="8"/>
                <w:position w:val="1"/>
                <w:sz w:val="20"/>
              </w:rPr>
              <w:t xml:space="preserve"> </w:t>
            </w:r>
            <w:r>
              <w:rPr>
                <w:position w:val="1"/>
                <w:sz w:val="20"/>
              </w:rPr>
              <w:t>(24</w:t>
            </w:r>
            <w:r>
              <w:rPr>
                <w:spacing w:val="3"/>
                <w:position w:val="1"/>
                <w:sz w:val="20"/>
              </w:rPr>
              <w:t xml:space="preserve"> </w:t>
            </w:r>
            <w:r>
              <w:rPr>
                <w:position w:val="1"/>
                <w:sz w:val="20"/>
              </w:rPr>
              <w:t>male)</w:t>
            </w:r>
            <w:r>
              <w:rPr>
                <w:position w:val="1"/>
                <w:sz w:val="20"/>
              </w:rPr>
              <w:tab/>
              <w:t>ASD: 10.1</w:t>
            </w:r>
            <w:r>
              <w:rPr>
                <w:spacing w:val="6"/>
                <w:position w:val="1"/>
                <w:sz w:val="20"/>
              </w:rPr>
              <w:t xml:space="preserve"> </w:t>
            </w:r>
            <w:r>
              <w:rPr>
                <w:position w:val="1"/>
                <w:sz w:val="20"/>
              </w:rPr>
              <w:t>(8-12)</w:t>
            </w:r>
          </w:p>
        </w:tc>
        <w:tc>
          <w:tcPr>
            <w:tcW w:w="3009" w:type="dxa"/>
            <w:tcBorders>
              <w:top w:val="single" w:sz="4" w:space="0" w:color="000000"/>
            </w:tcBorders>
          </w:tcPr>
          <w:p w14:paraId="65093978" w14:textId="77777777" w:rsidR="00C75312" w:rsidRDefault="00BB293A">
            <w:pPr>
              <w:pStyle w:val="TableParagraph"/>
              <w:ind w:left="230"/>
              <w:rPr>
                <w:sz w:val="20"/>
              </w:rPr>
            </w:pPr>
            <w:r>
              <w:rPr>
                <w:sz w:val="20"/>
              </w:rPr>
              <w:t>Virtual week game,</w:t>
            </w:r>
          </w:p>
        </w:tc>
        <w:tc>
          <w:tcPr>
            <w:tcW w:w="1881" w:type="dxa"/>
            <w:tcBorders>
              <w:top w:val="single" w:sz="4" w:space="0" w:color="000000"/>
            </w:tcBorders>
          </w:tcPr>
          <w:p w14:paraId="2DEE9F57" w14:textId="77777777" w:rsidR="00C75312" w:rsidRDefault="00BB293A">
            <w:pPr>
              <w:pStyle w:val="TableParagraph"/>
              <w:ind w:left="202"/>
              <w:rPr>
                <w:sz w:val="20"/>
              </w:rPr>
            </w:pPr>
            <w:r>
              <w:rPr>
                <w:sz w:val="20"/>
              </w:rPr>
              <w:t>12 trials across 3</w:t>
            </w:r>
          </w:p>
        </w:tc>
        <w:tc>
          <w:tcPr>
            <w:tcW w:w="3681" w:type="dxa"/>
            <w:tcBorders>
              <w:top w:val="single" w:sz="4" w:space="0" w:color="000000"/>
            </w:tcBorders>
          </w:tcPr>
          <w:p w14:paraId="366391EA" w14:textId="77777777" w:rsidR="00C75312" w:rsidRDefault="00BB293A">
            <w:pPr>
              <w:pStyle w:val="TableParagraph"/>
              <w:tabs>
                <w:tab w:val="left" w:pos="1585"/>
              </w:tabs>
              <w:ind w:left="165"/>
              <w:rPr>
                <w:sz w:val="20"/>
              </w:rPr>
            </w:pPr>
            <w:r>
              <w:rPr>
                <w:sz w:val="20"/>
              </w:rPr>
              <w:t>No</w:t>
            </w:r>
            <w:r>
              <w:rPr>
                <w:sz w:val="20"/>
              </w:rPr>
              <w:tab/>
              <w:t>Yes (</w:t>
            </w:r>
            <w:r>
              <w:rPr>
                <w:i/>
                <w:sz w:val="20"/>
              </w:rPr>
              <w:t xml:space="preserve">g </w:t>
            </w:r>
            <w:r>
              <w:rPr>
                <w:sz w:val="20"/>
              </w:rPr>
              <w:t>=</w:t>
            </w:r>
            <w:r>
              <w:rPr>
                <w:spacing w:val="-2"/>
                <w:sz w:val="20"/>
              </w:rPr>
              <w:t xml:space="preserve"> </w:t>
            </w:r>
            <w:r>
              <w:rPr>
                <w:sz w:val="20"/>
              </w:rPr>
              <w:t>-1.02)</w:t>
            </w:r>
          </w:p>
        </w:tc>
      </w:tr>
      <w:tr w:rsidR="00C75312" w14:paraId="5C9F3C1F" w14:textId="77777777">
        <w:trPr>
          <w:trHeight w:val="871"/>
        </w:trPr>
        <w:tc>
          <w:tcPr>
            <w:tcW w:w="1231" w:type="dxa"/>
            <w:tcBorders>
              <w:bottom w:val="single" w:sz="4" w:space="0" w:color="000000"/>
            </w:tcBorders>
          </w:tcPr>
          <w:p w14:paraId="7DA51056" w14:textId="77777777" w:rsidR="00C75312" w:rsidRDefault="00BB293A">
            <w:pPr>
              <w:pStyle w:val="TableParagraph"/>
              <w:spacing w:before="13"/>
              <w:ind w:left="127"/>
              <w:rPr>
                <w:sz w:val="20"/>
              </w:rPr>
            </w:pPr>
            <w:r>
              <w:rPr>
                <w:sz w:val="20"/>
              </w:rPr>
              <w:t>2014*</w:t>
            </w:r>
          </w:p>
        </w:tc>
        <w:tc>
          <w:tcPr>
            <w:tcW w:w="4190" w:type="dxa"/>
            <w:tcBorders>
              <w:bottom w:val="single" w:sz="4" w:space="0" w:color="000000"/>
            </w:tcBorders>
          </w:tcPr>
          <w:p w14:paraId="4070B445" w14:textId="77777777" w:rsidR="00C75312" w:rsidRDefault="00BB293A">
            <w:pPr>
              <w:pStyle w:val="TableParagraph"/>
              <w:tabs>
                <w:tab w:val="left" w:pos="2150"/>
              </w:tabs>
              <w:spacing w:before="51"/>
              <w:ind w:left="225"/>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30</w:t>
            </w:r>
            <w:r>
              <w:rPr>
                <w:spacing w:val="2"/>
                <w:position w:val="1"/>
                <w:sz w:val="20"/>
              </w:rPr>
              <w:t xml:space="preserve"> </w:t>
            </w:r>
            <w:r>
              <w:rPr>
                <w:position w:val="1"/>
                <w:sz w:val="20"/>
              </w:rPr>
              <w:t>(19</w:t>
            </w:r>
            <w:r>
              <w:rPr>
                <w:spacing w:val="-1"/>
                <w:position w:val="1"/>
                <w:sz w:val="20"/>
              </w:rPr>
              <w:t xml:space="preserve"> </w:t>
            </w:r>
            <w:r>
              <w:rPr>
                <w:position w:val="1"/>
                <w:sz w:val="20"/>
              </w:rPr>
              <w:t>male)</w:t>
            </w:r>
            <w:r>
              <w:rPr>
                <w:position w:val="1"/>
                <w:sz w:val="20"/>
              </w:rPr>
              <w:tab/>
              <w:t>NT: 10</w:t>
            </w:r>
            <w:r>
              <w:rPr>
                <w:spacing w:val="-2"/>
                <w:position w:val="1"/>
                <w:sz w:val="20"/>
              </w:rPr>
              <w:t xml:space="preserve"> </w:t>
            </w:r>
            <w:r>
              <w:rPr>
                <w:position w:val="1"/>
                <w:sz w:val="20"/>
              </w:rPr>
              <w:t>(8-12)</w:t>
            </w:r>
          </w:p>
        </w:tc>
        <w:tc>
          <w:tcPr>
            <w:tcW w:w="3009" w:type="dxa"/>
            <w:tcBorders>
              <w:bottom w:val="single" w:sz="4" w:space="0" w:color="000000"/>
            </w:tcBorders>
          </w:tcPr>
          <w:p w14:paraId="3EC08CD0" w14:textId="77777777" w:rsidR="00C75312" w:rsidRDefault="00BB293A">
            <w:pPr>
              <w:pStyle w:val="TableParagraph"/>
              <w:spacing w:before="51" w:line="276" w:lineRule="auto"/>
              <w:ind w:left="230" w:right="187"/>
              <w:rPr>
                <w:sz w:val="20"/>
              </w:rPr>
            </w:pPr>
            <w:r>
              <w:rPr>
                <w:sz w:val="20"/>
              </w:rPr>
              <w:t>2 within-subject condition (high vs. low task absorption)</w:t>
            </w:r>
          </w:p>
        </w:tc>
        <w:tc>
          <w:tcPr>
            <w:tcW w:w="1881" w:type="dxa"/>
            <w:tcBorders>
              <w:bottom w:val="single" w:sz="4" w:space="0" w:color="000000"/>
            </w:tcBorders>
          </w:tcPr>
          <w:p w14:paraId="7BE6E7EB" w14:textId="77777777" w:rsidR="00C75312" w:rsidRDefault="00BB293A">
            <w:pPr>
              <w:pStyle w:val="TableParagraph"/>
              <w:spacing w:before="13"/>
              <w:ind w:left="202"/>
              <w:rPr>
                <w:sz w:val="20"/>
              </w:rPr>
            </w:pPr>
            <w:r>
              <w:rPr>
                <w:sz w:val="20"/>
              </w:rPr>
              <w:t>virtual days,</w:t>
            </w:r>
            <w:r>
              <w:rPr>
                <w:spacing w:val="-1"/>
                <w:sz w:val="20"/>
              </w:rPr>
              <w:t xml:space="preserve"> </w:t>
            </w:r>
            <w:r>
              <w:rPr>
                <w:sz w:val="20"/>
              </w:rPr>
              <w:t>(2</w:t>
            </w:r>
          </w:p>
          <w:p w14:paraId="645C12D6" w14:textId="77777777" w:rsidR="00C75312" w:rsidRDefault="00BB293A">
            <w:pPr>
              <w:pStyle w:val="TableParagraph"/>
              <w:spacing w:before="34" w:line="276" w:lineRule="auto"/>
              <w:ind w:left="202"/>
              <w:rPr>
                <w:sz w:val="20"/>
              </w:rPr>
            </w:pPr>
            <w:r>
              <w:rPr>
                <w:sz w:val="20"/>
              </w:rPr>
              <w:t xml:space="preserve">regular/ 2 </w:t>
            </w:r>
            <w:r>
              <w:rPr>
                <w:spacing w:val="-3"/>
                <w:sz w:val="20"/>
              </w:rPr>
              <w:t xml:space="preserve">irregular </w:t>
            </w:r>
            <w:r>
              <w:rPr>
                <w:sz w:val="20"/>
              </w:rPr>
              <w:t>per virtual</w:t>
            </w:r>
            <w:r>
              <w:rPr>
                <w:spacing w:val="1"/>
                <w:sz w:val="20"/>
              </w:rPr>
              <w:t xml:space="preserve"> </w:t>
            </w:r>
            <w:r>
              <w:rPr>
                <w:sz w:val="20"/>
              </w:rPr>
              <w:t>day)</w:t>
            </w:r>
          </w:p>
        </w:tc>
        <w:tc>
          <w:tcPr>
            <w:tcW w:w="3681" w:type="dxa"/>
            <w:tcBorders>
              <w:bottom w:val="single" w:sz="4" w:space="0" w:color="000000"/>
            </w:tcBorders>
          </w:tcPr>
          <w:p w14:paraId="3B4B8E4F" w14:textId="77777777" w:rsidR="00C75312" w:rsidRDefault="00C75312">
            <w:pPr>
              <w:pStyle w:val="TableParagraph"/>
              <w:rPr>
                <w:sz w:val="20"/>
              </w:rPr>
            </w:pPr>
          </w:p>
        </w:tc>
      </w:tr>
      <w:tr w:rsidR="00C75312" w14:paraId="6A1EB640" w14:textId="77777777">
        <w:trPr>
          <w:trHeight w:val="250"/>
        </w:trPr>
        <w:tc>
          <w:tcPr>
            <w:tcW w:w="1231" w:type="dxa"/>
            <w:tcBorders>
              <w:top w:val="single" w:sz="4" w:space="0" w:color="000000"/>
            </w:tcBorders>
          </w:tcPr>
          <w:p w14:paraId="63D25FC7" w14:textId="77777777" w:rsidR="00C75312" w:rsidRDefault="00BB293A">
            <w:pPr>
              <w:pStyle w:val="TableParagraph"/>
              <w:ind w:left="127"/>
              <w:rPr>
                <w:sz w:val="20"/>
              </w:rPr>
            </w:pPr>
            <w:r>
              <w:rPr>
                <w:sz w:val="20"/>
              </w:rPr>
              <w:t>Kretschmer</w:t>
            </w:r>
          </w:p>
        </w:tc>
        <w:tc>
          <w:tcPr>
            <w:tcW w:w="4190" w:type="dxa"/>
            <w:tcBorders>
              <w:top w:val="single" w:sz="4" w:space="0" w:color="000000"/>
            </w:tcBorders>
          </w:tcPr>
          <w:p w14:paraId="18B1526D" w14:textId="77777777" w:rsidR="00C75312" w:rsidRDefault="00BB293A">
            <w:pPr>
              <w:pStyle w:val="TableParagraph"/>
              <w:tabs>
                <w:tab w:val="left" w:pos="2150"/>
              </w:tabs>
              <w:spacing w:line="231" w:lineRule="exact"/>
              <w:ind w:left="225"/>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xml:space="preserve">= </w:t>
            </w:r>
            <w:r>
              <w:rPr>
                <w:spacing w:val="-3"/>
                <w:position w:val="1"/>
                <w:sz w:val="20"/>
              </w:rPr>
              <w:t>27</w:t>
            </w:r>
            <w:r>
              <w:rPr>
                <w:spacing w:val="12"/>
                <w:position w:val="1"/>
                <w:sz w:val="20"/>
              </w:rPr>
              <w:t xml:space="preserve"> </w:t>
            </w:r>
            <w:r>
              <w:rPr>
                <w:position w:val="1"/>
                <w:sz w:val="20"/>
              </w:rPr>
              <w:t>(9 men)</w:t>
            </w:r>
            <w:r>
              <w:rPr>
                <w:position w:val="1"/>
                <w:sz w:val="20"/>
              </w:rPr>
              <w:tab/>
              <w:t>ASD: 35.6</w:t>
            </w:r>
            <w:r>
              <w:rPr>
                <w:spacing w:val="5"/>
                <w:position w:val="1"/>
                <w:sz w:val="20"/>
              </w:rPr>
              <w:t xml:space="preserve"> </w:t>
            </w:r>
            <w:r>
              <w:rPr>
                <w:position w:val="1"/>
                <w:sz w:val="20"/>
              </w:rPr>
              <w:t>(19-58)</w:t>
            </w:r>
          </w:p>
        </w:tc>
        <w:tc>
          <w:tcPr>
            <w:tcW w:w="3009" w:type="dxa"/>
            <w:tcBorders>
              <w:top w:val="single" w:sz="4" w:space="0" w:color="000000"/>
            </w:tcBorders>
          </w:tcPr>
          <w:p w14:paraId="65B3E01C" w14:textId="77777777" w:rsidR="00C75312" w:rsidRDefault="00BB293A">
            <w:pPr>
              <w:pStyle w:val="TableParagraph"/>
              <w:ind w:left="230"/>
              <w:rPr>
                <w:sz w:val="20"/>
              </w:rPr>
            </w:pPr>
            <w:r>
              <w:rPr>
                <w:sz w:val="20"/>
              </w:rPr>
              <w:t>Virtual week game,</w:t>
            </w:r>
          </w:p>
        </w:tc>
        <w:tc>
          <w:tcPr>
            <w:tcW w:w="1881" w:type="dxa"/>
            <w:tcBorders>
              <w:top w:val="single" w:sz="4" w:space="0" w:color="000000"/>
            </w:tcBorders>
          </w:tcPr>
          <w:p w14:paraId="40A97B12" w14:textId="77777777" w:rsidR="00C75312" w:rsidRDefault="00BB293A">
            <w:pPr>
              <w:pStyle w:val="TableParagraph"/>
              <w:ind w:left="202"/>
              <w:rPr>
                <w:sz w:val="20"/>
              </w:rPr>
            </w:pPr>
            <w:r>
              <w:rPr>
                <w:sz w:val="20"/>
              </w:rPr>
              <w:t>12 trials across 3</w:t>
            </w:r>
          </w:p>
        </w:tc>
        <w:tc>
          <w:tcPr>
            <w:tcW w:w="3681" w:type="dxa"/>
            <w:tcBorders>
              <w:top w:val="single" w:sz="4" w:space="0" w:color="000000"/>
            </w:tcBorders>
          </w:tcPr>
          <w:p w14:paraId="40E346C4" w14:textId="77777777" w:rsidR="00C75312" w:rsidRDefault="00BB293A">
            <w:pPr>
              <w:pStyle w:val="TableParagraph"/>
              <w:tabs>
                <w:tab w:val="left" w:pos="1585"/>
              </w:tabs>
              <w:ind w:left="165"/>
              <w:rPr>
                <w:sz w:val="20"/>
              </w:rPr>
            </w:pPr>
            <w:r>
              <w:rPr>
                <w:sz w:val="20"/>
              </w:rPr>
              <w:t>No</w:t>
            </w:r>
            <w:r>
              <w:rPr>
                <w:sz w:val="20"/>
              </w:rPr>
              <w:tab/>
              <w:t>Yes (</w:t>
            </w:r>
            <w:r>
              <w:rPr>
                <w:i/>
                <w:sz w:val="20"/>
              </w:rPr>
              <w:t xml:space="preserve">g </w:t>
            </w:r>
            <w:r>
              <w:rPr>
                <w:sz w:val="20"/>
              </w:rPr>
              <w:t>=</w:t>
            </w:r>
            <w:r>
              <w:rPr>
                <w:spacing w:val="-2"/>
                <w:sz w:val="20"/>
              </w:rPr>
              <w:t xml:space="preserve"> </w:t>
            </w:r>
            <w:r>
              <w:rPr>
                <w:sz w:val="20"/>
              </w:rPr>
              <w:t>-1.01)</w:t>
            </w:r>
          </w:p>
        </w:tc>
      </w:tr>
      <w:tr w:rsidR="00C75312" w14:paraId="51EE65B3" w14:textId="77777777">
        <w:trPr>
          <w:trHeight w:val="929"/>
        </w:trPr>
        <w:tc>
          <w:tcPr>
            <w:tcW w:w="1231" w:type="dxa"/>
            <w:tcBorders>
              <w:bottom w:val="double" w:sz="1" w:space="0" w:color="000000"/>
            </w:tcBorders>
          </w:tcPr>
          <w:p w14:paraId="3742A86A" w14:textId="77777777" w:rsidR="00C75312" w:rsidRDefault="00BB293A">
            <w:pPr>
              <w:pStyle w:val="TableParagraph"/>
              <w:spacing w:before="13"/>
              <w:ind w:left="127"/>
              <w:rPr>
                <w:sz w:val="20"/>
              </w:rPr>
            </w:pPr>
            <w:r>
              <w:rPr>
                <w:sz w:val="20"/>
              </w:rPr>
              <w:t>et al., 2014*</w:t>
            </w:r>
          </w:p>
        </w:tc>
        <w:tc>
          <w:tcPr>
            <w:tcW w:w="4190" w:type="dxa"/>
            <w:tcBorders>
              <w:bottom w:val="double" w:sz="1" w:space="0" w:color="000000"/>
            </w:tcBorders>
          </w:tcPr>
          <w:p w14:paraId="1343CB51" w14:textId="77777777" w:rsidR="00C75312" w:rsidRDefault="00BB293A">
            <w:pPr>
              <w:pStyle w:val="TableParagraph"/>
              <w:tabs>
                <w:tab w:val="left" w:pos="2150"/>
              </w:tabs>
              <w:spacing w:before="56"/>
              <w:ind w:left="225"/>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27</w:t>
            </w:r>
            <w:r>
              <w:rPr>
                <w:spacing w:val="3"/>
                <w:position w:val="1"/>
                <w:sz w:val="20"/>
              </w:rPr>
              <w:t xml:space="preserve"> </w:t>
            </w:r>
            <w:r>
              <w:rPr>
                <w:position w:val="1"/>
                <w:sz w:val="20"/>
              </w:rPr>
              <w:t>(2</w:t>
            </w:r>
            <w:r>
              <w:rPr>
                <w:spacing w:val="-1"/>
                <w:position w:val="1"/>
                <w:sz w:val="20"/>
              </w:rPr>
              <w:t xml:space="preserve"> </w:t>
            </w:r>
            <w:r>
              <w:rPr>
                <w:position w:val="1"/>
                <w:sz w:val="20"/>
              </w:rPr>
              <w:t>men)</w:t>
            </w:r>
            <w:r>
              <w:rPr>
                <w:position w:val="1"/>
                <w:sz w:val="20"/>
              </w:rPr>
              <w:tab/>
              <w:t>NT: 39.9</w:t>
            </w:r>
            <w:r>
              <w:rPr>
                <w:spacing w:val="2"/>
                <w:position w:val="1"/>
                <w:sz w:val="20"/>
              </w:rPr>
              <w:t xml:space="preserve"> </w:t>
            </w:r>
            <w:r>
              <w:rPr>
                <w:position w:val="1"/>
                <w:sz w:val="20"/>
              </w:rPr>
              <w:t>(21-52)</w:t>
            </w:r>
          </w:p>
        </w:tc>
        <w:tc>
          <w:tcPr>
            <w:tcW w:w="3009" w:type="dxa"/>
            <w:tcBorders>
              <w:bottom w:val="double" w:sz="1" w:space="0" w:color="000000"/>
            </w:tcBorders>
          </w:tcPr>
          <w:p w14:paraId="2ADBAFFA" w14:textId="77777777" w:rsidR="00C75312" w:rsidRDefault="00BB293A">
            <w:pPr>
              <w:pStyle w:val="TableParagraph"/>
              <w:spacing w:before="56" w:line="276" w:lineRule="auto"/>
              <w:ind w:left="230" w:right="539"/>
              <w:jc w:val="both"/>
              <w:rPr>
                <w:sz w:val="20"/>
              </w:rPr>
            </w:pPr>
            <w:r>
              <w:rPr>
                <w:sz w:val="20"/>
              </w:rPr>
              <w:t>2 between-subject encoding conditions (implementation intentions vs. standard)</w:t>
            </w:r>
          </w:p>
        </w:tc>
        <w:tc>
          <w:tcPr>
            <w:tcW w:w="1881" w:type="dxa"/>
            <w:tcBorders>
              <w:bottom w:val="double" w:sz="1" w:space="0" w:color="000000"/>
            </w:tcBorders>
          </w:tcPr>
          <w:p w14:paraId="48FAE396" w14:textId="77777777" w:rsidR="00C75312" w:rsidRDefault="00BB293A">
            <w:pPr>
              <w:pStyle w:val="TableParagraph"/>
              <w:spacing w:before="13"/>
              <w:ind w:left="202"/>
              <w:rPr>
                <w:sz w:val="20"/>
              </w:rPr>
            </w:pPr>
            <w:r>
              <w:rPr>
                <w:sz w:val="20"/>
              </w:rPr>
              <w:t>virtual days,</w:t>
            </w:r>
            <w:r>
              <w:rPr>
                <w:spacing w:val="-1"/>
                <w:sz w:val="20"/>
              </w:rPr>
              <w:t xml:space="preserve"> </w:t>
            </w:r>
            <w:r>
              <w:rPr>
                <w:sz w:val="20"/>
              </w:rPr>
              <w:t>(2</w:t>
            </w:r>
          </w:p>
          <w:p w14:paraId="5BF9BC32" w14:textId="77777777" w:rsidR="00C75312" w:rsidRDefault="00BB293A">
            <w:pPr>
              <w:pStyle w:val="TableParagraph"/>
              <w:spacing w:before="34" w:line="276" w:lineRule="auto"/>
              <w:ind w:left="202"/>
              <w:rPr>
                <w:sz w:val="20"/>
              </w:rPr>
            </w:pPr>
            <w:r>
              <w:rPr>
                <w:sz w:val="20"/>
              </w:rPr>
              <w:t xml:space="preserve">regular/ 2 </w:t>
            </w:r>
            <w:r>
              <w:rPr>
                <w:spacing w:val="-3"/>
                <w:sz w:val="20"/>
              </w:rPr>
              <w:t xml:space="preserve">irregular </w:t>
            </w:r>
            <w:r>
              <w:rPr>
                <w:sz w:val="20"/>
              </w:rPr>
              <w:t>per virtual</w:t>
            </w:r>
            <w:r>
              <w:rPr>
                <w:spacing w:val="1"/>
                <w:sz w:val="20"/>
              </w:rPr>
              <w:t xml:space="preserve"> </w:t>
            </w:r>
            <w:r>
              <w:rPr>
                <w:sz w:val="20"/>
              </w:rPr>
              <w:t>day)</w:t>
            </w:r>
          </w:p>
        </w:tc>
        <w:tc>
          <w:tcPr>
            <w:tcW w:w="3681" w:type="dxa"/>
            <w:tcBorders>
              <w:bottom w:val="double" w:sz="1" w:space="0" w:color="000000"/>
            </w:tcBorders>
          </w:tcPr>
          <w:p w14:paraId="16B5A7AD" w14:textId="77777777" w:rsidR="00C75312" w:rsidRDefault="00C75312">
            <w:pPr>
              <w:pStyle w:val="TableParagraph"/>
              <w:rPr>
                <w:sz w:val="20"/>
              </w:rPr>
            </w:pPr>
          </w:p>
        </w:tc>
      </w:tr>
    </w:tbl>
    <w:p w14:paraId="41C0534D" w14:textId="77777777" w:rsidR="00C75312" w:rsidRDefault="00BB293A">
      <w:pPr>
        <w:spacing w:line="280" w:lineRule="auto"/>
        <w:ind w:left="140" w:right="222"/>
        <w:rPr>
          <w:sz w:val="20"/>
        </w:rPr>
      </w:pPr>
      <w:r>
        <w:rPr>
          <w:i/>
          <w:sz w:val="20"/>
        </w:rPr>
        <w:t xml:space="preserve">Notes. </w:t>
      </w:r>
      <w:r>
        <w:rPr>
          <w:sz w:val="20"/>
        </w:rPr>
        <w:t xml:space="preserve">*: time- and event-based PM task within the same condition; **: time- and event-based PM task in separate conditions; </w:t>
      </w:r>
      <w:r>
        <w:rPr>
          <w:position w:val="7"/>
          <w:sz w:val="13"/>
        </w:rPr>
        <w:t>†</w:t>
      </w:r>
      <w:r>
        <w:rPr>
          <w:sz w:val="20"/>
        </w:rPr>
        <w:t xml:space="preserve">: ES PM impairment: effect size representing the </w:t>
      </w:r>
      <w:proofErr w:type="spellStart"/>
      <w:r>
        <w:rPr>
          <w:sz w:val="20"/>
        </w:rPr>
        <w:t>standardised</w:t>
      </w:r>
      <w:proofErr w:type="spellEnd"/>
      <w:r>
        <w:rPr>
          <w:sz w:val="20"/>
        </w:rPr>
        <w:t xml:space="preserve"> bias-corrected mean difference </w:t>
      </w:r>
      <w:proofErr w:type="spellStart"/>
      <w:r>
        <w:rPr>
          <w:sz w:val="20"/>
        </w:rPr>
        <w:t>Hedges’</w:t>
      </w:r>
      <w:r>
        <w:rPr>
          <w:i/>
          <w:sz w:val="20"/>
        </w:rPr>
        <w:t>g</w:t>
      </w:r>
      <w:proofErr w:type="spellEnd"/>
      <w:r>
        <w:rPr>
          <w:i/>
          <w:sz w:val="20"/>
        </w:rPr>
        <w:t xml:space="preserve"> </w:t>
      </w:r>
      <w:r>
        <w:rPr>
          <w:sz w:val="20"/>
        </w:rPr>
        <w:t>(calculation according to Lipsey &amp; Wilson, 2001); ns.: not specified</w:t>
      </w:r>
    </w:p>
    <w:p w14:paraId="0A48918F" w14:textId="77777777" w:rsidR="00C75312" w:rsidRDefault="00C75312">
      <w:pPr>
        <w:spacing w:line="280" w:lineRule="auto"/>
        <w:rPr>
          <w:sz w:val="20"/>
        </w:rPr>
        <w:sectPr w:rsidR="00C75312">
          <w:headerReference w:type="default" r:id="rId19"/>
          <w:pgSz w:w="16840" w:h="11900" w:orient="landscape"/>
          <w:pgMar w:top="1180" w:right="1300" w:bottom="280" w:left="1300" w:header="720" w:footer="0" w:gutter="0"/>
          <w:pgNumType w:start="11"/>
          <w:cols w:space="720"/>
        </w:sectPr>
      </w:pPr>
    </w:p>
    <w:p w14:paraId="1D04D399" w14:textId="77777777" w:rsidR="00C75312" w:rsidRDefault="00C75312">
      <w:pPr>
        <w:pStyle w:val="BodyText"/>
        <w:spacing w:before="6"/>
        <w:rPr>
          <w:sz w:val="14"/>
        </w:rPr>
      </w:pPr>
    </w:p>
    <w:p w14:paraId="5D365458" w14:textId="77777777" w:rsidR="00C75312" w:rsidRDefault="00BB293A">
      <w:pPr>
        <w:spacing w:before="93"/>
        <w:ind w:left="140"/>
        <w:rPr>
          <w:i/>
          <w:sz w:val="20"/>
        </w:rPr>
      </w:pPr>
      <w:r>
        <w:rPr>
          <w:i/>
          <w:sz w:val="20"/>
        </w:rPr>
        <w:t>Table 2. Overview of characteristics of event-based PM studies in ASD.</w:t>
      </w:r>
    </w:p>
    <w:p w14:paraId="084EA3EA" w14:textId="77777777" w:rsidR="00C75312" w:rsidRDefault="00C75312">
      <w:pPr>
        <w:pStyle w:val="BodyText"/>
        <w:spacing w:before="11"/>
        <w:rPr>
          <w:i/>
          <w:sz w:val="17"/>
        </w:rPr>
      </w:pPr>
    </w:p>
    <w:tbl>
      <w:tblPr>
        <w:tblW w:w="0" w:type="auto"/>
        <w:tblInd w:w="118" w:type="dxa"/>
        <w:tblLayout w:type="fixed"/>
        <w:tblCellMar>
          <w:left w:w="0" w:type="dxa"/>
          <w:right w:w="0" w:type="dxa"/>
        </w:tblCellMar>
        <w:tblLook w:val="01E0" w:firstRow="1" w:lastRow="1" w:firstColumn="1" w:lastColumn="1" w:noHBand="0" w:noVBand="0"/>
      </w:tblPr>
      <w:tblGrid>
        <w:gridCol w:w="1314"/>
        <w:gridCol w:w="1990"/>
        <w:gridCol w:w="2107"/>
        <w:gridCol w:w="1997"/>
        <w:gridCol w:w="1357"/>
        <w:gridCol w:w="943"/>
        <w:gridCol w:w="1069"/>
        <w:gridCol w:w="1090"/>
        <w:gridCol w:w="2149"/>
      </w:tblGrid>
      <w:tr w:rsidR="00C75312" w14:paraId="2D8A828D" w14:textId="77777777">
        <w:trPr>
          <w:trHeight w:val="959"/>
        </w:trPr>
        <w:tc>
          <w:tcPr>
            <w:tcW w:w="1314" w:type="dxa"/>
            <w:tcBorders>
              <w:top w:val="single" w:sz="4" w:space="0" w:color="000000"/>
              <w:bottom w:val="single" w:sz="4" w:space="0" w:color="000000"/>
            </w:tcBorders>
          </w:tcPr>
          <w:p w14:paraId="4BF309B8" w14:textId="77777777" w:rsidR="00C75312" w:rsidRDefault="00BB293A">
            <w:pPr>
              <w:pStyle w:val="TableParagraph"/>
              <w:ind w:left="134"/>
              <w:rPr>
                <w:i/>
                <w:sz w:val="20"/>
              </w:rPr>
            </w:pPr>
            <w:r>
              <w:rPr>
                <w:i/>
                <w:sz w:val="20"/>
              </w:rPr>
              <w:t>Author, year</w:t>
            </w:r>
          </w:p>
        </w:tc>
        <w:tc>
          <w:tcPr>
            <w:tcW w:w="1990" w:type="dxa"/>
            <w:tcBorders>
              <w:top w:val="single" w:sz="4" w:space="0" w:color="000000"/>
              <w:bottom w:val="single" w:sz="4" w:space="0" w:color="000000"/>
            </w:tcBorders>
          </w:tcPr>
          <w:p w14:paraId="45C8BD26" w14:textId="77777777" w:rsidR="00C75312" w:rsidRDefault="00BB293A">
            <w:pPr>
              <w:pStyle w:val="TableParagraph"/>
              <w:ind w:left="130"/>
              <w:rPr>
                <w:i/>
                <w:sz w:val="20"/>
              </w:rPr>
            </w:pPr>
            <w:r>
              <w:rPr>
                <w:i/>
                <w:sz w:val="20"/>
              </w:rPr>
              <w:t>Participants</w:t>
            </w:r>
          </w:p>
        </w:tc>
        <w:tc>
          <w:tcPr>
            <w:tcW w:w="2107" w:type="dxa"/>
            <w:tcBorders>
              <w:top w:val="single" w:sz="4" w:space="0" w:color="000000"/>
              <w:bottom w:val="single" w:sz="4" w:space="0" w:color="000000"/>
            </w:tcBorders>
          </w:tcPr>
          <w:p w14:paraId="410D2476" w14:textId="77777777" w:rsidR="00C75312" w:rsidRDefault="00C75312">
            <w:pPr>
              <w:pStyle w:val="TableParagraph"/>
              <w:rPr>
                <w:sz w:val="18"/>
              </w:rPr>
            </w:pPr>
          </w:p>
        </w:tc>
        <w:tc>
          <w:tcPr>
            <w:tcW w:w="1997" w:type="dxa"/>
            <w:tcBorders>
              <w:top w:val="single" w:sz="4" w:space="0" w:color="000000"/>
              <w:bottom w:val="single" w:sz="4" w:space="0" w:color="000000"/>
            </w:tcBorders>
          </w:tcPr>
          <w:p w14:paraId="303C8B8D" w14:textId="77777777" w:rsidR="00C75312" w:rsidRDefault="00BB293A">
            <w:pPr>
              <w:pStyle w:val="TableParagraph"/>
              <w:ind w:left="132"/>
              <w:rPr>
                <w:i/>
                <w:sz w:val="20"/>
              </w:rPr>
            </w:pPr>
            <w:r>
              <w:rPr>
                <w:i/>
                <w:sz w:val="20"/>
              </w:rPr>
              <w:t>Task characteristics</w:t>
            </w:r>
          </w:p>
        </w:tc>
        <w:tc>
          <w:tcPr>
            <w:tcW w:w="1357" w:type="dxa"/>
            <w:tcBorders>
              <w:top w:val="single" w:sz="4" w:space="0" w:color="000000"/>
              <w:bottom w:val="single" w:sz="4" w:space="0" w:color="000000"/>
            </w:tcBorders>
          </w:tcPr>
          <w:p w14:paraId="1DC25B0B" w14:textId="77777777" w:rsidR="00C75312" w:rsidRDefault="00C75312">
            <w:pPr>
              <w:pStyle w:val="TableParagraph"/>
              <w:rPr>
                <w:sz w:val="18"/>
              </w:rPr>
            </w:pPr>
          </w:p>
        </w:tc>
        <w:tc>
          <w:tcPr>
            <w:tcW w:w="943" w:type="dxa"/>
            <w:tcBorders>
              <w:top w:val="single" w:sz="4" w:space="0" w:color="000000"/>
              <w:bottom w:val="single" w:sz="4" w:space="0" w:color="000000"/>
            </w:tcBorders>
          </w:tcPr>
          <w:p w14:paraId="442B7F06" w14:textId="77777777" w:rsidR="00C75312" w:rsidRDefault="00C75312">
            <w:pPr>
              <w:pStyle w:val="TableParagraph"/>
              <w:rPr>
                <w:sz w:val="18"/>
              </w:rPr>
            </w:pPr>
          </w:p>
        </w:tc>
        <w:tc>
          <w:tcPr>
            <w:tcW w:w="1069" w:type="dxa"/>
            <w:tcBorders>
              <w:top w:val="single" w:sz="4" w:space="0" w:color="000000"/>
              <w:bottom w:val="single" w:sz="4" w:space="0" w:color="000000"/>
            </w:tcBorders>
          </w:tcPr>
          <w:p w14:paraId="53B4F4B3" w14:textId="77777777" w:rsidR="00C75312" w:rsidRDefault="00C75312">
            <w:pPr>
              <w:pStyle w:val="TableParagraph"/>
              <w:rPr>
                <w:sz w:val="18"/>
              </w:rPr>
            </w:pPr>
          </w:p>
        </w:tc>
        <w:tc>
          <w:tcPr>
            <w:tcW w:w="1090" w:type="dxa"/>
            <w:tcBorders>
              <w:top w:val="single" w:sz="4" w:space="0" w:color="000000"/>
              <w:bottom w:val="single" w:sz="4" w:space="0" w:color="000000"/>
            </w:tcBorders>
          </w:tcPr>
          <w:p w14:paraId="601C69F7" w14:textId="77777777" w:rsidR="00C75312" w:rsidRDefault="00BB293A">
            <w:pPr>
              <w:pStyle w:val="TableParagraph"/>
              <w:spacing w:line="276" w:lineRule="auto"/>
              <w:ind w:left="118" w:right="106"/>
              <w:rPr>
                <w:i/>
                <w:sz w:val="20"/>
              </w:rPr>
            </w:pPr>
            <w:r>
              <w:rPr>
                <w:i/>
                <w:sz w:val="20"/>
              </w:rPr>
              <w:t xml:space="preserve">Filler task/ </w:t>
            </w:r>
            <w:r>
              <w:rPr>
                <w:i/>
                <w:spacing w:val="-5"/>
                <w:sz w:val="20"/>
              </w:rPr>
              <w:t xml:space="preserve">delay </w:t>
            </w:r>
            <w:r>
              <w:rPr>
                <w:i/>
                <w:sz w:val="20"/>
              </w:rPr>
              <w:t>interval</w:t>
            </w:r>
          </w:p>
        </w:tc>
        <w:tc>
          <w:tcPr>
            <w:tcW w:w="2149" w:type="dxa"/>
            <w:tcBorders>
              <w:top w:val="single" w:sz="4" w:space="0" w:color="000000"/>
              <w:bottom w:val="single" w:sz="4" w:space="0" w:color="000000"/>
            </w:tcBorders>
          </w:tcPr>
          <w:p w14:paraId="3D1A1AFF" w14:textId="77777777" w:rsidR="00C75312" w:rsidRDefault="00BB293A">
            <w:pPr>
              <w:pStyle w:val="TableParagraph"/>
              <w:spacing w:line="285" w:lineRule="auto"/>
              <w:ind w:left="108" w:right="176"/>
              <w:rPr>
                <w:i/>
                <w:sz w:val="20"/>
              </w:rPr>
            </w:pPr>
            <w:r>
              <w:rPr>
                <w:i/>
                <w:sz w:val="20"/>
              </w:rPr>
              <w:t>Authors concluded PM impairment in ASD group (</w:t>
            </w:r>
            <w:proofErr w:type="spellStart"/>
            <w:r>
              <w:rPr>
                <w:i/>
                <w:sz w:val="20"/>
              </w:rPr>
              <w:t>Hedges’g</w:t>
            </w:r>
            <w:proofErr w:type="spellEnd"/>
            <w:r>
              <w:rPr>
                <w:i/>
                <w:sz w:val="20"/>
              </w:rPr>
              <w:t>)</w:t>
            </w:r>
            <w:r>
              <w:rPr>
                <w:i/>
                <w:sz w:val="20"/>
                <w:vertAlign w:val="superscript"/>
              </w:rPr>
              <w:t>†</w:t>
            </w:r>
          </w:p>
        </w:tc>
      </w:tr>
      <w:tr w:rsidR="00C75312" w14:paraId="2C923229" w14:textId="77777777">
        <w:trPr>
          <w:trHeight w:val="250"/>
        </w:trPr>
        <w:tc>
          <w:tcPr>
            <w:tcW w:w="1314" w:type="dxa"/>
            <w:tcBorders>
              <w:top w:val="single" w:sz="4" w:space="0" w:color="000000"/>
            </w:tcBorders>
          </w:tcPr>
          <w:p w14:paraId="35BF33DD" w14:textId="77777777" w:rsidR="00C75312" w:rsidRDefault="00C75312">
            <w:pPr>
              <w:pStyle w:val="TableParagraph"/>
              <w:rPr>
                <w:sz w:val="18"/>
              </w:rPr>
            </w:pPr>
          </w:p>
        </w:tc>
        <w:tc>
          <w:tcPr>
            <w:tcW w:w="1990" w:type="dxa"/>
            <w:tcBorders>
              <w:top w:val="single" w:sz="4" w:space="0" w:color="000000"/>
            </w:tcBorders>
          </w:tcPr>
          <w:p w14:paraId="03357A8F" w14:textId="77777777" w:rsidR="00C75312" w:rsidRDefault="00BB293A">
            <w:pPr>
              <w:pStyle w:val="TableParagraph"/>
              <w:ind w:left="130"/>
              <w:rPr>
                <w:sz w:val="20"/>
              </w:rPr>
            </w:pPr>
            <w:r>
              <w:rPr>
                <w:sz w:val="20"/>
              </w:rPr>
              <w:t>Sample size</w:t>
            </w:r>
          </w:p>
        </w:tc>
        <w:tc>
          <w:tcPr>
            <w:tcW w:w="2107" w:type="dxa"/>
            <w:tcBorders>
              <w:top w:val="single" w:sz="4" w:space="0" w:color="000000"/>
            </w:tcBorders>
          </w:tcPr>
          <w:p w14:paraId="35AB6830" w14:textId="77777777" w:rsidR="00C75312" w:rsidRDefault="00BB293A">
            <w:pPr>
              <w:pStyle w:val="TableParagraph"/>
              <w:ind w:left="132"/>
              <w:rPr>
                <w:sz w:val="20"/>
              </w:rPr>
            </w:pPr>
            <w:r>
              <w:rPr>
                <w:sz w:val="20"/>
              </w:rPr>
              <w:t>Mean age (range) per</w:t>
            </w:r>
          </w:p>
        </w:tc>
        <w:tc>
          <w:tcPr>
            <w:tcW w:w="1997" w:type="dxa"/>
            <w:tcBorders>
              <w:top w:val="single" w:sz="4" w:space="0" w:color="000000"/>
            </w:tcBorders>
          </w:tcPr>
          <w:p w14:paraId="0BC8C1AD" w14:textId="77777777" w:rsidR="00C75312" w:rsidRDefault="00BB293A">
            <w:pPr>
              <w:pStyle w:val="TableParagraph"/>
              <w:ind w:left="132"/>
              <w:rPr>
                <w:sz w:val="20"/>
              </w:rPr>
            </w:pPr>
            <w:r>
              <w:rPr>
                <w:sz w:val="20"/>
              </w:rPr>
              <w:t>Ongoing task</w:t>
            </w:r>
          </w:p>
        </w:tc>
        <w:tc>
          <w:tcPr>
            <w:tcW w:w="1357" w:type="dxa"/>
            <w:tcBorders>
              <w:top w:val="single" w:sz="4" w:space="0" w:color="000000"/>
            </w:tcBorders>
          </w:tcPr>
          <w:p w14:paraId="2FBAB1DC" w14:textId="77777777" w:rsidR="00C75312" w:rsidRDefault="00BB293A">
            <w:pPr>
              <w:pStyle w:val="TableParagraph"/>
              <w:ind w:left="127"/>
              <w:rPr>
                <w:sz w:val="20"/>
              </w:rPr>
            </w:pPr>
            <w:r>
              <w:rPr>
                <w:sz w:val="20"/>
              </w:rPr>
              <w:t># of PM trials</w:t>
            </w:r>
          </w:p>
        </w:tc>
        <w:tc>
          <w:tcPr>
            <w:tcW w:w="943" w:type="dxa"/>
            <w:tcBorders>
              <w:top w:val="single" w:sz="4" w:space="0" w:color="000000"/>
            </w:tcBorders>
          </w:tcPr>
          <w:p w14:paraId="28461E9D" w14:textId="77777777" w:rsidR="00C75312" w:rsidRDefault="00BB293A">
            <w:pPr>
              <w:pStyle w:val="TableParagraph"/>
              <w:ind w:left="119"/>
              <w:rPr>
                <w:sz w:val="20"/>
              </w:rPr>
            </w:pPr>
            <w:r>
              <w:rPr>
                <w:sz w:val="20"/>
              </w:rPr>
              <w:t># of PM</w:t>
            </w:r>
          </w:p>
        </w:tc>
        <w:tc>
          <w:tcPr>
            <w:tcW w:w="1069" w:type="dxa"/>
            <w:tcBorders>
              <w:top w:val="single" w:sz="4" w:space="0" w:color="000000"/>
            </w:tcBorders>
          </w:tcPr>
          <w:p w14:paraId="251130C6" w14:textId="77777777" w:rsidR="00C75312" w:rsidRDefault="00BB293A">
            <w:pPr>
              <w:pStyle w:val="TableParagraph"/>
              <w:ind w:left="112"/>
              <w:rPr>
                <w:sz w:val="20"/>
              </w:rPr>
            </w:pPr>
            <w:r>
              <w:rPr>
                <w:sz w:val="20"/>
              </w:rPr>
              <w:t>Focality</w:t>
            </w:r>
          </w:p>
        </w:tc>
        <w:tc>
          <w:tcPr>
            <w:tcW w:w="1090" w:type="dxa"/>
            <w:tcBorders>
              <w:top w:val="single" w:sz="4" w:space="0" w:color="000000"/>
            </w:tcBorders>
          </w:tcPr>
          <w:p w14:paraId="1F88D733" w14:textId="77777777" w:rsidR="00C75312" w:rsidRDefault="00C75312">
            <w:pPr>
              <w:pStyle w:val="TableParagraph"/>
              <w:rPr>
                <w:sz w:val="18"/>
              </w:rPr>
            </w:pPr>
          </w:p>
        </w:tc>
        <w:tc>
          <w:tcPr>
            <w:tcW w:w="2149" w:type="dxa"/>
            <w:tcBorders>
              <w:top w:val="single" w:sz="4" w:space="0" w:color="000000"/>
            </w:tcBorders>
          </w:tcPr>
          <w:p w14:paraId="5FB48D00" w14:textId="77777777" w:rsidR="00C75312" w:rsidRDefault="00C75312">
            <w:pPr>
              <w:pStyle w:val="TableParagraph"/>
              <w:rPr>
                <w:sz w:val="18"/>
              </w:rPr>
            </w:pPr>
          </w:p>
        </w:tc>
      </w:tr>
      <w:tr w:rsidR="00C75312" w14:paraId="785F2BDD" w14:textId="77777777">
        <w:trPr>
          <w:trHeight w:val="478"/>
        </w:trPr>
        <w:tc>
          <w:tcPr>
            <w:tcW w:w="1314" w:type="dxa"/>
            <w:tcBorders>
              <w:bottom w:val="single" w:sz="4" w:space="0" w:color="000000"/>
            </w:tcBorders>
          </w:tcPr>
          <w:p w14:paraId="7F9B1DB7" w14:textId="77777777" w:rsidR="00C75312" w:rsidRDefault="00C75312">
            <w:pPr>
              <w:pStyle w:val="TableParagraph"/>
              <w:rPr>
                <w:sz w:val="18"/>
              </w:rPr>
            </w:pPr>
          </w:p>
        </w:tc>
        <w:tc>
          <w:tcPr>
            <w:tcW w:w="1990" w:type="dxa"/>
            <w:tcBorders>
              <w:bottom w:val="single" w:sz="4" w:space="0" w:color="000000"/>
            </w:tcBorders>
          </w:tcPr>
          <w:p w14:paraId="7CCFF8FA" w14:textId="77777777" w:rsidR="00C75312" w:rsidRDefault="00BB293A">
            <w:pPr>
              <w:pStyle w:val="TableParagraph"/>
              <w:spacing w:before="56"/>
              <w:ind w:left="130"/>
              <w:rPr>
                <w:sz w:val="20"/>
              </w:rPr>
            </w:pPr>
            <w:r>
              <w:rPr>
                <w:sz w:val="20"/>
              </w:rPr>
              <w:t>(male per group)</w:t>
            </w:r>
          </w:p>
        </w:tc>
        <w:tc>
          <w:tcPr>
            <w:tcW w:w="2107" w:type="dxa"/>
            <w:tcBorders>
              <w:bottom w:val="single" w:sz="4" w:space="0" w:color="000000"/>
            </w:tcBorders>
          </w:tcPr>
          <w:p w14:paraId="518F86A1" w14:textId="77777777" w:rsidR="00C75312" w:rsidRDefault="00BB293A">
            <w:pPr>
              <w:pStyle w:val="TableParagraph"/>
              <w:spacing w:before="13"/>
              <w:ind w:left="132"/>
              <w:rPr>
                <w:sz w:val="20"/>
              </w:rPr>
            </w:pPr>
            <w:r>
              <w:rPr>
                <w:sz w:val="20"/>
              </w:rPr>
              <w:t>group</w:t>
            </w:r>
          </w:p>
        </w:tc>
        <w:tc>
          <w:tcPr>
            <w:tcW w:w="1997" w:type="dxa"/>
            <w:tcBorders>
              <w:bottom w:val="single" w:sz="4" w:space="0" w:color="000000"/>
            </w:tcBorders>
          </w:tcPr>
          <w:p w14:paraId="0A2CB96A" w14:textId="77777777" w:rsidR="00C75312" w:rsidRDefault="00C75312">
            <w:pPr>
              <w:pStyle w:val="TableParagraph"/>
              <w:rPr>
                <w:sz w:val="18"/>
              </w:rPr>
            </w:pPr>
          </w:p>
        </w:tc>
        <w:tc>
          <w:tcPr>
            <w:tcW w:w="1357" w:type="dxa"/>
            <w:tcBorders>
              <w:bottom w:val="single" w:sz="4" w:space="0" w:color="000000"/>
            </w:tcBorders>
          </w:tcPr>
          <w:p w14:paraId="70D1D2B3" w14:textId="77777777" w:rsidR="00C75312" w:rsidRDefault="00C75312">
            <w:pPr>
              <w:pStyle w:val="TableParagraph"/>
              <w:rPr>
                <w:sz w:val="18"/>
              </w:rPr>
            </w:pPr>
          </w:p>
        </w:tc>
        <w:tc>
          <w:tcPr>
            <w:tcW w:w="943" w:type="dxa"/>
            <w:tcBorders>
              <w:bottom w:val="single" w:sz="4" w:space="0" w:color="000000"/>
            </w:tcBorders>
          </w:tcPr>
          <w:p w14:paraId="3C8D09E6" w14:textId="77777777" w:rsidR="00C75312" w:rsidRDefault="00BB293A">
            <w:pPr>
              <w:pStyle w:val="TableParagraph"/>
              <w:spacing w:before="13"/>
              <w:ind w:left="119"/>
              <w:rPr>
                <w:sz w:val="20"/>
              </w:rPr>
            </w:pPr>
            <w:r>
              <w:rPr>
                <w:sz w:val="20"/>
              </w:rPr>
              <w:t>cues</w:t>
            </w:r>
          </w:p>
        </w:tc>
        <w:tc>
          <w:tcPr>
            <w:tcW w:w="1069" w:type="dxa"/>
            <w:tcBorders>
              <w:bottom w:val="single" w:sz="4" w:space="0" w:color="000000"/>
            </w:tcBorders>
          </w:tcPr>
          <w:p w14:paraId="09C1938D" w14:textId="77777777" w:rsidR="00C75312" w:rsidRDefault="00BB293A">
            <w:pPr>
              <w:pStyle w:val="TableParagraph"/>
              <w:spacing w:before="13"/>
              <w:ind w:left="112"/>
              <w:rPr>
                <w:sz w:val="20"/>
              </w:rPr>
            </w:pPr>
            <w:r>
              <w:rPr>
                <w:sz w:val="20"/>
              </w:rPr>
              <w:t>of PM cue</w:t>
            </w:r>
          </w:p>
        </w:tc>
        <w:tc>
          <w:tcPr>
            <w:tcW w:w="1090" w:type="dxa"/>
            <w:tcBorders>
              <w:bottom w:val="single" w:sz="4" w:space="0" w:color="000000"/>
            </w:tcBorders>
          </w:tcPr>
          <w:p w14:paraId="62463747" w14:textId="77777777" w:rsidR="00C75312" w:rsidRDefault="00C75312">
            <w:pPr>
              <w:pStyle w:val="TableParagraph"/>
              <w:rPr>
                <w:sz w:val="18"/>
              </w:rPr>
            </w:pPr>
          </w:p>
        </w:tc>
        <w:tc>
          <w:tcPr>
            <w:tcW w:w="2149" w:type="dxa"/>
            <w:tcBorders>
              <w:bottom w:val="single" w:sz="4" w:space="0" w:color="000000"/>
            </w:tcBorders>
          </w:tcPr>
          <w:p w14:paraId="3AC37B54" w14:textId="77777777" w:rsidR="00C75312" w:rsidRDefault="00C75312">
            <w:pPr>
              <w:pStyle w:val="TableParagraph"/>
              <w:rPr>
                <w:sz w:val="18"/>
              </w:rPr>
            </w:pPr>
          </w:p>
        </w:tc>
      </w:tr>
      <w:tr w:rsidR="00C75312" w14:paraId="275E2AFC" w14:textId="77777777">
        <w:trPr>
          <w:trHeight w:val="250"/>
        </w:trPr>
        <w:tc>
          <w:tcPr>
            <w:tcW w:w="1314" w:type="dxa"/>
            <w:tcBorders>
              <w:top w:val="single" w:sz="4" w:space="0" w:color="000000"/>
            </w:tcBorders>
          </w:tcPr>
          <w:p w14:paraId="7622C221" w14:textId="77777777" w:rsidR="00C75312" w:rsidRDefault="00BB293A">
            <w:pPr>
              <w:pStyle w:val="TableParagraph"/>
              <w:ind w:left="134"/>
              <w:rPr>
                <w:sz w:val="20"/>
              </w:rPr>
            </w:pPr>
            <w:proofErr w:type="spellStart"/>
            <w:r>
              <w:rPr>
                <w:sz w:val="20"/>
              </w:rPr>
              <w:t>Altgassen</w:t>
            </w:r>
            <w:proofErr w:type="spellEnd"/>
            <w:r>
              <w:rPr>
                <w:sz w:val="20"/>
              </w:rPr>
              <w:t xml:space="preserve"> et</w:t>
            </w:r>
          </w:p>
        </w:tc>
        <w:tc>
          <w:tcPr>
            <w:tcW w:w="1990" w:type="dxa"/>
            <w:tcBorders>
              <w:top w:val="single" w:sz="4" w:space="0" w:color="000000"/>
            </w:tcBorders>
          </w:tcPr>
          <w:p w14:paraId="2E7E6E24" w14:textId="77777777" w:rsidR="00C75312" w:rsidRDefault="00BB293A">
            <w:pPr>
              <w:pStyle w:val="TableParagraph"/>
              <w:spacing w:line="231" w:lineRule="exact"/>
              <w:ind w:left="130"/>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19 (18 male)</w:t>
            </w:r>
          </w:p>
        </w:tc>
        <w:tc>
          <w:tcPr>
            <w:tcW w:w="2107" w:type="dxa"/>
            <w:tcBorders>
              <w:top w:val="single" w:sz="4" w:space="0" w:color="000000"/>
            </w:tcBorders>
          </w:tcPr>
          <w:p w14:paraId="4354222F" w14:textId="77777777" w:rsidR="00C75312" w:rsidRDefault="00BB293A">
            <w:pPr>
              <w:pStyle w:val="TableParagraph"/>
              <w:ind w:left="132"/>
              <w:rPr>
                <w:sz w:val="20"/>
              </w:rPr>
            </w:pPr>
            <w:r>
              <w:rPr>
                <w:sz w:val="20"/>
              </w:rPr>
              <w:t>ASD: 10.6 (7–20)</w:t>
            </w:r>
          </w:p>
        </w:tc>
        <w:tc>
          <w:tcPr>
            <w:tcW w:w="1997" w:type="dxa"/>
            <w:tcBorders>
              <w:top w:val="single" w:sz="4" w:space="0" w:color="000000"/>
            </w:tcBorders>
          </w:tcPr>
          <w:p w14:paraId="0DB04D61" w14:textId="77777777" w:rsidR="00C75312" w:rsidRDefault="00BB293A">
            <w:pPr>
              <w:pStyle w:val="TableParagraph"/>
              <w:ind w:left="132"/>
              <w:rPr>
                <w:sz w:val="20"/>
              </w:rPr>
            </w:pPr>
            <w:r>
              <w:rPr>
                <w:sz w:val="20"/>
              </w:rPr>
              <w:t>Visuospatial working</w:t>
            </w:r>
          </w:p>
        </w:tc>
        <w:tc>
          <w:tcPr>
            <w:tcW w:w="1357" w:type="dxa"/>
            <w:tcBorders>
              <w:top w:val="single" w:sz="4" w:space="0" w:color="000000"/>
            </w:tcBorders>
          </w:tcPr>
          <w:p w14:paraId="3F952FB8" w14:textId="77777777" w:rsidR="00C75312" w:rsidRDefault="00BB293A">
            <w:pPr>
              <w:pStyle w:val="TableParagraph"/>
              <w:ind w:left="127"/>
              <w:rPr>
                <w:sz w:val="20"/>
              </w:rPr>
            </w:pPr>
            <w:r>
              <w:rPr>
                <w:sz w:val="20"/>
              </w:rPr>
              <w:t>5 trials</w:t>
            </w:r>
          </w:p>
        </w:tc>
        <w:tc>
          <w:tcPr>
            <w:tcW w:w="943" w:type="dxa"/>
            <w:tcBorders>
              <w:top w:val="single" w:sz="4" w:space="0" w:color="000000"/>
            </w:tcBorders>
          </w:tcPr>
          <w:p w14:paraId="5954897F" w14:textId="77777777" w:rsidR="00C75312" w:rsidRDefault="00BB293A">
            <w:pPr>
              <w:pStyle w:val="TableParagraph"/>
              <w:ind w:left="119"/>
              <w:rPr>
                <w:sz w:val="20"/>
              </w:rPr>
            </w:pPr>
            <w:r>
              <w:rPr>
                <w:sz w:val="20"/>
              </w:rPr>
              <w:t>1</w:t>
            </w:r>
          </w:p>
        </w:tc>
        <w:tc>
          <w:tcPr>
            <w:tcW w:w="1069" w:type="dxa"/>
            <w:tcBorders>
              <w:top w:val="single" w:sz="4" w:space="0" w:color="000000"/>
            </w:tcBorders>
          </w:tcPr>
          <w:p w14:paraId="1B2BBD4F" w14:textId="77777777" w:rsidR="00C75312" w:rsidRDefault="00BB293A">
            <w:pPr>
              <w:pStyle w:val="TableParagraph"/>
              <w:ind w:left="112"/>
              <w:rPr>
                <w:sz w:val="20"/>
              </w:rPr>
            </w:pPr>
            <w:r>
              <w:rPr>
                <w:sz w:val="20"/>
              </w:rPr>
              <w:t>Non-focal</w:t>
            </w:r>
          </w:p>
        </w:tc>
        <w:tc>
          <w:tcPr>
            <w:tcW w:w="1090" w:type="dxa"/>
            <w:tcBorders>
              <w:top w:val="single" w:sz="4" w:space="0" w:color="000000"/>
            </w:tcBorders>
          </w:tcPr>
          <w:p w14:paraId="780A2FF3" w14:textId="77777777" w:rsidR="00C75312" w:rsidRDefault="00BB293A">
            <w:pPr>
              <w:pStyle w:val="TableParagraph"/>
              <w:ind w:left="118"/>
              <w:rPr>
                <w:sz w:val="20"/>
              </w:rPr>
            </w:pPr>
            <w:r>
              <w:rPr>
                <w:sz w:val="20"/>
              </w:rPr>
              <w:t>No</w:t>
            </w:r>
          </w:p>
        </w:tc>
        <w:tc>
          <w:tcPr>
            <w:tcW w:w="2149" w:type="dxa"/>
            <w:tcBorders>
              <w:top w:val="single" w:sz="4" w:space="0" w:color="000000"/>
            </w:tcBorders>
          </w:tcPr>
          <w:p w14:paraId="39DE7C95" w14:textId="77777777" w:rsidR="00C75312" w:rsidRDefault="00BB293A">
            <w:pPr>
              <w:pStyle w:val="TableParagraph"/>
              <w:ind w:left="108"/>
              <w:rPr>
                <w:sz w:val="20"/>
              </w:rPr>
            </w:pPr>
            <w:r>
              <w:rPr>
                <w:sz w:val="20"/>
              </w:rPr>
              <w:t>No (</w:t>
            </w:r>
            <w:r>
              <w:rPr>
                <w:i/>
                <w:sz w:val="20"/>
              </w:rPr>
              <w:t xml:space="preserve">g </w:t>
            </w:r>
            <w:r>
              <w:rPr>
                <w:sz w:val="20"/>
              </w:rPr>
              <w:t>= -0.25)</w:t>
            </w:r>
          </w:p>
        </w:tc>
      </w:tr>
      <w:tr w:rsidR="00C75312" w14:paraId="13B39F11" w14:textId="77777777">
        <w:trPr>
          <w:trHeight w:val="382"/>
        </w:trPr>
        <w:tc>
          <w:tcPr>
            <w:tcW w:w="1314" w:type="dxa"/>
            <w:tcBorders>
              <w:bottom w:val="single" w:sz="4" w:space="0" w:color="000000"/>
            </w:tcBorders>
          </w:tcPr>
          <w:p w14:paraId="62A3CAA1" w14:textId="77777777" w:rsidR="00C75312" w:rsidRDefault="00BB293A">
            <w:pPr>
              <w:pStyle w:val="TableParagraph"/>
              <w:spacing w:before="13"/>
              <w:ind w:left="134"/>
              <w:rPr>
                <w:sz w:val="20"/>
              </w:rPr>
            </w:pPr>
            <w:r>
              <w:rPr>
                <w:sz w:val="20"/>
              </w:rPr>
              <w:t>al., 2010</w:t>
            </w:r>
          </w:p>
        </w:tc>
        <w:tc>
          <w:tcPr>
            <w:tcW w:w="1990" w:type="dxa"/>
            <w:tcBorders>
              <w:bottom w:val="single" w:sz="4" w:space="0" w:color="000000"/>
            </w:tcBorders>
          </w:tcPr>
          <w:p w14:paraId="40A16E76" w14:textId="77777777" w:rsidR="00C75312" w:rsidRDefault="00BB293A">
            <w:pPr>
              <w:pStyle w:val="TableParagraph"/>
              <w:spacing w:before="51"/>
              <w:ind w:left="130"/>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19 (16 male)</w:t>
            </w:r>
          </w:p>
        </w:tc>
        <w:tc>
          <w:tcPr>
            <w:tcW w:w="2107" w:type="dxa"/>
            <w:tcBorders>
              <w:bottom w:val="single" w:sz="4" w:space="0" w:color="000000"/>
            </w:tcBorders>
          </w:tcPr>
          <w:p w14:paraId="0C1774E5" w14:textId="77777777" w:rsidR="00C75312" w:rsidRDefault="00BB293A">
            <w:pPr>
              <w:pStyle w:val="TableParagraph"/>
              <w:spacing w:before="51"/>
              <w:ind w:left="132"/>
              <w:rPr>
                <w:sz w:val="20"/>
              </w:rPr>
            </w:pPr>
            <w:r>
              <w:rPr>
                <w:sz w:val="20"/>
              </w:rPr>
              <w:t>NT: 10.6 (7–20)</w:t>
            </w:r>
          </w:p>
        </w:tc>
        <w:tc>
          <w:tcPr>
            <w:tcW w:w="1997" w:type="dxa"/>
            <w:tcBorders>
              <w:bottom w:val="single" w:sz="4" w:space="0" w:color="000000"/>
            </w:tcBorders>
          </w:tcPr>
          <w:p w14:paraId="7AEC285D" w14:textId="77777777" w:rsidR="00C75312" w:rsidRDefault="00BB293A">
            <w:pPr>
              <w:pStyle w:val="TableParagraph"/>
              <w:spacing w:before="13"/>
              <w:ind w:left="132"/>
              <w:rPr>
                <w:sz w:val="20"/>
              </w:rPr>
            </w:pPr>
            <w:r>
              <w:rPr>
                <w:sz w:val="20"/>
              </w:rPr>
              <w:t>memory task</w:t>
            </w:r>
          </w:p>
        </w:tc>
        <w:tc>
          <w:tcPr>
            <w:tcW w:w="1357" w:type="dxa"/>
            <w:tcBorders>
              <w:bottom w:val="single" w:sz="4" w:space="0" w:color="000000"/>
            </w:tcBorders>
          </w:tcPr>
          <w:p w14:paraId="50D57A4F" w14:textId="77777777" w:rsidR="00C75312" w:rsidRDefault="00C75312">
            <w:pPr>
              <w:pStyle w:val="TableParagraph"/>
              <w:rPr>
                <w:sz w:val="18"/>
              </w:rPr>
            </w:pPr>
          </w:p>
        </w:tc>
        <w:tc>
          <w:tcPr>
            <w:tcW w:w="943" w:type="dxa"/>
            <w:tcBorders>
              <w:bottom w:val="single" w:sz="4" w:space="0" w:color="000000"/>
            </w:tcBorders>
          </w:tcPr>
          <w:p w14:paraId="28C212B9" w14:textId="77777777" w:rsidR="00C75312" w:rsidRDefault="00C75312">
            <w:pPr>
              <w:pStyle w:val="TableParagraph"/>
              <w:rPr>
                <w:sz w:val="18"/>
              </w:rPr>
            </w:pPr>
          </w:p>
        </w:tc>
        <w:tc>
          <w:tcPr>
            <w:tcW w:w="1069" w:type="dxa"/>
            <w:tcBorders>
              <w:bottom w:val="single" w:sz="4" w:space="0" w:color="000000"/>
            </w:tcBorders>
          </w:tcPr>
          <w:p w14:paraId="38551DDF" w14:textId="77777777" w:rsidR="00C75312" w:rsidRDefault="00C75312">
            <w:pPr>
              <w:pStyle w:val="TableParagraph"/>
              <w:rPr>
                <w:sz w:val="18"/>
              </w:rPr>
            </w:pPr>
          </w:p>
        </w:tc>
        <w:tc>
          <w:tcPr>
            <w:tcW w:w="1090" w:type="dxa"/>
            <w:tcBorders>
              <w:bottom w:val="single" w:sz="4" w:space="0" w:color="000000"/>
            </w:tcBorders>
          </w:tcPr>
          <w:p w14:paraId="3467C59C" w14:textId="77777777" w:rsidR="00C75312" w:rsidRDefault="00C75312">
            <w:pPr>
              <w:pStyle w:val="TableParagraph"/>
              <w:rPr>
                <w:sz w:val="18"/>
              </w:rPr>
            </w:pPr>
          </w:p>
        </w:tc>
        <w:tc>
          <w:tcPr>
            <w:tcW w:w="2149" w:type="dxa"/>
            <w:tcBorders>
              <w:bottom w:val="single" w:sz="4" w:space="0" w:color="000000"/>
            </w:tcBorders>
          </w:tcPr>
          <w:p w14:paraId="0C14C419" w14:textId="77777777" w:rsidR="00C75312" w:rsidRDefault="00C75312">
            <w:pPr>
              <w:pStyle w:val="TableParagraph"/>
              <w:rPr>
                <w:sz w:val="18"/>
              </w:rPr>
            </w:pPr>
          </w:p>
        </w:tc>
      </w:tr>
      <w:tr w:rsidR="00C75312" w14:paraId="0C6A00F5" w14:textId="77777777">
        <w:trPr>
          <w:trHeight w:val="250"/>
        </w:trPr>
        <w:tc>
          <w:tcPr>
            <w:tcW w:w="1314" w:type="dxa"/>
            <w:tcBorders>
              <w:top w:val="single" w:sz="4" w:space="0" w:color="000000"/>
            </w:tcBorders>
          </w:tcPr>
          <w:p w14:paraId="6CEA1A8D" w14:textId="77777777" w:rsidR="00C75312" w:rsidRDefault="00BB293A">
            <w:pPr>
              <w:pStyle w:val="TableParagraph"/>
              <w:ind w:left="134"/>
              <w:rPr>
                <w:sz w:val="20"/>
              </w:rPr>
            </w:pPr>
            <w:proofErr w:type="spellStart"/>
            <w:r>
              <w:rPr>
                <w:sz w:val="20"/>
              </w:rPr>
              <w:t>Brandimonte</w:t>
            </w:r>
            <w:proofErr w:type="spellEnd"/>
          </w:p>
        </w:tc>
        <w:tc>
          <w:tcPr>
            <w:tcW w:w="1990" w:type="dxa"/>
            <w:tcBorders>
              <w:top w:val="single" w:sz="4" w:space="0" w:color="000000"/>
            </w:tcBorders>
          </w:tcPr>
          <w:p w14:paraId="6C098915" w14:textId="77777777" w:rsidR="00C75312" w:rsidRDefault="00BB293A">
            <w:pPr>
              <w:pStyle w:val="TableParagraph"/>
              <w:spacing w:line="231" w:lineRule="exact"/>
              <w:ind w:left="130"/>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30 (21 male)</w:t>
            </w:r>
          </w:p>
        </w:tc>
        <w:tc>
          <w:tcPr>
            <w:tcW w:w="2107" w:type="dxa"/>
            <w:tcBorders>
              <w:top w:val="single" w:sz="4" w:space="0" w:color="000000"/>
            </w:tcBorders>
          </w:tcPr>
          <w:p w14:paraId="44DCE031" w14:textId="77777777" w:rsidR="00C75312" w:rsidRDefault="00BB293A">
            <w:pPr>
              <w:pStyle w:val="TableParagraph"/>
              <w:ind w:left="132"/>
              <w:rPr>
                <w:sz w:val="20"/>
              </w:rPr>
            </w:pPr>
            <w:r>
              <w:rPr>
                <w:sz w:val="20"/>
              </w:rPr>
              <w:t>ASD: 8.25 (6–12)</w:t>
            </w:r>
          </w:p>
        </w:tc>
        <w:tc>
          <w:tcPr>
            <w:tcW w:w="1997" w:type="dxa"/>
            <w:tcBorders>
              <w:top w:val="single" w:sz="4" w:space="0" w:color="000000"/>
            </w:tcBorders>
          </w:tcPr>
          <w:p w14:paraId="6891917D" w14:textId="77777777" w:rsidR="00C75312" w:rsidRDefault="00BB293A">
            <w:pPr>
              <w:pStyle w:val="TableParagraph"/>
              <w:ind w:left="132"/>
              <w:rPr>
                <w:sz w:val="20"/>
              </w:rPr>
            </w:pPr>
            <w:proofErr w:type="spellStart"/>
            <w:r>
              <w:rPr>
                <w:sz w:val="20"/>
              </w:rPr>
              <w:t>Categorisation</w:t>
            </w:r>
            <w:proofErr w:type="spellEnd"/>
            <w:r>
              <w:rPr>
                <w:sz w:val="20"/>
              </w:rPr>
              <w:t xml:space="preserve"> of</w:t>
            </w:r>
          </w:p>
        </w:tc>
        <w:tc>
          <w:tcPr>
            <w:tcW w:w="1357" w:type="dxa"/>
            <w:tcBorders>
              <w:top w:val="single" w:sz="4" w:space="0" w:color="000000"/>
            </w:tcBorders>
          </w:tcPr>
          <w:p w14:paraId="33875282" w14:textId="77777777" w:rsidR="00C75312" w:rsidRDefault="00BB293A">
            <w:pPr>
              <w:pStyle w:val="TableParagraph"/>
              <w:ind w:left="127"/>
              <w:rPr>
                <w:sz w:val="20"/>
              </w:rPr>
            </w:pPr>
            <w:r>
              <w:rPr>
                <w:sz w:val="20"/>
              </w:rPr>
              <w:t>8 trials</w:t>
            </w:r>
          </w:p>
        </w:tc>
        <w:tc>
          <w:tcPr>
            <w:tcW w:w="943" w:type="dxa"/>
            <w:tcBorders>
              <w:top w:val="single" w:sz="4" w:space="0" w:color="000000"/>
            </w:tcBorders>
          </w:tcPr>
          <w:p w14:paraId="697526DB" w14:textId="77777777" w:rsidR="00C75312" w:rsidRDefault="00BB293A">
            <w:pPr>
              <w:pStyle w:val="TableParagraph"/>
              <w:ind w:left="119"/>
              <w:rPr>
                <w:sz w:val="20"/>
              </w:rPr>
            </w:pPr>
            <w:r>
              <w:rPr>
                <w:sz w:val="20"/>
              </w:rPr>
              <w:t>2</w:t>
            </w:r>
          </w:p>
        </w:tc>
        <w:tc>
          <w:tcPr>
            <w:tcW w:w="1069" w:type="dxa"/>
            <w:tcBorders>
              <w:top w:val="single" w:sz="4" w:space="0" w:color="000000"/>
            </w:tcBorders>
          </w:tcPr>
          <w:p w14:paraId="4E609366" w14:textId="77777777" w:rsidR="00C75312" w:rsidRDefault="00BB293A">
            <w:pPr>
              <w:pStyle w:val="TableParagraph"/>
              <w:ind w:left="112"/>
              <w:rPr>
                <w:sz w:val="20"/>
              </w:rPr>
            </w:pPr>
            <w:r>
              <w:rPr>
                <w:sz w:val="20"/>
              </w:rPr>
              <w:t>Focal</w:t>
            </w:r>
          </w:p>
        </w:tc>
        <w:tc>
          <w:tcPr>
            <w:tcW w:w="1090" w:type="dxa"/>
            <w:tcBorders>
              <w:top w:val="single" w:sz="4" w:space="0" w:color="000000"/>
            </w:tcBorders>
          </w:tcPr>
          <w:p w14:paraId="6A0382D9" w14:textId="77777777" w:rsidR="00C75312" w:rsidRDefault="00BB293A">
            <w:pPr>
              <w:pStyle w:val="TableParagraph"/>
              <w:ind w:left="118"/>
              <w:rPr>
                <w:sz w:val="20"/>
              </w:rPr>
            </w:pPr>
            <w:r>
              <w:rPr>
                <w:sz w:val="20"/>
              </w:rPr>
              <w:t>No</w:t>
            </w:r>
          </w:p>
        </w:tc>
        <w:tc>
          <w:tcPr>
            <w:tcW w:w="2149" w:type="dxa"/>
            <w:tcBorders>
              <w:top w:val="single" w:sz="4" w:space="0" w:color="000000"/>
            </w:tcBorders>
          </w:tcPr>
          <w:p w14:paraId="23BFB406" w14:textId="77777777" w:rsidR="00C75312" w:rsidRDefault="00BB293A">
            <w:pPr>
              <w:pStyle w:val="TableParagraph"/>
              <w:ind w:left="108"/>
              <w:rPr>
                <w:sz w:val="20"/>
              </w:rPr>
            </w:pPr>
            <w:r>
              <w:rPr>
                <w:sz w:val="20"/>
              </w:rPr>
              <w:t>Yes (</w:t>
            </w:r>
            <w:r>
              <w:rPr>
                <w:i/>
                <w:sz w:val="20"/>
              </w:rPr>
              <w:t xml:space="preserve">g </w:t>
            </w:r>
            <w:r>
              <w:rPr>
                <w:sz w:val="20"/>
              </w:rPr>
              <w:t>= -0.96, post-</w:t>
            </w:r>
          </w:p>
        </w:tc>
      </w:tr>
      <w:tr w:rsidR="00C75312" w14:paraId="00761904" w14:textId="77777777">
        <w:trPr>
          <w:trHeight w:val="583"/>
        </w:trPr>
        <w:tc>
          <w:tcPr>
            <w:tcW w:w="1314" w:type="dxa"/>
            <w:tcBorders>
              <w:bottom w:val="single" w:sz="4" w:space="0" w:color="000000"/>
            </w:tcBorders>
          </w:tcPr>
          <w:p w14:paraId="59B36203" w14:textId="77777777" w:rsidR="00C75312" w:rsidRDefault="00BB293A">
            <w:pPr>
              <w:pStyle w:val="TableParagraph"/>
              <w:spacing w:before="13"/>
              <w:ind w:left="134"/>
              <w:rPr>
                <w:sz w:val="20"/>
              </w:rPr>
            </w:pPr>
            <w:r>
              <w:rPr>
                <w:sz w:val="20"/>
              </w:rPr>
              <w:t>et al., 2011</w:t>
            </w:r>
          </w:p>
        </w:tc>
        <w:tc>
          <w:tcPr>
            <w:tcW w:w="1990" w:type="dxa"/>
            <w:tcBorders>
              <w:bottom w:val="single" w:sz="4" w:space="0" w:color="000000"/>
            </w:tcBorders>
          </w:tcPr>
          <w:p w14:paraId="51C3F0F8" w14:textId="77777777" w:rsidR="00C75312" w:rsidRDefault="00BB293A">
            <w:pPr>
              <w:pStyle w:val="TableParagraph"/>
              <w:spacing w:before="51"/>
              <w:ind w:left="130"/>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30 (21 male)</w:t>
            </w:r>
          </w:p>
        </w:tc>
        <w:tc>
          <w:tcPr>
            <w:tcW w:w="2107" w:type="dxa"/>
            <w:tcBorders>
              <w:bottom w:val="single" w:sz="4" w:space="0" w:color="000000"/>
            </w:tcBorders>
          </w:tcPr>
          <w:p w14:paraId="650038CD" w14:textId="77777777" w:rsidR="00C75312" w:rsidRDefault="00BB293A">
            <w:pPr>
              <w:pStyle w:val="TableParagraph"/>
              <w:spacing w:before="51"/>
              <w:ind w:left="132"/>
              <w:rPr>
                <w:sz w:val="20"/>
              </w:rPr>
            </w:pPr>
            <w:r>
              <w:rPr>
                <w:sz w:val="20"/>
              </w:rPr>
              <w:t>NT: 8.33 (ns.)</w:t>
            </w:r>
          </w:p>
        </w:tc>
        <w:tc>
          <w:tcPr>
            <w:tcW w:w="1997" w:type="dxa"/>
            <w:tcBorders>
              <w:bottom w:val="single" w:sz="4" w:space="0" w:color="000000"/>
            </w:tcBorders>
          </w:tcPr>
          <w:p w14:paraId="54900117" w14:textId="77777777" w:rsidR="00C75312" w:rsidRDefault="00BB293A">
            <w:pPr>
              <w:pStyle w:val="TableParagraph"/>
              <w:spacing w:before="13"/>
              <w:ind w:left="132"/>
              <w:rPr>
                <w:sz w:val="20"/>
              </w:rPr>
            </w:pPr>
            <w:r>
              <w:rPr>
                <w:sz w:val="20"/>
              </w:rPr>
              <w:t>pictorial images</w:t>
            </w:r>
          </w:p>
        </w:tc>
        <w:tc>
          <w:tcPr>
            <w:tcW w:w="1357" w:type="dxa"/>
            <w:tcBorders>
              <w:bottom w:val="single" w:sz="4" w:space="0" w:color="000000"/>
            </w:tcBorders>
          </w:tcPr>
          <w:p w14:paraId="3386A96C" w14:textId="77777777" w:rsidR="00C75312" w:rsidRDefault="00C75312">
            <w:pPr>
              <w:pStyle w:val="TableParagraph"/>
              <w:rPr>
                <w:sz w:val="18"/>
              </w:rPr>
            </w:pPr>
          </w:p>
        </w:tc>
        <w:tc>
          <w:tcPr>
            <w:tcW w:w="943" w:type="dxa"/>
            <w:tcBorders>
              <w:bottom w:val="single" w:sz="4" w:space="0" w:color="000000"/>
            </w:tcBorders>
          </w:tcPr>
          <w:p w14:paraId="501E5473" w14:textId="77777777" w:rsidR="00C75312" w:rsidRDefault="00C75312">
            <w:pPr>
              <w:pStyle w:val="TableParagraph"/>
              <w:rPr>
                <w:sz w:val="18"/>
              </w:rPr>
            </w:pPr>
          </w:p>
        </w:tc>
        <w:tc>
          <w:tcPr>
            <w:tcW w:w="1069" w:type="dxa"/>
            <w:tcBorders>
              <w:bottom w:val="single" w:sz="4" w:space="0" w:color="000000"/>
            </w:tcBorders>
          </w:tcPr>
          <w:p w14:paraId="369A8CCE" w14:textId="77777777" w:rsidR="00C75312" w:rsidRDefault="00C75312">
            <w:pPr>
              <w:pStyle w:val="TableParagraph"/>
              <w:rPr>
                <w:sz w:val="18"/>
              </w:rPr>
            </w:pPr>
          </w:p>
        </w:tc>
        <w:tc>
          <w:tcPr>
            <w:tcW w:w="1090" w:type="dxa"/>
            <w:tcBorders>
              <w:bottom w:val="single" w:sz="4" w:space="0" w:color="000000"/>
            </w:tcBorders>
          </w:tcPr>
          <w:p w14:paraId="62188A2F" w14:textId="77777777" w:rsidR="00C75312" w:rsidRDefault="00C75312">
            <w:pPr>
              <w:pStyle w:val="TableParagraph"/>
              <w:rPr>
                <w:sz w:val="18"/>
              </w:rPr>
            </w:pPr>
          </w:p>
        </w:tc>
        <w:tc>
          <w:tcPr>
            <w:tcW w:w="2149" w:type="dxa"/>
            <w:tcBorders>
              <w:bottom w:val="single" w:sz="4" w:space="0" w:color="000000"/>
            </w:tcBorders>
          </w:tcPr>
          <w:p w14:paraId="627A14A0" w14:textId="77777777" w:rsidR="00C75312" w:rsidRDefault="00BB293A">
            <w:pPr>
              <w:pStyle w:val="TableParagraph"/>
              <w:spacing w:before="13" w:line="276" w:lineRule="auto"/>
              <w:ind w:left="108" w:right="143"/>
              <w:rPr>
                <w:sz w:val="20"/>
              </w:rPr>
            </w:pPr>
            <w:r>
              <w:rPr>
                <w:sz w:val="20"/>
              </w:rPr>
              <w:t>hoc test, interaction not significant)</w:t>
            </w:r>
          </w:p>
        </w:tc>
      </w:tr>
      <w:tr w:rsidR="00C75312" w14:paraId="72AD8B34" w14:textId="77777777">
        <w:trPr>
          <w:trHeight w:val="250"/>
        </w:trPr>
        <w:tc>
          <w:tcPr>
            <w:tcW w:w="1314" w:type="dxa"/>
            <w:tcBorders>
              <w:top w:val="single" w:sz="4" w:space="0" w:color="000000"/>
            </w:tcBorders>
          </w:tcPr>
          <w:p w14:paraId="4DAA6E97" w14:textId="77777777" w:rsidR="00C75312" w:rsidRDefault="00BB293A">
            <w:pPr>
              <w:pStyle w:val="TableParagraph"/>
              <w:spacing w:line="225" w:lineRule="exact"/>
              <w:ind w:left="134"/>
              <w:rPr>
                <w:sz w:val="20"/>
              </w:rPr>
            </w:pPr>
            <w:r>
              <w:rPr>
                <w:sz w:val="20"/>
              </w:rPr>
              <w:t>Jones et al,</w:t>
            </w:r>
          </w:p>
        </w:tc>
        <w:tc>
          <w:tcPr>
            <w:tcW w:w="1990" w:type="dxa"/>
            <w:tcBorders>
              <w:top w:val="single" w:sz="4" w:space="0" w:color="000000"/>
            </w:tcBorders>
          </w:tcPr>
          <w:p w14:paraId="1E618348" w14:textId="77777777" w:rsidR="00C75312" w:rsidRDefault="00BB293A">
            <w:pPr>
              <w:pStyle w:val="TableParagraph"/>
              <w:spacing w:line="231" w:lineRule="exact"/>
              <w:ind w:left="130"/>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94 (85 male)</w:t>
            </w:r>
          </w:p>
        </w:tc>
        <w:tc>
          <w:tcPr>
            <w:tcW w:w="2107" w:type="dxa"/>
            <w:tcBorders>
              <w:top w:val="single" w:sz="4" w:space="0" w:color="000000"/>
            </w:tcBorders>
          </w:tcPr>
          <w:p w14:paraId="1DF619BB" w14:textId="77777777" w:rsidR="00C75312" w:rsidRDefault="00BB293A">
            <w:pPr>
              <w:pStyle w:val="TableParagraph"/>
              <w:ind w:left="132"/>
              <w:rPr>
                <w:sz w:val="20"/>
              </w:rPr>
            </w:pPr>
            <w:r>
              <w:rPr>
                <w:sz w:val="20"/>
              </w:rPr>
              <w:t>ASD: 15.5 (14.7–16.8)</w:t>
            </w:r>
          </w:p>
        </w:tc>
        <w:tc>
          <w:tcPr>
            <w:tcW w:w="1997" w:type="dxa"/>
            <w:tcBorders>
              <w:top w:val="single" w:sz="4" w:space="0" w:color="000000"/>
            </w:tcBorders>
          </w:tcPr>
          <w:p w14:paraId="0545D3BC" w14:textId="77777777" w:rsidR="00C75312" w:rsidRDefault="00BB293A">
            <w:pPr>
              <w:pStyle w:val="TableParagraph"/>
              <w:ind w:left="132"/>
              <w:rPr>
                <w:sz w:val="20"/>
              </w:rPr>
            </w:pPr>
            <w:proofErr w:type="spellStart"/>
            <w:r>
              <w:rPr>
                <w:sz w:val="20"/>
              </w:rPr>
              <w:t>Rivermead</w:t>
            </w:r>
            <w:proofErr w:type="spellEnd"/>
          </w:p>
        </w:tc>
        <w:tc>
          <w:tcPr>
            <w:tcW w:w="1357" w:type="dxa"/>
            <w:tcBorders>
              <w:top w:val="single" w:sz="4" w:space="0" w:color="000000"/>
            </w:tcBorders>
          </w:tcPr>
          <w:p w14:paraId="62D87AA2" w14:textId="77777777" w:rsidR="00C75312" w:rsidRDefault="00BB293A">
            <w:pPr>
              <w:pStyle w:val="TableParagraph"/>
              <w:ind w:left="127"/>
              <w:rPr>
                <w:sz w:val="20"/>
              </w:rPr>
            </w:pPr>
            <w:r>
              <w:rPr>
                <w:sz w:val="20"/>
              </w:rPr>
              <w:t>3 trials</w:t>
            </w:r>
          </w:p>
        </w:tc>
        <w:tc>
          <w:tcPr>
            <w:tcW w:w="943" w:type="dxa"/>
            <w:tcBorders>
              <w:top w:val="single" w:sz="4" w:space="0" w:color="000000"/>
            </w:tcBorders>
          </w:tcPr>
          <w:p w14:paraId="25E5808E" w14:textId="77777777" w:rsidR="00C75312" w:rsidRDefault="00BB293A">
            <w:pPr>
              <w:pStyle w:val="TableParagraph"/>
              <w:ind w:left="119"/>
              <w:rPr>
                <w:sz w:val="20"/>
              </w:rPr>
            </w:pPr>
            <w:r>
              <w:rPr>
                <w:sz w:val="20"/>
              </w:rPr>
              <w:t>1 per</w:t>
            </w:r>
          </w:p>
        </w:tc>
        <w:tc>
          <w:tcPr>
            <w:tcW w:w="1069" w:type="dxa"/>
            <w:tcBorders>
              <w:top w:val="single" w:sz="4" w:space="0" w:color="000000"/>
            </w:tcBorders>
          </w:tcPr>
          <w:p w14:paraId="70818A0B" w14:textId="77777777" w:rsidR="00C75312" w:rsidRDefault="00BB293A">
            <w:pPr>
              <w:pStyle w:val="TableParagraph"/>
              <w:ind w:left="112"/>
              <w:rPr>
                <w:sz w:val="20"/>
              </w:rPr>
            </w:pPr>
            <w:r>
              <w:rPr>
                <w:sz w:val="20"/>
              </w:rPr>
              <w:t>Focal</w:t>
            </w:r>
          </w:p>
        </w:tc>
        <w:tc>
          <w:tcPr>
            <w:tcW w:w="1090" w:type="dxa"/>
            <w:tcBorders>
              <w:top w:val="single" w:sz="4" w:space="0" w:color="000000"/>
            </w:tcBorders>
          </w:tcPr>
          <w:p w14:paraId="3499CC9F" w14:textId="77777777" w:rsidR="00C75312" w:rsidRDefault="00BB293A">
            <w:pPr>
              <w:pStyle w:val="TableParagraph"/>
              <w:ind w:left="118"/>
              <w:rPr>
                <w:sz w:val="20"/>
              </w:rPr>
            </w:pPr>
            <w:r>
              <w:rPr>
                <w:sz w:val="20"/>
              </w:rPr>
              <w:t>No</w:t>
            </w:r>
          </w:p>
        </w:tc>
        <w:tc>
          <w:tcPr>
            <w:tcW w:w="2149" w:type="dxa"/>
            <w:tcBorders>
              <w:top w:val="single" w:sz="4" w:space="0" w:color="000000"/>
            </w:tcBorders>
          </w:tcPr>
          <w:p w14:paraId="0B4BB6B9" w14:textId="77777777" w:rsidR="00C75312" w:rsidRDefault="00BB293A">
            <w:pPr>
              <w:pStyle w:val="TableParagraph"/>
              <w:ind w:left="108"/>
              <w:rPr>
                <w:sz w:val="20"/>
              </w:rPr>
            </w:pPr>
            <w:r>
              <w:rPr>
                <w:sz w:val="20"/>
              </w:rPr>
              <w:t>Yes (</w:t>
            </w:r>
            <w:r>
              <w:rPr>
                <w:i/>
                <w:sz w:val="20"/>
              </w:rPr>
              <w:t xml:space="preserve">g </w:t>
            </w:r>
            <w:r>
              <w:rPr>
                <w:sz w:val="20"/>
              </w:rPr>
              <w:t>= -0.41)</w:t>
            </w:r>
          </w:p>
        </w:tc>
      </w:tr>
      <w:tr w:rsidR="00C75312" w14:paraId="3C219E75" w14:textId="77777777">
        <w:trPr>
          <w:trHeight w:val="579"/>
        </w:trPr>
        <w:tc>
          <w:tcPr>
            <w:tcW w:w="1314" w:type="dxa"/>
            <w:tcBorders>
              <w:bottom w:val="single" w:sz="4" w:space="0" w:color="000000"/>
            </w:tcBorders>
          </w:tcPr>
          <w:p w14:paraId="06C24C58" w14:textId="77777777" w:rsidR="00C75312" w:rsidRDefault="00BB293A">
            <w:pPr>
              <w:pStyle w:val="TableParagraph"/>
              <w:spacing w:line="205" w:lineRule="exact"/>
              <w:ind w:left="134"/>
              <w:rPr>
                <w:sz w:val="20"/>
              </w:rPr>
            </w:pPr>
            <w:r>
              <w:rPr>
                <w:sz w:val="20"/>
              </w:rPr>
              <w:t>2011</w:t>
            </w:r>
          </w:p>
        </w:tc>
        <w:tc>
          <w:tcPr>
            <w:tcW w:w="1990" w:type="dxa"/>
            <w:tcBorders>
              <w:bottom w:val="single" w:sz="4" w:space="0" w:color="000000"/>
            </w:tcBorders>
          </w:tcPr>
          <w:p w14:paraId="66F78895" w14:textId="77777777" w:rsidR="00C75312" w:rsidRDefault="00BB293A">
            <w:pPr>
              <w:pStyle w:val="TableParagraph"/>
              <w:spacing w:before="17"/>
              <w:ind w:left="130"/>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55 (53 male)</w:t>
            </w:r>
          </w:p>
        </w:tc>
        <w:tc>
          <w:tcPr>
            <w:tcW w:w="2107" w:type="dxa"/>
            <w:tcBorders>
              <w:bottom w:val="single" w:sz="4" w:space="0" w:color="000000"/>
            </w:tcBorders>
          </w:tcPr>
          <w:p w14:paraId="413FBA4F" w14:textId="77777777" w:rsidR="00C75312" w:rsidRDefault="00BB293A">
            <w:pPr>
              <w:pStyle w:val="TableParagraph"/>
              <w:spacing w:before="51"/>
              <w:ind w:left="132"/>
              <w:rPr>
                <w:sz w:val="20"/>
              </w:rPr>
            </w:pPr>
            <w:r>
              <w:rPr>
                <w:sz w:val="20"/>
              </w:rPr>
              <w:t>NT: 15.5 (ns.)</w:t>
            </w:r>
          </w:p>
        </w:tc>
        <w:tc>
          <w:tcPr>
            <w:tcW w:w="1997" w:type="dxa"/>
            <w:tcBorders>
              <w:bottom w:val="single" w:sz="4" w:space="0" w:color="000000"/>
            </w:tcBorders>
          </w:tcPr>
          <w:p w14:paraId="44DB3E0B" w14:textId="77777777" w:rsidR="00C75312" w:rsidRDefault="00BB293A">
            <w:pPr>
              <w:pStyle w:val="TableParagraph"/>
              <w:spacing w:before="13" w:line="276" w:lineRule="auto"/>
              <w:ind w:left="132" w:right="128"/>
              <w:rPr>
                <w:sz w:val="20"/>
              </w:rPr>
            </w:pPr>
            <w:proofErr w:type="spellStart"/>
            <w:r>
              <w:rPr>
                <w:sz w:val="20"/>
              </w:rPr>
              <w:t>Behavioural</w:t>
            </w:r>
            <w:proofErr w:type="spellEnd"/>
            <w:r>
              <w:rPr>
                <w:sz w:val="20"/>
              </w:rPr>
              <w:t xml:space="preserve"> Memory Test</w:t>
            </w:r>
          </w:p>
        </w:tc>
        <w:tc>
          <w:tcPr>
            <w:tcW w:w="1357" w:type="dxa"/>
            <w:tcBorders>
              <w:bottom w:val="single" w:sz="4" w:space="0" w:color="000000"/>
            </w:tcBorders>
          </w:tcPr>
          <w:p w14:paraId="29E80191" w14:textId="77777777" w:rsidR="00C75312" w:rsidRDefault="00C75312">
            <w:pPr>
              <w:pStyle w:val="TableParagraph"/>
              <w:rPr>
                <w:sz w:val="18"/>
              </w:rPr>
            </w:pPr>
          </w:p>
        </w:tc>
        <w:tc>
          <w:tcPr>
            <w:tcW w:w="943" w:type="dxa"/>
            <w:tcBorders>
              <w:bottom w:val="single" w:sz="4" w:space="0" w:color="000000"/>
            </w:tcBorders>
          </w:tcPr>
          <w:p w14:paraId="4490DBC9" w14:textId="77777777" w:rsidR="00C75312" w:rsidRDefault="00BB293A">
            <w:pPr>
              <w:pStyle w:val="TableParagraph"/>
              <w:spacing w:before="13"/>
              <w:ind w:left="119"/>
              <w:rPr>
                <w:sz w:val="20"/>
              </w:rPr>
            </w:pPr>
            <w:r>
              <w:rPr>
                <w:sz w:val="20"/>
              </w:rPr>
              <w:t>task</w:t>
            </w:r>
          </w:p>
        </w:tc>
        <w:tc>
          <w:tcPr>
            <w:tcW w:w="1069" w:type="dxa"/>
            <w:tcBorders>
              <w:bottom w:val="single" w:sz="4" w:space="0" w:color="000000"/>
            </w:tcBorders>
          </w:tcPr>
          <w:p w14:paraId="044C8C22" w14:textId="77777777" w:rsidR="00C75312" w:rsidRDefault="00C75312">
            <w:pPr>
              <w:pStyle w:val="TableParagraph"/>
              <w:rPr>
                <w:sz w:val="18"/>
              </w:rPr>
            </w:pPr>
          </w:p>
        </w:tc>
        <w:tc>
          <w:tcPr>
            <w:tcW w:w="1090" w:type="dxa"/>
            <w:tcBorders>
              <w:bottom w:val="single" w:sz="4" w:space="0" w:color="000000"/>
            </w:tcBorders>
          </w:tcPr>
          <w:p w14:paraId="07A8AD3A" w14:textId="77777777" w:rsidR="00C75312" w:rsidRDefault="00C75312">
            <w:pPr>
              <w:pStyle w:val="TableParagraph"/>
              <w:rPr>
                <w:sz w:val="18"/>
              </w:rPr>
            </w:pPr>
          </w:p>
        </w:tc>
        <w:tc>
          <w:tcPr>
            <w:tcW w:w="2149" w:type="dxa"/>
            <w:tcBorders>
              <w:bottom w:val="single" w:sz="4" w:space="0" w:color="000000"/>
            </w:tcBorders>
          </w:tcPr>
          <w:p w14:paraId="6D0A3860" w14:textId="77777777" w:rsidR="00C75312" w:rsidRDefault="00C75312">
            <w:pPr>
              <w:pStyle w:val="TableParagraph"/>
              <w:rPr>
                <w:sz w:val="18"/>
              </w:rPr>
            </w:pPr>
          </w:p>
        </w:tc>
      </w:tr>
      <w:tr w:rsidR="00C75312" w14:paraId="064D9580" w14:textId="77777777">
        <w:trPr>
          <w:trHeight w:val="250"/>
        </w:trPr>
        <w:tc>
          <w:tcPr>
            <w:tcW w:w="1314" w:type="dxa"/>
            <w:tcBorders>
              <w:top w:val="single" w:sz="4" w:space="0" w:color="000000"/>
            </w:tcBorders>
          </w:tcPr>
          <w:p w14:paraId="70C8B16A" w14:textId="77777777" w:rsidR="00C75312" w:rsidRDefault="00BB293A">
            <w:pPr>
              <w:pStyle w:val="TableParagraph"/>
              <w:ind w:left="134"/>
              <w:rPr>
                <w:sz w:val="20"/>
              </w:rPr>
            </w:pPr>
            <w:proofErr w:type="spellStart"/>
            <w:r>
              <w:rPr>
                <w:sz w:val="20"/>
              </w:rPr>
              <w:t>Altgassen</w:t>
            </w:r>
            <w:proofErr w:type="spellEnd"/>
            <w:r>
              <w:rPr>
                <w:sz w:val="20"/>
              </w:rPr>
              <w:t xml:space="preserve"> et</w:t>
            </w:r>
          </w:p>
        </w:tc>
        <w:tc>
          <w:tcPr>
            <w:tcW w:w="1990" w:type="dxa"/>
            <w:tcBorders>
              <w:top w:val="single" w:sz="4" w:space="0" w:color="000000"/>
            </w:tcBorders>
          </w:tcPr>
          <w:p w14:paraId="5E4B1136" w14:textId="77777777" w:rsidR="00C75312" w:rsidRDefault="00BB293A">
            <w:pPr>
              <w:pStyle w:val="TableParagraph"/>
              <w:spacing w:line="231" w:lineRule="exact"/>
              <w:ind w:left="130"/>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25 (20 male)</w:t>
            </w:r>
          </w:p>
        </w:tc>
        <w:tc>
          <w:tcPr>
            <w:tcW w:w="2107" w:type="dxa"/>
            <w:tcBorders>
              <w:top w:val="single" w:sz="4" w:space="0" w:color="000000"/>
            </w:tcBorders>
          </w:tcPr>
          <w:p w14:paraId="00E03F6E" w14:textId="77777777" w:rsidR="00C75312" w:rsidRDefault="00BB293A">
            <w:pPr>
              <w:pStyle w:val="TableParagraph"/>
              <w:ind w:left="132"/>
              <w:rPr>
                <w:sz w:val="20"/>
              </w:rPr>
            </w:pPr>
            <w:r>
              <w:rPr>
                <w:sz w:val="20"/>
              </w:rPr>
              <w:t>ASD: 21.8 (15–41)</w:t>
            </w:r>
          </w:p>
        </w:tc>
        <w:tc>
          <w:tcPr>
            <w:tcW w:w="1997" w:type="dxa"/>
            <w:tcBorders>
              <w:top w:val="single" w:sz="4" w:space="0" w:color="000000"/>
            </w:tcBorders>
          </w:tcPr>
          <w:p w14:paraId="35EE0746" w14:textId="77777777" w:rsidR="00C75312" w:rsidRDefault="00BB293A">
            <w:pPr>
              <w:pStyle w:val="TableParagraph"/>
              <w:ind w:left="132"/>
              <w:rPr>
                <w:sz w:val="20"/>
              </w:rPr>
            </w:pPr>
            <w:r>
              <w:rPr>
                <w:sz w:val="20"/>
              </w:rPr>
              <w:t>Dresden Breakfast</w:t>
            </w:r>
          </w:p>
        </w:tc>
        <w:tc>
          <w:tcPr>
            <w:tcW w:w="1357" w:type="dxa"/>
            <w:tcBorders>
              <w:top w:val="single" w:sz="4" w:space="0" w:color="000000"/>
            </w:tcBorders>
          </w:tcPr>
          <w:p w14:paraId="0799D7A2" w14:textId="77777777" w:rsidR="00C75312" w:rsidRDefault="00BB293A">
            <w:pPr>
              <w:pStyle w:val="TableParagraph"/>
              <w:ind w:left="127"/>
              <w:rPr>
                <w:sz w:val="20"/>
              </w:rPr>
            </w:pPr>
            <w:r>
              <w:rPr>
                <w:sz w:val="20"/>
              </w:rPr>
              <w:t>2 trials for</w:t>
            </w:r>
          </w:p>
        </w:tc>
        <w:tc>
          <w:tcPr>
            <w:tcW w:w="943" w:type="dxa"/>
            <w:tcBorders>
              <w:top w:val="single" w:sz="4" w:space="0" w:color="000000"/>
            </w:tcBorders>
          </w:tcPr>
          <w:p w14:paraId="33F22091" w14:textId="77777777" w:rsidR="00C75312" w:rsidRDefault="00BB293A">
            <w:pPr>
              <w:pStyle w:val="TableParagraph"/>
              <w:ind w:left="119"/>
              <w:rPr>
                <w:sz w:val="20"/>
              </w:rPr>
            </w:pPr>
            <w:r>
              <w:rPr>
                <w:sz w:val="20"/>
              </w:rPr>
              <w:t>2 and 1</w:t>
            </w:r>
          </w:p>
        </w:tc>
        <w:tc>
          <w:tcPr>
            <w:tcW w:w="1069" w:type="dxa"/>
            <w:tcBorders>
              <w:top w:val="single" w:sz="4" w:space="0" w:color="000000"/>
            </w:tcBorders>
          </w:tcPr>
          <w:p w14:paraId="6AD835C9" w14:textId="77777777" w:rsidR="00C75312" w:rsidRDefault="00BB293A">
            <w:pPr>
              <w:pStyle w:val="TableParagraph"/>
              <w:ind w:left="112"/>
              <w:rPr>
                <w:sz w:val="20"/>
              </w:rPr>
            </w:pPr>
            <w:r>
              <w:rPr>
                <w:sz w:val="20"/>
              </w:rPr>
              <w:t>Focal</w:t>
            </w:r>
          </w:p>
        </w:tc>
        <w:tc>
          <w:tcPr>
            <w:tcW w:w="1090" w:type="dxa"/>
            <w:tcBorders>
              <w:top w:val="single" w:sz="4" w:space="0" w:color="000000"/>
            </w:tcBorders>
          </w:tcPr>
          <w:p w14:paraId="03945B6E" w14:textId="77777777" w:rsidR="00C75312" w:rsidRDefault="00BB293A">
            <w:pPr>
              <w:pStyle w:val="TableParagraph"/>
              <w:ind w:left="118"/>
              <w:rPr>
                <w:sz w:val="20"/>
              </w:rPr>
            </w:pPr>
            <w:r>
              <w:rPr>
                <w:sz w:val="20"/>
              </w:rPr>
              <w:t>Yes</w:t>
            </w:r>
          </w:p>
        </w:tc>
        <w:tc>
          <w:tcPr>
            <w:tcW w:w="2149" w:type="dxa"/>
            <w:tcBorders>
              <w:top w:val="single" w:sz="4" w:space="0" w:color="000000"/>
            </w:tcBorders>
          </w:tcPr>
          <w:p w14:paraId="6D8444BA" w14:textId="77777777" w:rsidR="00C75312" w:rsidRDefault="00BB293A">
            <w:pPr>
              <w:pStyle w:val="TableParagraph"/>
              <w:ind w:left="108"/>
              <w:rPr>
                <w:sz w:val="20"/>
              </w:rPr>
            </w:pPr>
            <w:r>
              <w:rPr>
                <w:sz w:val="20"/>
              </w:rPr>
              <w:t>Yes (Breakfast task:</w:t>
            </w:r>
          </w:p>
        </w:tc>
      </w:tr>
      <w:tr w:rsidR="00C75312" w14:paraId="1F7D7B97" w14:textId="77777777">
        <w:trPr>
          <w:trHeight w:val="583"/>
        </w:trPr>
        <w:tc>
          <w:tcPr>
            <w:tcW w:w="1314" w:type="dxa"/>
            <w:tcBorders>
              <w:bottom w:val="single" w:sz="4" w:space="0" w:color="000000"/>
            </w:tcBorders>
          </w:tcPr>
          <w:p w14:paraId="696D01C6" w14:textId="77777777" w:rsidR="00C75312" w:rsidRDefault="00BB293A">
            <w:pPr>
              <w:pStyle w:val="TableParagraph"/>
              <w:spacing w:before="13"/>
              <w:ind w:left="134"/>
              <w:rPr>
                <w:sz w:val="20"/>
              </w:rPr>
            </w:pPr>
            <w:r>
              <w:rPr>
                <w:sz w:val="20"/>
              </w:rPr>
              <w:t>al., 2012*</w:t>
            </w:r>
          </w:p>
        </w:tc>
        <w:tc>
          <w:tcPr>
            <w:tcW w:w="1990" w:type="dxa"/>
            <w:tcBorders>
              <w:bottom w:val="single" w:sz="4" w:space="0" w:color="000000"/>
            </w:tcBorders>
          </w:tcPr>
          <w:p w14:paraId="15EA0490" w14:textId="77777777" w:rsidR="00C75312" w:rsidRDefault="00BB293A">
            <w:pPr>
              <w:pStyle w:val="TableParagraph"/>
              <w:spacing w:before="56"/>
              <w:ind w:left="130"/>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25 (19 male)</w:t>
            </w:r>
          </w:p>
        </w:tc>
        <w:tc>
          <w:tcPr>
            <w:tcW w:w="2107" w:type="dxa"/>
            <w:tcBorders>
              <w:bottom w:val="single" w:sz="4" w:space="0" w:color="000000"/>
            </w:tcBorders>
          </w:tcPr>
          <w:p w14:paraId="4DBDD6E9" w14:textId="77777777" w:rsidR="00C75312" w:rsidRDefault="00BB293A">
            <w:pPr>
              <w:pStyle w:val="TableParagraph"/>
              <w:spacing w:before="56"/>
              <w:ind w:left="132"/>
              <w:rPr>
                <w:sz w:val="20"/>
              </w:rPr>
            </w:pPr>
            <w:r>
              <w:rPr>
                <w:sz w:val="20"/>
              </w:rPr>
              <w:t>NT: 21.8 (15–42)</w:t>
            </w:r>
          </w:p>
        </w:tc>
        <w:tc>
          <w:tcPr>
            <w:tcW w:w="1997" w:type="dxa"/>
            <w:tcBorders>
              <w:bottom w:val="single" w:sz="4" w:space="0" w:color="000000"/>
            </w:tcBorders>
          </w:tcPr>
          <w:p w14:paraId="06EA973E" w14:textId="77777777" w:rsidR="00C75312" w:rsidRDefault="00BB293A">
            <w:pPr>
              <w:pStyle w:val="TableParagraph"/>
              <w:spacing w:before="13"/>
              <w:ind w:left="132"/>
              <w:rPr>
                <w:sz w:val="20"/>
              </w:rPr>
            </w:pPr>
            <w:r>
              <w:rPr>
                <w:sz w:val="20"/>
              </w:rPr>
              <w:t>task, Red Pencil Task</w:t>
            </w:r>
          </w:p>
        </w:tc>
        <w:tc>
          <w:tcPr>
            <w:tcW w:w="1357" w:type="dxa"/>
            <w:tcBorders>
              <w:bottom w:val="single" w:sz="4" w:space="0" w:color="000000"/>
            </w:tcBorders>
          </w:tcPr>
          <w:p w14:paraId="70B8DCE5" w14:textId="77777777" w:rsidR="00C75312" w:rsidRDefault="00BB293A">
            <w:pPr>
              <w:pStyle w:val="TableParagraph"/>
              <w:spacing w:before="13"/>
              <w:ind w:left="127"/>
              <w:rPr>
                <w:sz w:val="20"/>
              </w:rPr>
            </w:pPr>
            <w:r>
              <w:rPr>
                <w:sz w:val="20"/>
              </w:rPr>
              <w:t>each task</w:t>
            </w:r>
          </w:p>
        </w:tc>
        <w:tc>
          <w:tcPr>
            <w:tcW w:w="943" w:type="dxa"/>
            <w:tcBorders>
              <w:bottom w:val="single" w:sz="4" w:space="0" w:color="000000"/>
            </w:tcBorders>
          </w:tcPr>
          <w:p w14:paraId="7EFF1FF2" w14:textId="77777777" w:rsidR="00C75312" w:rsidRDefault="00C75312">
            <w:pPr>
              <w:pStyle w:val="TableParagraph"/>
              <w:rPr>
                <w:sz w:val="18"/>
              </w:rPr>
            </w:pPr>
          </w:p>
        </w:tc>
        <w:tc>
          <w:tcPr>
            <w:tcW w:w="1069" w:type="dxa"/>
            <w:tcBorders>
              <w:bottom w:val="single" w:sz="4" w:space="0" w:color="000000"/>
            </w:tcBorders>
          </w:tcPr>
          <w:p w14:paraId="1C797057" w14:textId="77777777" w:rsidR="00C75312" w:rsidRDefault="00C75312">
            <w:pPr>
              <w:pStyle w:val="TableParagraph"/>
              <w:rPr>
                <w:sz w:val="18"/>
              </w:rPr>
            </w:pPr>
          </w:p>
        </w:tc>
        <w:tc>
          <w:tcPr>
            <w:tcW w:w="1090" w:type="dxa"/>
            <w:tcBorders>
              <w:bottom w:val="single" w:sz="4" w:space="0" w:color="000000"/>
            </w:tcBorders>
          </w:tcPr>
          <w:p w14:paraId="79D782F5" w14:textId="77777777" w:rsidR="00C75312" w:rsidRDefault="00C75312">
            <w:pPr>
              <w:pStyle w:val="TableParagraph"/>
              <w:rPr>
                <w:sz w:val="18"/>
              </w:rPr>
            </w:pPr>
          </w:p>
        </w:tc>
        <w:tc>
          <w:tcPr>
            <w:tcW w:w="2149" w:type="dxa"/>
            <w:tcBorders>
              <w:bottom w:val="single" w:sz="4" w:space="0" w:color="000000"/>
            </w:tcBorders>
          </w:tcPr>
          <w:p w14:paraId="5BC7EA89" w14:textId="77777777" w:rsidR="00C75312" w:rsidRDefault="00BB293A">
            <w:pPr>
              <w:pStyle w:val="TableParagraph"/>
              <w:spacing w:before="13" w:line="271" w:lineRule="auto"/>
              <w:ind w:left="108" w:right="319"/>
              <w:rPr>
                <w:i/>
                <w:sz w:val="13"/>
              </w:rPr>
            </w:pPr>
            <w:r>
              <w:rPr>
                <w:i/>
                <w:sz w:val="20"/>
              </w:rPr>
              <w:t xml:space="preserve">g </w:t>
            </w:r>
            <w:r>
              <w:rPr>
                <w:sz w:val="20"/>
              </w:rPr>
              <w:t xml:space="preserve">= -0.70, Red Pencil task: </w:t>
            </w:r>
            <w:r>
              <w:rPr>
                <w:i/>
                <w:sz w:val="20"/>
              </w:rPr>
              <w:t xml:space="preserve">g </w:t>
            </w:r>
            <w:r>
              <w:rPr>
                <w:sz w:val="20"/>
              </w:rPr>
              <w:t>= -0.76)</w:t>
            </w:r>
            <w:r>
              <w:rPr>
                <w:i/>
                <w:position w:val="7"/>
                <w:sz w:val="13"/>
              </w:rPr>
              <w:t>†</w:t>
            </w:r>
          </w:p>
        </w:tc>
      </w:tr>
      <w:tr w:rsidR="00C75312" w14:paraId="44749610" w14:textId="77777777">
        <w:trPr>
          <w:trHeight w:val="250"/>
        </w:trPr>
        <w:tc>
          <w:tcPr>
            <w:tcW w:w="1314" w:type="dxa"/>
            <w:tcBorders>
              <w:top w:val="single" w:sz="4" w:space="0" w:color="000000"/>
            </w:tcBorders>
          </w:tcPr>
          <w:p w14:paraId="2BFAFFF6" w14:textId="77777777" w:rsidR="00C75312" w:rsidRDefault="00BB293A">
            <w:pPr>
              <w:pStyle w:val="TableParagraph"/>
              <w:ind w:left="134"/>
              <w:rPr>
                <w:sz w:val="20"/>
              </w:rPr>
            </w:pPr>
            <w:r>
              <w:rPr>
                <w:sz w:val="20"/>
              </w:rPr>
              <w:t>Williams et</w:t>
            </w:r>
          </w:p>
        </w:tc>
        <w:tc>
          <w:tcPr>
            <w:tcW w:w="1990" w:type="dxa"/>
            <w:tcBorders>
              <w:top w:val="single" w:sz="4" w:space="0" w:color="000000"/>
            </w:tcBorders>
          </w:tcPr>
          <w:p w14:paraId="573A4B5F" w14:textId="77777777" w:rsidR="00C75312" w:rsidRDefault="00BB293A">
            <w:pPr>
              <w:pStyle w:val="TableParagraph"/>
              <w:spacing w:line="231" w:lineRule="exact"/>
              <w:ind w:left="130"/>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21 (20 male)</w:t>
            </w:r>
          </w:p>
        </w:tc>
        <w:tc>
          <w:tcPr>
            <w:tcW w:w="2107" w:type="dxa"/>
            <w:tcBorders>
              <w:top w:val="single" w:sz="4" w:space="0" w:color="000000"/>
            </w:tcBorders>
          </w:tcPr>
          <w:p w14:paraId="726A4E88" w14:textId="77777777" w:rsidR="00C75312" w:rsidRDefault="00BB293A">
            <w:pPr>
              <w:pStyle w:val="TableParagraph"/>
              <w:ind w:left="132"/>
              <w:rPr>
                <w:sz w:val="20"/>
              </w:rPr>
            </w:pPr>
            <w:r>
              <w:rPr>
                <w:sz w:val="20"/>
              </w:rPr>
              <w:t>ASD: 10.6 (7.8–13.8)</w:t>
            </w:r>
          </w:p>
        </w:tc>
        <w:tc>
          <w:tcPr>
            <w:tcW w:w="1997" w:type="dxa"/>
            <w:tcBorders>
              <w:top w:val="single" w:sz="4" w:space="0" w:color="000000"/>
            </w:tcBorders>
          </w:tcPr>
          <w:p w14:paraId="73539B22" w14:textId="77777777" w:rsidR="00C75312" w:rsidRDefault="00BB293A">
            <w:pPr>
              <w:pStyle w:val="TableParagraph"/>
              <w:ind w:left="132"/>
              <w:rPr>
                <w:sz w:val="20"/>
              </w:rPr>
            </w:pPr>
            <w:r>
              <w:rPr>
                <w:sz w:val="20"/>
              </w:rPr>
              <w:t>Computer-based</w:t>
            </w:r>
          </w:p>
        </w:tc>
        <w:tc>
          <w:tcPr>
            <w:tcW w:w="1357" w:type="dxa"/>
            <w:tcBorders>
              <w:top w:val="single" w:sz="4" w:space="0" w:color="000000"/>
            </w:tcBorders>
          </w:tcPr>
          <w:p w14:paraId="69735E8F" w14:textId="77777777" w:rsidR="00C75312" w:rsidRDefault="00BB293A">
            <w:pPr>
              <w:pStyle w:val="TableParagraph"/>
              <w:ind w:left="127"/>
              <w:rPr>
                <w:sz w:val="20"/>
              </w:rPr>
            </w:pPr>
            <w:r>
              <w:rPr>
                <w:sz w:val="20"/>
              </w:rPr>
              <w:t>6 trials</w:t>
            </w:r>
          </w:p>
        </w:tc>
        <w:tc>
          <w:tcPr>
            <w:tcW w:w="943" w:type="dxa"/>
            <w:tcBorders>
              <w:top w:val="single" w:sz="4" w:space="0" w:color="000000"/>
            </w:tcBorders>
          </w:tcPr>
          <w:p w14:paraId="09FF93DB" w14:textId="77777777" w:rsidR="00C75312" w:rsidRDefault="00BB293A">
            <w:pPr>
              <w:pStyle w:val="TableParagraph"/>
              <w:ind w:left="119"/>
              <w:rPr>
                <w:sz w:val="20"/>
              </w:rPr>
            </w:pPr>
            <w:r>
              <w:rPr>
                <w:sz w:val="20"/>
              </w:rPr>
              <w:t>1</w:t>
            </w:r>
          </w:p>
        </w:tc>
        <w:tc>
          <w:tcPr>
            <w:tcW w:w="1069" w:type="dxa"/>
            <w:tcBorders>
              <w:top w:val="single" w:sz="4" w:space="0" w:color="000000"/>
            </w:tcBorders>
          </w:tcPr>
          <w:p w14:paraId="2CD7EE5C" w14:textId="77777777" w:rsidR="00C75312" w:rsidRDefault="00BB293A">
            <w:pPr>
              <w:pStyle w:val="TableParagraph"/>
              <w:ind w:left="112"/>
              <w:rPr>
                <w:sz w:val="20"/>
              </w:rPr>
            </w:pPr>
            <w:r>
              <w:rPr>
                <w:sz w:val="20"/>
              </w:rPr>
              <w:t>Focal</w:t>
            </w:r>
          </w:p>
        </w:tc>
        <w:tc>
          <w:tcPr>
            <w:tcW w:w="1090" w:type="dxa"/>
            <w:tcBorders>
              <w:top w:val="single" w:sz="4" w:space="0" w:color="000000"/>
            </w:tcBorders>
          </w:tcPr>
          <w:p w14:paraId="72E002EE" w14:textId="77777777" w:rsidR="00C75312" w:rsidRDefault="00BB293A">
            <w:pPr>
              <w:pStyle w:val="TableParagraph"/>
              <w:ind w:left="118"/>
              <w:rPr>
                <w:sz w:val="20"/>
              </w:rPr>
            </w:pPr>
            <w:r>
              <w:rPr>
                <w:sz w:val="20"/>
              </w:rPr>
              <w:t>No</w:t>
            </w:r>
          </w:p>
        </w:tc>
        <w:tc>
          <w:tcPr>
            <w:tcW w:w="2149" w:type="dxa"/>
            <w:tcBorders>
              <w:top w:val="single" w:sz="4" w:space="0" w:color="000000"/>
            </w:tcBorders>
          </w:tcPr>
          <w:p w14:paraId="16DD578E" w14:textId="77777777" w:rsidR="00C75312" w:rsidRDefault="00BB293A">
            <w:pPr>
              <w:pStyle w:val="TableParagraph"/>
              <w:ind w:left="108"/>
              <w:rPr>
                <w:sz w:val="20"/>
              </w:rPr>
            </w:pPr>
            <w:r>
              <w:rPr>
                <w:sz w:val="20"/>
              </w:rPr>
              <w:t>No (</w:t>
            </w:r>
            <w:r>
              <w:rPr>
                <w:i/>
                <w:sz w:val="20"/>
              </w:rPr>
              <w:t xml:space="preserve">g </w:t>
            </w:r>
            <w:r>
              <w:rPr>
                <w:sz w:val="20"/>
              </w:rPr>
              <w:t>= 0.17)</w:t>
            </w:r>
          </w:p>
        </w:tc>
      </w:tr>
      <w:tr w:rsidR="00C75312" w14:paraId="2466078D" w14:textId="77777777">
        <w:trPr>
          <w:trHeight w:val="583"/>
        </w:trPr>
        <w:tc>
          <w:tcPr>
            <w:tcW w:w="1314" w:type="dxa"/>
            <w:tcBorders>
              <w:bottom w:val="single" w:sz="4" w:space="0" w:color="000000"/>
            </w:tcBorders>
          </w:tcPr>
          <w:p w14:paraId="47ADB57C" w14:textId="77777777" w:rsidR="00C75312" w:rsidRDefault="00BB293A">
            <w:pPr>
              <w:pStyle w:val="TableParagraph"/>
              <w:spacing w:before="13"/>
              <w:ind w:left="134"/>
              <w:rPr>
                <w:sz w:val="20"/>
              </w:rPr>
            </w:pPr>
            <w:r>
              <w:rPr>
                <w:sz w:val="20"/>
              </w:rPr>
              <w:t>al., 2013**</w:t>
            </w:r>
          </w:p>
        </w:tc>
        <w:tc>
          <w:tcPr>
            <w:tcW w:w="1990" w:type="dxa"/>
            <w:tcBorders>
              <w:bottom w:val="single" w:sz="4" w:space="0" w:color="000000"/>
            </w:tcBorders>
          </w:tcPr>
          <w:p w14:paraId="6E182F6F" w14:textId="77777777" w:rsidR="00C75312" w:rsidRDefault="00BB293A">
            <w:pPr>
              <w:pStyle w:val="TableParagraph"/>
              <w:spacing w:before="51"/>
              <w:ind w:left="130"/>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21 (17 male)</w:t>
            </w:r>
          </w:p>
        </w:tc>
        <w:tc>
          <w:tcPr>
            <w:tcW w:w="2107" w:type="dxa"/>
            <w:tcBorders>
              <w:bottom w:val="single" w:sz="4" w:space="0" w:color="000000"/>
            </w:tcBorders>
          </w:tcPr>
          <w:p w14:paraId="30E0A9EA" w14:textId="77777777" w:rsidR="00C75312" w:rsidRDefault="00BB293A">
            <w:pPr>
              <w:pStyle w:val="TableParagraph"/>
              <w:spacing w:before="51"/>
              <w:ind w:left="132"/>
              <w:rPr>
                <w:sz w:val="20"/>
              </w:rPr>
            </w:pPr>
            <w:r>
              <w:rPr>
                <w:sz w:val="20"/>
              </w:rPr>
              <w:t>NT: 10.6 (8–12)</w:t>
            </w:r>
          </w:p>
        </w:tc>
        <w:tc>
          <w:tcPr>
            <w:tcW w:w="1997" w:type="dxa"/>
            <w:tcBorders>
              <w:bottom w:val="single" w:sz="4" w:space="0" w:color="000000"/>
            </w:tcBorders>
          </w:tcPr>
          <w:p w14:paraId="35E341C3" w14:textId="77777777" w:rsidR="00C75312" w:rsidRDefault="00BB293A">
            <w:pPr>
              <w:pStyle w:val="TableParagraph"/>
              <w:spacing w:before="13" w:line="276" w:lineRule="auto"/>
              <w:ind w:left="132" w:right="784"/>
              <w:rPr>
                <w:sz w:val="20"/>
              </w:rPr>
            </w:pPr>
            <w:r>
              <w:rPr>
                <w:sz w:val="20"/>
              </w:rPr>
              <w:t>driving game simulation</w:t>
            </w:r>
          </w:p>
        </w:tc>
        <w:tc>
          <w:tcPr>
            <w:tcW w:w="1357" w:type="dxa"/>
            <w:tcBorders>
              <w:bottom w:val="single" w:sz="4" w:space="0" w:color="000000"/>
            </w:tcBorders>
          </w:tcPr>
          <w:p w14:paraId="6A5EA1D1" w14:textId="77777777" w:rsidR="00C75312" w:rsidRDefault="00C75312">
            <w:pPr>
              <w:pStyle w:val="TableParagraph"/>
              <w:rPr>
                <w:sz w:val="18"/>
              </w:rPr>
            </w:pPr>
          </w:p>
        </w:tc>
        <w:tc>
          <w:tcPr>
            <w:tcW w:w="943" w:type="dxa"/>
            <w:tcBorders>
              <w:bottom w:val="single" w:sz="4" w:space="0" w:color="000000"/>
            </w:tcBorders>
          </w:tcPr>
          <w:p w14:paraId="4B72AFCF" w14:textId="77777777" w:rsidR="00C75312" w:rsidRDefault="00C75312">
            <w:pPr>
              <w:pStyle w:val="TableParagraph"/>
              <w:rPr>
                <w:sz w:val="18"/>
              </w:rPr>
            </w:pPr>
          </w:p>
        </w:tc>
        <w:tc>
          <w:tcPr>
            <w:tcW w:w="1069" w:type="dxa"/>
            <w:tcBorders>
              <w:bottom w:val="single" w:sz="4" w:space="0" w:color="000000"/>
            </w:tcBorders>
          </w:tcPr>
          <w:p w14:paraId="09CF6CB9" w14:textId="77777777" w:rsidR="00C75312" w:rsidRDefault="00C75312">
            <w:pPr>
              <w:pStyle w:val="TableParagraph"/>
              <w:rPr>
                <w:sz w:val="18"/>
              </w:rPr>
            </w:pPr>
          </w:p>
        </w:tc>
        <w:tc>
          <w:tcPr>
            <w:tcW w:w="1090" w:type="dxa"/>
            <w:tcBorders>
              <w:bottom w:val="single" w:sz="4" w:space="0" w:color="000000"/>
            </w:tcBorders>
          </w:tcPr>
          <w:p w14:paraId="758AA47C" w14:textId="77777777" w:rsidR="00C75312" w:rsidRDefault="00C75312">
            <w:pPr>
              <w:pStyle w:val="TableParagraph"/>
              <w:rPr>
                <w:sz w:val="18"/>
              </w:rPr>
            </w:pPr>
          </w:p>
        </w:tc>
        <w:tc>
          <w:tcPr>
            <w:tcW w:w="2149" w:type="dxa"/>
            <w:tcBorders>
              <w:bottom w:val="single" w:sz="4" w:space="0" w:color="000000"/>
            </w:tcBorders>
          </w:tcPr>
          <w:p w14:paraId="62D51A7D" w14:textId="77777777" w:rsidR="00C75312" w:rsidRDefault="00C75312">
            <w:pPr>
              <w:pStyle w:val="TableParagraph"/>
              <w:rPr>
                <w:sz w:val="18"/>
              </w:rPr>
            </w:pPr>
          </w:p>
        </w:tc>
      </w:tr>
      <w:tr w:rsidR="00C75312" w14:paraId="193B1509" w14:textId="77777777">
        <w:trPr>
          <w:trHeight w:val="250"/>
        </w:trPr>
        <w:tc>
          <w:tcPr>
            <w:tcW w:w="1314" w:type="dxa"/>
            <w:tcBorders>
              <w:top w:val="single" w:sz="4" w:space="0" w:color="000000"/>
            </w:tcBorders>
          </w:tcPr>
          <w:p w14:paraId="793C7367" w14:textId="77777777" w:rsidR="00C75312" w:rsidRDefault="00BB293A">
            <w:pPr>
              <w:pStyle w:val="TableParagraph"/>
              <w:ind w:left="134"/>
              <w:rPr>
                <w:sz w:val="20"/>
              </w:rPr>
            </w:pPr>
            <w:r>
              <w:rPr>
                <w:sz w:val="20"/>
              </w:rPr>
              <w:t>Williams et</w:t>
            </w:r>
          </w:p>
        </w:tc>
        <w:tc>
          <w:tcPr>
            <w:tcW w:w="1990" w:type="dxa"/>
            <w:tcBorders>
              <w:top w:val="single" w:sz="4" w:space="0" w:color="000000"/>
            </w:tcBorders>
          </w:tcPr>
          <w:p w14:paraId="1F2425B0" w14:textId="77777777" w:rsidR="00C75312" w:rsidRDefault="00BB293A">
            <w:pPr>
              <w:pStyle w:val="TableParagraph"/>
              <w:spacing w:line="231" w:lineRule="exact"/>
              <w:ind w:left="130"/>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17 (14 male)</w:t>
            </w:r>
          </w:p>
        </w:tc>
        <w:tc>
          <w:tcPr>
            <w:tcW w:w="2107" w:type="dxa"/>
            <w:tcBorders>
              <w:top w:val="single" w:sz="4" w:space="0" w:color="000000"/>
            </w:tcBorders>
          </w:tcPr>
          <w:p w14:paraId="48C6A0BC" w14:textId="77777777" w:rsidR="00C75312" w:rsidRDefault="00BB293A">
            <w:pPr>
              <w:pStyle w:val="TableParagraph"/>
              <w:ind w:left="132"/>
              <w:rPr>
                <w:sz w:val="20"/>
              </w:rPr>
            </w:pPr>
            <w:r>
              <w:rPr>
                <w:sz w:val="20"/>
              </w:rPr>
              <w:t>ASD: 31.1 (19.1–54.6)</w:t>
            </w:r>
          </w:p>
        </w:tc>
        <w:tc>
          <w:tcPr>
            <w:tcW w:w="1997" w:type="dxa"/>
            <w:tcBorders>
              <w:top w:val="single" w:sz="4" w:space="0" w:color="000000"/>
            </w:tcBorders>
          </w:tcPr>
          <w:p w14:paraId="0711374C" w14:textId="77777777" w:rsidR="00C75312" w:rsidRDefault="00BB293A">
            <w:pPr>
              <w:pStyle w:val="TableParagraph"/>
              <w:ind w:left="132"/>
              <w:rPr>
                <w:sz w:val="20"/>
              </w:rPr>
            </w:pPr>
            <w:r>
              <w:rPr>
                <w:sz w:val="20"/>
              </w:rPr>
              <w:t xml:space="preserve">Word </w:t>
            </w:r>
            <w:proofErr w:type="spellStart"/>
            <w:r>
              <w:rPr>
                <w:sz w:val="20"/>
              </w:rPr>
              <w:t>memorisation</w:t>
            </w:r>
            <w:proofErr w:type="spellEnd"/>
          </w:p>
        </w:tc>
        <w:tc>
          <w:tcPr>
            <w:tcW w:w="1357" w:type="dxa"/>
            <w:tcBorders>
              <w:top w:val="single" w:sz="4" w:space="0" w:color="000000"/>
            </w:tcBorders>
          </w:tcPr>
          <w:p w14:paraId="3A8320C6" w14:textId="77777777" w:rsidR="00C75312" w:rsidRDefault="00BB293A">
            <w:pPr>
              <w:pStyle w:val="TableParagraph"/>
              <w:ind w:left="127"/>
              <w:rPr>
                <w:sz w:val="20"/>
              </w:rPr>
            </w:pPr>
            <w:r>
              <w:rPr>
                <w:sz w:val="20"/>
              </w:rPr>
              <w:t>4 trials</w:t>
            </w:r>
          </w:p>
        </w:tc>
        <w:tc>
          <w:tcPr>
            <w:tcW w:w="943" w:type="dxa"/>
            <w:tcBorders>
              <w:top w:val="single" w:sz="4" w:space="0" w:color="000000"/>
            </w:tcBorders>
          </w:tcPr>
          <w:p w14:paraId="538D0E51" w14:textId="77777777" w:rsidR="00C75312" w:rsidRDefault="00BB293A">
            <w:pPr>
              <w:pStyle w:val="TableParagraph"/>
              <w:ind w:left="119"/>
              <w:rPr>
                <w:sz w:val="20"/>
              </w:rPr>
            </w:pPr>
            <w:r>
              <w:rPr>
                <w:sz w:val="20"/>
              </w:rPr>
              <w:t>1</w:t>
            </w:r>
          </w:p>
        </w:tc>
        <w:tc>
          <w:tcPr>
            <w:tcW w:w="1069" w:type="dxa"/>
            <w:tcBorders>
              <w:top w:val="single" w:sz="4" w:space="0" w:color="000000"/>
            </w:tcBorders>
          </w:tcPr>
          <w:p w14:paraId="656B10B7" w14:textId="77777777" w:rsidR="00C75312" w:rsidRDefault="00BB293A">
            <w:pPr>
              <w:pStyle w:val="TableParagraph"/>
              <w:ind w:left="112"/>
              <w:rPr>
                <w:sz w:val="20"/>
              </w:rPr>
            </w:pPr>
            <w:r>
              <w:rPr>
                <w:sz w:val="20"/>
              </w:rPr>
              <w:t>Non-focal</w:t>
            </w:r>
          </w:p>
        </w:tc>
        <w:tc>
          <w:tcPr>
            <w:tcW w:w="1090" w:type="dxa"/>
            <w:tcBorders>
              <w:top w:val="single" w:sz="4" w:space="0" w:color="000000"/>
            </w:tcBorders>
          </w:tcPr>
          <w:p w14:paraId="576D2DC5" w14:textId="77777777" w:rsidR="00C75312" w:rsidRDefault="00BB293A">
            <w:pPr>
              <w:pStyle w:val="TableParagraph"/>
              <w:ind w:left="118"/>
              <w:rPr>
                <w:sz w:val="20"/>
              </w:rPr>
            </w:pPr>
            <w:r>
              <w:rPr>
                <w:sz w:val="20"/>
              </w:rPr>
              <w:t>No</w:t>
            </w:r>
          </w:p>
        </w:tc>
        <w:tc>
          <w:tcPr>
            <w:tcW w:w="2149" w:type="dxa"/>
            <w:tcBorders>
              <w:top w:val="single" w:sz="4" w:space="0" w:color="000000"/>
            </w:tcBorders>
          </w:tcPr>
          <w:p w14:paraId="1281D0FC" w14:textId="77777777" w:rsidR="00C75312" w:rsidRDefault="00BB293A">
            <w:pPr>
              <w:pStyle w:val="TableParagraph"/>
              <w:ind w:left="108"/>
              <w:rPr>
                <w:sz w:val="20"/>
              </w:rPr>
            </w:pPr>
            <w:r>
              <w:rPr>
                <w:sz w:val="20"/>
              </w:rPr>
              <w:t>No (</w:t>
            </w:r>
            <w:r>
              <w:rPr>
                <w:i/>
                <w:sz w:val="20"/>
              </w:rPr>
              <w:t xml:space="preserve">g </w:t>
            </w:r>
            <w:r>
              <w:rPr>
                <w:sz w:val="20"/>
              </w:rPr>
              <w:t>= 0.42)</w:t>
            </w:r>
          </w:p>
        </w:tc>
      </w:tr>
      <w:tr w:rsidR="00C75312" w14:paraId="54A8D226" w14:textId="77777777">
        <w:trPr>
          <w:trHeight w:val="382"/>
        </w:trPr>
        <w:tc>
          <w:tcPr>
            <w:tcW w:w="1314" w:type="dxa"/>
            <w:tcBorders>
              <w:bottom w:val="single" w:sz="4" w:space="0" w:color="000000"/>
            </w:tcBorders>
          </w:tcPr>
          <w:p w14:paraId="0AA2CAAC" w14:textId="77777777" w:rsidR="00C75312" w:rsidRDefault="00BB293A">
            <w:pPr>
              <w:pStyle w:val="TableParagraph"/>
              <w:spacing w:before="13"/>
              <w:ind w:left="134"/>
              <w:rPr>
                <w:sz w:val="20"/>
              </w:rPr>
            </w:pPr>
            <w:r>
              <w:rPr>
                <w:sz w:val="20"/>
              </w:rPr>
              <w:t>al., 2014**</w:t>
            </w:r>
          </w:p>
        </w:tc>
        <w:tc>
          <w:tcPr>
            <w:tcW w:w="1990" w:type="dxa"/>
            <w:tcBorders>
              <w:bottom w:val="single" w:sz="4" w:space="0" w:color="000000"/>
            </w:tcBorders>
          </w:tcPr>
          <w:p w14:paraId="2245D824" w14:textId="77777777" w:rsidR="00C75312" w:rsidRDefault="00BB293A">
            <w:pPr>
              <w:pStyle w:val="TableParagraph"/>
              <w:spacing w:before="51"/>
              <w:ind w:left="130"/>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17 (14 male)</w:t>
            </w:r>
          </w:p>
        </w:tc>
        <w:tc>
          <w:tcPr>
            <w:tcW w:w="2107" w:type="dxa"/>
            <w:tcBorders>
              <w:bottom w:val="single" w:sz="4" w:space="0" w:color="000000"/>
            </w:tcBorders>
          </w:tcPr>
          <w:p w14:paraId="6C81A4A2" w14:textId="77777777" w:rsidR="00C75312" w:rsidRDefault="00BB293A">
            <w:pPr>
              <w:pStyle w:val="TableParagraph"/>
              <w:spacing w:before="51"/>
              <w:ind w:left="132"/>
              <w:rPr>
                <w:sz w:val="20"/>
              </w:rPr>
            </w:pPr>
            <w:r>
              <w:rPr>
                <w:sz w:val="20"/>
              </w:rPr>
              <w:t>NT: 31.9 (17.7–58.8)</w:t>
            </w:r>
          </w:p>
        </w:tc>
        <w:tc>
          <w:tcPr>
            <w:tcW w:w="1997" w:type="dxa"/>
            <w:tcBorders>
              <w:bottom w:val="single" w:sz="4" w:space="0" w:color="000000"/>
            </w:tcBorders>
          </w:tcPr>
          <w:p w14:paraId="4495C699" w14:textId="77777777" w:rsidR="00C75312" w:rsidRDefault="00BB293A">
            <w:pPr>
              <w:pStyle w:val="TableParagraph"/>
              <w:spacing w:before="13"/>
              <w:ind w:left="132"/>
              <w:rPr>
                <w:sz w:val="20"/>
              </w:rPr>
            </w:pPr>
            <w:r>
              <w:rPr>
                <w:sz w:val="20"/>
              </w:rPr>
              <w:t>task</w:t>
            </w:r>
          </w:p>
        </w:tc>
        <w:tc>
          <w:tcPr>
            <w:tcW w:w="1357" w:type="dxa"/>
            <w:tcBorders>
              <w:bottom w:val="single" w:sz="4" w:space="0" w:color="000000"/>
            </w:tcBorders>
          </w:tcPr>
          <w:p w14:paraId="40F0BD37" w14:textId="77777777" w:rsidR="00C75312" w:rsidRDefault="00C75312">
            <w:pPr>
              <w:pStyle w:val="TableParagraph"/>
              <w:rPr>
                <w:sz w:val="18"/>
              </w:rPr>
            </w:pPr>
          </w:p>
        </w:tc>
        <w:tc>
          <w:tcPr>
            <w:tcW w:w="943" w:type="dxa"/>
            <w:tcBorders>
              <w:bottom w:val="single" w:sz="4" w:space="0" w:color="000000"/>
            </w:tcBorders>
          </w:tcPr>
          <w:p w14:paraId="6E97B474" w14:textId="77777777" w:rsidR="00C75312" w:rsidRDefault="00C75312">
            <w:pPr>
              <w:pStyle w:val="TableParagraph"/>
              <w:rPr>
                <w:sz w:val="18"/>
              </w:rPr>
            </w:pPr>
          </w:p>
        </w:tc>
        <w:tc>
          <w:tcPr>
            <w:tcW w:w="1069" w:type="dxa"/>
            <w:tcBorders>
              <w:bottom w:val="single" w:sz="4" w:space="0" w:color="000000"/>
            </w:tcBorders>
          </w:tcPr>
          <w:p w14:paraId="4CF2BF4D" w14:textId="77777777" w:rsidR="00C75312" w:rsidRDefault="00C75312">
            <w:pPr>
              <w:pStyle w:val="TableParagraph"/>
              <w:rPr>
                <w:sz w:val="18"/>
              </w:rPr>
            </w:pPr>
          </w:p>
        </w:tc>
        <w:tc>
          <w:tcPr>
            <w:tcW w:w="1090" w:type="dxa"/>
            <w:tcBorders>
              <w:bottom w:val="single" w:sz="4" w:space="0" w:color="000000"/>
            </w:tcBorders>
          </w:tcPr>
          <w:p w14:paraId="17A1BBE0" w14:textId="77777777" w:rsidR="00C75312" w:rsidRDefault="00C75312">
            <w:pPr>
              <w:pStyle w:val="TableParagraph"/>
              <w:rPr>
                <w:sz w:val="18"/>
              </w:rPr>
            </w:pPr>
          </w:p>
        </w:tc>
        <w:tc>
          <w:tcPr>
            <w:tcW w:w="2149" w:type="dxa"/>
            <w:tcBorders>
              <w:bottom w:val="single" w:sz="4" w:space="0" w:color="000000"/>
            </w:tcBorders>
          </w:tcPr>
          <w:p w14:paraId="32B13E1E" w14:textId="77777777" w:rsidR="00C75312" w:rsidRDefault="00C75312">
            <w:pPr>
              <w:pStyle w:val="TableParagraph"/>
              <w:rPr>
                <w:sz w:val="18"/>
              </w:rPr>
            </w:pPr>
          </w:p>
        </w:tc>
      </w:tr>
      <w:tr w:rsidR="00C75312" w14:paraId="48FE1167" w14:textId="77777777">
        <w:trPr>
          <w:trHeight w:val="250"/>
        </w:trPr>
        <w:tc>
          <w:tcPr>
            <w:tcW w:w="1314" w:type="dxa"/>
            <w:tcBorders>
              <w:top w:val="single" w:sz="4" w:space="0" w:color="000000"/>
            </w:tcBorders>
          </w:tcPr>
          <w:p w14:paraId="6B92E00E" w14:textId="77777777" w:rsidR="00C75312" w:rsidRDefault="00BB293A">
            <w:pPr>
              <w:pStyle w:val="TableParagraph"/>
              <w:ind w:left="134"/>
              <w:rPr>
                <w:sz w:val="20"/>
              </w:rPr>
            </w:pPr>
            <w:r>
              <w:rPr>
                <w:sz w:val="20"/>
              </w:rPr>
              <w:t>Yi et al.,</w:t>
            </w:r>
          </w:p>
        </w:tc>
        <w:tc>
          <w:tcPr>
            <w:tcW w:w="1990" w:type="dxa"/>
            <w:tcBorders>
              <w:top w:val="single" w:sz="4" w:space="0" w:color="000000"/>
            </w:tcBorders>
          </w:tcPr>
          <w:p w14:paraId="7CAA7AA2" w14:textId="77777777" w:rsidR="00C75312" w:rsidRDefault="00BB293A">
            <w:pPr>
              <w:pStyle w:val="TableParagraph"/>
              <w:spacing w:line="231" w:lineRule="exact"/>
              <w:ind w:left="130"/>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25 (19 male)</w:t>
            </w:r>
          </w:p>
        </w:tc>
        <w:tc>
          <w:tcPr>
            <w:tcW w:w="2107" w:type="dxa"/>
            <w:tcBorders>
              <w:top w:val="single" w:sz="4" w:space="0" w:color="000000"/>
            </w:tcBorders>
          </w:tcPr>
          <w:p w14:paraId="332F9B4E" w14:textId="77777777" w:rsidR="00C75312" w:rsidRDefault="00BB293A">
            <w:pPr>
              <w:pStyle w:val="TableParagraph"/>
              <w:ind w:left="132"/>
              <w:rPr>
                <w:sz w:val="20"/>
              </w:rPr>
            </w:pPr>
            <w:r>
              <w:rPr>
                <w:sz w:val="20"/>
              </w:rPr>
              <w:t>ASD: 7.66 (4.9–10.3)</w:t>
            </w:r>
          </w:p>
        </w:tc>
        <w:tc>
          <w:tcPr>
            <w:tcW w:w="1997" w:type="dxa"/>
            <w:tcBorders>
              <w:top w:val="single" w:sz="4" w:space="0" w:color="000000"/>
            </w:tcBorders>
          </w:tcPr>
          <w:p w14:paraId="4465BBF4" w14:textId="77777777" w:rsidR="00C75312" w:rsidRDefault="00BB293A">
            <w:pPr>
              <w:pStyle w:val="TableParagraph"/>
              <w:ind w:left="132"/>
              <w:rPr>
                <w:sz w:val="20"/>
              </w:rPr>
            </w:pPr>
            <w:r>
              <w:rPr>
                <w:sz w:val="20"/>
              </w:rPr>
              <w:t>Naming of items on</w:t>
            </w:r>
          </w:p>
        </w:tc>
        <w:tc>
          <w:tcPr>
            <w:tcW w:w="1357" w:type="dxa"/>
            <w:tcBorders>
              <w:top w:val="single" w:sz="4" w:space="0" w:color="000000"/>
            </w:tcBorders>
          </w:tcPr>
          <w:p w14:paraId="0DE85776" w14:textId="77777777" w:rsidR="00C75312" w:rsidRDefault="00BB293A">
            <w:pPr>
              <w:pStyle w:val="TableParagraph"/>
              <w:ind w:left="127"/>
              <w:rPr>
                <w:sz w:val="20"/>
              </w:rPr>
            </w:pPr>
            <w:r>
              <w:rPr>
                <w:sz w:val="20"/>
              </w:rPr>
              <w:t>5 trials</w:t>
            </w:r>
          </w:p>
        </w:tc>
        <w:tc>
          <w:tcPr>
            <w:tcW w:w="943" w:type="dxa"/>
            <w:tcBorders>
              <w:top w:val="single" w:sz="4" w:space="0" w:color="000000"/>
            </w:tcBorders>
          </w:tcPr>
          <w:p w14:paraId="256FF8D9" w14:textId="77777777" w:rsidR="00C75312" w:rsidRDefault="00BB293A">
            <w:pPr>
              <w:pStyle w:val="TableParagraph"/>
              <w:ind w:left="119"/>
              <w:rPr>
                <w:sz w:val="20"/>
              </w:rPr>
            </w:pPr>
            <w:r>
              <w:rPr>
                <w:sz w:val="20"/>
              </w:rPr>
              <w:t>1</w:t>
            </w:r>
          </w:p>
        </w:tc>
        <w:tc>
          <w:tcPr>
            <w:tcW w:w="1069" w:type="dxa"/>
            <w:tcBorders>
              <w:top w:val="single" w:sz="4" w:space="0" w:color="000000"/>
            </w:tcBorders>
          </w:tcPr>
          <w:p w14:paraId="53AA7266" w14:textId="77777777" w:rsidR="00C75312" w:rsidRDefault="00BB293A">
            <w:pPr>
              <w:pStyle w:val="TableParagraph"/>
              <w:ind w:left="112"/>
              <w:rPr>
                <w:sz w:val="20"/>
              </w:rPr>
            </w:pPr>
            <w:r>
              <w:rPr>
                <w:sz w:val="20"/>
              </w:rPr>
              <w:t>Focal</w:t>
            </w:r>
          </w:p>
        </w:tc>
        <w:tc>
          <w:tcPr>
            <w:tcW w:w="1090" w:type="dxa"/>
            <w:tcBorders>
              <w:top w:val="single" w:sz="4" w:space="0" w:color="000000"/>
            </w:tcBorders>
          </w:tcPr>
          <w:p w14:paraId="4CF39D87" w14:textId="77777777" w:rsidR="00C75312" w:rsidRDefault="00BB293A">
            <w:pPr>
              <w:pStyle w:val="TableParagraph"/>
              <w:ind w:left="118"/>
              <w:rPr>
                <w:sz w:val="20"/>
              </w:rPr>
            </w:pPr>
            <w:r>
              <w:rPr>
                <w:sz w:val="20"/>
              </w:rPr>
              <w:t>No</w:t>
            </w:r>
          </w:p>
        </w:tc>
        <w:tc>
          <w:tcPr>
            <w:tcW w:w="2149" w:type="dxa"/>
            <w:tcBorders>
              <w:top w:val="single" w:sz="4" w:space="0" w:color="000000"/>
            </w:tcBorders>
          </w:tcPr>
          <w:p w14:paraId="38EF2227" w14:textId="77777777" w:rsidR="00C75312" w:rsidRDefault="00BB293A">
            <w:pPr>
              <w:pStyle w:val="TableParagraph"/>
              <w:spacing w:line="231" w:lineRule="exact"/>
              <w:ind w:left="108"/>
              <w:rPr>
                <w:sz w:val="20"/>
              </w:rPr>
            </w:pPr>
            <w:r>
              <w:rPr>
                <w:position w:val="1"/>
                <w:sz w:val="20"/>
              </w:rPr>
              <w:t>Yes (ASD vs. NT</w:t>
            </w:r>
            <w:r>
              <w:rPr>
                <w:position w:val="1"/>
                <w:sz w:val="20"/>
                <w:vertAlign w:val="subscript"/>
              </w:rPr>
              <w:t>MA</w:t>
            </w:r>
            <w:r>
              <w:rPr>
                <w:position w:val="1"/>
                <w:sz w:val="20"/>
              </w:rPr>
              <w:t>:</w:t>
            </w:r>
          </w:p>
        </w:tc>
      </w:tr>
      <w:tr w:rsidR="00C75312" w14:paraId="151ED4D7" w14:textId="77777777">
        <w:trPr>
          <w:trHeight w:val="282"/>
        </w:trPr>
        <w:tc>
          <w:tcPr>
            <w:tcW w:w="1314" w:type="dxa"/>
          </w:tcPr>
          <w:p w14:paraId="55EE7116" w14:textId="77777777" w:rsidR="00C75312" w:rsidRDefault="00BB293A">
            <w:pPr>
              <w:pStyle w:val="TableParagraph"/>
              <w:spacing w:before="13"/>
              <w:ind w:left="134"/>
              <w:rPr>
                <w:sz w:val="20"/>
              </w:rPr>
            </w:pPr>
            <w:r>
              <w:rPr>
                <w:sz w:val="20"/>
              </w:rPr>
              <w:t>2014</w:t>
            </w:r>
          </w:p>
        </w:tc>
        <w:tc>
          <w:tcPr>
            <w:tcW w:w="1990" w:type="dxa"/>
          </w:tcPr>
          <w:p w14:paraId="37753C93" w14:textId="77777777" w:rsidR="00C75312" w:rsidRDefault="00BB293A">
            <w:pPr>
              <w:pStyle w:val="TableParagraph"/>
              <w:spacing w:before="51" w:line="211" w:lineRule="exact"/>
              <w:ind w:left="130"/>
              <w:rPr>
                <w:sz w:val="20"/>
              </w:rPr>
            </w:pPr>
            <w:proofErr w:type="spellStart"/>
            <w:r>
              <w:rPr>
                <w:i/>
                <w:position w:val="1"/>
                <w:sz w:val="20"/>
              </w:rPr>
              <w:t>n</w:t>
            </w:r>
            <w:r>
              <w:rPr>
                <w:i/>
                <w:position w:val="1"/>
                <w:sz w:val="20"/>
                <w:vertAlign w:val="subscript"/>
              </w:rPr>
              <w:t>NT</w:t>
            </w:r>
            <w:proofErr w:type="spellEnd"/>
            <w:r>
              <w:rPr>
                <w:i/>
                <w:position w:val="1"/>
                <w:sz w:val="20"/>
                <w:vertAlign w:val="subscript"/>
              </w:rPr>
              <w:t>-MA</w:t>
            </w:r>
            <w:r>
              <w:rPr>
                <w:i/>
                <w:position w:val="1"/>
                <w:sz w:val="20"/>
              </w:rPr>
              <w:t xml:space="preserve"> </w:t>
            </w:r>
            <w:r>
              <w:rPr>
                <w:position w:val="1"/>
                <w:sz w:val="20"/>
              </w:rPr>
              <w:t>= 28 (19 male)</w:t>
            </w:r>
          </w:p>
        </w:tc>
        <w:tc>
          <w:tcPr>
            <w:tcW w:w="2107" w:type="dxa"/>
          </w:tcPr>
          <w:p w14:paraId="27A1963D" w14:textId="77777777" w:rsidR="00C75312" w:rsidRDefault="00BB293A">
            <w:pPr>
              <w:pStyle w:val="TableParagraph"/>
              <w:spacing w:before="51" w:line="211" w:lineRule="exact"/>
              <w:ind w:left="132"/>
              <w:rPr>
                <w:sz w:val="20"/>
              </w:rPr>
            </w:pPr>
            <w:r>
              <w:rPr>
                <w:position w:val="1"/>
                <w:sz w:val="20"/>
              </w:rPr>
              <w:t>NT</w:t>
            </w:r>
            <w:r>
              <w:rPr>
                <w:position w:val="1"/>
                <w:sz w:val="20"/>
                <w:vertAlign w:val="subscript"/>
              </w:rPr>
              <w:t>MA</w:t>
            </w:r>
            <w:r>
              <w:rPr>
                <w:position w:val="1"/>
                <w:sz w:val="20"/>
              </w:rPr>
              <w:t>: 5.8 (4.3–9.9)</w:t>
            </w:r>
          </w:p>
        </w:tc>
        <w:tc>
          <w:tcPr>
            <w:tcW w:w="1997" w:type="dxa"/>
          </w:tcPr>
          <w:p w14:paraId="7D0D7CE5" w14:textId="77777777" w:rsidR="00C75312" w:rsidRDefault="00BB293A">
            <w:pPr>
              <w:pStyle w:val="TableParagraph"/>
              <w:spacing w:before="13"/>
              <w:ind w:left="132"/>
              <w:rPr>
                <w:sz w:val="20"/>
              </w:rPr>
            </w:pPr>
            <w:r>
              <w:rPr>
                <w:sz w:val="20"/>
              </w:rPr>
              <w:t>cards</w:t>
            </w:r>
          </w:p>
        </w:tc>
        <w:tc>
          <w:tcPr>
            <w:tcW w:w="1357" w:type="dxa"/>
          </w:tcPr>
          <w:p w14:paraId="097D5C20" w14:textId="77777777" w:rsidR="00C75312" w:rsidRDefault="00C75312">
            <w:pPr>
              <w:pStyle w:val="TableParagraph"/>
              <w:rPr>
                <w:sz w:val="18"/>
              </w:rPr>
            </w:pPr>
          </w:p>
        </w:tc>
        <w:tc>
          <w:tcPr>
            <w:tcW w:w="943" w:type="dxa"/>
          </w:tcPr>
          <w:p w14:paraId="2943DFB7" w14:textId="77777777" w:rsidR="00C75312" w:rsidRDefault="00C75312">
            <w:pPr>
              <w:pStyle w:val="TableParagraph"/>
              <w:rPr>
                <w:sz w:val="18"/>
              </w:rPr>
            </w:pPr>
          </w:p>
        </w:tc>
        <w:tc>
          <w:tcPr>
            <w:tcW w:w="1069" w:type="dxa"/>
          </w:tcPr>
          <w:p w14:paraId="2BEA29C7" w14:textId="77777777" w:rsidR="00C75312" w:rsidRDefault="00C75312">
            <w:pPr>
              <w:pStyle w:val="TableParagraph"/>
              <w:rPr>
                <w:sz w:val="18"/>
              </w:rPr>
            </w:pPr>
          </w:p>
        </w:tc>
        <w:tc>
          <w:tcPr>
            <w:tcW w:w="1090" w:type="dxa"/>
          </w:tcPr>
          <w:p w14:paraId="515176E8" w14:textId="77777777" w:rsidR="00C75312" w:rsidRDefault="00C75312">
            <w:pPr>
              <w:pStyle w:val="TableParagraph"/>
              <w:rPr>
                <w:sz w:val="18"/>
              </w:rPr>
            </w:pPr>
          </w:p>
        </w:tc>
        <w:tc>
          <w:tcPr>
            <w:tcW w:w="2149" w:type="dxa"/>
          </w:tcPr>
          <w:p w14:paraId="3D4B844A" w14:textId="77777777" w:rsidR="00C75312" w:rsidRDefault="00BB293A">
            <w:pPr>
              <w:pStyle w:val="TableParagraph"/>
              <w:spacing w:before="13"/>
              <w:ind w:left="108"/>
              <w:rPr>
                <w:sz w:val="20"/>
              </w:rPr>
            </w:pPr>
            <w:r>
              <w:rPr>
                <w:i/>
                <w:sz w:val="20"/>
              </w:rPr>
              <w:t xml:space="preserve">g </w:t>
            </w:r>
            <w:r>
              <w:rPr>
                <w:sz w:val="20"/>
              </w:rPr>
              <w:t>= -0.59, ASD vs.</w:t>
            </w:r>
          </w:p>
        </w:tc>
      </w:tr>
    </w:tbl>
    <w:p w14:paraId="5AD7FA4B" w14:textId="77777777" w:rsidR="00C75312" w:rsidRDefault="00C75312">
      <w:pPr>
        <w:rPr>
          <w:sz w:val="20"/>
        </w:rPr>
        <w:sectPr w:rsidR="00C75312">
          <w:pgSz w:w="16840" w:h="11900" w:orient="landscape"/>
          <w:pgMar w:top="1180" w:right="1300" w:bottom="280" w:left="1300" w:header="720" w:footer="0" w:gutter="0"/>
          <w:cols w:space="720"/>
        </w:sectPr>
      </w:pPr>
    </w:p>
    <w:p w14:paraId="2AAA064F" w14:textId="77777777" w:rsidR="00C75312" w:rsidRDefault="00C75312">
      <w:pPr>
        <w:pStyle w:val="BodyText"/>
        <w:rPr>
          <w:i/>
          <w:sz w:val="22"/>
        </w:rPr>
      </w:pPr>
    </w:p>
    <w:p w14:paraId="57C0D03A" w14:textId="77777777" w:rsidR="00C75312" w:rsidRDefault="00BB293A">
      <w:pPr>
        <w:spacing w:before="136" w:line="276" w:lineRule="auto"/>
        <w:ind w:left="245" w:right="-12"/>
        <w:rPr>
          <w:sz w:val="20"/>
        </w:rPr>
      </w:pPr>
      <w:proofErr w:type="spellStart"/>
      <w:r>
        <w:rPr>
          <w:sz w:val="20"/>
        </w:rPr>
        <w:t>Altgassen</w:t>
      </w:r>
      <w:proofErr w:type="spellEnd"/>
      <w:r>
        <w:rPr>
          <w:sz w:val="20"/>
        </w:rPr>
        <w:t xml:space="preserve"> &amp; Koch, 2014</w:t>
      </w:r>
    </w:p>
    <w:p w14:paraId="1B011E82" w14:textId="77777777" w:rsidR="00C75312" w:rsidRDefault="00BB293A">
      <w:pPr>
        <w:spacing w:before="76"/>
        <w:ind w:left="245"/>
        <w:rPr>
          <w:sz w:val="20"/>
        </w:rPr>
      </w:pPr>
      <w:r>
        <w:br w:type="column"/>
      </w:r>
      <w:proofErr w:type="spellStart"/>
      <w:r>
        <w:rPr>
          <w:i/>
          <w:position w:val="1"/>
          <w:sz w:val="20"/>
        </w:rPr>
        <w:t>n</w:t>
      </w:r>
      <w:r>
        <w:rPr>
          <w:i/>
          <w:position w:val="1"/>
          <w:sz w:val="20"/>
          <w:vertAlign w:val="subscript"/>
        </w:rPr>
        <w:t>NT</w:t>
      </w:r>
      <w:proofErr w:type="spellEnd"/>
      <w:r>
        <w:rPr>
          <w:i/>
          <w:position w:val="1"/>
          <w:sz w:val="20"/>
          <w:vertAlign w:val="subscript"/>
        </w:rPr>
        <w:t>-CA</w:t>
      </w:r>
      <w:r>
        <w:rPr>
          <w:i/>
          <w:position w:val="1"/>
          <w:sz w:val="20"/>
        </w:rPr>
        <w:t xml:space="preserve"> </w:t>
      </w:r>
      <w:r>
        <w:rPr>
          <w:position w:val="1"/>
          <w:sz w:val="20"/>
        </w:rPr>
        <w:t xml:space="preserve">= 25 (22 </w:t>
      </w:r>
      <w:r>
        <w:rPr>
          <w:spacing w:val="-10"/>
          <w:position w:val="1"/>
          <w:sz w:val="20"/>
        </w:rPr>
        <w:t>male)</w:t>
      </w:r>
    </w:p>
    <w:p w14:paraId="14FC281D" w14:textId="77777777" w:rsidR="00C75312" w:rsidRDefault="00BB293A">
      <w:pPr>
        <w:spacing w:before="72"/>
        <w:ind w:left="245"/>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22 (20 male)</w:t>
      </w:r>
    </w:p>
    <w:p w14:paraId="289B8D92" w14:textId="77777777" w:rsidR="00C75312" w:rsidRDefault="00BB293A">
      <w:pPr>
        <w:spacing w:before="67"/>
        <w:ind w:left="245"/>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22 (20 male)</w:t>
      </w:r>
    </w:p>
    <w:p w14:paraId="7292D3E2" w14:textId="77777777" w:rsidR="00C75312" w:rsidRDefault="00BB293A">
      <w:pPr>
        <w:spacing w:before="76"/>
        <w:ind w:left="243"/>
        <w:rPr>
          <w:sz w:val="20"/>
        </w:rPr>
      </w:pPr>
      <w:r>
        <w:br w:type="column"/>
      </w:r>
      <w:r>
        <w:rPr>
          <w:position w:val="1"/>
          <w:sz w:val="20"/>
        </w:rPr>
        <w:t>NT</w:t>
      </w:r>
      <w:r>
        <w:rPr>
          <w:position w:val="1"/>
          <w:sz w:val="20"/>
          <w:vertAlign w:val="subscript"/>
        </w:rPr>
        <w:t>CA</w:t>
      </w:r>
      <w:r>
        <w:rPr>
          <w:position w:val="1"/>
          <w:sz w:val="20"/>
        </w:rPr>
        <w:t>: 7.68 (4.6–11.2)</w:t>
      </w:r>
    </w:p>
    <w:p w14:paraId="05D767A3" w14:textId="77777777" w:rsidR="00C75312" w:rsidRDefault="00BB293A">
      <w:pPr>
        <w:spacing w:before="73"/>
        <w:ind w:left="243"/>
        <w:rPr>
          <w:sz w:val="20"/>
        </w:rPr>
      </w:pPr>
      <w:r>
        <w:rPr>
          <w:sz w:val="20"/>
        </w:rPr>
        <w:t>ASD: 25.8 (17–41)</w:t>
      </w:r>
    </w:p>
    <w:p w14:paraId="33AF864C" w14:textId="77777777" w:rsidR="00C75312" w:rsidRDefault="00BB293A">
      <w:pPr>
        <w:spacing w:before="77"/>
        <w:ind w:left="243"/>
        <w:rPr>
          <w:sz w:val="20"/>
        </w:rPr>
      </w:pPr>
      <w:r>
        <w:rPr>
          <w:sz w:val="20"/>
        </w:rPr>
        <w:t>NT: 25.6 (16–38)</w:t>
      </w:r>
    </w:p>
    <w:p w14:paraId="6FBFE048" w14:textId="77777777" w:rsidR="00C75312" w:rsidRDefault="00BB293A">
      <w:pPr>
        <w:pStyle w:val="BodyText"/>
        <w:rPr>
          <w:sz w:val="22"/>
        </w:rPr>
      </w:pPr>
      <w:r>
        <w:br w:type="column"/>
      </w:r>
    </w:p>
    <w:p w14:paraId="2F0C1FB8" w14:textId="77777777" w:rsidR="00C75312" w:rsidRDefault="00BB293A">
      <w:pPr>
        <w:spacing w:before="136" w:line="276" w:lineRule="auto"/>
        <w:ind w:left="245" w:right="25"/>
        <w:rPr>
          <w:sz w:val="20"/>
        </w:rPr>
      </w:pPr>
      <w:r>
        <w:rPr>
          <w:sz w:val="20"/>
        </w:rPr>
        <w:t xml:space="preserve">Word </w:t>
      </w:r>
      <w:proofErr w:type="spellStart"/>
      <w:r>
        <w:rPr>
          <w:sz w:val="20"/>
        </w:rPr>
        <w:t>categorisation</w:t>
      </w:r>
      <w:proofErr w:type="spellEnd"/>
      <w:r>
        <w:rPr>
          <w:sz w:val="20"/>
        </w:rPr>
        <w:t xml:space="preserve"> task plus inhibition task</w:t>
      </w:r>
    </w:p>
    <w:p w14:paraId="7F29AF88" w14:textId="77777777" w:rsidR="00C75312" w:rsidRDefault="00BB293A">
      <w:pPr>
        <w:pStyle w:val="BodyText"/>
        <w:rPr>
          <w:sz w:val="22"/>
        </w:rPr>
      </w:pPr>
      <w:r>
        <w:br w:type="column"/>
      </w:r>
    </w:p>
    <w:p w14:paraId="7D3FDE80" w14:textId="77777777" w:rsidR="00C75312" w:rsidRDefault="00BB293A">
      <w:pPr>
        <w:tabs>
          <w:tab w:val="left" w:pos="1594"/>
          <w:tab w:val="left" w:pos="2530"/>
          <w:tab w:val="left" w:pos="3605"/>
        </w:tabs>
        <w:spacing w:before="136" w:line="276" w:lineRule="auto"/>
        <w:ind w:left="3605" w:right="38" w:hanging="3360"/>
        <w:rPr>
          <w:sz w:val="20"/>
        </w:rPr>
      </w:pPr>
      <w:r>
        <w:rPr>
          <w:sz w:val="20"/>
        </w:rPr>
        <w:t>4</w:t>
      </w:r>
      <w:r>
        <w:rPr>
          <w:spacing w:val="1"/>
          <w:sz w:val="20"/>
        </w:rPr>
        <w:t xml:space="preserve"> </w:t>
      </w:r>
      <w:r>
        <w:rPr>
          <w:sz w:val="20"/>
        </w:rPr>
        <w:t>trials</w:t>
      </w:r>
      <w:r>
        <w:rPr>
          <w:sz w:val="20"/>
        </w:rPr>
        <w:tab/>
        <w:t>1</w:t>
      </w:r>
      <w:r>
        <w:rPr>
          <w:sz w:val="20"/>
        </w:rPr>
        <w:tab/>
        <w:t>Non-focal</w:t>
      </w:r>
      <w:r>
        <w:rPr>
          <w:sz w:val="20"/>
        </w:rPr>
        <w:tab/>
        <w:t xml:space="preserve">Yes, </w:t>
      </w:r>
      <w:r>
        <w:rPr>
          <w:spacing w:val="-6"/>
          <w:sz w:val="20"/>
        </w:rPr>
        <w:t xml:space="preserve">~10 </w:t>
      </w:r>
      <w:r>
        <w:rPr>
          <w:sz w:val="20"/>
        </w:rPr>
        <w:t>min</w:t>
      </w:r>
    </w:p>
    <w:p w14:paraId="1647DC7F" w14:textId="77777777" w:rsidR="00C75312" w:rsidRDefault="00BB293A">
      <w:pPr>
        <w:spacing w:line="235" w:lineRule="exact"/>
        <w:ind w:left="245"/>
        <w:rPr>
          <w:sz w:val="20"/>
        </w:rPr>
      </w:pPr>
      <w:r>
        <w:br w:type="column"/>
      </w:r>
      <w:r>
        <w:rPr>
          <w:position w:val="1"/>
          <w:sz w:val="20"/>
        </w:rPr>
        <w:t>NT</w:t>
      </w:r>
      <w:r>
        <w:rPr>
          <w:position w:val="1"/>
          <w:sz w:val="20"/>
          <w:vertAlign w:val="subscript"/>
        </w:rPr>
        <w:t>CA</w:t>
      </w:r>
      <w:r>
        <w:rPr>
          <w:position w:val="1"/>
          <w:sz w:val="20"/>
        </w:rPr>
        <w:t xml:space="preserve">: </w:t>
      </w:r>
      <w:r>
        <w:rPr>
          <w:i/>
          <w:position w:val="1"/>
          <w:sz w:val="20"/>
        </w:rPr>
        <w:t xml:space="preserve">g </w:t>
      </w:r>
      <w:r>
        <w:rPr>
          <w:position w:val="1"/>
          <w:sz w:val="20"/>
        </w:rPr>
        <w:t>= -0.39 )</w:t>
      </w:r>
    </w:p>
    <w:p w14:paraId="5DE2C1B0" w14:textId="77777777" w:rsidR="00C75312" w:rsidRDefault="00BB293A">
      <w:pPr>
        <w:spacing w:before="154"/>
        <w:ind w:left="245"/>
        <w:rPr>
          <w:sz w:val="20"/>
        </w:rPr>
      </w:pPr>
      <w:r>
        <w:pict w14:anchorId="4AFB2F73">
          <v:group id="_x0000_s2884" style="position:absolute;left:0;text-align:left;margin-left:1in;margin-top:7.2pt;width:697.45pt;height:.5pt;z-index:251661312;mso-position-horizontal-relative:page" coordorigin="1440,144" coordsize="13949,10">
            <v:line id="_x0000_s2901" style="position:absolute" from="1440,149" to="2746,149" strokeweight=".48pt"/>
            <v:rect id="_x0000_s2900" style="position:absolute;left:2745;top:143;width:10;height:10" fillcolor="black" stroked="f"/>
            <v:line id="_x0000_s2899" style="position:absolute" from="2755,149" to="4738,149" strokeweight=".48pt"/>
            <v:rect id="_x0000_s2898" style="position:absolute;left:4737;top:143;width:10;height:10" fillcolor="black" stroked="f"/>
            <v:line id="_x0000_s2897" style="position:absolute" from="4747,149" to="6850,149" strokeweight=".48pt"/>
            <v:rect id="_x0000_s2896" style="position:absolute;left:6849;top:143;width:10;height:10" fillcolor="black" stroked="f"/>
            <v:line id="_x0000_s2895" style="position:absolute" from="6859,149" to="8842,149" strokeweight=".48pt"/>
            <v:rect id="_x0000_s2894" style="position:absolute;left:8841;top:143;width:10;height:10" fillcolor="black" stroked="f"/>
            <v:line id="_x0000_s2893" style="position:absolute" from="8851,149" to="10186,149" strokeweight=".48pt"/>
            <v:rect id="_x0000_s2892" style="position:absolute;left:10185;top:143;width:10;height:10" fillcolor="black" stroked="f"/>
            <v:line id="_x0000_s2891" style="position:absolute" from="10195,149" to="11126,149" strokeweight=".48pt"/>
            <v:rect id="_x0000_s2890" style="position:absolute;left:11126;top:143;width:10;height:10" fillcolor="black" stroked="f"/>
            <v:line id="_x0000_s2889" style="position:absolute" from="11136,149" to="12202,149" strokeweight=".48pt"/>
            <v:rect id="_x0000_s2888" style="position:absolute;left:12201;top:143;width:10;height:10" fillcolor="black" stroked="f"/>
            <v:line id="_x0000_s2887" style="position:absolute" from="12211,149" to="13277,149" strokeweight=".48pt"/>
            <v:rect id="_x0000_s2886" style="position:absolute;left:13276;top:143;width:10;height:10" fillcolor="black" stroked="f"/>
            <v:line id="_x0000_s2885" style="position:absolute" from="13286,149" to="15389,149" strokeweight=".48pt"/>
            <w10:wrap anchorx="page"/>
          </v:group>
        </w:pict>
      </w:r>
      <w:r>
        <w:rPr>
          <w:sz w:val="20"/>
        </w:rPr>
        <w:t>No (</w:t>
      </w:r>
      <w:r>
        <w:rPr>
          <w:i/>
          <w:sz w:val="20"/>
        </w:rPr>
        <w:t xml:space="preserve">g </w:t>
      </w:r>
      <w:r>
        <w:rPr>
          <w:sz w:val="20"/>
        </w:rPr>
        <w:t>= -0.13)</w:t>
      </w:r>
    </w:p>
    <w:p w14:paraId="5F2D56B3" w14:textId="77777777" w:rsidR="00C75312" w:rsidRDefault="00C75312">
      <w:pPr>
        <w:rPr>
          <w:sz w:val="20"/>
        </w:rPr>
        <w:sectPr w:rsidR="00C75312">
          <w:type w:val="continuous"/>
          <w:pgSz w:w="16840" w:h="11900" w:orient="landscape"/>
          <w:pgMar w:top="700" w:right="1300" w:bottom="280" w:left="1300" w:header="720" w:footer="720" w:gutter="0"/>
          <w:cols w:num="6" w:space="720" w:equalWidth="0">
            <w:col w:w="1248" w:space="63"/>
            <w:col w:w="1955" w:space="39"/>
            <w:col w:w="2034" w:space="70"/>
            <w:col w:w="1918" w:space="74"/>
            <w:col w:w="4371" w:space="70"/>
            <w:col w:w="2398"/>
          </w:cols>
        </w:sectPr>
      </w:pPr>
    </w:p>
    <w:p w14:paraId="69640218" w14:textId="77777777" w:rsidR="00C75312" w:rsidRDefault="00C75312">
      <w:pPr>
        <w:pStyle w:val="BodyText"/>
        <w:spacing w:before="6"/>
        <w:rPr>
          <w:sz w:val="3"/>
        </w:rPr>
      </w:pPr>
    </w:p>
    <w:p w14:paraId="3CB1303B" w14:textId="77777777" w:rsidR="00C75312" w:rsidRDefault="00BB293A">
      <w:pPr>
        <w:pStyle w:val="BodyText"/>
        <w:spacing w:line="20" w:lineRule="exact"/>
        <w:ind w:left="120"/>
        <w:rPr>
          <w:sz w:val="2"/>
        </w:rPr>
      </w:pPr>
      <w:r>
        <w:rPr>
          <w:sz w:val="2"/>
        </w:rPr>
      </w:r>
      <w:r>
        <w:rPr>
          <w:sz w:val="2"/>
        </w:rPr>
        <w:pict w14:anchorId="4DD60A2C">
          <v:group id="_x0000_s2866" style="width:698.2pt;height:.5pt;mso-position-horizontal-relative:char;mso-position-vertical-relative:line" coordsize="13964,10">
            <v:line id="_x0000_s2883" style="position:absolute" from="0,5" to="1320,5" strokeweight=".48pt"/>
            <v:rect id="_x0000_s2882" style="position:absolute;left:1305;width:10;height:10" fillcolor="black" stroked="f"/>
            <v:line id="_x0000_s2881" style="position:absolute" from="1315,5" to="3312,5" strokeweight=".48pt"/>
            <v:rect id="_x0000_s2880" style="position:absolute;left:3297;width:10;height:10" fillcolor="black" stroked="f"/>
            <v:line id="_x0000_s2879" style="position:absolute" from="3307,5" to="5424,5" strokeweight=".48pt"/>
            <v:rect id="_x0000_s2878" style="position:absolute;left:5409;width:10;height:10" fillcolor="black" stroked="f"/>
            <v:line id="_x0000_s2877" style="position:absolute" from="5419,5" to="7416,5" strokeweight=".48pt"/>
            <v:rect id="_x0000_s2876" style="position:absolute;left:7401;width:10;height:10" fillcolor="black" stroked="f"/>
            <v:line id="_x0000_s2875" style="position:absolute" from="7411,5" to="8760,5" strokeweight=".48pt"/>
            <v:rect id="_x0000_s2874" style="position:absolute;left:8745;width:10;height:10" fillcolor="black" stroked="f"/>
            <v:line id="_x0000_s2873" style="position:absolute" from="8755,5" to="9701,5" strokeweight=".48pt"/>
            <v:rect id="_x0000_s2872" style="position:absolute;left:9686;width:10;height:10" fillcolor="black" stroked="f"/>
            <v:line id="_x0000_s2871" style="position:absolute" from="9696,5" to="10776,5" strokeweight=".48pt"/>
            <v:rect id="_x0000_s2870" style="position:absolute;left:10761;width:10;height:10" fillcolor="black" stroked="f"/>
            <v:line id="_x0000_s2869" style="position:absolute" from="10771,5" to="11851,5" strokeweight=".48pt"/>
            <v:rect id="_x0000_s2868" style="position:absolute;left:11836;width:10;height:10" fillcolor="black" stroked="f"/>
            <v:line id="_x0000_s2867" style="position:absolute" from="11846,5" to="13963,5" strokeweight=".48pt"/>
            <w10:anchorlock/>
          </v:group>
        </w:pict>
      </w:r>
    </w:p>
    <w:p w14:paraId="74941548" w14:textId="77777777" w:rsidR="00C75312" w:rsidRDefault="00C75312">
      <w:pPr>
        <w:spacing w:line="20" w:lineRule="exact"/>
        <w:rPr>
          <w:sz w:val="2"/>
        </w:rPr>
        <w:sectPr w:rsidR="00C75312">
          <w:type w:val="continuous"/>
          <w:pgSz w:w="16840" w:h="11900" w:orient="landscape"/>
          <w:pgMar w:top="700" w:right="1300" w:bottom="280" w:left="1300" w:header="720" w:footer="720" w:gutter="0"/>
          <w:cols w:space="720"/>
        </w:sectPr>
      </w:pPr>
    </w:p>
    <w:p w14:paraId="700160CB" w14:textId="77777777" w:rsidR="00C75312" w:rsidRDefault="00C75312">
      <w:pPr>
        <w:pStyle w:val="BodyText"/>
        <w:spacing w:before="6"/>
        <w:rPr>
          <w:sz w:val="14"/>
        </w:rPr>
      </w:pPr>
    </w:p>
    <w:p w14:paraId="7FEB2C7A" w14:textId="77777777" w:rsidR="00C75312" w:rsidRDefault="00BB293A">
      <w:pPr>
        <w:spacing w:before="93"/>
        <w:ind w:left="140"/>
        <w:rPr>
          <w:i/>
          <w:sz w:val="20"/>
        </w:rPr>
      </w:pPr>
      <w:r>
        <w:rPr>
          <w:i/>
          <w:sz w:val="20"/>
        </w:rPr>
        <w:t>Table 2. continued</w:t>
      </w:r>
    </w:p>
    <w:p w14:paraId="7C163156" w14:textId="77777777" w:rsidR="00C75312" w:rsidRDefault="00C75312">
      <w:pPr>
        <w:pStyle w:val="BodyText"/>
        <w:spacing w:before="8" w:after="1"/>
        <w:rPr>
          <w:i/>
          <w:sz w:val="17"/>
        </w:rPr>
      </w:pPr>
    </w:p>
    <w:tbl>
      <w:tblPr>
        <w:tblW w:w="0" w:type="auto"/>
        <w:tblInd w:w="118" w:type="dxa"/>
        <w:tblLayout w:type="fixed"/>
        <w:tblCellMar>
          <w:left w:w="0" w:type="dxa"/>
          <w:right w:w="0" w:type="dxa"/>
        </w:tblCellMar>
        <w:tblLook w:val="01E0" w:firstRow="1" w:lastRow="1" w:firstColumn="1" w:lastColumn="1" w:noHBand="0" w:noVBand="0"/>
      </w:tblPr>
      <w:tblGrid>
        <w:gridCol w:w="1297"/>
        <w:gridCol w:w="1934"/>
        <w:gridCol w:w="2120"/>
        <w:gridCol w:w="2055"/>
        <w:gridCol w:w="1362"/>
        <w:gridCol w:w="944"/>
        <w:gridCol w:w="1070"/>
        <w:gridCol w:w="1091"/>
        <w:gridCol w:w="2150"/>
      </w:tblGrid>
      <w:tr w:rsidR="00C75312" w14:paraId="3407C1A3" w14:textId="77777777">
        <w:trPr>
          <w:trHeight w:val="959"/>
        </w:trPr>
        <w:tc>
          <w:tcPr>
            <w:tcW w:w="1297" w:type="dxa"/>
            <w:tcBorders>
              <w:top w:val="single" w:sz="4" w:space="0" w:color="000000"/>
              <w:bottom w:val="single" w:sz="4" w:space="0" w:color="000000"/>
            </w:tcBorders>
          </w:tcPr>
          <w:p w14:paraId="7A6FBB88" w14:textId="77777777" w:rsidR="00C75312" w:rsidRDefault="00BB293A">
            <w:pPr>
              <w:pStyle w:val="TableParagraph"/>
              <w:spacing w:before="2"/>
              <w:ind w:left="134"/>
              <w:rPr>
                <w:i/>
                <w:sz w:val="20"/>
              </w:rPr>
            </w:pPr>
            <w:r>
              <w:rPr>
                <w:i/>
                <w:sz w:val="20"/>
              </w:rPr>
              <w:t>Author, year</w:t>
            </w:r>
          </w:p>
        </w:tc>
        <w:tc>
          <w:tcPr>
            <w:tcW w:w="1934" w:type="dxa"/>
            <w:tcBorders>
              <w:top w:val="single" w:sz="4" w:space="0" w:color="000000"/>
              <w:bottom w:val="single" w:sz="4" w:space="0" w:color="000000"/>
            </w:tcBorders>
          </w:tcPr>
          <w:p w14:paraId="2B7A4406" w14:textId="77777777" w:rsidR="00C75312" w:rsidRDefault="00BB293A">
            <w:pPr>
              <w:pStyle w:val="TableParagraph"/>
              <w:spacing w:before="2"/>
              <w:ind w:left="147"/>
              <w:rPr>
                <w:i/>
                <w:sz w:val="20"/>
              </w:rPr>
            </w:pPr>
            <w:r>
              <w:rPr>
                <w:i/>
                <w:sz w:val="20"/>
              </w:rPr>
              <w:t>Participants</w:t>
            </w:r>
          </w:p>
        </w:tc>
        <w:tc>
          <w:tcPr>
            <w:tcW w:w="2120" w:type="dxa"/>
            <w:tcBorders>
              <w:top w:val="single" w:sz="4" w:space="0" w:color="000000"/>
              <w:bottom w:val="single" w:sz="4" w:space="0" w:color="000000"/>
            </w:tcBorders>
          </w:tcPr>
          <w:p w14:paraId="0C905826" w14:textId="77777777" w:rsidR="00C75312" w:rsidRDefault="00C75312">
            <w:pPr>
              <w:pStyle w:val="TableParagraph"/>
              <w:rPr>
                <w:sz w:val="18"/>
              </w:rPr>
            </w:pPr>
          </w:p>
        </w:tc>
        <w:tc>
          <w:tcPr>
            <w:tcW w:w="2055" w:type="dxa"/>
            <w:tcBorders>
              <w:top w:val="single" w:sz="4" w:space="0" w:color="000000"/>
              <w:bottom w:val="single" w:sz="4" w:space="0" w:color="000000"/>
            </w:tcBorders>
          </w:tcPr>
          <w:p w14:paraId="1892659A" w14:textId="77777777" w:rsidR="00C75312" w:rsidRDefault="00BB293A">
            <w:pPr>
              <w:pStyle w:val="TableParagraph"/>
              <w:spacing w:before="2"/>
              <w:ind w:left="192"/>
              <w:rPr>
                <w:sz w:val="20"/>
              </w:rPr>
            </w:pPr>
            <w:r>
              <w:rPr>
                <w:sz w:val="20"/>
              </w:rPr>
              <w:t>Task characteristics</w:t>
            </w:r>
          </w:p>
        </w:tc>
        <w:tc>
          <w:tcPr>
            <w:tcW w:w="1362" w:type="dxa"/>
            <w:tcBorders>
              <w:top w:val="single" w:sz="4" w:space="0" w:color="000000"/>
              <w:bottom w:val="single" w:sz="4" w:space="0" w:color="000000"/>
            </w:tcBorders>
          </w:tcPr>
          <w:p w14:paraId="43507679" w14:textId="77777777" w:rsidR="00C75312" w:rsidRDefault="00C75312">
            <w:pPr>
              <w:pStyle w:val="TableParagraph"/>
              <w:rPr>
                <w:sz w:val="18"/>
              </w:rPr>
            </w:pPr>
          </w:p>
        </w:tc>
        <w:tc>
          <w:tcPr>
            <w:tcW w:w="944" w:type="dxa"/>
            <w:tcBorders>
              <w:top w:val="single" w:sz="4" w:space="0" w:color="000000"/>
              <w:bottom w:val="single" w:sz="4" w:space="0" w:color="000000"/>
            </w:tcBorders>
          </w:tcPr>
          <w:p w14:paraId="00DDDC46" w14:textId="77777777" w:rsidR="00C75312" w:rsidRDefault="00C75312">
            <w:pPr>
              <w:pStyle w:val="TableParagraph"/>
              <w:rPr>
                <w:sz w:val="18"/>
              </w:rPr>
            </w:pPr>
          </w:p>
        </w:tc>
        <w:tc>
          <w:tcPr>
            <w:tcW w:w="1070" w:type="dxa"/>
            <w:tcBorders>
              <w:top w:val="single" w:sz="4" w:space="0" w:color="000000"/>
              <w:bottom w:val="single" w:sz="4" w:space="0" w:color="000000"/>
            </w:tcBorders>
          </w:tcPr>
          <w:p w14:paraId="5A581483" w14:textId="77777777" w:rsidR="00C75312" w:rsidRDefault="00C75312">
            <w:pPr>
              <w:pStyle w:val="TableParagraph"/>
              <w:rPr>
                <w:sz w:val="18"/>
              </w:rPr>
            </w:pPr>
          </w:p>
        </w:tc>
        <w:tc>
          <w:tcPr>
            <w:tcW w:w="1091" w:type="dxa"/>
            <w:tcBorders>
              <w:top w:val="single" w:sz="4" w:space="0" w:color="000000"/>
              <w:bottom w:val="single" w:sz="4" w:space="0" w:color="000000"/>
            </w:tcBorders>
          </w:tcPr>
          <w:p w14:paraId="0017D071" w14:textId="77777777" w:rsidR="00C75312" w:rsidRDefault="00BB293A">
            <w:pPr>
              <w:pStyle w:val="TableParagraph"/>
              <w:spacing w:before="2" w:line="276" w:lineRule="auto"/>
              <w:ind w:left="113" w:right="112"/>
              <w:rPr>
                <w:i/>
                <w:sz w:val="20"/>
              </w:rPr>
            </w:pPr>
            <w:r>
              <w:rPr>
                <w:i/>
                <w:sz w:val="20"/>
              </w:rPr>
              <w:t xml:space="preserve">Filler task/ </w:t>
            </w:r>
            <w:r>
              <w:rPr>
                <w:i/>
                <w:spacing w:val="-5"/>
                <w:sz w:val="20"/>
              </w:rPr>
              <w:t xml:space="preserve">delay </w:t>
            </w:r>
            <w:r>
              <w:rPr>
                <w:i/>
                <w:sz w:val="20"/>
              </w:rPr>
              <w:t>interval</w:t>
            </w:r>
          </w:p>
        </w:tc>
        <w:tc>
          <w:tcPr>
            <w:tcW w:w="2150" w:type="dxa"/>
            <w:tcBorders>
              <w:top w:val="single" w:sz="4" w:space="0" w:color="000000"/>
              <w:bottom w:val="single" w:sz="4" w:space="0" w:color="000000"/>
            </w:tcBorders>
          </w:tcPr>
          <w:p w14:paraId="2CA43EBE" w14:textId="77777777" w:rsidR="00C75312" w:rsidRDefault="00BB293A">
            <w:pPr>
              <w:pStyle w:val="TableParagraph"/>
              <w:spacing w:before="2" w:line="285" w:lineRule="auto"/>
              <w:ind w:left="102" w:right="183"/>
              <w:rPr>
                <w:i/>
                <w:sz w:val="20"/>
              </w:rPr>
            </w:pPr>
            <w:r>
              <w:rPr>
                <w:i/>
                <w:sz w:val="20"/>
              </w:rPr>
              <w:t>Authors concluded PM impairment in ASD group (</w:t>
            </w:r>
            <w:proofErr w:type="spellStart"/>
            <w:r>
              <w:rPr>
                <w:i/>
                <w:sz w:val="20"/>
              </w:rPr>
              <w:t>Hedges’g</w:t>
            </w:r>
            <w:proofErr w:type="spellEnd"/>
            <w:r>
              <w:rPr>
                <w:i/>
                <w:sz w:val="20"/>
              </w:rPr>
              <w:t>)</w:t>
            </w:r>
            <w:r>
              <w:rPr>
                <w:i/>
                <w:sz w:val="20"/>
                <w:vertAlign w:val="superscript"/>
              </w:rPr>
              <w:t>†</w:t>
            </w:r>
          </w:p>
        </w:tc>
      </w:tr>
      <w:tr w:rsidR="00C75312" w14:paraId="3368DE02" w14:textId="77777777">
        <w:trPr>
          <w:trHeight w:val="250"/>
        </w:trPr>
        <w:tc>
          <w:tcPr>
            <w:tcW w:w="1297" w:type="dxa"/>
            <w:tcBorders>
              <w:top w:val="single" w:sz="4" w:space="0" w:color="000000"/>
            </w:tcBorders>
          </w:tcPr>
          <w:p w14:paraId="289C5DB0" w14:textId="77777777" w:rsidR="00C75312" w:rsidRDefault="00C75312">
            <w:pPr>
              <w:pStyle w:val="TableParagraph"/>
              <w:rPr>
                <w:sz w:val="18"/>
              </w:rPr>
            </w:pPr>
          </w:p>
        </w:tc>
        <w:tc>
          <w:tcPr>
            <w:tcW w:w="1934" w:type="dxa"/>
            <w:tcBorders>
              <w:top w:val="single" w:sz="4" w:space="0" w:color="000000"/>
            </w:tcBorders>
          </w:tcPr>
          <w:p w14:paraId="11C2E9C1" w14:textId="77777777" w:rsidR="00C75312" w:rsidRDefault="00BB293A">
            <w:pPr>
              <w:pStyle w:val="TableParagraph"/>
              <w:spacing w:before="2" w:line="228" w:lineRule="exact"/>
              <w:ind w:left="147"/>
              <w:rPr>
                <w:sz w:val="20"/>
              </w:rPr>
            </w:pPr>
            <w:r>
              <w:rPr>
                <w:sz w:val="20"/>
              </w:rPr>
              <w:t>Sample size</w:t>
            </w:r>
          </w:p>
        </w:tc>
        <w:tc>
          <w:tcPr>
            <w:tcW w:w="2120" w:type="dxa"/>
            <w:tcBorders>
              <w:top w:val="single" w:sz="4" w:space="0" w:color="000000"/>
            </w:tcBorders>
          </w:tcPr>
          <w:p w14:paraId="7D8E4928" w14:textId="77777777" w:rsidR="00C75312" w:rsidRDefault="00BB293A">
            <w:pPr>
              <w:pStyle w:val="TableParagraph"/>
              <w:spacing w:before="2" w:line="228" w:lineRule="exact"/>
              <w:ind w:left="205"/>
              <w:rPr>
                <w:sz w:val="20"/>
              </w:rPr>
            </w:pPr>
            <w:r>
              <w:rPr>
                <w:sz w:val="20"/>
              </w:rPr>
              <w:t>Mean age (range) per</w:t>
            </w:r>
          </w:p>
        </w:tc>
        <w:tc>
          <w:tcPr>
            <w:tcW w:w="2055" w:type="dxa"/>
            <w:tcBorders>
              <w:top w:val="single" w:sz="4" w:space="0" w:color="000000"/>
            </w:tcBorders>
          </w:tcPr>
          <w:p w14:paraId="56997EA3" w14:textId="77777777" w:rsidR="00C75312" w:rsidRDefault="00BB293A">
            <w:pPr>
              <w:pStyle w:val="TableParagraph"/>
              <w:spacing w:before="2" w:line="228" w:lineRule="exact"/>
              <w:ind w:left="192"/>
              <w:rPr>
                <w:sz w:val="20"/>
              </w:rPr>
            </w:pPr>
            <w:r>
              <w:rPr>
                <w:sz w:val="20"/>
              </w:rPr>
              <w:t>Ongoing task</w:t>
            </w:r>
          </w:p>
        </w:tc>
        <w:tc>
          <w:tcPr>
            <w:tcW w:w="1362" w:type="dxa"/>
            <w:tcBorders>
              <w:top w:val="single" w:sz="4" w:space="0" w:color="000000"/>
            </w:tcBorders>
          </w:tcPr>
          <w:p w14:paraId="599C1DD6" w14:textId="77777777" w:rsidR="00C75312" w:rsidRDefault="00BB293A">
            <w:pPr>
              <w:pStyle w:val="TableParagraph"/>
              <w:spacing w:before="2" w:line="228" w:lineRule="exact"/>
              <w:ind w:left="129"/>
              <w:rPr>
                <w:sz w:val="20"/>
              </w:rPr>
            </w:pPr>
            <w:r>
              <w:rPr>
                <w:sz w:val="20"/>
              </w:rPr>
              <w:t># of PM trials</w:t>
            </w:r>
          </w:p>
        </w:tc>
        <w:tc>
          <w:tcPr>
            <w:tcW w:w="944" w:type="dxa"/>
            <w:tcBorders>
              <w:top w:val="single" w:sz="4" w:space="0" w:color="000000"/>
            </w:tcBorders>
          </w:tcPr>
          <w:p w14:paraId="553186CA" w14:textId="77777777" w:rsidR="00C75312" w:rsidRDefault="00BB293A">
            <w:pPr>
              <w:pStyle w:val="TableParagraph"/>
              <w:spacing w:before="2" w:line="228" w:lineRule="exact"/>
              <w:ind w:left="116"/>
              <w:rPr>
                <w:sz w:val="20"/>
              </w:rPr>
            </w:pPr>
            <w:r>
              <w:rPr>
                <w:sz w:val="20"/>
              </w:rPr>
              <w:t># of PM</w:t>
            </w:r>
          </w:p>
        </w:tc>
        <w:tc>
          <w:tcPr>
            <w:tcW w:w="1070" w:type="dxa"/>
            <w:tcBorders>
              <w:top w:val="single" w:sz="4" w:space="0" w:color="000000"/>
            </w:tcBorders>
          </w:tcPr>
          <w:p w14:paraId="680CCA5F" w14:textId="77777777" w:rsidR="00C75312" w:rsidRDefault="00BB293A">
            <w:pPr>
              <w:pStyle w:val="TableParagraph"/>
              <w:spacing w:before="2" w:line="228" w:lineRule="exact"/>
              <w:ind w:left="108"/>
              <w:rPr>
                <w:sz w:val="20"/>
              </w:rPr>
            </w:pPr>
            <w:r>
              <w:rPr>
                <w:sz w:val="20"/>
              </w:rPr>
              <w:t>Focality</w:t>
            </w:r>
          </w:p>
        </w:tc>
        <w:tc>
          <w:tcPr>
            <w:tcW w:w="1091" w:type="dxa"/>
            <w:tcBorders>
              <w:top w:val="single" w:sz="4" w:space="0" w:color="000000"/>
            </w:tcBorders>
          </w:tcPr>
          <w:p w14:paraId="4DBC9A4B" w14:textId="77777777" w:rsidR="00C75312" w:rsidRDefault="00C75312">
            <w:pPr>
              <w:pStyle w:val="TableParagraph"/>
              <w:rPr>
                <w:sz w:val="18"/>
              </w:rPr>
            </w:pPr>
          </w:p>
        </w:tc>
        <w:tc>
          <w:tcPr>
            <w:tcW w:w="2150" w:type="dxa"/>
            <w:tcBorders>
              <w:top w:val="single" w:sz="4" w:space="0" w:color="000000"/>
            </w:tcBorders>
          </w:tcPr>
          <w:p w14:paraId="57780BC8" w14:textId="77777777" w:rsidR="00C75312" w:rsidRDefault="00C75312">
            <w:pPr>
              <w:pStyle w:val="TableParagraph"/>
              <w:rPr>
                <w:sz w:val="18"/>
              </w:rPr>
            </w:pPr>
          </w:p>
        </w:tc>
      </w:tr>
      <w:tr w:rsidR="00C75312" w14:paraId="33C91B05" w14:textId="77777777">
        <w:trPr>
          <w:trHeight w:val="478"/>
        </w:trPr>
        <w:tc>
          <w:tcPr>
            <w:tcW w:w="1297" w:type="dxa"/>
            <w:tcBorders>
              <w:bottom w:val="single" w:sz="4" w:space="0" w:color="000000"/>
            </w:tcBorders>
          </w:tcPr>
          <w:p w14:paraId="5919D136" w14:textId="77777777" w:rsidR="00C75312" w:rsidRDefault="00C75312">
            <w:pPr>
              <w:pStyle w:val="TableParagraph"/>
              <w:rPr>
                <w:sz w:val="18"/>
              </w:rPr>
            </w:pPr>
          </w:p>
        </w:tc>
        <w:tc>
          <w:tcPr>
            <w:tcW w:w="1934" w:type="dxa"/>
            <w:tcBorders>
              <w:bottom w:val="single" w:sz="4" w:space="0" w:color="000000"/>
            </w:tcBorders>
          </w:tcPr>
          <w:p w14:paraId="4E7BE054" w14:textId="77777777" w:rsidR="00C75312" w:rsidRDefault="00BB293A">
            <w:pPr>
              <w:pStyle w:val="TableParagraph"/>
              <w:spacing w:before="59"/>
              <w:ind w:left="147"/>
              <w:rPr>
                <w:sz w:val="20"/>
              </w:rPr>
            </w:pPr>
            <w:r>
              <w:rPr>
                <w:sz w:val="20"/>
              </w:rPr>
              <w:t>(male per group)</w:t>
            </w:r>
          </w:p>
        </w:tc>
        <w:tc>
          <w:tcPr>
            <w:tcW w:w="2120" w:type="dxa"/>
            <w:tcBorders>
              <w:bottom w:val="single" w:sz="4" w:space="0" w:color="000000"/>
            </w:tcBorders>
          </w:tcPr>
          <w:p w14:paraId="0159DCF2" w14:textId="77777777" w:rsidR="00C75312" w:rsidRDefault="00BB293A">
            <w:pPr>
              <w:pStyle w:val="TableParagraph"/>
              <w:spacing w:before="15"/>
              <w:ind w:left="205"/>
              <w:rPr>
                <w:sz w:val="20"/>
              </w:rPr>
            </w:pPr>
            <w:r>
              <w:rPr>
                <w:sz w:val="20"/>
              </w:rPr>
              <w:t>group</w:t>
            </w:r>
          </w:p>
        </w:tc>
        <w:tc>
          <w:tcPr>
            <w:tcW w:w="2055" w:type="dxa"/>
            <w:tcBorders>
              <w:bottom w:val="single" w:sz="4" w:space="0" w:color="000000"/>
            </w:tcBorders>
          </w:tcPr>
          <w:p w14:paraId="6F7DEF00" w14:textId="77777777" w:rsidR="00C75312" w:rsidRDefault="00C75312">
            <w:pPr>
              <w:pStyle w:val="TableParagraph"/>
              <w:rPr>
                <w:sz w:val="18"/>
              </w:rPr>
            </w:pPr>
          </w:p>
        </w:tc>
        <w:tc>
          <w:tcPr>
            <w:tcW w:w="1362" w:type="dxa"/>
            <w:tcBorders>
              <w:bottom w:val="single" w:sz="4" w:space="0" w:color="000000"/>
            </w:tcBorders>
          </w:tcPr>
          <w:p w14:paraId="4D46D0F5" w14:textId="77777777" w:rsidR="00C75312" w:rsidRDefault="00C75312">
            <w:pPr>
              <w:pStyle w:val="TableParagraph"/>
              <w:rPr>
                <w:sz w:val="18"/>
              </w:rPr>
            </w:pPr>
          </w:p>
        </w:tc>
        <w:tc>
          <w:tcPr>
            <w:tcW w:w="944" w:type="dxa"/>
            <w:tcBorders>
              <w:bottom w:val="single" w:sz="4" w:space="0" w:color="000000"/>
            </w:tcBorders>
          </w:tcPr>
          <w:p w14:paraId="30CB130F" w14:textId="77777777" w:rsidR="00C75312" w:rsidRDefault="00BB293A">
            <w:pPr>
              <w:pStyle w:val="TableParagraph"/>
              <w:spacing w:before="15"/>
              <w:ind w:left="116"/>
              <w:rPr>
                <w:sz w:val="20"/>
              </w:rPr>
            </w:pPr>
            <w:r>
              <w:rPr>
                <w:sz w:val="20"/>
              </w:rPr>
              <w:t>cues</w:t>
            </w:r>
          </w:p>
        </w:tc>
        <w:tc>
          <w:tcPr>
            <w:tcW w:w="1070" w:type="dxa"/>
            <w:tcBorders>
              <w:bottom w:val="single" w:sz="4" w:space="0" w:color="000000"/>
            </w:tcBorders>
          </w:tcPr>
          <w:p w14:paraId="79A6E7EF" w14:textId="77777777" w:rsidR="00C75312" w:rsidRDefault="00BB293A">
            <w:pPr>
              <w:pStyle w:val="TableParagraph"/>
              <w:spacing w:before="15"/>
              <w:ind w:left="108"/>
              <w:rPr>
                <w:sz w:val="20"/>
              </w:rPr>
            </w:pPr>
            <w:r>
              <w:rPr>
                <w:sz w:val="20"/>
              </w:rPr>
              <w:t>of PM cue</w:t>
            </w:r>
          </w:p>
        </w:tc>
        <w:tc>
          <w:tcPr>
            <w:tcW w:w="1091" w:type="dxa"/>
            <w:tcBorders>
              <w:bottom w:val="single" w:sz="4" w:space="0" w:color="000000"/>
            </w:tcBorders>
          </w:tcPr>
          <w:p w14:paraId="131CB297" w14:textId="77777777" w:rsidR="00C75312" w:rsidRDefault="00C75312">
            <w:pPr>
              <w:pStyle w:val="TableParagraph"/>
              <w:rPr>
                <w:sz w:val="18"/>
              </w:rPr>
            </w:pPr>
          </w:p>
        </w:tc>
        <w:tc>
          <w:tcPr>
            <w:tcW w:w="2150" w:type="dxa"/>
            <w:tcBorders>
              <w:bottom w:val="single" w:sz="4" w:space="0" w:color="000000"/>
            </w:tcBorders>
          </w:tcPr>
          <w:p w14:paraId="4EFBFA96" w14:textId="77777777" w:rsidR="00C75312" w:rsidRDefault="00C75312">
            <w:pPr>
              <w:pStyle w:val="TableParagraph"/>
              <w:rPr>
                <w:sz w:val="18"/>
              </w:rPr>
            </w:pPr>
          </w:p>
        </w:tc>
      </w:tr>
      <w:tr w:rsidR="00C75312" w14:paraId="764DD340" w14:textId="77777777">
        <w:trPr>
          <w:trHeight w:val="250"/>
        </w:trPr>
        <w:tc>
          <w:tcPr>
            <w:tcW w:w="1297" w:type="dxa"/>
            <w:tcBorders>
              <w:top w:val="single" w:sz="4" w:space="0" w:color="000000"/>
            </w:tcBorders>
          </w:tcPr>
          <w:p w14:paraId="451E5014" w14:textId="77777777" w:rsidR="00C75312" w:rsidRDefault="00BB293A">
            <w:pPr>
              <w:pStyle w:val="TableParagraph"/>
              <w:spacing w:before="2" w:line="228" w:lineRule="exact"/>
              <w:ind w:left="134"/>
              <w:rPr>
                <w:sz w:val="20"/>
              </w:rPr>
            </w:pPr>
            <w:r>
              <w:rPr>
                <w:sz w:val="20"/>
              </w:rPr>
              <w:t>Henry et al.,</w:t>
            </w:r>
          </w:p>
        </w:tc>
        <w:tc>
          <w:tcPr>
            <w:tcW w:w="1934" w:type="dxa"/>
            <w:tcBorders>
              <w:top w:val="single" w:sz="4" w:space="0" w:color="000000"/>
            </w:tcBorders>
          </w:tcPr>
          <w:p w14:paraId="36F2F11F" w14:textId="77777777" w:rsidR="00C75312" w:rsidRDefault="00BB293A">
            <w:pPr>
              <w:pStyle w:val="TableParagraph"/>
              <w:spacing w:before="2" w:line="229" w:lineRule="exact"/>
              <w:ind w:left="147"/>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30 (24 male)</w:t>
            </w:r>
          </w:p>
        </w:tc>
        <w:tc>
          <w:tcPr>
            <w:tcW w:w="2120" w:type="dxa"/>
            <w:tcBorders>
              <w:top w:val="single" w:sz="4" w:space="0" w:color="000000"/>
            </w:tcBorders>
          </w:tcPr>
          <w:p w14:paraId="211914A5" w14:textId="77777777" w:rsidR="00C75312" w:rsidRDefault="00BB293A">
            <w:pPr>
              <w:pStyle w:val="TableParagraph"/>
              <w:spacing w:before="2" w:line="228" w:lineRule="exact"/>
              <w:ind w:left="205"/>
              <w:rPr>
                <w:sz w:val="20"/>
              </w:rPr>
            </w:pPr>
            <w:r>
              <w:rPr>
                <w:sz w:val="20"/>
              </w:rPr>
              <w:t>ASD: 10.1 (8–12)</w:t>
            </w:r>
          </w:p>
        </w:tc>
        <w:tc>
          <w:tcPr>
            <w:tcW w:w="2055" w:type="dxa"/>
            <w:tcBorders>
              <w:top w:val="single" w:sz="4" w:space="0" w:color="000000"/>
            </w:tcBorders>
          </w:tcPr>
          <w:p w14:paraId="5A39C45F" w14:textId="77777777" w:rsidR="00C75312" w:rsidRDefault="00BB293A">
            <w:pPr>
              <w:pStyle w:val="TableParagraph"/>
              <w:spacing w:before="2" w:line="228" w:lineRule="exact"/>
              <w:ind w:left="192"/>
              <w:rPr>
                <w:sz w:val="20"/>
              </w:rPr>
            </w:pPr>
            <w:r>
              <w:rPr>
                <w:sz w:val="20"/>
              </w:rPr>
              <w:t>Virtual week game</w:t>
            </w:r>
          </w:p>
        </w:tc>
        <w:tc>
          <w:tcPr>
            <w:tcW w:w="1362" w:type="dxa"/>
            <w:tcBorders>
              <w:top w:val="single" w:sz="4" w:space="0" w:color="000000"/>
            </w:tcBorders>
          </w:tcPr>
          <w:p w14:paraId="752F66D2" w14:textId="77777777" w:rsidR="00C75312" w:rsidRDefault="00BB293A">
            <w:pPr>
              <w:pStyle w:val="TableParagraph"/>
              <w:spacing w:before="2" w:line="228" w:lineRule="exact"/>
              <w:ind w:left="129"/>
              <w:rPr>
                <w:sz w:val="20"/>
              </w:rPr>
            </w:pPr>
            <w:r>
              <w:rPr>
                <w:sz w:val="20"/>
              </w:rPr>
              <w:t>12 trials</w:t>
            </w:r>
          </w:p>
        </w:tc>
        <w:tc>
          <w:tcPr>
            <w:tcW w:w="944" w:type="dxa"/>
            <w:tcBorders>
              <w:top w:val="single" w:sz="4" w:space="0" w:color="000000"/>
            </w:tcBorders>
          </w:tcPr>
          <w:p w14:paraId="36887F39" w14:textId="77777777" w:rsidR="00C75312" w:rsidRDefault="00BB293A">
            <w:pPr>
              <w:pStyle w:val="TableParagraph"/>
              <w:spacing w:before="2" w:line="228" w:lineRule="exact"/>
              <w:ind w:left="116"/>
              <w:rPr>
                <w:sz w:val="20"/>
              </w:rPr>
            </w:pPr>
            <w:r>
              <w:rPr>
                <w:sz w:val="20"/>
              </w:rPr>
              <w:t>4</w:t>
            </w:r>
          </w:p>
        </w:tc>
        <w:tc>
          <w:tcPr>
            <w:tcW w:w="1070" w:type="dxa"/>
            <w:tcBorders>
              <w:top w:val="single" w:sz="4" w:space="0" w:color="000000"/>
            </w:tcBorders>
          </w:tcPr>
          <w:p w14:paraId="2D858E24" w14:textId="77777777" w:rsidR="00C75312" w:rsidRDefault="00BB293A">
            <w:pPr>
              <w:pStyle w:val="TableParagraph"/>
              <w:spacing w:before="2" w:line="228" w:lineRule="exact"/>
              <w:ind w:left="108"/>
              <w:rPr>
                <w:sz w:val="20"/>
              </w:rPr>
            </w:pPr>
            <w:r>
              <w:rPr>
                <w:sz w:val="20"/>
              </w:rPr>
              <w:t>Not clear</w:t>
            </w:r>
          </w:p>
        </w:tc>
        <w:tc>
          <w:tcPr>
            <w:tcW w:w="1091" w:type="dxa"/>
            <w:tcBorders>
              <w:top w:val="single" w:sz="4" w:space="0" w:color="000000"/>
            </w:tcBorders>
          </w:tcPr>
          <w:p w14:paraId="77AACC26" w14:textId="77777777" w:rsidR="00C75312" w:rsidRDefault="00BB293A">
            <w:pPr>
              <w:pStyle w:val="TableParagraph"/>
              <w:spacing w:before="2" w:line="228" w:lineRule="exact"/>
              <w:ind w:left="113"/>
              <w:rPr>
                <w:sz w:val="20"/>
              </w:rPr>
            </w:pPr>
            <w:r>
              <w:rPr>
                <w:sz w:val="20"/>
              </w:rPr>
              <w:t>No</w:t>
            </w:r>
          </w:p>
        </w:tc>
        <w:tc>
          <w:tcPr>
            <w:tcW w:w="2150" w:type="dxa"/>
            <w:tcBorders>
              <w:top w:val="single" w:sz="4" w:space="0" w:color="000000"/>
            </w:tcBorders>
          </w:tcPr>
          <w:p w14:paraId="6E66BC2C" w14:textId="77777777" w:rsidR="00C75312" w:rsidRDefault="00BB293A">
            <w:pPr>
              <w:pStyle w:val="TableParagraph"/>
              <w:spacing w:before="2" w:line="228" w:lineRule="exact"/>
              <w:ind w:left="102"/>
              <w:rPr>
                <w:sz w:val="20"/>
              </w:rPr>
            </w:pPr>
            <w:r>
              <w:rPr>
                <w:sz w:val="20"/>
              </w:rPr>
              <w:t>No (</w:t>
            </w:r>
            <w:r>
              <w:rPr>
                <w:i/>
                <w:sz w:val="20"/>
              </w:rPr>
              <w:t xml:space="preserve">g </w:t>
            </w:r>
            <w:r>
              <w:rPr>
                <w:sz w:val="20"/>
              </w:rPr>
              <w:t>= -0.10)</w:t>
            </w:r>
          </w:p>
        </w:tc>
      </w:tr>
      <w:tr w:rsidR="00C75312" w14:paraId="31264B81" w14:textId="77777777">
        <w:trPr>
          <w:trHeight w:val="1375"/>
        </w:trPr>
        <w:tc>
          <w:tcPr>
            <w:tcW w:w="1297" w:type="dxa"/>
            <w:tcBorders>
              <w:bottom w:val="single" w:sz="4" w:space="0" w:color="000000"/>
            </w:tcBorders>
          </w:tcPr>
          <w:p w14:paraId="22AE346A" w14:textId="77777777" w:rsidR="00C75312" w:rsidRDefault="00BB293A">
            <w:pPr>
              <w:pStyle w:val="TableParagraph"/>
              <w:spacing w:before="15"/>
              <w:ind w:left="134"/>
              <w:rPr>
                <w:sz w:val="20"/>
              </w:rPr>
            </w:pPr>
            <w:r>
              <w:rPr>
                <w:sz w:val="20"/>
              </w:rPr>
              <w:t>2014*</w:t>
            </w:r>
          </w:p>
        </w:tc>
        <w:tc>
          <w:tcPr>
            <w:tcW w:w="1934" w:type="dxa"/>
            <w:tcBorders>
              <w:bottom w:val="single" w:sz="4" w:space="0" w:color="000000"/>
            </w:tcBorders>
          </w:tcPr>
          <w:p w14:paraId="101D8B38" w14:textId="77777777" w:rsidR="00C75312" w:rsidRDefault="00BB293A">
            <w:pPr>
              <w:pStyle w:val="TableParagraph"/>
              <w:spacing w:before="53"/>
              <w:ind w:left="147"/>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30 (19 male)</w:t>
            </w:r>
          </w:p>
        </w:tc>
        <w:tc>
          <w:tcPr>
            <w:tcW w:w="2120" w:type="dxa"/>
            <w:tcBorders>
              <w:bottom w:val="single" w:sz="4" w:space="0" w:color="000000"/>
            </w:tcBorders>
          </w:tcPr>
          <w:p w14:paraId="5872AC79" w14:textId="77777777" w:rsidR="00C75312" w:rsidRDefault="00BB293A">
            <w:pPr>
              <w:pStyle w:val="TableParagraph"/>
              <w:spacing w:before="54"/>
              <w:ind w:left="205"/>
              <w:rPr>
                <w:sz w:val="20"/>
              </w:rPr>
            </w:pPr>
            <w:r>
              <w:rPr>
                <w:sz w:val="20"/>
              </w:rPr>
              <w:t>NT: 10 (8–12)</w:t>
            </w:r>
          </w:p>
        </w:tc>
        <w:tc>
          <w:tcPr>
            <w:tcW w:w="2055" w:type="dxa"/>
            <w:tcBorders>
              <w:bottom w:val="single" w:sz="4" w:space="0" w:color="000000"/>
            </w:tcBorders>
          </w:tcPr>
          <w:p w14:paraId="424F8296" w14:textId="77777777" w:rsidR="00C75312" w:rsidRDefault="00BB293A">
            <w:pPr>
              <w:pStyle w:val="TableParagraph"/>
              <w:spacing w:before="54" w:line="276" w:lineRule="auto"/>
              <w:ind w:left="192" w:right="121"/>
              <w:rPr>
                <w:sz w:val="20"/>
              </w:rPr>
            </w:pPr>
            <w:r>
              <w:rPr>
                <w:sz w:val="20"/>
              </w:rPr>
              <w:t>2 within-subject conditions (high vs. low task absorption) of 3 virtual days each</w:t>
            </w:r>
          </w:p>
        </w:tc>
        <w:tc>
          <w:tcPr>
            <w:tcW w:w="1362" w:type="dxa"/>
            <w:tcBorders>
              <w:bottom w:val="single" w:sz="4" w:space="0" w:color="000000"/>
            </w:tcBorders>
          </w:tcPr>
          <w:p w14:paraId="7F518C28" w14:textId="77777777" w:rsidR="00C75312" w:rsidRDefault="00BB293A">
            <w:pPr>
              <w:pStyle w:val="TableParagraph"/>
              <w:spacing w:before="15" w:line="276" w:lineRule="auto"/>
              <w:ind w:left="129" w:right="219"/>
              <w:rPr>
                <w:sz w:val="20"/>
              </w:rPr>
            </w:pPr>
            <w:r>
              <w:rPr>
                <w:sz w:val="20"/>
              </w:rPr>
              <w:t>across 3 virtual days, (2 regular/ 2 irregular per virtual day)</w:t>
            </w:r>
          </w:p>
        </w:tc>
        <w:tc>
          <w:tcPr>
            <w:tcW w:w="944" w:type="dxa"/>
            <w:tcBorders>
              <w:bottom w:val="single" w:sz="4" w:space="0" w:color="000000"/>
            </w:tcBorders>
          </w:tcPr>
          <w:p w14:paraId="767AC84C" w14:textId="77777777" w:rsidR="00C75312" w:rsidRDefault="00C75312">
            <w:pPr>
              <w:pStyle w:val="TableParagraph"/>
              <w:rPr>
                <w:sz w:val="18"/>
              </w:rPr>
            </w:pPr>
          </w:p>
        </w:tc>
        <w:tc>
          <w:tcPr>
            <w:tcW w:w="1070" w:type="dxa"/>
            <w:tcBorders>
              <w:bottom w:val="single" w:sz="4" w:space="0" w:color="000000"/>
            </w:tcBorders>
          </w:tcPr>
          <w:p w14:paraId="5F630FDB" w14:textId="77777777" w:rsidR="00C75312" w:rsidRDefault="00C75312">
            <w:pPr>
              <w:pStyle w:val="TableParagraph"/>
              <w:rPr>
                <w:sz w:val="18"/>
              </w:rPr>
            </w:pPr>
          </w:p>
        </w:tc>
        <w:tc>
          <w:tcPr>
            <w:tcW w:w="1091" w:type="dxa"/>
            <w:tcBorders>
              <w:bottom w:val="single" w:sz="4" w:space="0" w:color="000000"/>
            </w:tcBorders>
          </w:tcPr>
          <w:p w14:paraId="76643553" w14:textId="77777777" w:rsidR="00C75312" w:rsidRDefault="00C75312">
            <w:pPr>
              <w:pStyle w:val="TableParagraph"/>
              <w:rPr>
                <w:sz w:val="18"/>
              </w:rPr>
            </w:pPr>
          </w:p>
        </w:tc>
        <w:tc>
          <w:tcPr>
            <w:tcW w:w="2150" w:type="dxa"/>
            <w:tcBorders>
              <w:bottom w:val="single" w:sz="4" w:space="0" w:color="000000"/>
            </w:tcBorders>
          </w:tcPr>
          <w:p w14:paraId="7D5E9926" w14:textId="77777777" w:rsidR="00C75312" w:rsidRDefault="00C75312">
            <w:pPr>
              <w:pStyle w:val="TableParagraph"/>
              <w:rPr>
                <w:sz w:val="18"/>
              </w:rPr>
            </w:pPr>
          </w:p>
        </w:tc>
      </w:tr>
      <w:tr w:rsidR="00C75312" w14:paraId="45D1F980" w14:textId="77777777">
        <w:trPr>
          <w:trHeight w:val="250"/>
        </w:trPr>
        <w:tc>
          <w:tcPr>
            <w:tcW w:w="1297" w:type="dxa"/>
            <w:tcBorders>
              <w:top w:val="single" w:sz="4" w:space="0" w:color="000000"/>
            </w:tcBorders>
          </w:tcPr>
          <w:p w14:paraId="252B61B7" w14:textId="77777777" w:rsidR="00C75312" w:rsidRDefault="00BB293A">
            <w:pPr>
              <w:pStyle w:val="TableParagraph"/>
              <w:spacing w:before="2" w:line="228" w:lineRule="exact"/>
              <w:ind w:left="134"/>
              <w:rPr>
                <w:sz w:val="20"/>
              </w:rPr>
            </w:pPr>
            <w:r>
              <w:rPr>
                <w:sz w:val="20"/>
              </w:rPr>
              <w:t>Kretschmer</w:t>
            </w:r>
          </w:p>
        </w:tc>
        <w:tc>
          <w:tcPr>
            <w:tcW w:w="1934" w:type="dxa"/>
            <w:tcBorders>
              <w:top w:val="single" w:sz="4" w:space="0" w:color="000000"/>
            </w:tcBorders>
          </w:tcPr>
          <w:p w14:paraId="0C5078C2" w14:textId="77777777" w:rsidR="00C75312" w:rsidRDefault="00BB293A">
            <w:pPr>
              <w:pStyle w:val="TableParagraph"/>
              <w:spacing w:before="2" w:line="229" w:lineRule="exact"/>
              <w:ind w:left="147"/>
              <w:rPr>
                <w:sz w:val="20"/>
              </w:rPr>
            </w:pPr>
            <w:proofErr w:type="spellStart"/>
            <w:r>
              <w:rPr>
                <w:i/>
                <w:position w:val="1"/>
                <w:sz w:val="20"/>
              </w:rPr>
              <w:t>n</w:t>
            </w:r>
            <w:r>
              <w:rPr>
                <w:i/>
                <w:position w:val="1"/>
                <w:sz w:val="20"/>
                <w:vertAlign w:val="subscript"/>
              </w:rPr>
              <w:t>ASD</w:t>
            </w:r>
            <w:proofErr w:type="spellEnd"/>
            <w:r>
              <w:rPr>
                <w:i/>
                <w:position w:val="1"/>
                <w:sz w:val="20"/>
              </w:rPr>
              <w:t xml:space="preserve"> </w:t>
            </w:r>
            <w:r>
              <w:rPr>
                <w:position w:val="1"/>
                <w:sz w:val="20"/>
              </w:rPr>
              <w:t>= 27 (9 men)</w:t>
            </w:r>
          </w:p>
        </w:tc>
        <w:tc>
          <w:tcPr>
            <w:tcW w:w="2120" w:type="dxa"/>
            <w:tcBorders>
              <w:top w:val="single" w:sz="4" w:space="0" w:color="000000"/>
            </w:tcBorders>
          </w:tcPr>
          <w:p w14:paraId="063564B3" w14:textId="77777777" w:rsidR="00C75312" w:rsidRDefault="00BB293A">
            <w:pPr>
              <w:pStyle w:val="TableParagraph"/>
              <w:spacing w:before="2" w:line="228" w:lineRule="exact"/>
              <w:ind w:left="205"/>
              <w:rPr>
                <w:sz w:val="20"/>
              </w:rPr>
            </w:pPr>
            <w:r>
              <w:rPr>
                <w:sz w:val="20"/>
              </w:rPr>
              <w:t>ASD: 35.6 (19–58)</w:t>
            </w:r>
          </w:p>
        </w:tc>
        <w:tc>
          <w:tcPr>
            <w:tcW w:w="2055" w:type="dxa"/>
            <w:tcBorders>
              <w:top w:val="single" w:sz="4" w:space="0" w:color="000000"/>
            </w:tcBorders>
          </w:tcPr>
          <w:p w14:paraId="4964DFAC" w14:textId="77777777" w:rsidR="00C75312" w:rsidRDefault="00BB293A">
            <w:pPr>
              <w:pStyle w:val="TableParagraph"/>
              <w:spacing w:before="2" w:line="228" w:lineRule="exact"/>
              <w:ind w:left="192"/>
              <w:rPr>
                <w:sz w:val="20"/>
              </w:rPr>
            </w:pPr>
            <w:r>
              <w:rPr>
                <w:sz w:val="20"/>
              </w:rPr>
              <w:t>Virtual week game</w:t>
            </w:r>
          </w:p>
        </w:tc>
        <w:tc>
          <w:tcPr>
            <w:tcW w:w="1362" w:type="dxa"/>
            <w:tcBorders>
              <w:top w:val="single" w:sz="4" w:space="0" w:color="000000"/>
            </w:tcBorders>
          </w:tcPr>
          <w:p w14:paraId="3DE5AF9D" w14:textId="77777777" w:rsidR="00C75312" w:rsidRDefault="00BB293A">
            <w:pPr>
              <w:pStyle w:val="TableParagraph"/>
              <w:spacing w:before="2" w:line="228" w:lineRule="exact"/>
              <w:ind w:left="129"/>
              <w:rPr>
                <w:sz w:val="20"/>
              </w:rPr>
            </w:pPr>
            <w:r>
              <w:rPr>
                <w:sz w:val="20"/>
              </w:rPr>
              <w:t>12 trials</w:t>
            </w:r>
          </w:p>
        </w:tc>
        <w:tc>
          <w:tcPr>
            <w:tcW w:w="944" w:type="dxa"/>
            <w:tcBorders>
              <w:top w:val="single" w:sz="4" w:space="0" w:color="000000"/>
            </w:tcBorders>
          </w:tcPr>
          <w:p w14:paraId="2F8EE39E" w14:textId="77777777" w:rsidR="00C75312" w:rsidRDefault="00BB293A">
            <w:pPr>
              <w:pStyle w:val="TableParagraph"/>
              <w:spacing w:before="2" w:line="228" w:lineRule="exact"/>
              <w:ind w:left="116"/>
              <w:rPr>
                <w:sz w:val="20"/>
              </w:rPr>
            </w:pPr>
            <w:r>
              <w:rPr>
                <w:sz w:val="20"/>
              </w:rPr>
              <w:t>4</w:t>
            </w:r>
          </w:p>
        </w:tc>
        <w:tc>
          <w:tcPr>
            <w:tcW w:w="1070" w:type="dxa"/>
            <w:tcBorders>
              <w:top w:val="single" w:sz="4" w:space="0" w:color="000000"/>
            </w:tcBorders>
          </w:tcPr>
          <w:p w14:paraId="17BEE61D" w14:textId="77777777" w:rsidR="00C75312" w:rsidRDefault="00BB293A">
            <w:pPr>
              <w:pStyle w:val="TableParagraph"/>
              <w:spacing w:before="2" w:line="228" w:lineRule="exact"/>
              <w:ind w:left="108"/>
              <w:rPr>
                <w:sz w:val="20"/>
              </w:rPr>
            </w:pPr>
            <w:r>
              <w:rPr>
                <w:sz w:val="20"/>
              </w:rPr>
              <w:t>Not clear</w:t>
            </w:r>
          </w:p>
        </w:tc>
        <w:tc>
          <w:tcPr>
            <w:tcW w:w="1091" w:type="dxa"/>
            <w:tcBorders>
              <w:top w:val="single" w:sz="4" w:space="0" w:color="000000"/>
            </w:tcBorders>
          </w:tcPr>
          <w:p w14:paraId="118EA57A" w14:textId="77777777" w:rsidR="00C75312" w:rsidRDefault="00BB293A">
            <w:pPr>
              <w:pStyle w:val="TableParagraph"/>
              <w:spacing w:before="2" w:line="228" w:lineRule="exact"/>
              <w:ind w:left="113"/>
              <w:rPr>
                <w:sz w:val="20"/>
              </w:rPr>
            </w:pPr>
            <w:r>
              <w:rPr>
                <w:sz w:val="20"/>
              </w:rPr>
              <w:t>No</w:t>
            </w:r>
          </w:p>
        </w:tc>
        <w:tc>
          <w:tcPr>
            <w:tcW w:w="2150" w:type="dxa"/>
            <w:tcBorders>
              <w:top w:val="single" w:sz="4" w:space="0" w:color="000000"/>
            </w:tcBorders>
          </w:tcPr>
          <w:p w14:paraId="286F02FA" w14:textId="77777777" w:rsidR="00C75312" w:rsidRDefault="00BB293A">
            <w:pPr>
              <w:pStyle w:val="TableParagraph"/>
              <w:spacing w:before="2" w:line="228" w:lineRule="exact"/>
              <w:ind w:left="102"/>
              <w:rPr>
                <w:sz w:val="20"/>
              </w:rPr>
            </w:pPr>
            <w:r>
              <w:rPr>
                <w:sz w:val="20"/>
              </w:rPr>
              <w:t>Yes (</w:t>
            </w:r>
            <w:r>
              <w:rPr>
                <w:i/>
                <w:sz w:val="20"/>
              </w:rPr>
              <w:t xml:space="preserve">g </w:t>
            </w:r>
            <w:r>
              <w:rPr>
                <w:sz w:val="20"/>
              </w:rPr>
              <w:t>= -0.55)</w:t>
            </w:r>
          </w:p>
        </w:tc>
      </w:tr>
      <w:tr w:rsidR="00C75312" w14:paraId="725176D2" w14:textId="77777777">
        <w:trPr>
          <w:trHeight w:val="1414"/>
        </w:trPr>
        <w:tc>
          <w:tcPr>
            <w:tcW w:w="1297" w:type="dxa"/>
            <w:tcBorders>
              <w:bottom w:val="single" w:sz="4" w:space="0" w:color="000000"/>
            </w:tcBorders>
          </w:tcPr>
          <w:p w14:paraId="235D84AF" w14:textId="77777777" w:rsidR="00C75312" w:rsidRDefault="00BB293A">
            <w:pPr>
              <w:pStyle w:val="TableParagraph"/>
              <w:spacing w:before="15"/>
              <w:ind w:left="134"/>
              <w:rPr>
                <w:sz w:val="20"/>
              </w:rPr>
            </w:pPr>
            <w:r>
              <w:rPr>
                <w:sz w:val="20"/>
              </w:rPr>
              <w:t>et al., 2014*</w:t>
            </w:r>
          </w:p>
        </w:tc>
        <w:tc>
          <w:tcPr>
            <w:tcW w:w="1934" w:type="dxa"/>
            <w:tcBorders>
              <w:bottom w:val="single" w:sz="4" w:space="0" w:color="000000"/>
            </w:tcBorders>
          </w:tcPr>
          <w:p w14:paraId="55B7F79A" w14:textId="77777777" w:rsidR="00C75312" w:rsidRDefault="00BB293A">
            <w:pPr>
              <w:pStyle w:val="TableParagraph"/>
              <w:spacing w:before="53"/>
              <w:ind w:left="147"/>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 27 (2 men)</w:t>
            </w:r>
          </w:p>
        </w:tc>
        <w:tc>
          <w:tcPr>
            <w:tcW w:w="2120" w:type="dxa"/>
            <w:tcBorders>
              <w:bottom w:val="single" w:sz="4" w:space="0" w:color="000000"/>
            </w:tcBorders>
          </w:tcPr>
          <w:p w14:paraId="0DA2BA79" w14:textId="77777777" w:rsidR="00C75312" w:rsidRDefault="00BB293A">
            <w:pPr>
              <w:pStyle w:val="TableParagraph"/>
              <w:spacing w:before="54"/>
              <w:ind w:left="205"/>
              <w:rPr>
                <w:sz w:val="20"/>
              </w:rPr>
            </w:pPr>
            <w:r>
              <w:rPr>
                <w:sz w:val="20"/>
              </w:rPr>
              <w:t>NT: 39.9 (21–52)</w:t>
            </w:r>
          </w:p>
        </w:tc>
        <w:tc>
          <w:tcPr>
            <w:tcW w:w="2055" w:type="dxa"/>
            <w:tcBorders>
              <w:bottom w:val="single" w:sz="4" w:space="0" w:color="000000"/>
            </w:tcBorders>
          </w:tcPr>
          <w:p w14:paraId="36D85A2C" w14:textId="77777777" w:rsidR="00C75312" w:rsidRDefault="00BB293A">
            <w:pPr>
              <w:pStyle w:val="TableParagraph"/>
              <w:spacing w:before="54" w:line="276" w:lineRule="auto"/>
              <w:ind w:left="192" w:right="226"/>
              <w:rPr>
                <w:sz w:val="20"/>
              </w:rPr>
            </w:pPr>
            <w:r>
              <w:rPr>
                <w:sz w:val="20"/>
              </w:rPr>
              <w:t>2 between-subject encoding conditions (implementation intentions vs. standard)</w:t>
            </w:r>
          </w:p>
        </w:tc>
        <w:tc>
          <w:tcPr>
            <w:tcW w:w="1362" w:type="dxa"/>
            <w:tcBorders>
              <w:bottom w:val="single" w:sz="4" w:space="0" w:color="000000"/>
            </w:tcBorders>
          </w:tcPr>
          <w:p w14:paraId="250815E4" w14:textId="77777777" w:rsidR="00C75312" w:rsidRDefault="00BB293A">
            <w:pPr>
              <w:pStyle w:val="TableParagraph"/>
              <w:spacing w:before="15" w:line="276" w:lineRule="auto"/>
              <w:ind w:left="129" w:right="219"/>
              <w:rPr>
                <w:sz w:val="20"/>
              </w:rPr>
            </w:pPr>
            <w:r>
              <w:rPr>
                <w:sz w:val="20"/>
              </w:rPr>
              <w:t>across 3 virtual days, (2 regular/ 2 irregular per virtual day)</w:t>
            </w:r>
          </w:p>
        </w:tc>
        <w:tc>
          <w:tcPr>
            <w:tcW w:w="944" w:type="dxa"/>
            <w:tcBorders>
              <w:bottom w:val="single" w:sz="4" w:space="0" w:color="000000"/>
            </w:tcBorders>
          </w:tcPr>
          <w:p w14:paraId="423C7F61" w14:textId="77777777" w:rsidR="00C75312" w:rsidRDefault="00C75312">
            <w:pPr>
              <w:pStyle w:val="TableParagraph"/>
              <w:rPr>
                <w:sz w:val="18"/>
              </w:rPr>
            </w:pPr>
          </w:p>
        </w:tc>
        <w:tc>
          <w:tcPr>
            <w:tcW w:w="1070" w:type="dxa"/>
            <w:tcBorders>
              <w:bottom w:val="single" w:sz="4" w:space="0" w:color="000000"/>
            </w:tcBorders>
          </w:tcPr>
          <w:p w14:paraId="25EF84E1" w14:textId="77777777" w:rsidR="00C75312" w:rsidRDefault="00C75312">
            <w:pPr>
              <w:pStyle w:val="TableParagraph"/>
              <w:rPr>
                <w:sz w:val="18"/>
              </w:rPr>
            </w:pPr>
          </w:p>
        </w:tc>
        <w:tc>
          <w:tcPr>
            <w:tcW w:w="1091" w:type="dxa"/>
            <w:tcBorders>
              <w:bottom w:val="single" w:sz="4" w:space="0" w:color="000000"/>
            </w:tcBorders>
          </w:tcPr>
          <w:p w14:paraId="70C98101" w14:textId="77777777" w:rsidR="00C75312" w:rsidRDefault="00C75312">
            <w:pPr>
              <w:pStyle w:val="TableParagraph"/>
              <w:rPr>
                <w:sz w:val="18"/>
              </w:rPr>
            </w:pPr>
          </w:p>
        </w:tc>
        <w:tc>
          <w:tcPr>
            <w:tcW w:w="2150" w:type="dxa"/>
            <w:tcBorders>
              <w:bottom w:val="single" w:sz="4" w:space="0" w:color="000000"/>
            </w:tcBorders>
          </w:tcPr>
          <w:p w14:paraId="7D66F853" w14:textId="77777777" w:rsidR="00C75312" w:rsidRDefault="00C75312">
            <w:pPr>
              <w:pStyle w:val="TableParagraph"/>
              <w:rPr>
                <w:sz w:val="18"/>
              </w:rPr>
            </w:pPr>
          </w:p>
        </w:tc>
      </w:tr>
      <w:tr w:rsidR="00C75312" w14:paraId="078780F9" w14:textId="77777777">
        <w:trPr>
          <w:trHeight w:val="250"/>
        </w:trPr>
        <w:tc>
          <w:tcPr>
            <w:tcW w:w="1297" w:type="dxa"/>
            <w:tcBorders>
              <w:top w:val="single" w:sz="4" w:space="0" w:color="000000"/>
            </w:tcBorders>
          </w:tcPr>
          <w:p w14:paraId="3A483B11" w14:textId="77777777" w:rsidR="00C75312" w:rsidRDefault="00BB293A">
            <w:pPr>
              <w:pStyle w:val="TableParagraph"/>
              <w:spacing w:before="2" w:line="228" w:lineRule="exact"/>
              <w:ind w:left="134"/>
              <w:rPr>
                <w:sz w:val="20"/>
              </w:rPr>
            </w:pPr>
            <w:r>
              <w:rPr>
                <w:sz w:val="20"/>
              </w:rPr>
              <w:t>Sheppard et</w:t>
            </w:r>
          </w:p>
        </w:tc>
        <w:tc>
          <w:tcPr>
            <w:tcW w:w="1934" w:type="dxa"/>
            <w:tcBorders>
              <w:top w:val="single" w:sz="4" w:space="0" w:color="000000"/>
            </w:tcBorders>
          </w:tcPr>
          <w:p w14:paraId="000EE0DC" w14:textId="77777777" w:rsidR="00C75312" w:rsidRDefault="00BB293A">
            <w:pPr>
              <w:pStyle w:val="TableParagraph"/>
              <w:spacing w:before="2" w:line="229" w:lineRule="exact"/>
              <w:ind w:left="147"/>
              <w:rPr>
                <w:sz w:val="20"/>
              </w:rPr>
            </w:pPr>
            <w:r>
              <w:rPr>
                <w:i/>
                <w:position w:val="1"/>
                <w:sz w:val="20"/>
              </w:rPr>
              <w:t>n</w:t>
            </w:r>
            <w:r>
              <w:rPr>
                <w:i/>
                <w:sz w:val="13"/>
              </w:rPr>
              <w:t xml:space="preserve">ASD-severe </w:t>
            </w:r>
            <w:r>
              <w:rPr>
                <w:position w:val="1"/>
                <w:sz w:val="20"/>
              </w:rPr>
              <w:t>= 14</w:t>
            </w:r>
          </w:p>
        </w:tc>
        <w:tc>
          <w:tcPr>
            <w:tcW w:w="2120" w:type="dxa"/>
            <w:tcBorders>
              <w:top w:val="single" w:sz="4" w:space="0" w:color="000000"/>
            </w:tcBorders>
          </w:tcPr>
          <w:p w14:paraId="55D4F7B1" w14:textId="77777777" w:rsidR="00C75312" w:rsidRDefault="00BB293A">
            <w:pPr>
              <w:pStyle w:val="TableParagraph"/>
              <w:spacing w:before="2" w:line="229" w:lineRule="exact"/>
              <w:ind w:left="205"/>
              <w:rPr>
                <w:sz w:val="20"/>
              </w:rPr>
            </w:pPr>
            <w:r>
              <w:rPr>
                <w:position w:val="1"/>
                <w:sz w:val="20"/>
              </w:rPr>
              <w:t>ASD</w:t>
            </w:r>
            <w:r>
              <w:rPr>
                <w:sz w:val="13"/>
              </w:rPr>
              <w:t>severe</w:t>
            </w:r>
            <w:r>
              <w:rPr>
                <w:position w:val="1"/>
                <w:sz w:val="20"/>
              </w:rPr>
              <w:t>:</w:t>
            </w:r>
          </w:p>
        </w:tc>
        <w:tc>
          <w:tcPr>
            <w:tcW w:w="2055" w:type="dxa"/>
            <w:tcBorders>
              <w:top w:val="single" w:sz="4" w:space="0" w:color="000000"/>
            </w:tcBorders>
          </w:tcPr>
          <w:p w14:paraId="662F1BBD" w14:textId="77777777" w:rsidR="00C75312" w:rsidRDefault="00BB293A">
            <w:pPr>
              <w:pStyle w:val="TableParagraph"/>
              <w:spacing w:before="2" w:line="228" w:lineRule="exact"/>
              <w:ind w:left="192"/>
              <w:rPr>
                <w:sz w:val="20"/>
              </w:rPr>
            </w:pPr>
            <w:r>
              <w:rPr>
                <w:sz w:val="20"/>
              </w:rPr>
              <w:t>Interaction with a</w:t>
            </w:r>
          </w:p>
        </w:tc>
        <w:tc>
          <w:tcPr>
            <w:tcW w:w="1362" w:type="dxa"/>
            <w:tcBorders>
              <w:top w:val="single" w:sz="4" w:space="0" w:color="000000"/>
            </w:tcBorders>
          </w:tcPr>
          <w:p w14:paraId="3848125A" w14:textId="77777777" w:rsidR="00C75312" w:rsidRDefault="00BB293A">
            <w:pPr>
              <w:pStyle w:val="TableParagraph"/>
              <w:spacing w:before="2" w:line="228" w:lineRule="exact"/>
              <w:ind w:left="129"/>
              <w:rPr>
                <w:sz w:val="20"/>
              </w:rPr>
            </w:pPr>
            <w:r>
              <w:rPr>
                <w:sz w:val="20"/>
              </w:rPr>
              <w:t>2 trials PM</w:t>
            </w:r>
          </w:p>
        </w:tc>
        <w:tc>
          <w:tcPr>
            <w:tcW w:w="944" w:type="dxa"/>
            <w:tcBorders>
              <w:top w:val="single" w:sz="4" w:space="0" w:color="000000"/>
            </w:tcBorders>
          </w:tcPr>
          <w:p w14:paraId="3FF4E7BA" w14:textId="77777777" w:rsidR="00C75312" w:rsidRDefault="00BB293A">
            <w:pPr>
              <w:pStyle w:val="TableParagraph"/>
              <w:spacing w:before="2" w:line="228" w:lineRule="exact"/>
              <w:ind w:left="116"/>
              <w:rPr>
                <w:sz w:val="20"/>
              </w:rPr>
            </w:pPr>
            <w:r>
              <w:rPr>
                <w:sz w:val="20"/>
              </w:rPr>
              <w:t>1 per</w:t>
            </w:r>
          </w:p>
        </w:tc>
        <w:tc>
          <w:tcPr>
            <w:tcW w:w="1070" w:type="dxa"/>
            <w:tcBorders>
              <w:top w:val="single" w:sz="4" w:space="0" w:color="000000"/>
            </w:tcBorders>
          </w:tcPr>
          <w:p w14:paraId="316AAD07" w14:textId="77777777" w:rsidR="00C75312" w:rsidRDefault="00BB293A">
            <w:pPr>
              <w:pStyle w:val="TableParagraph"/>
              <w:spacing w:before="2" w:line="228" w:lineRule="exact"/>
              <w:ind w:left="108"/>
              <w:rPr>
                <w:sz w:val="20"/>
              </w:rPr>
            </w:pPr>
            <w:r>
              <w:rPr>
                <w:sz w:val="20"/>
              </w:rPr>
              <w:t>Focal,</w:t>
            </w:r>
          </w:p>
        </w:tc>
        <w:tc>
          <w:tcPr>
            <w:tcW w:w="1091" w:type="dxa"/>
            <w:tcBorders>
              <w:top w:val="single" w:sz="4" w:space="0" w:color="000000"/>
            </w:tcBorders>
          </w:tcPr>
          <w:p w14:paraId="647CB2F1" w14:textId="77777777" w:rsidR="00C75312" w:rsidRDefault="00BB293A">
            <w:pPr>
              <w:pStyle w:val="TableParagraph"/>
              <w:spacing w:before="2" w:line="228" w:lineRule="exact"/>
              <w:ind w:left="113"/>
              <w:rPr>
                <w:sz w:val="20"/>
              </w:rPr>
            </w:pPr>
            <w:r>
              <w:rPr>
                <w:sz w:val="20"/>
              </w:rPr>
              <w:t>Yes,</w:t>
            </w:r>
          </w:p>
        </w:tc>
        <w:tc>
          <w:tcPr>
            <w:tcW w:w="2150" w:type="dxa"/>
            <w:tcBorders>
              <w:top w:val="single" w:sz="4" w:space="0" w:color="000000"/>
            </w:tcBorders>
          </w:tcPr>
          <w:p w14:paraId="1EE9B9BE" w14:textId="77777777" w:rsidR="00C75312" w:rsidRDefault="00BB293A">
            <w:pPr>
              <w:pStyle w:val="TableParagraph"/>
              <w:spacing w:before="2" w:line="229" w:lineRule="exact"/>
              <w:ind w:left="102"/>
              <w:rPr>
                <w:sz w:val="20"/>
              </w:rPr>
            </w:pPr>
            <w:r>
              <w:rPr>
                <w:position w:val="1"/>
                <w:sz w:val="20"/>
              </w:rPr>
              <w:t xml:space="preserve">Yes (NT vs. </w:t>
            </w:r>
            <w:proofErr w:type="spellStart"/>
            <w:r>
              <w:rPr>
                <w:position w:val="1"/>
                <w:sz w:val="20"/>
              </w:rPr>
              <w:t>ASD</w:t>
            </w:r>
            <w:r>
              <w:rPr>
                <w:position w:val="1"/>
                <w:sz w:val="20"/>
                <w:vertAlign w:val="subscript"/>
              </w:rPr>
              <w:t>severe</w:t>
            </w:r>
            <w:proofErr w:type="spellEnd"/>
            <w:r>
              <w:rPr>
                <w:position w:val="1"/>
                <w:sz w:val="20"/>
              </w:rPr>
              <w:t>:</w:t>
            </w:r>
          </w:p>
        </w:tc>
      </w:tr>
      <w:tr w:rsidR="00C75312" w14:paraId="762C6301" w14:textId="77777777">
        <w:trPr>
          <w:trHeight w:val="286"/>
        </w:trPr>
        <w:tc>
          <w:tcPr>
            <w:tcW w:w="1297" w:type="dxa"/>
          </w:tcPr>
          <w:p w14:paraId="746B86DA" w14:textId="77777777" w:rsidR="00C75312" w:rsidRDefault="00BB293A">
            <w:pPr>
              <w:pStyle w:val="TableParagraph"/>
              <w:spacing w:before="15"/>
              <w:ind w:left="134"/>
              <w:rPr>
                <w:sz w:val="20"/>
              </w:rPr>
            </w:pPr>
            <w:r>
              <w:rPr>
                <w:sz w:val="20"/>
              </w:rPr>
              <w:t>al. 2016</w:t>
            </w:r>
          </w:p>
        </w:tc>
        <w:tc>
          <w:tcPr>
            <w:tcW w:w="1934" w:type="dxa"/>
          </w:tcPr>
          <w:p w14:paraId="5C215473" w14:textId="77777777" w:rsidR="00C75312" w:rsidRDefault="00BB293A">
            <w:pPr>
              <w:pStyle w:val="TableParagraph"/>
              <w:spacing w:before="59" w:line="208" w:lineRule="exact"/>
              <w:ind w:left="147"/>
              <w:rPr>
                <w:sz w:val="20"/>
              </w:rPr>
            </w:pPr>
            <w:r>
              <w:rPr>
                <w:sz w:val="20"/>
              </w:rPr>
              <w:t>(13 male)</w:t>
            </w:r>
          </w:p>
        </w:tc>
        <w:tc>
          <w:tcPr>
            <w:tcW w:w="2120" w:type="dxa"/>
          </w:tcPr>
          <w:p w14:paraId="05B1B857" w14:textId="77777777" w:rsidR="00C75312" w:rsidRDefault="00BB293A">
            <w:pPr>
              <w:pStyle w:val="TableParagraph"/>
              <w:spacing w:before="59" w:line="208" w:lineRule="exact"/>
              <w:ind w:left="205"/>
              <w:rPr>
                <w:sz w:val="20"/>
              </w:rPr>
            </w:pPr>
            <w:r>
              <w:rPr>
                <w:sz w:val="20"/>
              </w:rPr>
              <w:t>9.30 (6–14.5)</w:t>
            </w:r>
          </w:p>
        </w:tc>
        <w:tc>
          <w:tcPr>
            <w:tcW w:w="2055" w:type="dxa"/>
          </w:tcPr>
          <w:p w14:paraId="0DF99F0D" w14:textId="77777777" w:rsidR="00C75312" w:rsidRDefault="00BB293A">
            <w:pPr>
              <w:pStyle w:val="TableParagraph"/>
              <w:spacing w:before="15"/>
              <w:ind w:left="192"/>
              <w:rPr>
                <w:sz w:val="20"/>
              </w:rPr>
            </w:pPr>
            <w:r>
              <w:rPr>
                <w:sz w:val="20"/>
              </w:rPr>
              <w:t>hand puppet (played</w:t>
            </w:r>
          </w:p>
        </w:tc>
        <w:tc>
          <w:tcPr>
            <w:tcW w:w="1362" w:type="dxa"/>
          </w:tcPr>
          <w:p w14:paraId="3C57671A" w14:textId="77777777" w:rsidR="00C75312" w:rsidRDefault="00BB293A">
            <w:pPr>
              <w:pStyle w:val="TableParagraph"/>
              <w:spacing w:before="15"/>
              <w:ind w:left="129"/>
              <w:rPr>
                <w:sz w:val="20"/>
              </w:rPr>
            </w:pPr>
            <w:r>
              <w:rPr>
                <w:sz w:val="20"/>
              </w:rPr>
              <w:t>clapping task</w:t>
            </w:r>
          </w:p>
        </w:tc>
        <w:tc>
          <w:tcPr>
            <w:tcW w:w="944" w:type="dxa"/>
          </w:tcPr>
          <w:p w14:paraId="001B1ED3" w14:textId="77777777" w:rsidR="00C75312" w:rsidRDefault="00BB293A">
            <w:pPr>
              <w:pStyle w:val="TableParagraph"/>
              <w:spacing w:before="15"/>
              <w:ind w:left="116"/>
              <w:rPr>
                <w:sz w:val="20"/>
              </w:rPr>
            </w:pPr>
            <w:r>
              <w:rPr>
                <w:sz w:val="20"/>
              </w:rPr>
              <w:t>task</w:t>
            </w:r>
          </w:p>
        </w:tc>
        <w:tc>
          <w:tcPr>
            <w:tcW w:w="1070" w:type="dxa"/>
          </w:tcPr>
          <w:p w14:paraId="2B7A37FB" w14:textId="77777777" w:rsidR="00C75312" w:rsidRDefault="00C75312">
            <w:pPr>
              <w:pStyle w:val="TableParagraph"/>
              <w:rPr>
                <w:sz w:val="18"/>
              </w:rPr>
            </w:pPr>
          </w:p>
        </w:tc>
        <w:tc>
          <w:tcPr>
            <w:tcW w:w="1091" w:type="dxa"/>
          </w:tcPr>
          <w:p w14:paraId="0AC25BEC" w14:textId="77777777" w:rsidR="00C75312" w:rsidRDefault="00BB293A">
            <w:pPr>
              <w:pStyle w:val="TableParagraph"/>
              <w:spacing w:before="15"/>
              <w:ind w:left="113"/>
              <w:rPr>
                <w:sz w:val="20"/>
              </w:rPr>
            </w:pPr>
            <w:r>
              <w:rPr>
                <w:sz w:val="20"/>
              </w:rPr>
              <w:t>between 1</w:t>
            </w:r>
          </w:p>
        </w:tc>
        <w:tc>
          <w:tcPr>
            <w:tcW w:w="2150" w:type="dxa"/>
          </w:tcPr>
          <w:p w14:paraId="5D4D3663" w14:textId="77777777" w:rsidR="00C75312" w:rsidRDefault="00BB293A">
            <w:pPr>
              <w:pStyle w:val="TableParagraph"/>
              <w:spacing w:before="15"/>
              <w:ind w:left="102"/>
              <w:rPr>
                <w:sz w:val="20"/>
              </w:rPr>
            </w:pPr>
            <w:r>
              <w:rPr>
                <w:i/>
                <w:sz w:val="20"/>
              </w:rPr>
              <w:t xml:space="preserve">g </w:t>
            </w:r>
            <w:r>
              <w:rPr>
                <w:sz w:val="20"/>
              </w:rPr>
              <w:t>= -1.43)</w:t>
            </w:r>
          </w:p>
        </w:tc>
      </w:tr>
    </w:tbl>
    <w:p w14:paraId="1FDF24E9" w14:textId="77777777" w:rsidR="00C75312" w:rsidRDefault="00C75312">
      <w:pPr>
        <w:rPr>
          <w:sz w:val="20"/>
        </w:rPr>
        <w:sectPr w:rsidR="00C75312">
          <w:pgSz w:w="16840" w:h="11900" w:orient="landscape"/>
          <w:pgMar w:top="1180" w:right="1300" w:bottom="280" w:left="1300" w:header="720" w:footer="0" w:gutter="0"/>
          <w:cols w:space="720"/>
        </w:sectPr>
      </w:pPr>
    </w:p>
    <w:p w14:paraId="4E97C8C0" w14:textId="77777777" w:rsidR="00C75312" w:rsidRDefault="00BB293A">
      <w:pPr>
        <w:spacing w:before="74"/>
        <w:ind w:left="1555"/>
        <w:rPr>
          <w:sz w:val="20"/>
        </w:rPr>
      </w:pPr>
      <w:r>
        <w:rPr>
          <w:i/>
          <w:position w:val="1"/>
          <w:sz w:val="20"/>
        </w:rPr>
        <w:t>n</w:t>
      </w:r>
      <w:r>
        <w:rPr>
          <w:i/>
          <w:sz w:val="13"/>
        </w:rPr>
        <w:t xml:space="preserve">ASD-mild </w:t>
      </w:r>
      <w:r>
        <w:rPr>
          <w:position w:val="1"/>
          <w:sz w:val="20"/>
        </w:rPr>
        <w:t>= 14</w:t>
      </w:r>
    </w:p>
    <w:p w14:paraId="2FFD39E1" w14:textId="77777777" w:rsidR="00C75312" w:rsidRDefault="00BB293A">
      <w:pPr>
        <w:spacing w:before="77"/>
        <w:ind w:left="1555"/>
        <w:rPr>
          <w:sz w:val="20"/>
        </w:rPr>
      </w:pPr>
      <w:r>
        <w:rPr>
          <w:sz w:val="20"/>
        </w:rPr>
        <w:t>14</w:t>
      </w:r>
      <w:r>
        <w:rPr>
          <w:spacing w:val="1"/>
          <w:sz w:val="20"/>
        </w:rPr>
        <w:t xml:space="preserve"> </w:t>
      </w:r>
      <w:r>
        <w:rPr>
          <w:sz w:val="20"/>
        </w:rPr>
        <w:t>male)</w:t>
      </w:r>
    </w:p>
    <w:p w14:paraId="20A23532" w14:textId="77777777" w:rsidR="00C75312" w:rsidRDefault="00BB293A">
      <w:pPr>
        <w:spacing w:before="72"/>
        <w:ind w:left="1555"/>
        <w:rPr>
          <w:sz w:val="20"/>
        </w:rPr>
      </w:pPr>
      <w:proofErr w:type="spellStart"/>
      <w:r>
        <w:rPr>
          <w:i/>
          <w:position w:val="1"/>
          <w:sz w:val="20"/>
        </w:rPr>
        <w:t>n</w:t>
      </w:r>
      <w:r>
        <w:rPr>
          <w:i/>
          <w:position w:val="1"/>
          <w:sz w:val="20"/>
          <w:vertAlign w:val="subscript"/>
        </w:rPr>
        <w:t>NT</w:t>
      </w:r>
      <w:proofErr w:type="spellEnd"/>
      <w:r>
        <w:rPr>
          <w:i/>
          <w:position w:val="1"/>
          <w:sz w:val="20"/>
        </w:rPr>
        <w:t xml:space="preserve"> </w:t>
      </w:r>
      <w:r>
        <w:rPr>
          <w:position w:val="1"/>
          <w:sz w:val="20"/>
        </w:rPr>
        <w:t>=</w:t>
      </w:r>
      <w:r>
        <w:rPr>
          <w:spacing w:val="8"/>
          <w:position w:val="1"/>
          <w:sz w:val="20"/>
        </w:rPr>
        <w:t xml:space="preserve"> </w:t>
      </w:r>
      <w:r>
        <w:rPr>
          <w:position w:val="1"/>
          <w:sz w:val="20"/>
        </w:rPr>
        <w:t>26</w:t>
      </w:r>
    </w:p>
    <w:p w14:paraId="09DF8B72" w14:textId="77777777" w:rsidR="00C75312" w:rsidRDefault="00BB293A">
      <w:pPr>
        <w:spacing w:before="63"/>
        <w:ind w:left="1555"/>
        <w:rPr>
          <w:sz w:val="20"/>
        </w:rPr>
      </w:pPr>
      <w:r>
        <w:rPr>
          <w:sz w:val="20"/>
        </w:rPr>
        <w:t>(16 male)</w:t>
      </w:r>
    </w:p>
    <w:p w14:paraId="5FF54471" w14:textId="77777777" w:rsidR="00C75312" w:rsidRDefault="00BB293A">
      <w:pPr>
        <w:spacing w:before="74"/>
        <w:ind w:left="920"/>
        <w:rPr>
          <w:sz w:val="20"/>
        </w:rPr>
      </w:pPr>
      <w:r>
        <w:br w:type="column"/>
      </w:r>
      <w:proofErr w:type="spellStart"/>
      <w:r>
        <w:rPr>
          <w:position w:val="1"/>
          <w:sz w:val="20"/>
        </w:rPr>
        <w:t>ASD</w:t>
      </w:r>
      <w:r>
        <w:rPr>
          <w:position w:val="1"/>
          <w:sz w:val="20"/>
          <w:vertAlign w:val="subscript"/>
        </w:rPr>
        <w:t>mild</w:t>
      </w:r>
      <w:proofErr w:type="spellEnd"/>
      <w:r>
        <w:rPr>
          <w:position w:val="1"/>
          <w:sz w:val="20"/>
        </w:rPr>
        <w:t>:</w:t>
      </w:r>
    </w:p>
    <w:p w14:paraId="5F4F8D73" w14:textId="77777777" w:rsidR="00C75312" w:rsidRDefault="00BB293A">
      <w:pPr>
        <w:spacing w:before="67" w:line="314" w:lineRule="auto"/>
        <w:ind w:left="920" w:right="-14"/>
        <w:rPr>
          <w:sz w:val="20"/>
        </w:rPr>
      </w:pPr>
      <w:r>
        <w:rPr>
          <w:sz w:val="20"/>
        </w:rPr>
        <w:t>10.05 (5.5–15.5) NT:</w:t>
      </w:r>
    </w:p>
    <w:p w14:paraId="09F24BEC" w14:textId="77777777" w:rsidR="00C75312" w:rsidRDefault="00BB293A">
      <w:pPr>
        <w:spacing w:before="3"/>
        <w:ind w:left="920"/>
        <w:rPr>
          <w:sz w:val="20"/>
        </w:rPr>
      </w:pPr>
      <w:r>
        <w:rPr>
          <w:sz w:val="20"/>
        </w:rPr>
        <w:t>5.1 (5.05–6.5)</w:t>
      </w:r>
    </w:p>
    <w:p w14:paraId="2F5759BA" w14:textId="77777777" w:rsidR="00C75312" w:rsidRDefault="00BB293A">
      <w:pPr>
        <w:spacing w:line="278" w:lineRule="auto"/>
        <w:ind w:left="728" w:right="-16"/>
        <w:rPr>
          <w:sz w:val="20"/>
        </w:rPr>
      </w:pPr>
      <w:r>
        <w:br w:type="column"/>
      </w:r>
      <w:r>
        <w:rPr>
          <w:sz w:val="20"/>
        </w:rPr>
        <w:t>by experimenter), playing a distractor game (‘</w:t>
      </w:r>
      <w:proofErr w:type="spellStart"/>
      <w:r>
        <w:rPr>
          <w:sz w:val="20"/>
        </w:rPr>
        <w:t>Wac</w:t>
      </w:r>
      <w:proofErr w:type="spellEnd"/>
      <w:r>
        <w:rPr>
          <w:sz w:val="20"/>
        </w:rPr>
        <w:t>-a Mole’)</w:t>
      </w:r>
    </w:p>
    <w:p w14:paraId="451A08DD" w14:textId="77777777" w:rsidR="00C75312" w:rsidRDefault="00BB293A">
      <w:pPr>
        <w:spacing w:before="36" w:line="276" w:lineRule="auto"/>
        <w:ind w:left="204"/>
        <w:rPr>
          <w:sz w:val="20"/>
        </w:rPr>
      </w:pPr>
      <w:r>
        <w:br w:type="column"/>
      </w:r>
      <w:r>
        <w:rPr>
          <w:sz w:val="20"/>
        </w:rPr>
        <w:t>2 trials PM feeding</w:t>
      </w:r>
      <w:r>
        <w:rPr>
          <w:spacing w:val="9"/>
          <w:sz w:val="20"/>
        </w:rPr>
        <w:t xml:space="preserve"> </w:t>
      </w:r>
      <w:r>
        <w:rPr>
          <w:spacing w:val="-6"/>
          <w:sz w:val="20"/>
        </w:rPr>
        <w:t>task</w:t>
      </w:r>
    </w:p>
    <w:p w14:paraId="12D2ED64" w14:textId="77777777" w:rsidR="00C75312" w:rsidRDefault="00BB293A">
      <w:pPr>
        <w:spacing w:before="37" w:line="276" w:lineRule="auto"/>
        <w:ind w:left="204"/>
        <w:rPr>
          <w:sz w:val="20"/>
        </w:rPr>
      </w:pPr>
      <w:r>
        <w:rPr>
          <w:sz w:val="20"/>
        </w:rPr>
        <w:t>1 trial PM reward</w:t>
      </w:r>
      <w:r>
        <w:rPr>
          <w:spacing w:val="10"/>
          <w:sz w:val="20"/>
        </w:rPr>
        <w:t xml:space="preserve"> </w:t>
      </w:r>
      <w:r>
        <w:rPr>
          <w:spacing w:val="-6"/>
          <w:sz w:val="20"/>
        </w:rPr>
        <w:t>task</w:t>
      </w:r>
    </w:p>
    <w:p w14:paraId="40E9C668" w14:textId="77777777" w:rsidR="00C75312" w:rsidRDefault="00BB293A">
      <w:pPr>
        <w:spacing w:line="223" w:lineRule="exact"/>
        <w:ind w:left="1555"/>
        <w:rPr>
          <w:sz w:val="20"/>
        </w:rPr>
      </w:pPr>
      <w:r>
        <w:br w:type="column"/>
      </w:r>
      <w:r>
        <w:rPr>
          <w:sz w:val="20"/>
        </w:rPr>
        <w:t>and 5 min</w:t>
      </w:r>
    </w:p>
    <w:p w14:paraId="636D5CA5" w14:textId="77777777" w:rsidR="00C75312" w:rsidRDefault="00BB293A">
      <w:pPr>
        <w:spacing w:before="35"/>
        <w:ind w:left="233"/>
        <w:rPr>
          <w:sz w:val="20"/>
        </w:rPr>
      </w:pPr>
      <w:r>
        <w:br w:type="column"/>
      </w:r>
      <w:r>
        <w:rPr>
          <w:position w:val="1"/>
          <w:sz w:val="20"/>
        </w:rPr>
        <w:t xml:space="preserve">No (NT vs. </w:t>
      </w:r>
      <w:proofErr w:type="spellStart"/>
      <w:r>
        <w:rPr>
          <w:position w:val="1"/>
          <w:sz w:val="20"/>
        </w:rPr>
        <w:t>ASD</w:t>
      </w:r>
      <w:r>
        <w:rPr>
          <w:position w:val="1"/>
          <w:sz w:val="20"/>
          <w:vertAlign w:val="subscript"/>
        </w:rPr>
        <w:t>mild</w:t>
      </w:r>
      <w:proofErr w:type="spellEnd"/>
      <w:r>
        <w:rPr>
          <w:position w:val="1"/>
          <w:sz w:val="20"/>
        </w:rPr>
        <w:t>:</w:t>
      </w:r>
    </w:p>
    <w:p w14:paraId="7588101D" w14:textId="77777777" w:rsidR="00C75312" w:rsidRDefault="00BB293A">
      <w:pPr>
        <w:spacing w:before="25"/>
        <w:ind w:left="233"/>
        <w:rPr>
          <w:sz w:val="20"/>
        </w:rPr>
      </w:pPr>
      <w:r>
        <w:rPr>
          <w:i/>
          <w:sz w:val="20"/>
        </w:rPr>
        <w:t xml:space="preserve">g </w:t>
      </w:r>
      <w:r>
        <w:rPr>
          <w:sz w:val="20"/>
        </w:rPr>
        <w:t>= -0.57)</w:t>
      </w:r>
    </w:p>
    <w:p w14:paraId="7FDF1122" w14:textId="77777777" w:rsidR="00C75312" w:rsidRDefault="00C75312">
      <w:pPr>
        <w:rPr>
          <w:sz w:val="20"/>
        </w:rPr>
        <w:sectPr w:rsidR="00C75312">
          <w:type w:val="continuous"/>
          <w:pgSz w:w="16840" w:h="11900" w:orient="landscape"/>
          <w:pgMar w:top="700" w:right="1300" w:bottom="280" w:left="1300" w:header="720" w:footer="720" w:gutter="0"/>
          <w:cols w:num="6" w:space="720" w:equalWidth="0">
            <w:col w:w="2588" w:space="40"/>
            <w:col w:w="2260" w:space="39"/>
            <w:col w:w="2476" w:space="40"/>
            <w:col w:w="1220" w:space="788"/>
            <w:col w:w="2363" w:space="40"/>
            <w:col w:w="2386"/>
          </w:cols>
        </w:sectPr>
      </w:pPr>
    </w:p>
    <w:p w14:paraId="2BA13512" w14:textId="77777777" w:rsidR="00C75312" w:rsidRDefault="00C75312">
      <w:pPr>
        <w:pStyle w:val="BodyText"/>
        <w:spacing w:before="7"/>
        <w:rPr>
          <w:sz w:val="6"/>
        </w:rPr>
      </w:pPr>
    </w:p>
    <w:p w14:paraId="627DC6C8" w14:textId="77777777" w:rsidR="00C75312" w:rsidRDefault="00BB293A">
      <w:pPr>
        <w:pStyle w:val="BodyText"/>
        <w:spacing w:line="20" w:lineRule="exact"/>
        <w:ind w:left="120"/>
        <w:rPr>
          <w:sz w:val="2"/>
        </w:rPr>
      </w:pPr>
      <w:r>
        <w:rPr>
          <w:sz w:val="2"/>
        </w:rPr>
      </w:r>
      <w:r>
        <w:rPr>
          <w:sz w:val="2"/>
        </w:rPr>
        <w:pict w14:anchorId="6FB3F1D1">
          <v:group id="_x0000_s2848" style="width:698.2pt;height:.5pt;mso-position-horizontal-relative:char;mso-position-vertical-relative:line" coordsize="13964,10">
            <v:line id="_x0000_s2865" style="position:absolute" from="0,5" to="1320,5" strokeweight=".48pt"/>
            <v:rect id="_x0000_s2864" style="position:absolute;left:1305;width:10;height:10" fillcolor="black" stroked="f"/>
            <v:line id="_x0000_s2863" style="position:absolute" from="1315,5" to="3312,5" strokeweight=".48pt"/>
            <v:rect id="_x0000_s2862" style="position:absolute;left:3297;width:10;height:10" fillcolor="black" stroked="f"/>
            <v:line id="_x0000_s2861" style="position:absolute" from="3307,5" to="5424,5" strokeweight=".48pt"/>
            <v:rect id="_x0000_s2860" style="position:absolute;left:5409;width:10;height:10" fillcolor="black" stroked="f"/>
            <v:line id="_x0000_s2859" style="position:absolute" from="5419,5" to="7416,5" strokeweight=".48pt"/>
            <v:rect id="_x0000_s2858" style="position:absolute;left:7401;width:10;height:10" fillcolor="black" stroked="f"/>
            <v:line id="_x0000_s2857" style="position:absolute" from="7411,5" to="8760,5" strokeweight=".48pt"/>
            <v:rect id="_x0000_s2856" style="position:absolute;left:8745;width:10;height:10" fillcolor="black" stroked="f"/>
            <v:line id="_x0000_s2855" style="position:absolute" from="8755,5" to="9701,5" strokeweight=".48pt"/>
            <v:rect id="_x0000_s2854" style="position:absolute;left:9686;width:10;height:10" fillcolor="black" stroked="f"/>
            <v:line id="_x0000_s2853" style="position:absolute" from="9696,5" to="10776,5" strokeweight=".48pt"/>
            <v:rect id="_x0000_s2852" style="position:absolute;left:10761;width:10;height:10" fillcolor="black" stroked="f"/>
            <v:line id="_x0000_s2851" style="position:absolute" from="10771,5" to="11851,5" strokeweight=".48pt"/>
            <v:rect id="_x0000_s2850" style="position:absolute;left:11836;width:10;height:10" fillcolor="black" stroked="f"/>
            <v:line id="_x0000_s2849" style="position:absolute" from="11846,5" to="13963,5" strokeweight=".48pt"/>
            <w10:anchorlock/>
          </v:group>
        </w:pict>
      </w:r>
    </w:p>
    <w:p w14:paraId="0E3FDF4B" w14:textId="77777777" w:rsidR="00C75312" w:rsidRDefault="00BB293A">
      <w:pPr>
        <w:spacing w:line="276" w:lineRule="auto"/>
        <w:ind w:left="140" w:right="222"/>
        <w:rPr>
          <w:sz w:val="20"/>
        </w:rPr>
      </w:pPr>
      <w:r>
        <w:rPr>
          <w:i/>
          <w:sz w:val="20"/>
        </w:rPr>
        <w:t xml:space="preserve">Notes. </w:t>
      </w:r>
      <w:r>
        <w:rPr>
          <w:sz w:val="20"/>
        </w:rPr>
        <w:t xml:space="preserve">*: time- and event-based PM task within the same condition; **: time- and event-based PM task in separate conditions; †: ES PM impairment: effect size representing the </w:t>
      </w:r>
      <w:proofErr w:type="spellStart"/>
      <w:r>
        <w:rPr>
          <w:sz w:val="20"/>
        </w:rPr>
        <w:t>standardised</w:t>
      </w:r>
      <w:proofErr w:type="spellEnd"/>
      <w:r>
        <w:rPr>
          <w:sz w:val="20"/>
        </w:rPr>
        <w:t xml:space="preserve"> bias-corrected mean difference </w:t>
      </w:r>
      <w:proofErr w:type="spellStart"/>
      <w:r>
        <w:rPr>
          <w:sz w:val="20"/>
        </w:rPr>
        <w:t>Hedges’</w:t>
      </w:r>
      <w:r>
        <w:rPr>
          <w:i/>
          <w:sz w:val="20"/>
        </w:rPr>
        <w:t>g</w:t>
      </w:r>
      <w:proofErr w:type="spellEnd"/>
      <w:r>
        <w:rPr>
          <w:i/>
          <w:sz w:val="20"/>
        </w:rPr>
        <w:t xml:space="preserve"> </w:t>
      </w:r>
      <w:r>
        <w:rPr>
          <w:sz w:val="20"/>
        </w:rPr>
        <w:t>(calculation according to Lipsey &amp; Wilson 2001); ns.: not specified</w:t>
      </w:r>
    </w:p>
    <w:p w14:paraId="436604A8" w14:textId="77777777" w:rsidR="00C75312" w:rsidRDefault="00C75312">
      <w:pPr>
        <w:spacing w:line="276" w:lineRule="auto"/>
        <w:rPr>
          <w:sz w:val="20"/>
        </w:rPr>
        <w:sectPr w:rsidR="00C75312">
          <w:type w:val="continuous"/>
          <w:pgSz w:w="16840" w:h="11900" w:orient="landscape"/>
          <w:pgMar w:top="700" w:right="1300" w:bottom="280" w:left="1300" w:header="720" w:footer="720" w:gutter="0"/>
          <w:cols w:space="720"/>
        </w:sectPr>
      </w:pPr>
    </w:p>
    <w:p w14:paraId="3BCD74A7" w14:textId="77777777" w:rsidR="00C75312" w:rsidRDefault="00C75312">
      <w:pPr>
        <w:pStyle w:val="BodyText"/>
        <w:spacing w:before="2"/>
        <w:rPr>
          <w:sz w:val="15"/>
        </w:rPr>
      </w:pPr>
    </w:p>
    <w:p w14:paraId="5400F96B" w14:textId="77777777" w:rsidR="00C75312" w:rsidRDefault="00BB293A">
      <w:pPr>
        <w:pStyle w:val="BodyText"/>
        <w:ind w:left="175"/>
        <w:rPr>
          <w:sz w:val="20"/>
        </w:rPr>
      </w:pPr>
      <w:r>
        <w:rPr>
          <w:noProof/>
          <w:sz w:val="20"/>
        </w:rPr>
        <w:drawing>
          <wp:inline distT="0" distB="0" distL="0" distR="0" wp14:anchorId="6550D8D5" wp14:editId="1F81BB49">
            <wp:extent cx="5630894" cy="4656582"/>
            <wp:effectExtent l="0" t="0" r="0" b="0"/>
            <wp:docPr id="5" name="image3.pn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
                    <pic:cNvPicPr/>
                  </pic:nvPicPr>
                  <pic:blipFill>
                    <a:blip r:embed="rId20" cstate="print"/>
                    <a:stretch>
                      <a:fillRect/>
                    </a:stretch>
                  </pic:blipFill>
                  <pic:spPr>
                    <a:xfrm>
                      <a:off x="0" y="0"/>
                      <a:ext cx="5630894" cy="4656582"/>
                    </a:xfrm>
                    <a:prstGeom prst="rect">
                      <a:avLst/>
                    </a:prstGeom>
                  </pic:spPr>
                </pic:pic>
              </a:graphicData>
            </a:graphic>
          </wp:inline>
        </w:drawing>
      </w:r>
    </w:p>
    <w:p w14:paraId="446D540A" w14:textId="77777777" w:rsidR="00C75312" w:rsidRDefault="00C75312">
      <w:pPr>
        <w:pStyle w:val="BodyText"/>
        <w:rPr>
          <w:sz w:val="20"/>
        </w:rPr>
      </w:pPr>
    </w:p>
    <w:p w14:paraId="313DD921" w14:textId="77777777" w:rsidR="00C75312" w:rsidRDefault="00C75312">
      <w:pPr>
        <w:pStyle w:val="BodyText"/>
        <w:spacing w:before="4"/>
        <w:rPr>
          <w:sz w:val="18"/>
        </w:rPr>
      </w:pPr>
    </w:p>
    <w:p w14:paraId="2CBF8422" w14:textId="77777777" w:rsidR="00C75312" w:rsidRDefault="00BB293A">
      <w:pPr>
        <w:ind w:left="100" w:right="276"/>
        <w:rPr>
          <w:i/>
          <w:sz w:val="20"/>
        </w:rPr>
      </w:pPr>
      <w:r>
        <w:rPr>
          <w:i/>
          <w:sz w:val="20"/>
        </w:rPr>
        <w:t>Figure 2 Depiction of the mean age (black diamond marker) and the minimum and maximum age range for each experimental group for all studies investigating prospective memory in ASD (white bars represent event- based PM only studies, dark grey bars represent time-based PM only studies, light grey bars represent studies that tested event- and time-based PM). Where possible the verbal mental age of each group was plotted onto the age distribution (marked with the grey crossed diamond) to illustrate the relation</w:t>
      </w:r>
      <w:r>
        <w:rPr>
          <w:i/>
          <w:sz w:val="20"/>
        </w:rPr>
        <w:t xml:space="preserve"> of chronological vs. mental age in each study. * Jones et al. (2011) did not study event-based PM per se but investigated everyday memory in ASD</w:t>
      </w:r>
    </w:p>
    <w:p w14:paraId="4A3CC838" w14:textId="77777777" w:rsidR="00C75312" w:rsidRDefault="00C75312">
      <w:pPr>
        <w:pStyle w:val="BodyText"/>
        <w:rPr>
          <w:i/>
          <w:sz w:val="22"/>
        </w:rPr>
      </w:pPr>
    </w:p>
    <w:p w14:paraId="18D9EB35" w14:textId="77777777" w:rsidR="00C75312" w:rsidRDefault="00C75312">
      <w:pPr>
        <w:pStyle w:val="BodyText"/>
        <w:spacing w:before="7"/>
        <w:rPr>
          <w:i/>
          <w:sz w:val="32"/>
        </w:rPr>
      </w:pPr>
    </w:p>
    <w:p w14:paraId="7B210214" w14:textId="77777777" w:rsidR="00C75312" w:rsidRDefault="00BB293A">
      <w:pPr>
        <w:pStyle w:val="Heading1"/>
        <w:ind w:left="100"/>
      </w:pPr>
      <w:r>
        <w:t>Meta-analytic procedure</w:t>
      </w:r>
    </w:p>
    <w:p w14:paraId="3C59B173" w14:textId="77777777" w:rsidR="00C75312" w:rsidRDefault="00C75312">
      <w:pPr>
        <w:pStyle w:val="BodyText"/>
        <w:spacing w:before="5"/>
        <w:rPr>
          <w:b/>
          <w:sz w:val="34"/>
        </w:rPr>
      </w:pPr>
    </w:p>
    <w:p w14:paraId="57F9701A" w14:textId="77777777" w:rsidR="00C75312" w:rsidRDefault="00BB293A">
      <w:pPr>
        <w:pStyle w:val="BodyText"/>
        <w:spacing w:line="480" w:lineRule="auto"/>
        <w:ind w:left="100" w:right="109" w:firstLine="720"/>
        <w:jc w:val="both"/>
      </w:pPr>
      <w:r>
        <w:t>Meta-analytic statistics were calculated following the guidelines of Lipsey and Wilson (2001),</w:t>
      </w:r>
      <w:r>
        <w:rPr>
          <w:spacing w:val="-13"/>
        </w:rPr>
        <w:t xml:space="preserve"> </w:t>
      </w:r>
      <w:r>
        <w:t>separately</w:t>
      </w:r>
      <w:r>
        <w:rPr>
          <w:spacing w:val="-11"/>
        </w:rPr>
        <w:t xml:space="preserve"> </w:t>
      </w:r>
      <w:r>
        <w:t>for</w:t>
      </w:r>
      <w:r>
        <w:rPr>
          <w:spacing w:val="-9"/>
        </w:rPr>
        <w:t xml:space="preserve"> </w:t>
      </w:r>
      <w:r>
        <w:t>time-based</w:t>
      </w:r>
      <w:r>
        <w:rPr>
          <w:spacing w:val="-11"/>
        </w:rPr>
        <w:t xml:space="preserve"> </w:t>
      </w:r>
      <w:r>
        <w:t>PM</w:t>
      </w:r>
      <w:r>
        <w:rPr>
          <w:spacing w:val="-13"/>
        </w:rPr>
        <w:t xml:space="preserve"> </w:t>
      </w:r>
      <w:r>
        <w:t>and</w:t>
      </w:r>
      <w:r>
        <w:rPr>
          <w:spacing w:val="-11"/>
        </w:rPr>
        <w:t xml:space="preserve"> </w:t>
      </w:r>
      <w:r>
        <w:t>event-based</w:t>
      </w:r>
      <w:r>
        <w:rPr>
          <w:spacing w:val="-11"/>
        </w:rPr>
        <w:t xml:space="preserve"> </w:t>
      </w:r>
      <w:r>
        <w:t>PM</w:t>
      </w:r>
      <w:r>
        <w:rPr>
          <w:spacing w:val="-13"/>
        </w:rPr>
        <w:t xml:space="preserve"> </w:t>
      </w:r>
      <w:r>
        <w:t>studies.</w:t>
      </w:r>
      <w:r>
        <w:rPr>
          <w:spacing w:val="-8"/>
        </w:rPr>
        <w:t xml:space="preserve"> </w:t>
      </w:r>
      <w:r>
        <w:t>Effect</w:t>
      </w:r>
      <w:r>
        <w:rPr>
          <w:spacing w:val="-10"/>
        </w:rPr>
        <w:t xml:space="preserve"> </w:t>
      </w:r>
      <w:r>
        <w:t>sizes</w:t>
      </w:r>
      <w:r>
        <w:rPr>
          <w:spacing w:val="-13"/>
        </w:rPr>
        <w:t xml:space="preserve"> </w:t>
      </w:r>
      <w:r>
        <w:t>were</w:t>
      </w:r>
      <w:r>
        <w:rPr>
          <w:spacing w:val="-11"/>
        </w:rPr>
        <w:t xml:space="preserve"> </w:t>
      </w:r>
      <w:r>
        <w:t xml:space="preserve">calculated for the difference in PM performance between ASD and NT participants. The effect size estimate was the bias-corrected </w:t>
      </w:r>
      <w:proofErr w:type="spellStart"/>
      <w:r>
        <w:t>standardised</w:t>
      </w:r>
      <w:proofErr w:type="spellEnd"/>
      <w:r>
        <w:t xml:space="preserve"> mean difference (Hedges’ </w:t>
      </w:r>
      <w:r>
        <w:rPr>
          <w:i/>
        </w:rPr>
        <w:t>g</w:t>
      </w:r>
      <w:r>
        <w:t>), which corrects an overestimation bias of effect sizes in small-scale studies (Hedges, 1981; Hedges &amp; Olkin, 1985).</w:t>
      </w:r>
      <w:r>
        <w:rPr>
          <w:spacing w:val="10"/>
        </w:rPr>
        <w:t xml:space="preserve"> </w:t>
      </w:r>
      <w:r>
        <w:t>In</w:t>
      </w:r>
      <w:r>
        <w:rPr>
          <w:spacing w:val="34"/>
        </w:rPr>
        <w:t xml:space="preserve"> </w:t>
      </w:r>
      <w:r>
        <w:t>the</w:t>
      </w:r>
      <w:r>
        <w:rPr>
          <w:spacing w:val="34"/>
        </w:rPr>
        <w:t xml:space="preserve"> </w:t>
      </w:r>
      <w:r>
        <w:t>meta-analysis,</w:t>
      </w:r>
      <w:r>
        <w:rPr>
          <w:spacing w:val="36"/>
        </w:rPr>
        <w:t xml:space="preserve"> </w:t>
      </w:r>
      <w:r>
        <w:t>a</w:t>
      </w:r>
      <w:r>
        <w:rPr>
          <w:spacing w:val="33"/>
        </w:rPr>
        <w:t xml:space="preserve"> </w:t>
      </w:r>
      <w:r>
        <w:t>fixed-effects</w:t>
      </w:r>
      <w:r>
        <w:rPr>
          <w:spacing w:val="32"/>
        </w:rPr>
        <w:t xml:space="preserve"> </w:t>
      </w:r>
      <w:r>
        <w:t>model</w:t>
      </w:r>
      <w:r>
        <w:rPr>
          <w:spacing w:val="34"/>
        </w:rPr>
        <w:t xml:space="preserve"> </w:t>
      </w:r>
      <w:r>
        <w:t>was</w:t>
      </w:r>
      <w:r>
        <w:rPr>
          <w:spacing w:val="31"/>
        </w:rPr>
        <w:t xml:space="preserve"> </w:t>
      </w:r>
      <w:r>
        <w:t>used</w:t>
      </w:r>
      <w:r>
        <w:rPr>
          <w:spacing w:val="35"/>
        </w:rPr>
        <w:t xml:space="preserve"> </w:t>
      </w:r>
      <w:r>
        <w:t>to</w:t>
      </w:r>
      <w:r>
        <w:rPr>
          <w:spacing w:val="34"/>
        </w:rPr>
        <w:t xml:space="preserve"> </w:t>
      </w:r>
      <w:r>
        <w:t>calculate</w:t>
      </w:r>
      <w:r>
        <w:rPr>
          <w:spacing w:val="33"/>
        </w:rPr>
        <w:t xml:space="preserve"> </w:t>
      </w:r>
      <w:r>
        <w:t>the</w:t>
      </w:r>
      <w:r>
        <w:rPr>
          <w:spacing w:val="34"/>
        </w:rPr>
        <w:t xml:space="preserve"> </w:t>
      </w:r>
      <w:r>
        <w:t>mean</w:t>
      </w:r>
      <w:r>
        <w:rPr>
          <w:spacing w:val="34"/>
        </w:rPr>
        <w:t xml:space="preserve"> </w:t>
      </w:r>
      <w:r>
        <w:t>effect,</w:t>
      </w:r>
    </w:p>
    <w:p w14:paraId="174E81CB" w14:textId="77777777" w:rsidR="00C75312" w:rsidRDefault="00C75312">
      <w:pPr>
        <w:spacing w:line="480" w:lineRule="auto"/>
        <w:jc w:val="both"/>
        <w:sectPr w:rsidR="00C75312">
          <w:headerReference w:type="default" r:id="rId21"/>
          <w:pgSz w:w="11900" w:h="16840"/>
          <w:pgMar w:top="1360" w:right="1320" w:bottom="280" w:left="1340" w:header="715" w:footer="0" w:gutter="0"/>
          <w:pgNumType w:start="14"/>
          <w:cols w:space="720"/>
        </w:sectPr>
      </w:pPr>
    </w:p>
    <w:p w14:paraId="39D61540" w14:textId="77777777" w:rsidR="00C75312" w:rsidRDefault="00BB293A">
      <w:pPr>
        <w:pStyle w:val="BodyText"/>
        <w:spacing w:before="80" w:line="480" w:lineRule="auto"/>
        <w:ind w:left="100" w:right="104"/>
        <w:jc w:val="both"/>
      </w:pPr>
      <w:r>
        <w:lastRenderedPageBreak/>
        <w:t xml:space="preserve">expressing group differences in PM, weighted for sample size, and a 95% confidence interval (CI) was calculated based on its standard error (SE). The direction </w:t>
      </w:r>
      <w:r>
        <w:rPr>
          <w:spacing w:val="-3"/>
        </w:rPr>
        <w:t xml:space="preserve">of </w:t>
      </w:r>
      <w:r>
        <w:t xml:space="preserve">the effect size was negative if performance of the ASD group was worse than the control group and effect sizes were classified according to Cohen’s (1988) criteria (&gt; 0.20 is “small”, &gt; 0.50 is “medium”, and &gt; 0.80 is “large”). A z-test for the overall effect was conducted to test the significance of the mean weighted effect. A homogeneity analysis was conducted to test for homogeneity </w:t>
      </w:r>
      <w:r>
        <w:rPr>
          <w:spacing w:val="-3"/>
        </w:rPr>
        <w:t xml:space="preserve">of </w:t>
      </w:r>
      <w:r>
        <w:t>the effect size distribution. A significant homogeneity parameter indicates that the variability of</w:t>
      </w:r>
      <w:r>
        <w:rPr>
          <w:spacing w:val="-4"/>
        </w:rPr>
        <w:t xml:space="preserve"> </w:t>
      </w:r>
      <w:r>
        <w:t>the</w:t>
      </w:r>
      <w:r>
        <w:rPr>
          <w:spacing w:val="-10"/>
        </w:rPr>
        <w:t xml:space="preserve"> </w:t>
      </w:r>
      <w:r>
        <w:t>included</w:t>
      </w:r>
      <w:r>
        <w:rPr>
          <w:spacing w:val="-10"/>
        </w:rPr>
        <w:t xml:space="preserve"> </w:t>
      </w:r>
      <w:r>
        <w:t>effe</w:t>
      </w:r>
      <w:r>
        <w:t>ct</w:t>
      </w:r>
      <w:r>
        <w:rPr>
          <w:spacing w:val="-9"/>
        </w:rPr>
        <w:t xml:space="preserve"> </w:t>
      </w:r>
      <w:r>
        <w:t>sizes</w:t>
      </w:r>
      <w:r>
        <w:rPr>
          <w:spacing w:val="-7"/>
        </w:rPr>
        <w:t xml:space="preserve"> </w:t>
      </w:r>
      <w:r>
        <w:t>is</w:t>
      </w:r>
      <w:r>
        <w:rPr>
          <w:spacing w:val="-7"/>
        </w:rPr>
        <w:t xml:space="preserve"> </w:t>
      </w:r>
      <w:r>
        <w:t>greater</w:t>
      </w:r>
      <w:r>
        <w:rPr>
          <w:spacing w:val="-8"/>
        </w:rPr>
        <w:t xml:space="preserve"> </w:t>
      </w:r>
      <w:r>
        <w:t>than</w:t>
      </w:r>
      <w:r>
        <w:rPr>
          <w:spacing w:val="-9"/>
        </w:rPr>
        <w:t xml:space="preserve"> </w:t>
      </w:r>
      <w:r>
        <w:t>to</w:t>
      </w:r>
      <w:r>
        <w:rPr>
          <w:spacing w:val="-10"/>
        </w:rPr>
        <w:t xml:space="preserve"> </w:t>
      </w:r>
      <w:r>
        <w:t>be</w:t>
      </w:r>
      <w:r>
        <w:rPr>
          <w:spacing w:val="-11"/>
        </w:rPr>
        <w:t xml:space="preserve"> </w:t>
      </w:r>
      <w:r>
        <w:t>expected</w:t>
      </w:r>
      <w:r>
        <w:rPr>
          <w:spacing w:val="-5"/>
        </w:rPr>
        <w:t xml:space="preserve"> </w:t>
      </w:r>
      <w:r>
        <w:t>from</w:t>
      </w:r>
      <w:r>
        <w:rPr>
          <w:spacing w:val="-9"/>
        </w:rPr>
        <w:t xml:space="preserve"> </w:t>
      </w:r>
      <w:r>
        <w:t>sampling</w:t>
      </w:r>
      <w:r>
        <w:rPr>
          <w:spacing w:val="-10"/>
        </w:rPr>
        <w:t xml:space="preserve"> </w:t>
      </w:r>
      <w:r>
        <w:t>error</w:t>
      </w:r>
      <w:r>
        <w:rPr>
          <w:spacing w:val="-3"/>
        </w:rPr>
        <w:t xml:space="preserve"> </w:t>
      </w:r>
      <w:r>
        <w:t>and</w:t>
      </w:r>
      <w:r>
        <w:rPr>
          <w:spacing w:val="-9"/>
        </w:rPr>
        <w:t xml:space="preserve"> </w:t>
      </w:r>
      <w:r>
        <w:t>suggests</w:t>
      </w:r>
      <w:r>
        <w:rPr>
          <w:spacing w:val="-7"/>
        </w:rPr>
        <w:t xml:space="preserve"> </w:t>
      </w:r>
      <w:r>
        <w:t>that other explanatory variables should be investigated. In this case, a conservative approach was adopted and an additional effect size estimate was calculated using the random-effects</w:t>
      </w:r>
      <w:r>
        <w:rPr>
          <w:spacing w:val="-23"/>
        </w:rPr>
        <w:t xml:space="preserve"> </w:t>
      </w:r>
      <w:r>
        <w:t>model.</w:t>
      </w:r>
    </w:p>
    <w:p w14:paraId="64F9FD2F" w14:textId="77777777" w:rsidR="00C75312" w:rsidRDefault="00BB293A">
      <w:pPr>
        <w:pStyle w:val="Heading1"/>
        <w:spacing w:before="120"/>
        <w:ind w:left="100"/>
        <w:jc w:val="both"/>
      </w:pPr>
      <w:r>
        <w:t>Multiple Effect Sizes from Single Studies</w:t>
      </w:r>
    </w:p>
    <w:p w14:paraId="6572D21B" w14:textId="77777777" w:rsidR="00C75312" w:rsidRDefault="00C75312">
      <w:pPr>
        <w:pStyle w:val="BodyText"/>
        <w:spacing w:before="5"/>
        <w:rPr>
          <w:b/>
          <w:sz w:val="34"/>
        </w:rPr>
      </w:pPr>
    </w:p>
    <w:p w14:paraId="00F35471" w14:textId="77777777" w:rsidR="00C75312" w:rsidRDefault="00BB293A">
      <w:pPr>
        <w:pStyle w:val="BodyText"/>
        <w:spacing w:line="480" w:lineRule="auto"/>
        <w:ind w:left="100" w:right="107" w:firstLine="720"/>
        <w:jc w:val="both"/>
      </w:pPr>
      <w:r>
        <w:t>To satisfy the independence assumption of meta-analyses when calculating the mean weighted effect for time- and event-based PM, respectively, each participant could contribute to only one group contrast for statistical analytic purposes. Therefore, it was not possible to include</w:t>
      </w:r>
      <w:r>
        <w:rPr>
          <w:spacing w:val="-7"/>
        </w:rPr>
        <w:t xml:space="preserve"> </w:t>
      </w:r>
      <w:r>
        <w:t>all</w:t>
      </w:r>
      <w:r>
        <w:rPr>
          <w:spacing w:val="-5"/>
        </w:rPr>
        <w:t xml:space="preserve"> </w:t>
      </w:r>
      <w:r>
        <w:t>calculable</w:t>
      </w:r>
      <w:r>
        <w:rPr>
          <w:spacing w:val="-12"/>
        </w:rPr>
        <w:t xml:space="preserve"> </w:t>
      </w:r>
      <w:r>
        <w:t>effect</w:t>
      </w:r>
      <w:r>
        <w:rPr>
          <w:spacing w:val="-9"/>
        </w:rPr>
        <w:t xml:space="preserve"> </w:t>
      </w:r>
      <w:r>
        <w:t>sizes</w:t>
      </w:r>
      <w:r>
        <w:rPr>
          <w:spacing w:val="-8"/>
        </w:rPr>
        <w:t xml:space="preserve"> </w:t>
      </w:r>
      <w:r>
        <w:t>in</w:t>
      </w:r>
      <w:r>
        <w:rPr>
          <w:spacing w:val="-6"/>
        </w:rPr>
        <w:t xml:space="preserve"> </w:t>
      </w:r>
      <w:r>
        <w:t>three</w:t>
      </w:r>
      <w:r>
        <w:rPr>
          <w:spacing w:val="-6"/>
        </w:rPr>
        <w:t xml:space="preserve"> </w:t>
      </w:r>
      <w:r>
        <w:t>of</w:t>
      </w:r>
      <w:r>
        <w:rPr>
          <w:spacing w:val="-9"/>
        </w:rPr>
        <w:t xml:space="preserve"> </w:t>
      </w:r>
      <w:r>
        <w:t>the</w:t>
      </w:r>
      <w:r>
        <w:rPr>
          <w:spacing w:val="-12"/>
        </w:rPr>
        <w:t xml:space="preserve"> </w:t>
      </w:r>
      <w:r>
        <w:t>included</w:t>
      </w:r>
      <w:r>
        <w:rPr>
          <w:spacing w:val="-5"/>
        </w:rPr>
        <w:t xml:space="preserve"> </w:t>
      </w:r>
      <w:r>
        <w:t>studies,</w:t>
      </w:r>
      <w:r>
        <w:rPr>
          <w:spacing w:val="-3"/>
        </w:rPr>
        <w:t xml:space="preserve"> </w:t>
      </w:r>
      <w:r>
        <w:t>because</w:t>
      </w:r>
      <w:r>
        <w:rPr>
          <w:spacing w:val="-7"/>
        </w:rPr>
        <w:t xml:space="preserve"> </w:t>
      </w:r>
      <w:r>
        <w:t>doing</w:t>
      </w:r>
      <w:r>
        <w:rPr>
          <w:spacing w:val="-11"/>
        </w:rPr>
        <w:t xml:space="preserve"> </w:t>
      </w:r>
      <w:r>
        <w:t>so</w:t>
      </w:r>
      <w:r>
        <w:rPr>
          <w:spacing w:val="-5"/>
        </w:rPr>
        <w:t xml:space="preserve"> </w:t>
      </w:r>
      <w:r>
        <w:t>would</w:t>
      </w:r>
      <w:r>
        <w:rPr>
          <w:spacing w:val="-11"/>
        </w:rPr>
        <w:t xml:space="preserve"> </w:t>
      </w:r>
      <w:r>
        <w:t>have violated</w:t>
      </w:r>
      <w:r>
        <w:rPr>
          <w:spacing w:val="-10"/>
        </w:rPr>
        <w:t xml:space="preserve"> </w:t>
      </w:r>
      <w:r>
        <w:t>the</w:t>
      </w:r>
      <w:r>
        <w:rPr>
          <w:spacing w:val="-11"/>
        </w:rPr>
        <w:t xml:space="preserve"> </w:t>
      </w:r>
      <w:r>
        <w:t>assumption</w:t>
      </w:r>
      <w:r>
        <w:rPr>
          <w:spacing w:val="-10"/>
        </w:rPr>
        <w:t xml:space="preserve"> </w:t>
      </w:r>
      <w:r>
        <w:t>of</w:t>
      </w:r>
      <w:r>
        <w:rPr>
          <w:spacing w:val="-7"/>
        </w:rPr>
        <w:t xml:space="preserve"> </w:t>
      </w:r>
      <w:r>
        <w:t>independence</w:t>
      </w:r>
      <w:r>
        <w:rPr>
          <w:spacing w:val="-11"/>
        </w:rPr>
        <w:t xml:space="preserve"> </w:t>
      </w:r>
      <w:r>
        <w:t>in</w:t>
      </w:r>
      <w:r>
        <w:rPr>
          <w:spacing w:val="-13"/>
        </w:rPr>
        <w:t xml:space="preserve"> </w:t>
      </w:r>
      <w:r>
        <w:t>one</w:t>
      </w:r>
      <w:r>
        <w:rPr>
          <w:spacing w:val="-11"/>
        </w:rPr>
        <w:t xml:space="preserve"> </w:t>
      </w:r>
      <w:r>
        <w:t>of</w:t>
      </w:r>
      <w:r>
        <w:rPr>
          <w:spacing w:val="-13"/>
        </w:rPr>
        <w:t xml:space="preserve"> </w:t>
      </w:r>
      <w:r>
        <w:t>the</w:t>
      </w:r>
      <w:r>
        <w:rPr>
          <w:spacing w:val="-10"/>
        </w:rPr>
        <w:t xml:space="preserve"> </w:t>
      </w:r>
      <w:r>
        <w:t>following</w:t>
      </w:r>
      <w:r>
        <w:rPr>
          <w:spacing w:val="-10"/>
        </w:rPr>
        <w:t xml:space="preserve"> </w:t>
      </w:r>
      <w:r>
        <w:t>ways:</w:t>
      </w:r>
      <w:r>
        <w:rPr>
          <w:spacing w:val="-9"/>
        </w:rPr>
        <w:t xml:space="preserve"> </w:t>
      </w:r>
      <w:r>
        <w:t>a)</w:t>
      </w:r>
      <w:r>
        <w:rPr>
          <w:spacing w:val="-12"/>
        </w:rPr>
        <w:t xml:space="preserve"> </w:t>
      </w:r>
      <w:r>
        <w:t>multiple</w:t>
      </w:r>
      <w:r>
        <w:rPr>
          <w:spacing w:val="-15"/>
        </w:rPr>
        <w:t xml:space="preserve"> </w:t>
      </w:r>
      <w:r>
        <w:t>ASD</w:t>
      </w:r>
      <w:r>
        <w:rPr>
          <w:spacing w:val="-10"/>
        </w:rPr>
        <w:t xml:space="preserve"> </w:t>
      </w:r>
      <w:r>
        <w:t>groups but only one NT group would have meant that the NT group would be included in the meta- analysis</w:t>
      </w:r>
      <w:r>
        <w:rPr>
          <w:spacing w:val="-13"/>
        </w:rPr>
        <w:t xml:space="preserve"> </w:t>
      </w:r>
      <w:r>
        <w:t>more</w:t>
      </w:r>
      <w:r>
        <w:rPr>
          <w:spacing w:val="-12"/>
        </w:rPr>
        <w:t xml:space="preserve"> </w:t>
      </w:r>
      <w:r>
        <w:t>than</w:t>
      </w:r>
      <w:r>
        <w:rPr>
          <w:spacing w:val="-11"/>
        </w:rPr>
        <w:t xml:space="preserve"> </w:t>
      </w:r>
      <w:r>
        <w:t>once</w:t>
      </w:r>
      <w:r>
        <w:rPr>
          <w:spacing w:val="-11"/>
        </w:rPr>
        <w:t xml:space="preserve"> </w:t>
      </w:r>
      <w:r>
        <w:t>if</w:t>
      </w:r>
      <w:r>
        <w:rPr>
          <w:spacing w:val="-14"/>
        </w:rPr>
        <w:t xml:space="preserve"> </w:t>
      </w:r>
      <w:r>
        <w:t>all</w:t>
      </w:r>
      <w:r>
        <w:rPr>
          <w:spacing w:val="-14"/>
        </w:rPr>
        <w:t xml:space="preserve"> </w:t>
      </w:r>
      <w:r>
        <w:t>reported</w:t>
      </w:r>
      <w:r>
        <w:rPr>
          <w:spacing w:val="-15"/>
        </w:rPr>
        <w:t xml:space="preserve"> </w:t>
      </w:r>
      <w:r>
        <w:t>group</w:t>
      </w:r>
      <w:r>
        <w:rPr>
          <w:spacing w:val="-11"/>
        </w:rPr>
        <w:t xml:space="preserve"> </w:t>
      </w:r>
      <w:r>
        <w:t>contrasts</w:t>
      </w:r>
      <w:r>
        <w:rPr>
          <w:spacing w:val="-12"/>
        </w:rPr>
        <w:t xml:space="preserve"> </w:t>
      </w:r>
      <w:r>
        <w:t>were</w:t>
      </w:r>
      <w:r>
        <w:rPr>
          <w:spacing w:val="-12"/>
        </w:rPr>
        <w:t xml:space="preserve"> </w:t>
      </w:r>
      <w:r>
        <w:t>included</w:t>
      </w:r>
      <w:r>
        <w:rPr>
          <w:spacing w:val="-11"/>
        </w:rPr>
        <w:t xml:space="preserve"> </w:t>
      </w:r>
      <w:r>
        <w:t>(Sheppard,</w:t>
      </w:r>
      <w:r>
        <w:rPr>
          <w:spacing w:val="-8"/>
        </w:rPr>
        <w:t xml:space="preserve"> </w:t>
      </w:r>
      <w:proofErr w:type="spellStart"/>
      <w:r>
        <w:t>Kvavilashvili</w:t>
      </w:r>
      <w:proofErr w:type="spellEnd"/>
      <w:r>
        <w:t xml:space="preserve">, &amp; Ryder, 2016); b) multiple NT groups but only one ASD group would have meant that the ASD group would be included more than once </w:t>
      </w:r>
      <w:r>
        <w:rPr>
          <w:spacing w:val="-3"/>
        </w:rPr>
        <w:t xml:space="preserve">if </w:t>
      </w:r>
      <w:r>
        <w:t>all reported group contrasts were included (Yi</w:t>
      </w:r>
      <w:r>
        <w:rPr>
          <w:spacing w:val="-8"/>
        </w:rPr>
        <w:t xml:space="preserve"> </w:t>
      </w:r>
      <w:r>
        <w:t>et</w:t>
      </w:r>
      <w:r>
        <w:rPr>
          <w:spacing w:val="-8"/>
        </w:rPr>
        <w:t xml:space="preserve"> </w:t>
      </w:r>
      <w:r>
        <w:t>al.,</w:t>
      </w:r>
      <w:r>
        <w:rPr>
          <w:spacing w:val="-6"/>
        </w:rPr>
        <w:t xml:space="preserve"> </w:t>
      </w:r>
      <w:r>
        <w:t>2014);</w:t>
      </w:r>
      <w:r>
        <w:rPr>
          <w:spacing w:val="-8"/>
        </w:rPr>
        <w:t xml:space="preserve"> </w:t>
      </w:r>
      <w:r>
        <w:t>or</w:t>
      </w:r>
      <w:r>
        <w:rPr>
          <w:spacing w:val="-7"/>
        </w:rPr>
        <w:t xml:space="preserve"> </w:t>
      </w:r>
      <w:r>
        <w:t>c)</w:t>
      </w:r>
      <w:r>
        <w:rPr>
          <w:spacing w:val="40"/>
        </w:rPr>
        <w:t xml:space="preserve"> </w:t>
      </w:r>
      <w:r>
        <w:t>multiple</w:t>
      </w:r>
      <w:r>
        <w:rPr>
          <w:spacing w:val="-10"/>
        </w:rPr>
        <w:t xml:space="preserve"> </w:t>
      </w:r>
      <w:r>
        <w:t>PM</w:t>
      </w:r>
      <w:r>
        <w:rPr>
          <w:spacing w:val="-11"/>
        </w:rPr>
        <w:t xml:space="preserve"> </w:t>
      </w:r>
      <w:r>
        <w:t>measures</w:t>
      </w:r>
      <w:r>
        <w:rPr>
          <w:spacing w:val="-11"/>
        </w:rPr>
        <w:t xml:space="preserve"> </w:t>
      </w:r>
      <w:r>
        <w:t>from</w:t>
      </w:r>
      <w:r>
        <w:rPr>
          <w:spacing w:val="-8"/>
        </w:rPr>
        <w:t xml:space="preserve"> </w:t>
      </w:r>
      <w:r>
        <w:t>the</w:t>
      </w:r>
      <w:r>
        <w:rPr>
          <w:spacing w:val="-10"/>
        </w:rPr>
        <w:t xml:space="preserve"> </w:t>
      </w:r>
      <w:r>
        <w:t>same</w:t>
      </w:r>
      <w:r>
        <w:rPr>
          <w:spacing w:val="-10"/>
        </w:rPr>
        <w:t xml:space="preserve"> </w:t>
      </w:r>
      <w:r>
        <w:t>participants</w:t>
      </w:r>
      <w:r>
        <w:rPr>
          <w:spacing w:val="-11"/>
        </w:rPr>
        <w:t xml:space="preserve"> </w:t>
      </w:r>
      <w:r>
        <w:t>would</w:t>
      </w:r>
      <w:r>
        <w:rPr>
          <w:spacing w:val="-9"/>
        </w:rPr>
        <w:t xml:space="preserve"> </w:t>
      </w:r>
      <w:r>
        <w:t>mean</w:t>
      </w:r>
      <w:r>
        <w:rPr>
          <w:spacing w:val="-9"/>
        </w:rPr>
        <w:t xml:space="preserve"> </w:t>
      </w:r>
      <w:r>
        <w:t>that</w:t>
      </w:r>
      <w:r>
        <w:rPr>
          <w:spacing w:val="-8"/>
        </w:rPr>
        <w:t xml:space="preserve"> </w:t>
      </w:r>
      <w:r>
        <w:t>each participant would be included more than once if per</w:t>
      </w:r>
      <w:r>
        <w:t>formance on all measures was included (</w:t>
      </w:r>
      <w:proofErr w:type="spellStart"/>
      <w:r>
        <w:t>Altgassen</w:t>
      </w:r>
      <w:proofErr w:type="spellEnd"/>
      <w:r>
        <w:t>,</w:t>
      </w:r>
      <w:r>
        <w:rPr>
          <w:spacing w:val="-13"/>
        </w:rPr>
        <w:t xml:space="preserve"> </w:t>
      </w:r>
      <w:r>
        <w:t>Koban,</w:t>
      </w:r>
      <w:r>
        <w:rPr>
          <w:spacing w:val="-13"/>
        </w:rPr>
        <w:t xml:space="preserve"> </w:t>
      </w:r>
      <w:r>
        <w:t>&amp;</w:t>
      </w:r>
      <w:r>
        <w:rPr>
          <w:spacing w:val="-15"/>
        </w:rPr>
        <w:t xml:space="preserve"> </w:t>
      </w:r>
      <w:proofErr w:type="spellStart"/>
      <w:r>
        <w:t>Kliegel</w:t>
      </w:r>
      <w:proofErr w:type="spellEnd"/>
      <w:r>
        <w:t>,</w:t>
      </w:r>
      <w:r>
        <w:rPr>
          <w:spacing w:val="-17"/>
        </w:rPr>
        <w:t xml:space="preserve"> </w:t>
      </w:r>
      <w:r>
        <w:t>2012).</w:t>
      </w:r>
      <w:r>
        <w:rPr>
          <w:spacing w:val="28"/>
        </w:rPr>
        <w:t xml:space="preserve"> </w:t>
      </w:r>
      <w:r>
        <w:t>Furthermore,</w:t>
      </w:r>
      <w:r>
        <w:rPr>
          <w:spacing w:val="-17"/>
        </w:rPr>
        <w:t xml:space="preserve"> </w:t>
      </w:r>
      <w:r>
        <w:t>to</w:t>
      </w:r>
      <w:r>
        <w:rPr>
          <w:spacing w:val="-15"/>
        </w:rPr>
        <w:t xml:space="preserve"> </w:t>
      </w:r>
      <w:r>
        <w:t>avoid</w:t>
      </w:r>
      <w:r>
        <w:rPr>
          <w:spacing w:val="-15"/>
        </w:rPr>
        <w:t xml:space="preserve"> </w:t>
      </w:r>
      <w:r>
        <w:t>biasing</w:t>
      </w:r>
      <w:r>
        <w:rPr>
          <w:spacing w:val="-14"/>
        </w:rPr>
        <w:t xml:space="preserve"> </w:t>
      </w:r>
      <w:r>
        <w:t>the</w:t>
      </w:r>
      <w:r>
        <w:rPr>
          <w:spacing w:val="-16"/>
        </w:rPr>
        <w:t xml:space="preserve"> </w:t>
      </w:r>
      <w:r>
        <w:t>mean</w:t>
      </w:r>
      <w:r>
        <w:rPr>
          <w:spacing w:val="-14"/>
        </w:rPr>
        <w:t xml:space="preserve"> </w:t>
      </w:r>
      <w:r>
        <w:t>weighted</w:t>
      </w:r>
      <w:r>
        <w:rPr>
          <w:spacing w:val="-20"/>
        </w:rPr>
        <w:t xml:space="preserve"> </w:t>
      </w:r>
      <w:r>
        <w:t>effects,</w:t>
      </w:r>
    </w:p>
    <w:p w14:paraId="11FB257B" w14:textId="77777777" w:rsidR="00C75312" w:rsidRDefault="00C75312">
      <w:pPr>
        <w:spacing w:line="480" w:lineRule="auto"/>
        <w:jc w:val="both"/>
        <w:sectPr w:rsidR="00C75312">
          <w:pgSz w:w="11900" w:h="16840"/>
          <w:pgMar w:top="1360" w:right="1320" w:bottom="280" w:left="1340" w:header="715" w:footer="0" w:gutter="0"/>
          <w:cols w:space="720"/>
        </w:sectPr>
      </w:pPr>
    </w:p>
    <w:p w14:paraId="6AD99C86" w14:textId="77777777" w:rsidR="00C75312" w:rsidRDefault="00BB293A">
      <w:pPr>
        <w:pStyle w:val="BodyText"/>
        <w:spacing w:before="80" w:line="475" w:lineRule="auto"/>
        <w:ind w:left="100"/>
      </w:pPr>
      <w:r>
        <w:lastRenderedPageBreak/>
        <w:t xml:space="preserve">group contrasts that explored the effect of attempts to improve PM in the ASD were excluded (Kretschmer, </w:t>
      </w:r>
      <w:proofErr w:type="spellStart"/>
      <w:r>
        <w:t>Altgassen</w:t>
      </w:r>
      <w:proofErr w:type="spellEnd"/>
      <w:r>
        <w:t xml:space="preserve">, Rendell, Bolte, &amp; </w:t>
      </w:r>
      <w:proofErr w:type="spellStart"/>
      <w:r>
        <w:t>Bölte</w:t>
      </w:r>
      <w:proofErr w:type="spellEnd"/>
      <w:r>
        <w:t>, 2014)</w:t>
      </w:r>
      <w:r>
        <w:rPr>
          <w:position w:val="8"/>
          <w:sz w:val="16"/>
        </w:rPr>
        <w:t>1</w:t>
      </w:r>
      <w:r>
        <w:t>.</w:t>
      </w:r>
    </w:p>
    <w:p w14:paraId="3956B8E7" w14:textId="77777777" w:rsidR="00C75312" w:rsidRDefault="00BB293A">
      <w:pPr>
        <w:pStyle w:val="Heading1"/>
        <w:spacing w:before="125"/>
        <w:ind w:left="100"/>
      </w:pPr>
      <w:r>
        <w:t>Results</w:t>
      </w:r>
    </w:p>
    <w:p w14:paraId="4F004DA9" w14:textId="77777777" w:rsidR="00C75312" w:rsidRDefault="00C75312">
      <w:pPr>
        <w:pStyle w:val="BodyText"/>
        <w:rPr>
          <w:b/>
        </w:rPr>
      </w:pPr>
    </w:p>
    <w:p w14:paraId="59B01AC5" w14:textId="77777777" w:rsidR="00C75312" w:rsidRDefault="00BB293A">
      <w:pPr>
        <w:pStyle w:val="BodyText"/>
        <w:spacing w:line="480" w:lineRule="auto"/>
        <w:ind w:left="100" w:right="108" w:firstLine="720"/>
        <w:jc w:val="both"/>
      </w:pPr>
      <w:r>
        <w:rPr>
          <w:b/>
        </w:rPr>
        <w:t>Time-based</w:t>
      </w:r>
      <w:r>
        <w:rPr>
          <w:b/>
          <w:spacing w:val="-14"/>
        </w:rPr>
        <w:t xml:space="preserve"> </w:t>
      </w:r>
      <w:r>
        <w:rPr>
          <w:b/>
        </w:rPr>
        <w:t>PM.</w:t>
      </w:r>
      <w:r>
        <w:rPr>
          <w:b/>
          <w:spacing w:val="34"/>
        </w:rPr>
        <w:t xml:space="preserve"> </w:t>
      </w:r>
      <w:r>
        <w:t>A</w:t>
      </w:r>
      <w:r>
        <w:rPr>
          <w:spacing w:val="-15"/>
        </w:rPr>
        <w:t xml:space="preserve"> </w:t>
      </w:r>
      <w:r>
        <w:t>total</w:t>
      </w:r>
      <w:r>
        <w:rPr>
          <w:spacing w:val="-14"/>
        </w:rPr>
        <w:t xml:space="preserve"> </w:t>
      </w:r>
      <w:r>
        <w:t>of</w:t>
      </w:r>
      <w:r>
        <w:rPr>
          <w:spacing w:val="-13"/>
        </w:rPr>
        <w:t xml:space="preserve"> </w:t>
      </w:r>
      <w:r>
        <w:t>118</w:t>
      </w:r>
      <w:r>
        <w:rPr>
          <w:spacing w:val="-14"/>
        </w:rPr>
        <w:t xml:space="preserve"> </w:t>
      </w:r>
      <w:r>
        <w:t>participants</w:t>
      </w:r>
      <w:r>
        <w:rPr>
          <w:spacing w:val="-17"/>
        </w:rPr>
        <w:t xml:space="preserve"> </w:t>
      </w:r>
      <w:r>
        <w:t>with</w:t>
      </w:r>
      <w:r>
        <w:rPr>
          <w:spacing w:val="-19"/>
        </w:rPr>
        <w:t xml:space="preserve"> </w:t>
      </w:r>
      <w:r>
        <w:t>ASD</w:t>
      </w:r>
      <w:r>
        <w:rPr>
          <w:spacing w:val="-15"/>
        </w:rPr>
        <w:t xml:space="preserve"> </w:t>
      </w:r>
      <w:r>
        <w:t>and</w:t>
      </w:r>
      <w:r>
        <w:rPr>
          <w:spacing w:val="-13"/>
        </w:rPr>
        <w:t xml:space="preserve"> </w:t>
      </w:r>
      <w:r>
        <w:t>118</w:t>
      </w:r>
      <w:r>
        <w:rPr>
          <w:spacing w:val="-14"/>
        </w:rPr>
        <w:t xml:space="preserve"> </w:t>
      </w:r>
      <w:r>
        <w:t>NT</w:t>
      </w:r>
      <w:r>
        <w:rPr>
          <w:spacing w:val="-12"/>
        </w:rPr>
        <w:t xml:space="preserve"> </w:t>
      </w:r>
      <w:r>
        <w:t>control</w:t>
      </w:r>
      <w:r>
        <w:rPr>
          <w:spacing w:val="-14"/>
        </w:rPr>
        <w:t xml:space="preserve"> </w:t>
      </w:r>
      <w:r>
        <w:t>participants from six studies were included using a fixed-effects model. The mean weighted effect for the between-group difference in performance was -0.87 (</w:t>
      </w:r>
      <w:r>
        <w:rPr>
          <w:i/>
        </w:rPr>
        <w:t xml:space="preserve">SE </w:t>
      </w:r>
      <w:r>
        <w:t xml:space="preserve">= 0.14, 95% </w:t>
      </w:r>
      <w:r>
        <w:rPr>
          <w:i/>
        </w:rPr>
        <w:t xml:space="preserve">CI: </w:t>
      </w:r>
      <w:r>
        <w:t xml:space="preserve">-1.14 to -0.60; </w:t>
      </w:r>
      <w:r>
        <w:rPr>
          <w:i/>
        </w:rPr>
        <w:t xml:space="preserve">z </w:t>
      </w:r>
      <w:r>
        <w:t xml:space="preserve">= 6.38, </w:t>
      </w:r>
      <w:r>
        <w:rPr>
          <w:i/>
        </w:rPr>
        <w:t xml:space="preserve">p </w:t>
      </w:r>
      <w:r>
        <w:t>&lt; .001). The homogeneity test was not significant (</w:t>
      </w:r>
      <w:r>
        <w:rPr>
          <w:i/>
        </w:rPr>
        <w:t xml:space="preserve">Q </w:t>
      </w:r>
      <w:r>
        <w:t xml:space="preserve">= 1.22, </w:t>
      </w:r>
      <w:r>
        <w:rPr>
          <w:i/>
        </w:rPr>
        <w:t xml:space="preserve">p </w:t>
      </w:r>
      <w:r>
        <w:t>= .94) indicating that the variance across the included effect sizes was not greater than expected by sampling error. These findings indicate a large and consistent impairment of time-</w:t>
      </w:r>
      <w:r>
        <w:t>based PM in ASD across studies (see Figure</w:t>
      </w:r>
      <w:r>
        <w:rPr>
          <w:spacing w:val="1"/>
        </w:rPr>
        <w:t xml:space="preserve"> </w:t>
      </w:r>
      <w:r>
        <w:t>3).</w:t>
      </w:r>
    </w:p>
    <w:p w14:paraId="53FFD141" w14:textId="77777777" w:rsidR="00C75312" w:rsidRDefault="00C75312">
      <w:pPr>
        <w:pStyle w:val="BodyText"/>
        <w:rPr>
          <w:sz w:val="20"/>
        </w:rPr>
      </w:pPr>
    </w:p>
    <w:p w14:paraId="180B94B7" w14:textId="77777777" w:rsidR="00C75312" w:rsidRDefault="00BB293A">
      <w:pPr>
        <w:pStyle w:val="BodyText"/>
        <w:spacing w:before="8"/>
        <w:rPr>
          <w:sz w:val="10"/>
        </w:rPr>
      </w:pPr>
      <w:r>
        <w:pict w14:anchorId="06963BD8">
          <v:shape id="_x0000_s2847" style="position:absolute;margin-left:1in;margin-top:8.4pt;width:2in;height:.1pt;z-index:-251653120;mso-wrap-distance-left:0;mso-wrap-distance-right:0;mso-position-horizontal-relative:page" coordorigin="1440,168" coordsize="2880,0" path="m1440,168r2880,e" filled="f" strokeweight=".48pt">
            <v:path arrowok="t"/>
            <w10:wrap type="topAndBottom" anchorx="page"/>
          </v:shape>
        </w:pict>
      </w:r>
    </w:p>
    <w:p w14:paraId="0F54EBC1" w14:textId="77777777" w:rsidR="00C75312" w:rsidRDefault="00BB293A">
      <w:pPr>
        <w:spacing w:before="62" w:line="480" w:lineRule="auto"/>
        <w:ind w:left="100" w:right="107"/>
        <w:jc w:val="both"/>
        <w:rPr>
          <w:sz w:val="20"/>
        </w:rPr>
      </w:pPr>
      <w:r>
        <w:rPr>
          <w:position w:val="7"/>
          <w:sz w:val="13"/>
        </w:rPr>
        <w:t xml:space="preserve">1 </w:t>
      </w:r>
      <w:r>
        <w:rPr>
          <w:sz w:val="20"/>
        </w:rPr>
        <w:t xml:space="preserve">In four studies, a decision had to </w:t>
      </w:r>
      <w:r>
        <w:rPr>
          <w:spacing w:val="-3"/>
          <w:sz w:val="20"/>
        </w:rPr>
        <w:t xml:space="preserve">be </w:t>
      </w:r>
      <w:r>
        <w:rPr>
          <w:sz w:val="20"/>
        </w:rPr>
        <w:t xml:space="preserve">made about which of </w:t>
      </w:r>
      <w:r>
        <w:rPr>
          <w:spacing w:val="-3"/>
          <w:sz w:val="20"/>
        </w:rPr>
        <w:t xml:space="preserve">the </w:t>
      </w:r>
      <w:r>
        <w:rPr>
          <w:sz w:val="20"/>
        </w:rPr>
        <w:t xml:space="preserve">multiple effect sizes reported should </w:t>
      </w:r>
      <w:r>
        <w:rPr>
          <w:spacing w:val="-3"/>
          <w:sz w:val="20"/>
        </w:rPr>
        <w:t xml:space="preserve">be </w:t>
      </w:r>
      <w:r>
        <w:rPr>
          <w:sz w:val="20"/>
        </w:rPr>
        <w:t>included in the meta-analysis. The decision was based entirely on the rationale for the study and/or study hypotheses, and not on study results. Importantly, taking alternative decisions would not have changed the results of the meta- analysis substantially. Moreover, for completeness, the effect sizes that were not included in the meta-analysis are</w:t>
      </w:r>
      <w:r>
        <w:rPr>
          <w:spacing w:val="-2"/>
          <w:sz w:val="20"/>
        </w:rPr>
        <w:t xml:space="preserve"> </w:t>
      </w:r>
      <w:r>
        <w:rPr>
          <w:sz w:val="20"/>
        </w:rPr>
        <w:t>displayed</w:t>
      </w:r>
      <w:r>
        <w:rPr>
          <w:spacing w:val="-7"/>
          <w:sz w:val="20"/>
        </w:rPr>
        <w:t xml:space="preserve"> </w:t>
      </w:r>
      <w:r>
        <w:rPr>
          <w:sz w:val="20"/>
        </w:rPr>
        <w:t>in</w:t>
      </w:r>
      <w:r>
        <w:rPr>
          <w:spacing w:val="-3"/>
          <w:sz w:val="20"/>
        </w:rPr>
        <w:t xml:space="preserve"> </w:t>
      </w:r>
      <w:r>
        <w:rPr>
          <w:sz w:val="20"/>
        </w:rPr>
        <w:t>the</w:t>
      </w:r>
      <w:r>
        <w:rPr>
          <w:spacing w:val="-1"/>
          <w:sz w:val="20"/>
        </w:rPr>
        <w:t xml:space="preserve"> </w:t>
      </w:r>
      <w:r>
        <w:rPr>
          <w:sz w:val="20"/>
        </w:rPr>
        <w:t>forest</w:t>
      </w:r>
      <w:r>
        <w:rPr>
          <w:spacing w:val="-2"/>
          <w:sz w:val="20"/>
        </w:rPr>
        <w:t xml:space="preserve"> </w:t>
      </w:r>
      <w:r>
        <w:rPr>
          <w:sz w:val="20"/>
        </w:rPr>
        <w:t>plots</w:t>
      </w:r>
      <w:r>
        <w:rPr>
          <w:spacing w:val="-4"/>
          <w:sz w:val="20"/>
        </w:rPr>
        <w:t xml:space="preserve"> </w:t>
      </w:r>
      <w:r>
        <w:rPr>
          <w:sz w:val="20"/>
        </w:rPr>
        <w:t>(see</w:t>
      </w:r>
      <w:r>
        <w:rPr>
          <w:spacing w:val="-2"/>
          <w:sz w:val="20"/>
        </w:rPr>
        <w:t xml:space="preserve"> </w:t>
      </w:r>
      <w:r>
        <w:rPr>
          <w:sz w:val="20"/>
        </w:rPr>
        <w:t>Figures</w:t>
      </w:r>
      <w:r>
        <w:rPr>
          <w:spacing w:val="-4"/>
          <w:sz w:val="20"/>
        </w:rPr>
        <w:t xml:space="preserve"> </w:t>
      </w:r>
      <w:r>
        <w:rPr>
          <w:sz w:val="20"/>
        </w:rPr>
        <w:t>2</w:t>
      </w:r>
      <w:r>
        <w:rPr>
          <w:spacing w:val="-8"/>
          <w:sz w:val="20"/>
        </w:rPr>
        <w:t xml:space="preserve"> </w:t>
      </w:r>
      <w:r>
        <w:rPr>
          <w:sz w:val="20"/>
        </w:rPr>
        <w:t>and</w:t>
      </w:r>
      <w:r>
        <w:rPr>
          <w:spacing w:val="-2"/>
          <w:sz w:val="20"/>
        </w:rPr>
        <w:t xml:space="preserve"> </w:t>
      </w:r>
      <w:r>
        <w:rPr>
          <w:sz w:val="20"/>
        </w:rPr>
        <w:t>3). In</w:t>
      </w:r>
      <w:r>
        <w:rPr>
          <w:spacing w:val="-3"/>
          <w:sz w:val="20"/>
        </w:rPr>
        <w:t xml:space="preserve"> </w:t>
      </w:r>
      <w:r>
        <w:rPr>
          <w:sz w:val="20"/>
        </w:rPr>
        <w:t>S</w:t>
      </w:r>
      <w:r>
        <w:rPr>
          <w:sz w:val="20"/>
        </w:rPr>
        <w:t>heppard</w:t>
      </w:r>
      <w:r>
        <w:rPr>
          <w:spacing w:val="-7"/>
          <w:sz w:val="20"/>
        </w:rPr>
        <w:t xml:space="preserve"> </w:t>
      </w:r>
      <w:r>
        <w:rPr>
          <w:sz w:val="20"/>
        </w:rPr>
        <w:t>et</w:t>
      </w:r>
      <w:r>
        <w:rPr>
          <w:spacing w:val="-2"/>
          <w:sz w:val="20"/>
        </w:rPr>
        <w:t xml:space="preserve"> </w:t>
      </w:r>
      <w:r>
        <w:rPr>
          <w:sz w:val="20"/>
        </w:rPr>
        <w:t>al. (2016),</w:t>
      </w:r>
      <w:r>
        <w:rPr>
          <w:spacing w:val="-1"/>
          <w:sz w:val="20"/>
        </w:rPr>
        <w:t xml:space="preserve"> </w:t>
      </w:r>
      <w:r>
        <w:rPr>
          <w:sz w:val="20"/>
        </w:rPr>
        <w:t>who</w:t>
      </w:r>
      <w:r>
        <w:rPr>
          <w:spacing w:val="-2"/>
          <w:sz w:val="20"/>
        </w:rPr>
        <w:t xml:space="preserve"> </w:t>
      </w:r>
      <w:r>
        <w:rPr>
          <w:sz w:val="20"/>
        </w:rPr>
        <w:t>tested</w:t>
      </w:r>
      <w:r>
        <w:rPr>
          <w:spacing w:val="-8"/>
          <w:sz w:val="20"/>
        </w:rPr>
        <w:t xml:space="preserve"> </w:t>
      </w:r>
      <w:r>
        <w:rPr>
          <w:sz w:val="20"/>
        </w:rPr>
        <w:t>a</w:t>
      </w:r>
      <w:r>
        <w:rPr>
          <w:spacing w:val="-1"/>
          <w:sz w:val="20"/>
        </w:rPr>
        <w:t xml:space="preserve"> </w:t>
      </w:r>
      <w:r>
        <w:rPr>
          <w:sz w:val="20"/>
        </w:rPr>
        <w:t>mildly</w:t>
      </w:r>
      <w:r>
        <w:rPr>
          <w:spacing w:val="-3"/>
          <w:sz w:val="20"/>
        </w:rPr>
        <w:t xml:space="preserve"> </w:t>
      </w:r>
      <w:r>
        <w:rPr>
          <w:sz w:val="20"/>
        </w:rPr>
        <w:t>and</w:t>
      </w:r>
      <w:r>
        <w:rPr>
          <w:spacing w:val="2"/>
          <w:sz w:val="20"/>
        </w:rPr>
        <w:t xml:space="preserve"> </w:t>
      </w:r>
      <w:r>
        <w:rPr>
          <w:sz w:val="20"/>
        </w:rPr>
        <w:t xml:space="preserve">severely autistic group of children, the effect size from the group contrast between the severely autistic vs. </w:t>
      </w:r>
      <w:r>
        <w:rPr>
          <w:spacing w:val="-4"/>
          <w:sz w:val="20"/>
        </w:rPr>
        <w:t xml:space="preserve">NT </w:t>
      </w:r>
      <w:r>
        <w:rPr>
          <w:sz w:val="20"/>
        </w:rPr>
        <w:t xml:space="preserve">children was used in line with Sheppard et al.‘s (2016) hypothesis that only severely autistic children would show a PM impairment. In Yi et al. (2014), who included two comparison groups (one matched for chronological age with the ASD group, and one matched for mental age with the </w:t>
      </w:r>
      <w:r>
        <w:rPr>
          <w:spacing w:val="-3"/>
          <w:sz w:val="20"/>
        </w:rPr>
        <w:t xml:space="preserve">ASD </w:t>
      </w:r>
      <w:r>
        <w:rPr>
          <w:sz w:val="20"/>
        </w:rPr>
        <w:t>group) in their study, the contrast between ASD and the ability-matched NT group was used a</w:t>
      </w:r>
      <w:r>
        <w:rPr>
          <w:sz w:val="20"/>
        </w:rPr>
        <w:t xml:space="preserve">s the age-matched </w:t>
      </w:r>
      <w:r>
        <w:rPr>
          <w:spacing w:val="-4"/>
          <w:sz w:val="20"/>
        </w:rPr>
        <w:t xml:space="preserve">NT </w:t>
      </w:r>
      <w:r>
        <w:rPr>
          <w:sz w:val="20"/>
        </w:rPr>
        <w:t xml:space="preserve">group performed at absolute ceiling on the PM task making valid comparison with the ASD group impossible. For </w:t>
      </w:r>
      <w:proofErr w:type="spellStart"/>
      <w:r>
        <w:rPr>
          <w:sz w:val="20"/>
        </w:rPr>
        <w:t>Altgassen</w:t>
      </w:r>
      <w:proofErr w:type="spellEnd"/>
      <w:r>
        <w:rPr>
          <w:sz w:val="20"/>
        </w:rPr>
        <w:t xml:space="preserve"> et al. (2012) who used a standard measure of PM in addition to a naturalistic PM task, the </w:t>
      </w:r>
      <w:proofErr w:type="spellStart"/>
      <w:r>
        <w:rPr>
          <w:sz w:val="20"/>
        </w:rPr>
        <w:t>standardised</w:t>
      </w:r>
      <w:proofErr w:type="spellEnd"/>
      <w:r>
        <w:rPr>
          <w:sz w:val="20"/>
        </w:rPr>
        <w:t xml:space="preserve"> mean differences for the two contrasts (which were very similar) were averaged into a composite effect size. Finally, Kretschmer et al. (2014) manipulated a between-subject factor that aimed to improve PM using an encoding strategy in comparison to a standard</w:t>
      </w:r>
      <w:r>
        <w:rPr>
          <w:spacing w:val="-8"/>
          <w:sz w:val="20"/>
        </w:rPr>
        <w:t xml:space="preserve"> </w:t>
      </w:r>
      <w:r>
        <w:rPr>
          <w:sz w:val="20"/>
        </w:rPr>
        <w:t>no</w:t>
      </w:r>
      <w:r>
        <w:rPr>
          <w:spacing w:val="-13"/>
          <w:sz w:val="20"/>
        </w:rPr>
        <w:t xml:space="preserve"> </w:t>
      </w:r>
      <w:r>
        <w:rPr>
          <w:sz w:val="20"/>
        </w:rPr>
        <w:t>stra</w:t>
      </w:r>
      <w:r>
        <w:rPr>
          <w:sz w:val="20"/>
        </w:rPr>
        <w:t>tegy</w:t>
      </w:r>
      <w:r>
        <w:rPr>
          <w:spacing w:val="-8"/>
          <w:sz w:val="20"/>
        </w:rPr>
        <w:t xml:space="preserve"> </w:t>
      </w:r>
      <w:r>
        <w:rPr>
          <w:sz w:val="20"/>
        </w:rPr>
        <w:t>condition.</w:t>
      </w:r>
      <w:r>
        <w:rPr>
          <w:spacing w:val="33"/>
          <w:sz w:val="20"/>
        </w:rPr>
        <w:t xml:space="preserve"> </w:t>
      </w:r>
      <w:r>
        <w:rPr>
          <w:sz w:val="20"/>
        </w:rPr>
        <w:t>As</w:t>
      </w:r>
      <w:r>
        <w:rPr>
          <w:spacing w:val="-10"/>
          <w:sz w:val="20"/>
        </w:rPr>
        <w:t xml:space="preserve"> </w:t>
      </w:r>
      <w:r>
        <w:rPr>
          <w:sz w:val="20"/>
        </w:rPr>
        <w:t>this</w:t>
      </w:r>
      <w:r>
        <w:rPr>
          <w:spacing w:val="-10"/>
          <w:sz w:val="20"/>
        </w:rPr>
        <w:t xml:space="preserve"> </w:t>
      </w:r>
      <w:r>
        <w:rPr>
          <w:sz w:val="20"/>
        </w:rPr>
        <w:t>meta-analysis</w:t>
      </w:r>
      <w:r>
        <w:rPr>
          <w:spacing w:val="-9"/>
          <w:sz w:val="20"/>
        </w:rPr>
        <w:t xml:space="preserve"> </w:t>
      </w:r>
      <w:r>
        <w:rPr>
          <w:sz w:val="20"/>
        </w:rPr>
        <w:t>aimed</w:t>
      </w:r>
      <w:r>
        <w:rPr>
          <w:spacing w:val="-8"/>
          <w:sz w:val="20"/>
        </w:rPr>
        <w:t xml:space="preserve"> </w:t>
      </w:r>
      <w:r>
        <w:rPr>
          <w:sz w:val="20"/>
        </w:rPr>
        <w:t>to</w:t>
      </w:r>
      <w:r>
        <w:rPr>
          <w:spacing w:val="-8"/>
          <w:sz w:val="20"/>
        </w:rPr>
        <w:t xml:space="preserve"> </w:t>
      </w:r>
      <w:r>
        <w:rPr>
          <w:sz w:val="20"/>
        </w:rPr>
        <w:t>estimate</w:t>
      </w:r>
      <w:r>
        <w:rPr>
          <w:spacing w:val="-7"/>
          <w:sz w:val="20"/>
        </w:rPr>
        <w:t xml:space="preserve"> </w:t>
      </w:r>
      <w:r>
        <w:rPr>
          <w:sz w:val="20"/>
        </w:rPr>
        <w:t>the</w:t>
      </w:r>
      <w:r>
        <w:rPr>
          <w:spacing w:val="-10"/>
          <w:sz w:val="20"/>
        </w:rPr>
        <w:t xml:space="preserve"> </w:t>
      </w:r>
      <w:r>
        <w:rPr>
          <w:sz w:val="20"/>
        </w:rPr>
        <w:t>extent</w:t>
      </w:r>
      <w:r>
        <w:rPr>
          <w:spacing w:val="-12"/>
          <w:sz w:val="20"/>
        </w:rPr>
        <w:t xml:space="preserve"> </w:t>
      </w:r>
      <w:r>
        <w:rPr>
          <w:sz w:val="20"/>
        </w:rPr>
        <w:t>of</w:t>
      </w:r>
      <w:r>
        <w:rPr>
          <w:spacing w:val="-8"/>
          <w:sz w:val="20"/>
        </w:rPr>
        <w:t xml:space="preserve"> </w:t>
      </w:r>
      <w:r>
        <w:rPr>
          <w:sz w:val="20"/>
        </w:rPr>
        <w:t>true</w:t>
      </w:r>
      <w:r>
        <w:rPr>
          <w:spacing w:val="-6"/>
          <w:sz w:val="20"/>
        </w:rPr>
        <w:t xml:space="preserve"> </w:t>
      </w:r>
      <w:r>
        <w:rPr>
          <w:sz w:val="20"/>
        </w:rPr>
        <w:t>PM</w:t>
      </w:r>
      <w:r>
        <w:rPr>
          <w:spacing w:val="-15"/>
          <w:sz w:val="20"/>
        </w:rPr>
        <w:t xml:space="preserve"> </w:t>
      </w:r>
      <w:r>
        <w:rPr>
          <w:sz w:val="20"/>
        </w:rPr>
        <w:t>impairment</w:t>
      </w:r>
      <w:r>
        <w:rPr>
          <w:spacing w:val="-12"/>
          <w:sz w:val="20"/>
        </w:rPr>
        <w:t xml:space="preserve"> </w:t>
      </w:r>
      <w:r>
        <w:rPr>
          <w:sz w:val="20"/>
        </w:rPr>
        <w:t>in</w:t>
      </w:r>
      <w:r>
        <w:rPr>
          <w:spacing w:val="-8"/>
          <w:sz w:val="20"/>
        </w:rPr>
        <w:t xml:space="preserve"> </w:t>
      </w:r>
      <w:r>
        <w:rPr>
          <w:spacing w:val="-3"/>
          <w:sz w:val="20"/>
        </w:rPr>
        <w:t xml:space="preserve">ASD, </w:t>
      </w:r>
      <w:r>
        <w:rPr>
          <w:sz w:val="20"/>
        </w:rPr>
        <w:t>inclusion of the strategy contrast in the analysis would bias the mean weighted effect size. Hence, the contrast where participants performed the PM task under the no-strategy condition was</w:t>
      </w:r>
      <w:r>
        <w:rPr>
          <w:spacing w:val="-8"/>
          <w:sz w:val="20"/>
        </w:rPr>
        <w:t xml:space="preserve"> </w:t>
      </w:r>
      <w:r>
        <w:rPr>
          <w:sz w:val="20"/>
        </w:rPr>
        <w:t>selected.</w:t>
      </w:r>
    </w:p>
    <w:p w14:paraId="47E4F23A" w14:textId="77777777" w:rsidR="00C75312" w:rsidRDefault="00C75312">
      <w:pPr>
        <w:spacing w:line="480" w:lineRule="auto"/>
        <w:jc w:val="both"/>
        <w:rPr>
          <w:sz w:val="20"/>
        </w:rPr>
        <w:sectPr w:rsidR="00C75312">
          <w:pgSz w:w="11900" w:h="16840"/>
          <w:pgMar w:top="1360" w:right="1320" w:bottom="280" w:left="1340" w:header="715" w:footer="0" w:gutter="0"/>
          <w:cols w:space="720"/>
        </w:sectPr>
      </w:pPr>
    </w:p>
    <w:p w14:paraId="352D6DDE" w14:textId="77777777" w:rsidR="00C75312" w:rsidRDefault="00C75312">
      <w:pPr>
        <w:pStyle w:val="BodyText"/>
        <w:spacing w:before="10" w:after="1"/>
        <w:rPr>
          <w:sz w:val="12"/>
        </w:rPr>
      </w:pPr>
    </w:p>
    <w:p w14:paraId="2ADCAC7A" w14:textId="77777777" w:rsidR="00C75312" w:rsidRDefault="00BB293A">
      <w:pPr>
        <w:pStyle w:val="BodyText"/>
        <w:ind w:left="231"/>
        <w:rPr>
          <w:sz w:val="20"/>
        </w:rPr>
      </w:pPr>
      <w:r>
        <w:rPr>
          <w:noProof/>
          <w:sz w:val="20"/>
        </w:rPr>
        <w:drawing>
          <wp:inline distT="0" distB="0" distL="0" distR="0" wp14:anchorId="4C82781A" wp14:editId="444664D9">
            <wp:extent cx="5533458" cy="252717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2" cstate="print"/>
                    <a:stretch>
                      <a:fillRect/>
                    </a:stretch>
                  </pic:blipFill>
                  <pic:spPr>
                    <a:xfrm>
                      <a:off x="0" y="0"/>
                      <a:ext cx="5533458" cy="2527173"/>
                    </a:xfrm>
                    <a:prstGeom prst="rect">
                      <a:avLst/>
                    </a:prstGeom>
                  </pic:spPr>
                </pic:pic>
              </a:graphicData>
            </a:graphic>
          </wp:inline>
        </w:drawing>
      </w:r>
    </w:p>
    <w:p w14:paraId="6ED17B17" w14:textId="77777777" w:rsidR="00C75312" w:rsidRDefault="00C75312">
      <w:pPr>
        <w:pStyle w:val="BodyText"/>
        <w:rPr>
          <w:sz w:val="20"/>
        </w:rPr>
      </w:pPr>
    </w:p>
    <w:p w14:paraId="756C1917" w14:textId="77777777" w:rsidR="00C75312" w:rsidRDefault="00C75312">
      <w:pPr>
        <w:pStyle w:val="BodyText"/>
        <w:spacing w:before="2"/>
        <w:rPr>
          <w:sz w:val="19"/>
        </w:rPr>
      </w:pPr>
    </w:p>
    <w:p w14:paraId="4F0B6B62" w14:textId="77777777" w:rsidR="00C75312" w:rsidRDefault="00BB293A">
      <w:pPr>
        <w:spacing w:before="93"/>
        <w:ind w:left="100" w:right="107"/>
        <w:jc w:val="both"/>
        <w:rPr>
          <w:i/>
          <w:sz w:val="20"/>
        </w:rPr>
      </w:pPr>
      <w:r>
        <w:rPr>
          <w:i/>
          <w:sz w:val="20"/>
        </w:rPr>
        <w:t>Figure 3 Forest plot for effect sizes and 95% confidence interval for time-based PM studies as well as the mean weighted effect and its 95% confidence interval (dark grey circle marker). Notes: The vertical grey line marks the weighted mean effect of the fixed-effects model. Studies marked with an * were not included in the meta- analysis but are included for illustrative purposes.</w:t>
      </w:r>
    </w:p>
    <w:p w14:paraId="04237B54" w14:textId="77777777" w:rsidR="00C75312" w:rsidRDefault="00C75312">
      <w:pPr>
        <w:pStyle w:val="BodyText"/>
        <w:spacing w:before="5"/>
        <w:rPr>
          <w:i/>
        </w:rPr>
      </w:pPr>
    </w:p>
    <w:p w14:paraId="603EE822" w14:textId="77777777" w:rsidR="00C75312" w:rsidRDefault="00BB293A">
      <w:pPr>
        <w:pStyle w:val="BodyText"/>
        <w:spacing w:line="480" w:lineRule="auto"/>
        <w:ind w:left="100" w:right="109" w:firstLine="720"/>
        <w:jc w:val="both"/>
        <w:rPr>
          <w:i/>
        </w:rPr>
      </w:pPr>
      <w:r>
        <w:rPr>
          <w:b/>
        </w:rPr>
        <w:t xml:space="preserve">Event-based PM. </w:t>
      </w:r>
      <w:r>
        <w:t>A total of 311 participants with ASD and 287 NT control participants from 11 studies were included in the fixed-effects model. The weighted effect for the between-group difference in performance was -0.41 (</w:t>
      </w:r>
      <w:r>
        <w:rPr>
          <w:i/>
        </w:rPr>
        <w:t xml:space="preserve">SE </w:t>
      </w:r>
      <w:r>
        <w:t xml:space="preserve">= 0.08, 95% </w:t>
      </w:r>
      <w:r>
        <w:rPr>
          <w:i/>
        </w:rPr>
        <w:t xml:space="preserve">CI: </w:t>
      </w:r>
      <w:r>
        <w:t>-0.57 to -0.24;</w:t>
      </w:r>
      <w:r>
        <w:rPr>
          <w:spacing w:val="59"/>
        </w:rPr>
        <w:t xml:space="preserve"> </w:t>
      </w:r>
      <w:r>
        <w:rPr>
          <w:i/>
        </w:rPr>
        <w:t>z</w:t>
      </w:r>
    </w:p>
    <w:p w14:paraId="685C370B" w14:textId="77777777" w:rsidR="00C75312" w:rsidRDefault="00BB293A">
      <w:pPr>
        <w:pStyle w:val="BodyText"/>
        <w:ind w:left="100"/>
        <w:jc w:val="both"/>
        <w:rPr>
          <w:i/>
        </w:rPr>
      </w:pPr>
      <w:r>
        <w:t xml:space="preserve">= 4.83, </w:t>
      </w:r>
      <w:r>
        <w:rPr>
          <w:i/>
        </w:rPr>
        <w:t xml:space="preserve">p </w:t>
      </w:r>
      <w:r>
        <w:t>&lt;.001).  However, the test for homogeneity of effect sizes was highly significant</w:t>
      </w:r>
      <w:r>
        <w:rPr>
          <w:spacing w:val="52"/>
        </w:rPr>
        <w:t xml:space="preserve"> </w:t>
      </w:r>
      <w:r>
        <w:t>(</w:t>
      </w:r>
      <w:r>
        <w:rPr>
          <w:i/>
        </w:rPr>
        <w:t>Q</w:t>
      </w:r>
    </w:p>
    <w:p w14:paraId="34B880E8" w14:textId="77777777" w:rsidR="00C75312" w:rsidRDefault="00C75312">
      <w:pPr>
        <w:pStyle w:val="BodyText"/>
        <w:rPr>
          <w:i/>
        </w:rPr>
      </w:pPr>
    </w:p>
    <w:p w14:paraId="25360AF1" w14:textId="77777777" w:rsidR="00C75312" w:rsidRDefault="00BB293A">
      <w:pPr>
        <w:pStyle w:val="BodyText"/>
        <w:spacing w:line="480" w:lineRule="auto"/>
        <w:ind w:left="100" w:right="109"/>
        <w:jc w:val="both"/>
      </w:pPr>
      <w:r>
        <w:t>=</w:t>
      </w:r>
      <w:r>
        <w:rPr>
          <w:spacing w:val="-11"/>
        </w:rPr>
        <w:t xml:space="preserve"> </w:t>
      </w:r>
      <w:r>
        <w:t>25.14,</w:t>
      </w:r>
      <w:r>
        <w:rPr>
          <w:spacing w:val="-7"/>
        </w:rPr>
        <w:t xml:space="preserve"> </w:t>
      </w:r>
      <w:r>
        <w:rPr>
          <w:i/>
        </w:rPr>
        <w:t>p</w:t>
      </w:r>
      <w:r>
        <w:rPr>
          <w:i/>
          <w:spacing w:val="-10"/>
        </w:rPr>
        <w:t xml:space="preserve"> </w:t>
      </w:r>
      <w:r>
        <w:t>=.005),</w:t>
      </w:r>
      <w:r>
        <w:rPr>
          <w:spacing w:val="-6"/>
        </w:rPr>
        <w:t xml:space="preserve"> </w:t>
      </w:r>
      <w:r>
        <w:t>which</w:t>
      </w:r>
      <w:r>
        <w:rPr>
          <w:spacing w:val="-10"/>
        </w:rPr>
        <w:t xml:space="preserve"> </w:t>
      </w:r>
      <w:r>
        <w:t>suggests</w:t>
      </w:r>
      <w:r>
        <w:rPr>
          <w:spacing w:val="-12"/>
        </w:rPr>
        <w:t xml:space="preserve"> </w:t>
      </w:r>
      <w:r>
        <w:t>that</w:t>
      </w:r>
      <w:r>
        <w:rPr>
          <w:spacing w:val="-8"/>
        </w:rPr>
        <w:t xml:space="preserve"> </w:t>
      </w:r>
      <w:r>
        <w:t>the</w:t>
      </w:r>
      <w:r>
        <w:rPr>
          <w:spacing w:val="-11"/>
        </w:rPr>
        <w:t xml:space="preserve"> </w:t>
      </w:r>
      <w:r>
        <w:t>variance</w:t>
      </w:r>
      <w:r>
        <w:rPr>
          <w:spacing w:val="-10"/>
        </w:rPr>
        <w:t xml:space="preserve"> </w:t>
      </w:r>
      <w:r>
        <w:t>among</w:t>
      </w:r>
      <w:r>
        <w:rPr>
          <w:spacing w:val="-10"/>
        </w:rPr>
        <w:t xml:space="preserve"> </w:t>
      </w:r>
      <w:r>
        <w:t>the</w:t>
      </w:r>
      <w:r>
        <w:rPr>
          <w:spacing w:val="-11"/>
        </w:rPr>
        <w:t xml:space="preserve"> </w:t>
      </w:r>
      <w:r>
        <w:t>included</w:t>
      </w:r>
      <w:r>
        <w:rPr>
          <w:spacing w:val="-9"/>
        </w:rPr>
        <w:t xml:space="preserve"> </w:t>
      </w:r>
      <w:r>
        <w:t>effect</w:t>
      </w:r>
      <w:r>
        <w:rPr>
          <w:spacing w:val="-9"/>
        </w:rPr>
        <w:t xml:space="preserve"> </w:t>
      </w:r>
      <w:r>
        <w:t>sizes</w:t>
      </w:r>
      <w:r>
        <w:rPr>
          <w:spacing w:val="-12"/>
        </w:rPr>
        <w:t xml:space="preserve"> </w:t>
      </w:r>
      <w:r>
        <w:t>was</w:t>
      </w:r>
      <w:r>
        <w:rPr>
          <w:spacing w:val="-11"/>
        </w:rPr>
        <w:t xml:space="preserve"> </w:t>
      </w:r>
      <w:r>
        <w:t>greater than expected by sampling error. Subsequently, the data was re-entered into a random-effects model that includes random effects variance (due to random differences between studies) in the weighting of the individual effect sizes in the model. This revealed a significant weighted effect of -0.43 (</w:t>
      </w:r>
      <w:r>
        <w:rPr>
          <w:i/>
        </w:rPr>
        <w:t xml:space="preserve">SE </w:t>
      </w:r>
      <w:r>
        <w:t xml:space="preserve">= 0.13, 95% </w:t>
      </w:r>
      <w:r>
        <w:rPr>
          <w:i/>
        </w:rPr>
        <w:t>CI</w:t>
      </w:r>
      <w:r>
        <w:t xml:space="preserve">: -0.69 to -0.17; </w:t>
      </w:r>
      <w:r>
        <w:rPr>
          <w:i/>
        </w:rPr>
        <w:t xml:space="preserve">z </w:t>
      </w:r>
      <w:r>
        <w:t xml:space="preserve">= 3.20, </w:t>
      </w:r>
      <w:r>
        <w:rPr>
          <w:i/>
        </w:rPr>
        <w:t xml:space="preserve">p </w:t>
      </w:r>
      <w:r>
        <w:t>&lt; .01). Hence, both models indicate a small impairment of event-based PM in ASD, although the underlying effect sizes are heterogeneous across studies (see Figu</w:t>
      </w:r>
      <w:r>
        <w:t>re</w:t>
      </w:r>
      <w:r>
        <w:rPr>
          <w:spacing w:val="2"/>
        </w:rPr>
        <w:t xml:space="preserve"> </w:t>
      </w:r>
      <w:r>
        <w:t>4).</w:t>
      </w:r>
    </w:p>
    <w:p w14:paraId="254E7E0B" w14:textId="77777777" w:rsidR="00C75312" w:rsidRDefault="00C75312">
      <w:pPr>
        <w:spacing w:line="480" w:lineRule="auto"/>
        <w:jc w:val="both"/>
        <w:sectPr w:rsidR="00C75312">
          <w:pgSz w:w="11900" w:h="16840"/>
          <w:pgMar w:top="1360" w:right="1320" w:bottom="280" w:left="1340" w:header="715" w:footer="0" w:gutter="0"/>
          <w:cols w:space="720"/>
        </w:sectPr>
      </w:pPr>
    </w:p>
    <w:p w14:paraId="4F463234" w14:textId="77777777" w:rsidR="00C75312" w:rsidRDefault="00C75312">
      <w:pPr>
        <w:pStyle w:val="BodyText"/>
        <w:spacing w:before="4" w:after="1"/>
        <w:rPr>
          <w:sz w:val="11"/>
        </w:rPr>
      </w:pPr>
    </w:p>
    <w:p w14:paraId="5300D64C" w14:textId="77777777" w:rsidR="00C75312" w:rsidRDefault="00BB293A">
      <w:pPr>
        <w:pStyle w:val="BodyText"/>
        <w:ind w:left="153"/>
        <w:rPr>
          <w:sz w:val="20"/>
        </w:rPr>
      </w:pPr>
      <w:r>
        <w:rPr>
          <w:noProof/>
          <w:sz w:val="20"/>
        </w:rPr>
        <w:drawing>
          <wp:inline distT="0" distB="0" distL="0" distR="0" wp14:anchorId="5B97A5C8" wp14:editId="63BFD866">
            <wp:extent cx="5685558" cy="397649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3" cstate="print"/>
                    <a:stretch>
                      <a:fillRect/>
                    </a:stretch>
                  </pic:blipFill>
                  <pic:spPr>
                    <a:xfrm>
                      <a:off x="0" y="0"/>
                      <a:ext cx="5685558" cy="3976497"/>
                    </a:xfrm>
                    <a:prstGeom prst="rect">
                      <a:avLst/>
                    </a:prstGeom>
                  </pic:spPr>
                </pic:pic>
              </a:graphicData>
            </a:graphic>
          </wp:inline>
        </w:drawing>
      </w:r>
    </w:p>
    <w:p w14:paraId="622A008B" w14:textId="77777777" w:rsidR="00C75312" w:rsidRDefault="00C75312">
      <w:pPr>
        <w:pStyle w:val="BodyText"/>
        <w:spacing w:before="1"/>
        <w:rPr>
          <w:sz w:val="14"/>
        </w:rPr>
      </w:pPr>
    </w:p>
    <w:p w14:paraId="0063B3A9" w14:textId="77777777" w:rsidR="00C75312" w:rsidRDefault="00BB293A">
      <w:pPr>
        <w:spacing w:before="95" w:line="237" w:lineRule="auto"/>
        <w:ind w:left="100" w:right="107"/>
        <w:jc w:val="both"/>
        <w:rPr>
          <w:i/>
          <w:sz w:val="20"/>
        </w:rPr>
      </w:pPr>
      <w:r>
        <w:rPr>
          <w:i/>
          <w:sz w:val="20"/>
        </w:rPr>
        <w:t xml:space="preserve">Figure 4 Forest plot for effect sizes and 95% confidence interval for event-based PM studies as well as the mean </w:t>
      </w:r>
      <w:r>
        <w:rPr>
          <w:i/>
          <w:sz w:val="20"/>
        </w:rPr>
        <w:t>weighted effect and its 95% confidence interval for both fixed- and random-effects models (dark grey, circle marker). Notes: The vertical grey line marks the mean weighted effect of the random-effects model. Studies marked with an * were not included in the meta-analysis but are included for illustrative purposes.</w:t>
      </w:r>
    </w:p>
    <w:p w14:paraId="0BF001BC" w14:textId="77777777" w:rsidR="00C75312" w:rsidRDefault="00C75312">
      <w:pPr>
        <w:pStyle w:val="BodyText"/>
        <w:spacing w:before="1"/>
        <w:rPr>
          <w:i/>
          <w:sz w:val="25"/>
        </w:rPr>
      </w:pPr>
    </w:p>
    <w:p w14:paraId="117F4AA4" w14:textId="77777777" w:rsidR="00C75312" w:rsidRDefault="00BB293A">
      <w:pPr>
        <w:pStyle w:val="Heading1"/>
        <w:ind w:left="100"/>
      </w:pPr>
      <w:r>
        <w:t>Conclusion</w:t>
      </w:r>
    </w:p>
    <w:p w14:paraId="5B5F200D" w14:textId="77777777" w:rsidR="00C75312" w:rsidRDefault="00C75312">
      <w:pPr>
        <w:pStyle w:val="BodyText"/>
        <w:rPr>
          <w:b/>
        </w:rPr>
      </w:pPr>
    </w:p>
    <w:p w14:paraId="6B5D834D" w14:textId="77777777" w:rsidR="00C75312" w:rsidRDefault="00BB293A">
      <w:pPr>
        <w:pStyle w:val="BodyText"/>
        <w:spacing w:line="480" w:lineRule="auto"/>
        <w:ind w:left="100" w:right="105" w:firstLine="720"/>
        <w:jc w:val="both"/>
      </w:pPr>
      <w:r>
        <w:t>Although</w:t>
      </w:r>
      <w:r>
        <w:rPr>
          <w:spacing w:val="-5"/>
        </w:rPr>
        <w:t xml:space="preserve"> </w:t>
      </w:r>
      <w:r>
        <w:t>the</w:t>
      </w:r>
      <w:r>
        <w:rPr>
          <w:spacing w:val="-6"/>
        </w:rPr>
        <w:t xml:space="preserve"> </w:t>
      </w:r>
      <w:r>
        <w:t>results</w:t>
      </w:r>
      <w:r>
        <w:rPr>
          <w:spacing w:val="-6"/>
        </w:rPr>
        <w:t xml:space="preserve"> </w:t>
      </w:r>
      <w:r>
        <w:t>of</w:t>
      </w:r>
      <w:r>
        <w:rPr>
          <w:spacing w:val="-3"/>
        </w:rPr>
        <w:t xml:space="preserve"> </w:t>
      </w:r>
      <w:r>
        <w:t>the</w:t>
      </w:r>
      <w:r>
        <w:rPr>
          <w:spacing w:val="-6"/>
        </w:rPr>
        <w:t xml:space="preserve"> </w:t>
      </w:r>
      <w:r>
        <w:t>meta-analysis</w:t>
      </w:r>
      <w:r>
        <w:rPr>
          <w:spacing w:val="-6"/>
        </w:rPr>
        <w:t xml:space="preserve"> </w:t>
      </w:r>
      <w:r>
        <w:t>provide</w:t>
      </w:r>
      <w:r>
        <w:rPr>
          <w:spacing w:val="-6"/>
        </w:rPr>
        <w:t xml:space="preserve"> </w:t>
      </w:r>
      <w:r>
        <w:t>some</w:t>
      </w:r>
      <w:r>
        <w:rPr>
          <w:spacing w:val="-6"/>
        </w:rPr>
        <w:t xml:space="preserve"> </w:t>
      </w:r>
      <w:r>
        <w:t>indication</w:t>
      </w:r>
      <w:r>
        <w:rPr>
          <w:spacing w:val="-4"/>
        </w:rPr>
        <w:t xml:space="preserve"> </w:t>
      </w:r>
      <w:r>
        <w:t>of</w:t>
      </w:r>
      <w:r>
        <w:rPr>
          <w:spacing w:val="-3"/>
        </w:rPr>
        <w:t xml:space="preserve"> </w:t>
      </w:r>
      <w:r>
        <w:t>a</w:t>
      </w:r>
      <w:r>
        <w:rPr>
          <w:spacing w:val="-6"/>
        </w:rPr>
        <w:t xml:space="preserve"> </w:t>
      </w:r>
      <w:r>
        <w:t>relatively</w:t>
      </w:r>
      <w:r>
        <w:rPr>
          <w:spacing w:val="-5"/>
        </w:rPr>
        <w:t xml:space="preserve"> </w:t>
      </w:r>
      <w:r>
        <w:t>minor impairment in event-based PM in ASD, this stands in stark contrast to the clear and strong effect of a time-based PM impairment in individuals with this condition. Some caution might be taken when interpreting the findings with regard to event-based PM, however. Although results</w:t>
      </w:r>
      <w:r>
        <w:rPr>
          <w:spacing w:val="-18"/>
        </w:rPr>
        <w:t xml:space="preserve"> </w:t>
      </w:r>
      <w:r>
        <w:t>from</w:t>
      </w:r>
      <w:r>
        <w:rPr>
          <w:spacing w:val="-14"/>
        </w:rPr>
        <w:t xml:space="preserve"> </w:t>
      </w:r>
      <w:r>
        <w:t>the</w:t>
      </w:r>
      <w:r>
        <w:rPr>
          <w:spacing w:val="-16"/>
        </w:rPr>
        <w:t xml:space="preserve"> </w:t>
      </w:r>
      <w:r>
        <w:t>random</w:t>
      </w:r>
      <w:r>
        <w:rPr>
          <w:spacing w:val="-14"/>
        </w:rPr>
        <w:t xml:space="preserve"> </w:t>
      </w:r>
      <w:r>
        <w:t>effects</w:t>
      </w:r>
      <w:r>
        <w:rPr>
          <w:spacing w:val="-18"/>
        </w:rPr>
        <w:t xml:space="preserve"> </w:t>
      </w:r>
      <w:r>
        <w:t>model</w:t>
      </w:r>
      <w:r>
        <w:rPr>
          <w:spacing w:val="-14"/>
        </w:rPr>
        <w:t xml:space="preserve"> </w:t>
      </w:r>
      <w:r>
        <w:t>suggest</w:t>
      </w:r>
      <w:r>
        <w:rPr>
          <w:spacing w:val="-14"/>
        </w:rPr>
        <w:t xml:space="preserve"> </w:t>
      </w:r>
      <w:r>
        <w:t>that</w:t>
      </w:r>
      <w:r>
        <w:rPr>
          <w:spacing w:val="-10"/>
        </w:rPr>
        <w:t xml:space="preserve"> </w:t>
      </w:r>
      <w:r>
        <w:t>a</w:t>
      </w:r>
      <w:r>
        <w:rPr>
          <w:spacing w:val="-16"/>
        </w:rPr>
        <w:t xml:space="preserve"> </w:t>
      </w:r>
      <w:r>
        <w:t>significant</w:t>
      </w:r>
      <w:r>
        <w:rPr>
          <w:spacing w:val="-14"/>
        </w:rPr>
        <w:t xml:space="preserve"> </w:t>
      </w:r>
      <w:r>
        <w:t>weighted</w:t>
      </w:r>
      <w:r>
        <w:rPr>
          <w:spacing w:val="-15"/>
        </w:rPr>
        <w:t xml:space="preserve"> </w:t>
      </w:r>
      <w:r>
        <w:t>effect</w:t>
      </w:r>
      <w:r>
        <w:rPr>
          <w:spacing w:val="-14"/>
        </w:rPr>
        <w:t xml:space="preserve"> </w:t>
      </w:r>
      <w:r>
        <w:t>for</w:t>
      </w:r>
      <w:r>
        <w:rPr>
          <w:spacing w:val="-14"/>
        </w:rPr>
        <w:t xml:space="preserve"> </w:t>
      </w:r>
      <w:r>
        <w:t xml:space="preserve">event-based PM overall cannot be solely due to significant heterogeneity of effect-sizes across studies, the existence of such heterogeneity is nonetheless important to consider. Indeed, in Part </w:t>
      </w:r>
      <w:r>
        <w:rPr>
          <w:spacing w:val="-3"/>
        </w:rPr>
        <w:t xml:space="preserve">2, </w:t>
      </w:r>
      <w:r>
        <w:t>I provide a detailed critical analysis of the studies included in the meta-analysis and conclude that</w:t>
      </w:r>
      <w:r>
        <w:rPr>
          <w:spacing w:val="14"/>
        </w:rPr>
        <w:t xml:space="preserve"> </w:t>
      </w:r>
      <w:r>
        <w:t>the</w:t>
      </w:r>
      <w:r>
        <w:rPr>
          <w:spacing w:val="13"/>
        </w:rPr>
        <w:t xml:space="preserve"> </w:t>
      </w:r>
      <w:r>
        <w:t>meta-analytic</w:t>
      </w:r>
      <w:r>
        <w:rPr>
          <w:spacing w:val="12"/>
        </w:rPr>
        <w:t xml:space="preserve"> </w:t>
      </w:r>
      <w:r>
        <w:t>findings</w:t>
      </w:r>
      <w:r>
        <w:rPr>
          <w:spacing w:val="12"/>
        </w:rPr>
        <w:t xml:space="preserve"> </w:t>
      </w:r>
      <w:r>
        <w:t>of</w:t>
      </w:r>
      <w:r>
        <w:rPr>
          <w:spacing w:val="11"/>
        </w:rPr>
        <w:t xml:space="preserve"> </w:t>
      </w:r>
      <w:r>
        <w:t>a</w:t>
      </w:r>
      <w:r>
        <w:rPr>
          <w:spacing w:val="12"/>
        </w:rPr>
        <w:t xml:space="preserve"> </w:t>
      </w:r>
      <w:r>
        <w:t>small</w:t>
      </w:r>
      <w:r>
        <w:rPr>
          <w:spacing w:val="10"/>
        </w:rPr>
        <w:t xml:space="preserve"> </w:t>
      </w:r>
      <w:r>
        <w:t>impairment</w:t>
      </w:r>
      <w:r>
        <w:rPr>
          <w:spacing w:val="15"/>
        </w:rPr>
        <w:t xml:space="preserve"> </w:t>
      </w:r>
      <w:r>
        <w:t>in</w:t>
      </w:r>
      <w:r>
        <w:rPr>
          <w:spacing w:val="13"/>
        </w:rPr>
        <w:t xml:space="preserve"> </w:t>
      </w:r>
      <w:r>
        <w:t>event-based</w:t>
      </w:r>
      <w:r>
        <w:rPr>
          <w:spacing w:val="14"/>
        </w:rPr>
        <w:t xml:space="preserve"> </w:t>
      </w:r>
      <w:r>
        <w:t>PM</w:t>
      </w:r>
      <w:r>
        <w:rPr>
          <w:spacing w:val="11"/>
        </w:rPr>
        <w:t xml:space="preserve"> </w:t>
      </w:r>
      <w:r>
        <w:t>derive</w:t>
      </w:r>
      <w:r>
        <w:rPr>
          <w:spacing w:val="9"/>
        </w:rPr>
        <w:t xml:space="preserve"> </w:t>
      </w:r>
      <w:r>
        <w:t>in</w:t>
      </w:r>
      <w:r>
        <w:rPr>
          <w:spacing w:val="10"/>
        </w:rPr>
        <w:t xml:space="preserve"> </w:t>
      </w:r>
      <w:r>
        <w:t>large</w:t>
      </w:r>
      <w:r>
        <w:rPr>
          <w:spacing w:val="12"/>
        </w:rPr>
        <w:t xml:space="preserve"> </w:t>
      </w:r>
      <w:r>
        <w:t>part</w:t>
      </w:r>
    </w:p>
    <w:p w14:paraId="7D830AC5" w14:textId="77777777" w:rsidR="00C75312" w:rsidRDefault="00C75312">
      <w:pPr>
        <w:spacing w:line="480" w:lineRule="auto"/>
        <w:jc w:val="both"/>
        <w:sectPr w:rsidR="00C75312">
          <w:pgSz w:w="11900" w:h="16840"/>
          <w:pgMar w:top="1360" w:right="1320" w:bottom="280" w:left="1340" w:header="715" w:footer="0" w:gutter="0"/>
          <w:cols w:space="720"/>
        </w:sectPr>
      </w:pPr>
    </w:p>
    <w:p w14:paraId="274113B1" w14:textId="77777777" w:rsidR="00C75312" w:rsidRDefault="00BB293A">
      <w:pPr>
        <w:pStyle w:val="BodyText"/>
        <w:spacing w:before="80" w:line="480" w:lineRule="auto"/>
        <w:ind w:left="100" w:right="108"/>
        <w:jc w:val="both"/>
        <w:rPr>
          <w:i/>
        </w:rPr>
      </w:pPr>
      <w:r>
        <w:lastRenderedPageBreak/>
        <w:t xml:space="preserve">from methodological issues in some of the studies, which might render conclusions from the meta-analysis alone unreliable if they are not considered </w:t>
      </w:r>
      <w:r>
        <w:rPr>
          <w:i/>
        </w:rPr>
        <w:t>in context.</w:t>
      </w:r>
    </w:p>
    <w:p w14:paraId="069D24FA" w14:textId="77777777" w:rsidR="00C75312" w:rsidRDefault="00C75312">
      <w:pPr>
        <w:pStyle w:val="BodyText"/>
        <w:spacing w:before="9"/>
        <w:rPr>
          <w:i/>
          <w:sz w:val="20"/>
        </w:rPr>
      </w:pPr>
    </w:p>
    <w:p w14:paraId="55A03CB9" w14:textId="77777777" w:rsidR="00C75312" w:rsidRDefault="00BB293A">
      <w:pPr>
        <w:pStyle w:val="Heading1"/>
        <w:spacing w:before="1" w:line="513" w:lineRule="auto"/>
        <w:ind w:left="100" w:right="806" w:firstLine="2035"/>
      </w:pPr>
      <w:r>
        <w:t>Part 2: Critical analysis of studies of PM in ASD Methodological and conceptual issues in the study of prospective memory in ASD</w:t>
      </w:r>
    </w:p>
    <w:p w14:paraId="7F465DFE" w14:textId="77777777" w:rsidR="00C75312" w:rsidRDefault="00BB293A">
      <w:pPr>
        <w:pStyle w:val="BodyText"/>
        <w:spacing w:line="237" w:lineRule="exact"/>
        <w:ind w:left="100"/>
        <w:jc w:val="both"/>
      </w:pPr>
      <w:r>
        <w:t>In order to interpret the results of case-control studies of PM ability with confidence several</w:t>
      </w:r>
    </w:p>
    <w:p w14:paraId="4990E2D7" w14:textId="77777777" w:rsidR="00C75312" w:rsidRDefault="00C75312">
      <w:pPr>
        <w:pStyle w:val="BodyText"/>
        <w:spacing w:before="11"/>
        <w:rPr>
          <w:sz w:val="23"/>
        </w:rPr>
      </w:pPr>
    </w:p>
    <w:p w14:paraId="565B3ED3" w14:textId="77777777" w:rsidR="00C75312" w:rsidRDefault="00BB293A">
      <w:pPr>
        <w:pStyle w:val="BodyText"/>
        <w:spacing w:line="480" w:lineRule="auto"/>
        <w:ind w:left="100" w:right="106"/>
        <w:jc w:val="both"/>
      </w:pPr>
      <w:r>
        <w:t>issues should be considered. Table 3 presents an overview of all studies included in the meta- analysis, as well as an indication of whether any of the potential methodological problems described below apply to them.</w:t>
      </w:r>
    </w:p>
    <w:p w14:paraId="05861400" w14:textId="77777777" w:rsidR="00C75312" w:rsidRDefault="00BB293A">
      <w:pPr>
        <w:pStyle w:val="ListParagraph"/>
        <w:numPr>
          <w:ilvl w:val="0"/>
          <w:numId w:val="1"/>
        </w:numPr>
        <w:tabs>
          <w:tab w:val="left" w:pos="1156"/>
        </w:tabs>
        <w:spacing w:before="120" w:line="480" w:lineRule="auto"/>
        <w:ind w:right="109" w:firstLine="720"/>
        <w:jc w:val="both"/>
        <w:rPr>
          <w:sz w:val="24"/>
        </w:rPr>
      </w:pPr>
      <w:r>
        <w:rPr>
          <w:i/>
          <w:sz w:val="24"/>
        </w:rPr>
        <w:t>Group</w:t>
      </w:r>
      <w:r>
        <w:rPr>
          <w:i/>
          <w:spacing w:val="-12"/>
          <w:sz w:val="24"/>
        </w:rPr>
        <w:t xml:space="preserve"> </w:t>
      </w:r>
      <w:r>
        <w:rPr>
          <w:i/>
          <w:sz w:val="24"/>
        </w:rPr>
        <w:t>matching</w:t>
      </w:r>
      <w:r>
        <w:rPr>
          <w:i/>
          <w:spacing w:val="-11"/>
          <w:sz w:val="24"/>
        </w:rPr>
        <w:t xml:space="preserve"> </w:t>
      </w:r>
      <w:r>
        <w:rPr>
          <w:i/>
          <w:sz w:val="24"/>
        </w:rPr>
        <w:t>procedure:</w:t>
      </w:r>
      <w:r>
        <w:rPr>
          <w:i/>
          <w:spacing w:val="-10"/>
          <w:sz w:val="24"/>
        </w:rPr>
        <w:t xml:space="preserve"> </w:t>
      </w:r>
      <w:r>
        <w:rPr>
          <w:sz w:val="24"/>
        </w:rPr>
        <w:t>In</w:t>
      </w:r>
      <w:r>
        <w:rPr>
          <w:spacing w:val="-11"/>
          <w:sz w:val="24"/>
        </w:rPr>
        <w:t xml:space="preserve"> </w:t>
      </w:r>
      <w:r>
        <w:rPr>
          <w:sz w:val="24"/>
        </w:rPr>
        <w:t>case-control</w:t>
      </w:r>
      <w:r>
        <w:rPr>
          <w:spacing w:val="-11"/>
          <w:sz w:val="24"/>
        </w:rPr>
        <w:t xml:space="preserve"> </w:t>
      </w:r>
      <w:r>
        <w:rPr>
          <w:sz w:val="24"/>
        </w:rPr>
        <w:t>studies,</w:t>
      </w:r>
      <w:r>
        <w:rPr>
          <w:spacing w:val="-8"/>
          <w:sz w:val="24"/>
        </w:rPr>
        <w:t xml:space="preserve"> </w:t>
      </w:r>
      <w:r>
        <w:rPr>
          <w:sz w:val="24"/>
        </w:rPr>
        <w:t>experimental</w:t>
      </w:r>
      <w:r>
        <w:rPr>
          <w:spacing w:val="-11"/>
          <w:sz w:val="24"/>
        </w:rPr>
        <w:t xml:space="preserve"> </w:t>
      </w:r>
      <w:r>
        <w:rPr>
          <w:sz w:val="24"/>
        </w:rPr>
        <w:t>groups</w:t>
      </w:r>
      <w:r>
        <w:rPr>
          <w:spacing w:val="-13"/>
          <w:sz w:val="24"/>
        </w:rPr>
        <w:t xml:space="preserve"> </w:t>
      </w:r>
      <w:r>
        <w:rPr>
          <w:sz w:val="24"/>
        </w:rPr>
        <w:t>need</w:t>
      </w:r>
      <w:r>
        <w:rPr>
          <w:spacing w:val="-11"/>
          <w:sz w:val="24"/>
        </w:rPr>
        <w:t xml:space="preserve"> </w:t>
      </w:r>
      <w:r>
        <w:rPr>
          <w:sz w:val="24"/>
        </w:rPr>
        <w:t>to</w:t>
      </w:r>
      <w:r>
        <w:rPr>
          <w:spacing w:val="-12"/>
          <w:sz w:val="24"/>
        </w:rPr>
        <w:t xml:space="preserve"> </w:t>
      </w:r>
      <w:r>
        <w:rPr>
          <w:sz w:val="24"/>
        </w:rPr>
        <w:t>be carefully</w:t>
      </w:r>
      <w:r>
        <w:rPr>
          <w:spacing w:val="-6"/>
          <w:sz w:val="24"/>
        </w:rPr>
        <w:t xml:space="preserve"> </w:t>
      </w:r>
      <w:r>
        <w:rPr>
          <w:sz w:val="24"/>
        </w:rPr>
        <w:t>matched</w:t>
      </w:r>
      <w:r>
        <w:rPr>
          <w:spacing w:val="-10"/>
          <w:sz w:val="24"/>
        </w:rPr>
        <w:t xml:space="preserve"> </w:t>
      </w:r>
      <w:r>
        <w:rPr>
          <w:sz w:val="24"/>
        </w:rPr>
        <w:t>for</w:t>
      </w:r>
      <w:r>
        <w:rPr>
          <w:spacing w:val="-9"/>
          <w:sz w:val="24"/>
        </w:rPr>
        <w:t xml:space="preserve"> </w:t>
      </w:r>
      <w:r>
        <w:rPr>
          <w:sz w:val="24"/>
        </w:rPr>
        <w:t>baseline</w:t>
      </w:r>
      <w:r>
        <w:rPr>
          <w:spacing w:val="-6"/>
          <w:sz w:val="24"/>
        </w:rPr>
        <w:t xml:space="preserve"> </w:t>
      </w:r>
      <w:r>
        <w:rPr>
          <w:sz w:val="24"/>
        </w:rPr>
        <w:t>characteristics</w:t>
      </w:r>
      <w:r>
        <w:rPr>
          <w:spacing w:val="-8"/>
          <w:sz w:val="24"/>
        </w:rPr>
        <w:t xml:space="preserve"> </w:t>
      </w:r>
      <w:r>
        <w:rPr>
          <w:sz w:val="24"/>
        </w:rPr>
        <w:t>that</w:t>
      </w:r>
      <w:r>
        <w:rPr>
          <w:spacing w:val="-4"/>
          <w:sz w:val="24"/>
        </w:rPr>
        <w:t xml:space="preserve"> </w:t>
      </w:r>
      <w:r>
        <w:rPr>
          <w:sz w:val="24"/>
        </w:rPr>
        <w:t>are</w:t>
      </w:r>
      <w:r>
        <w:rPr>
          <w:spacing w:val="-7"/>
          <w:sz w:val="24"/>
        </w:rPr>
        <w:t xml:space="preserve"> </w:t>
      </w:r>
      <w:r>
        <w:rPr>
          <w:sz w:val="24"/>
        </w:rPr>
        <w:t>likely</w:t>
      </w:r>
      <w:r>
        <w:rPr>
          <w:spacing w:val="-10"/>
          <w:sz w:val="24"/>
        </w:rPr>
        <w:t xml:space="preserve"> </w:t>
      </w:r>
      <w:r>
        <w:rPr>
          <w:sz w:val="24"/>
        </w:rPr>
        <w:t>to</w:t>
      </w:r>
      <w:r>
        <w:rPr>
          <w:spacing w:val="-10"/>
          <w:sz w:val="24"/>
        </w:rPr>
        <w:t xml:space="preserve"> </w:t>
      </w:r>
      <w:r>
        <w:rPr>
          <w:sz w:val="24"/>
        </w:rPr>
        <w:t>relate</w:t>
      </w:r>
      <w:r>
        <w:rPr>
          <w:spacing w:val="-7"/>
          <w:sz w:val="24"/>
        </w:rPr>
        <w:t xml:space="preserve"> </w:t>
      </w:r>
      <w:r>
        <w:rPr>
          <w:sz w:val="24"/>
        </w:rPr>
        <w:t>to</w:t>
      </w:r>
      <w:r>
        <w:rPr>
          <w:spacing w:val="-10"/>
          <w:sz w:val="24"/>
        </w:rPr>
        <w:t xml:space="preserve"> </w:t>
      </w:r>
      <w:r>
        <w:rPr>
          <w:sz w:val="24"/>
        </w:rPr>
        <w:t>the</w:t>
      </w:r>
      <w:r>
        <w:rPr>
          <w:spacing w:val="-11"/>
          <w:sz w:val="24"/>
        </w:rPr>
        <w:t xml:space="preserve"> </w:t>
      </w:r>
      <w:r>
        <w:rPr>
          <w:sz w:val="24"/>
        </w:rPr>
        <w:t>dependent</w:t>
      </w:r>
      <w:r>
        <w:rPr>
          <w:spacing w:val="-5"/>
          <w:sz w:val="24"/>
        </w:rPr>
        <w:t xml:space="preserve"> </w:t>
      </w:r>
      <w:r>
        <w:rPr>
          <w:sz w:val="24"/>
        </w:rPr>
        <w:t>variable. Evidence suggests that PM has a clear developmental trajectory (</w:t>
      </w:r>
      <w:proofErr w:type="spellStart"/>
      <w:r>
        <w:rPr>
          <w:sz w:val="24"/>
        </w:rPr>
        <w:t>Kliegel</w:t>
      </w:r>
      <w:proofErr w:type="spellEnd"/>
      <w:r>
        <w:rPr>
          <w:sz w:val="24"/>
        </w:rPr>
        <w:t>, Mackinlay, &amp;</w:t>
      </w:r>
      <w:r>
        <w:rPr>
          <w:spacing w:val="-39"/>
          <w:sz w:val="24"/>
        </w:rPr>
        <w:t xml:space="preserve"> </w:t>
      </w:r>
      <w:r>
        <w:rPr>
          <w:sz w:val="24"/>
        </w:rPr>
        <w:t>Jäger, 2008), and that both verbal (</w:t>
      </w:r>
      <w:proofErr w:type="spellStart"/>
      <w:r>
        <w:rPr>
          <w:sz w:val="24"/>
        </w:rPr>
        <w:t>Uttl</w:t>
      </w:r>
      <w:proofErr w:type="spellEnd"/>
      <w:r>
        <w:rPr>
          <w:sz w:val="24"/>
        </w:rPr>
        <w:t xml:space="preserve">, 2006; </w:t>
      </w:r>
      <w:proofErr w:type="spellStart"/>
      <w:r>
        <w:rPr>
          <w:sz w:val="24"/>
        </w:rPr>
        <w:t>Uttl</w:t>
      </w:r>
      <w:proofErr w:type="spellEnd"/>
      <w:r>
        <w:rPr>
          <w:sz w:val="24"/>
        </w:rPr>
        <w:t xml:space="preserve">, White, Gonzalez, </w:t>
      </w:r>
      <w:proofErr w:type="spellStart"/>
      <w:r>
        <w:rPr>
          <w:sz w:val="24"/>
        </w:rPr>
        <w:t>McDouall</w:t>
      </w:r>
      <w:proofErr w:type="spellEnd"/>
      <w:r>
        <w:rPr>
          <w:sz w:val="24"/>
        </w:rPr>
        <w:t>, &amp; Leonard, 2013) and nonverbal (Cockburn &amp; Smith, 1991; Maylor, 1996) intelligence are related to it. Furthermore</w:t>
      </w:r>
      <w:r>
        <w:rPr>
          <w:spacing w:val="-11"/>
          <w:sz w:val="24"/>
        </w:rPr>
        <w:t xml:space="preserve"> </w:t>
      </w:r>
      <w:r>
        <w:rPr>
          <w:sz w:val="24"/>
        </w:rPr>
        <w:t>there</w:t>
      </w:r>
      <w:r>
        <w:rPr>
          <w:spacing w:val="-6"/>
          <w:sz w:val="24"/>
        </w:rPr>
        <w:t xml:space="preserve"> </w:t>
      </w:r>
      <w:r>
        <w:rPr>
          <w:sz w:val="24"/>
        </w:rPr>
        <w:t>is</w:t>
      </w:r>
      <w:r>
        <w:rPr>
          <w:spacing w:val="-6"/>
          <w:sz w:val="24"/>
        </w:rPr>
        <w:t xml:space="preserve"> </w:t>
      </w:r>
      <w:r>
        <w:rPr>
          <w:sz w:val="24"/>
        </w:rPr>
        <w:t>some</w:t>
      </w:r>
      <w:r>
        <w:rPr>
          <w:spacing w:val="-6"/>
          <w:sz w:val="24"/>
        </w:rPr>
        <w:t xml:space="preserve"> </w:t>
      </w:r>
      <w:r>
        <w:rPr>
          <w:sz w:val="24"/>
        </w:rPr>
        <w:t>evidence</w:t>
      </w:r>
      <w:r>
        <w:rPr>
          <w:spacing w:val="-5"/>
          <w:sz w:val="24"/>
        </w:rPr>
        <w:t xml:space="preserve"> </w:t>
      </w:r>
      <w:r>
        <w:rPr>
          <w:sz w:val="24"/>
        </w:rPr>
        <w:t>for</w:t>
      </w:r>
      <w:r>
        <w:rPr>
          <w:spacing w:val="-8"/>
          <w:sz w:val="24"/>
        </w:rPr>
        <w:t xml:space="preserve"> </w:t>
      </w:r>
      <w:r>
        <w:rPr>
          <w:sz w:val="24"/>
        </w:rPr>
        <w:t>a</w:t>
      </w:r>
      <w:r>
        <w:rPr>
          <w:spacing w:val="-6"/>
          <w:sz w:val="24"/>
        </w:rPr>
        <w:t xml:space="preserve"> </w:t>
      </w:r>
      <w:r>
        <w:rPr>
          <w:sz w:val="24"/>
        </w:rPr>
        <w:t>female</w:t>
      </w:r>
      <w:r>
        <w:rPr>
          <w:spacing w:val="-5"/>
          <w:sz w:val="24"/>
        </w:rPr>
        <w:t xml:space="preserve"> </w:t>
      </w:r>
      <w:r>
        <w:rPr>
          <w:sz w:val="24"/>
        </w:rPr>
        <w:t>advantage</w:t>
      </w:r>
      <w:r>
        <w:rPr>
          <w:spacing w:val="-6"/>
          <w:sz w:val="24"/>
        </w:rPr>
        <w:t xml:space="preserve"> </w:t>
      </w:r>
      <w:r>
        <w:rPr>
          <w:sz w:val="24"/>
        </w:rPr>
        <w:t>in</w:t>
      </w:r>
      <w:r>
        <w:rPr>
          <w:spacing w:val="-4"/>
          <w:sz w:val="24"/>
        </w:rPr>
        <w:t xml:space="preserve"> </w:t>
      </w:r>
      <w:r>
        <w:rPr>
          <w:sz w:val="24"/>
        </w:rPr>
        <w:t>PM</w:t>
      </w:r>
      <w:r>
        <w:rPr>
          <w:spacing w:val="-7"/>
          <w:sz w:val="24"/>
        </w:rPr>
        <w:t xml:space="preserve"> </w:t>
      </w:r>
      <w:r>
        <w:rPr>
          <w:sz w:val="24"/>
        </w:rPr>
        <w:t>tasks</w:t>
      </w:r>
      <w:r>
        <w:rPr>
          <w:spacing w:val="-7"/>
          <w:sz w:val="24"/>
        </w:rPr>
        <w:t xml:space="preserve"> </w:t>
      </w:r>
      <w:r>
        <w:rPr>
          <w:sz w:val="24"/>
        </w:rPr>
        <w:t>(Palermo</w:t>
      </w:r>
      <w:r>
        <w:rPr>
          <w:spacing w:val="-4"/>
          <w:sz w:val="24"/>
        </w:rPr>
        <w:t xml:space="preserve"> </w:t>
      </w:r>
      <w:r>
        <w:rPr>
          <w:sz w:val="24"/>
        </w:rPr>
        <w:t>et</w:t>
      </w:r>
      <w:r>
        <w:rPr>
          <w:spacing w:val="-4"/>
          <w:sz w:val="24"/>
        </w:rPr>
        <w:t xml:space="preserve"> </w:t>
      </w:r>
      <w:r>
        <w:rPr>
          <w:sz w:val="24"/>
        </w:rPr>
        <w:t>al.,</w:t>
      </w:r>
      <w:r>
        <w:rPr>
          <w:spacing w:val="-7"/>
          <w:sz w:val="24"/>
        </w:rPr>
        <w:t xml:space="preserve"> </w:t>
      </w:r>
      <w:r>
        <w:rPr>
          <w:sz w:val="24"/>
        </w:rPr>
        <w:t xml:space="preserve">2015). Therefore, when studying PM in ASD, it is important for groups to be matched for verbal and nonverbal ability (mental age), as well as for </w:t>
      </w:r>
      <w:r>
        <w:rPr>
          <w:sz w:val="24"/>
        </w:rPr>
        <w:t xml:space="preserve">chronological age and gender (between-group differences should only be small in size – Cohen’s </w:t>
      </w:r>
      <w:r>
        <w:rPr>
          <w:i/>
          <w:sz w:val="24"/>
        </w:rPr>
        <w:t xml:space="preserve">d </w:t>
      </w:r>
      <w:r>
        <w:rPr>
          <w:sz w:val="24"/>
        </w:rPr>
        <w:t>&lt; 0.50; McCartney, Burchinal, &amp; Bub, 2006) . Failure to match groups for baseline characteristics can result in type I errors, because group differences in PM may result from group differences in the baseline characteristics of groups, rather than from diagnostic status (Mervis &amp; Klein-Tasman,</w:t>
      </w:r>
      <w:r>
        <w:rPr>
          <w:spacing w:val="-1"/>
          <w:sz w:val="24"/>
        </w:rPr>
        <w:t xml:space="preserve"> </w:t>
      </w:r>
      <w:r>
        <w:rPr>
          <w:sz w:val="24"/>
        </w:rPr>
        <w:t>2004).</w:t>
      </w:r>
    </w:p>
    <w:p w14:paraId="03B9F455" w14:textId="77777777" w:rsidR="00C75312" w:rsidRDefault="00BB293A">
      <w:pPr>
        <w:pStyle w:val="ListParagraph"/>
        <w:numPr>
          <w:ilvl w:val="0"/>
          <w:numId w:val="1"/>
        </w:numPr>
        <w:tabs>
          <w:tab w:val="left" w:pos="1161"/>
        </w:tabs>
        <w:spacing w:before="121" w:line="480" w:lineRule="auto"/>
        <w:ind w:right="109" w:firstLine="720"/>
        <w:jc w:val="both"/>
        <w:rPr>
          <w:sz w:val="24"/>
        </w:rPr>
      </w:pPr>
      <w:r>
        <w:rPr>
          <w:i/>
          <w:sz w:val="24"/>
        </w:rPr>
        <w:t>Ongoing</w:t>
      </w:r>
      <w:r>
        <w:rPr>
          <w:i/>
          <w:spacing w:val="-6"/>
          <w:sz w:val="24"/>
        </w:rPr>
        <w:t xml:space="preserve"> </w:t>
      </w:r>
      <w:r>
        <w:rPr>
          <w:i/>
          <w:sz w:val="24"/>
        </w:rPr>
        <w:t>task</w:t>
      </w:r>
      <w:r>
        <w:rPr>
          <w:i/>
          <w:spacing w:val="-6"/>
          <w:sz w:val="24"/>
        </w:rPr>
        <w:t xml:space="preserve"> </w:t>
      </w:r>
      <w:r>
        <w:rPr>
          <w:i/>
          <w:sz w:val="24"/>
        </w:rPr>
        <w:t>performance:</w:t>
      </w:r>
      <w:r>
        <w:rPr>
          <w:i/>
          <w:spacing w:val="-3"/>
          <w:sz w:val="24"/>
        </w:rPr>
        <w:t xml:space="preserve"> </w:t>
      </w:r>
      <w:r>
        <w:rPr>
          <w:sz w:val="24"/>
        </w:rPr>
        <w:t>A</w:t>
      </w:r>
      <w:r>
        <w:rPr>
          <w:spacing w:val="-5"/>
          <w:sz w:val="24"/>
        </w:rPr>
        <w:t xml:space="preserve"> </w:t>
      </w:r>
      <w:r>
        <w:rPr>
          <w:sz w:val="24"/>
        </w:rPr>
        <w:t>typical</w:t>
      </w:r>
      <w:r>
        <w:rPr>
          <w:spacing w:val="-4"/>
          <w:sz w:val="24"/>
        </w:rPr>
        <w:t xml:space="preserve"> </w:t>
      </w:r>
      <w:r>
        <w:rPr>
          <w:sz w:val="24"/>
        </w:rPr>
        <w:t>PM</w:t>
      </w:r>
      <w:r>
        <w:rPr>
          <w:spacing w:val="-8"/>
          <w:sz w:val="24"/>
        </w:rPr>
        <w:t xml:space="preserve"> </w:t>
      </w:r>
      <w:r>
        <w:rPr>
          <w:sz w:val="24"/>
        </w:rPr>
        <w:t>task</w:t>
      </w:r>
      <w:r>
        <w:rPr>
          <w:spacing w:val="-5"/>
          <w:sz w:val="24"/>
        </w:rPr>
        <w:t xml:space="preserve"> </w:t>
      </w:r>
      <w:r>
        <w:rPr>
          <w:sz w:val="24"/>
        </w:rPr>
        <w:t>is</w:t>
      </w:r>
      <w:r>
        <w:rPr>
          <w:spacing w:val="-7"/>
          <w:sz w:val="24"/>
        </w:rPr>
        <w:t xml:space="preserve"> </w:t>
      </w:r>
      <w:r>
        <w:rPr>
          <w:sz w:val="24"/>
        </w:rPr>
        <w:t>always</w:t>
      </w:r>
      <w:r>
        <w:rPr>
          <w:spacing w:val="-7"/>
          <w:sz w:val="24"/>
        </w:rPr>
        <w:t xml:space="preserve"> </w:t>
      </w:r>
      <w:r>
        <w:rPr>
          <w:sz w:val="24"/>
        </w:rPr>
        <w:t>embedded</w:t>
      </w:r>
      <w:r>
        <w:rPr>
          <w:spacing w:val="-5"/>
          <w:sz w:val="24"/>
        </w:rPr>
        <w:t xml:space="preserve"> </w:t>
      </w:r>
      <w:r>
        <w:rPr>
          <w:sz w:val="24"/>
        </w:rPr>
        <w:t>into</w:t>
      </w:r>
      <w:r>
        <w:rPr>
          <w:spacing w:val="-5"/>
          <w:sz w:val="24"/>
        </w:rPr>
        <w:t xml:space="preserve"> </w:t>
      </w:r>
      <w:r>
        <w:rPr>
          <w:sz w:val="24"/>
        </w:rPr>
        <w:t>an</w:t>
      </w:r>
      <w:r>
        <w:rPr>
          <w:spacing w:val="-5"/>
          <w:sz w:val="24"/>
        </w:rPr>
        <w:t xml:space="preserve"> </w:t>
      </w:r>
      <w:r>
        <w:rPr>
          <w:sz w:val="24"/>
        </w:rPr>
        <w:t>ongoing task. Thus, similar to a dual-task design, attentional and cognitive resources are divided between the completion of the ongoing task and completion of the PM action/intention. It is important</w:t>
      </w:r>
      <w:r>
        <w:rPr>
          <w:spacing w:val="38"/>
          <w:sz w:val="24"/>
        </w:rPr>
        <w:t xml:space="preserve"> </w:t>
      </w:r>
      <w:r>
        <w:rPr>
          <w:sz w:val="24"/>
        </w:rPr>
        <w:t>that</w:t>
      </w:r>
      <w:r>
        <w:rPr>
          <w:spacing w:val="39"/>
          <w:sz w:val="24"/>
        </w:rPr>
        <w:t xml:space="preserve"> </w:t>
      </w:r>
      <w:r>
        <w:rPr>
          <w:sz w:val="24"/>
        </w:rPr>
        <w:t>groups</w:t>
      </w:r>
      <w:r>
        <w:rPr>
          <w:spacing w:val="36"/>
          <w:sz w:val="24"/>
        </w:rPr>
        <w:t xml:space="preserve"> </w:t>
      </w:r>
      <w:r>
        <w:rPr>
          <w:sz w:val="24"/>
        </w:rPr>
        <w:t>are</w:t>
      </w:r>
      <w:r>
        <w:rPr>
          <w:spacing w:val="37"/>
          <w:sz w:val="24"/>
        </w:rPr>
        <w:t xml:space="preserve"> </w:t>
      </w:r>
      <w:r>
        <w:rPr>
          <w:sz w:val="24"/>
        </w:rPr>
        <w:t>matched</w:t>
      </w:r>
      <w:r>
        <w:rPr>
          <w:spacing w:val="38"/>
          <w:sz w:val="24"/>
        </w:rPr>
        <w:t xml:space="preserve"> </w:t>
      </w:r>
      <w:r>
        <w:rPr>
          <w:sz w:val="24"/>
        </w:rPr>
        <w:t>for</w:t>
      </w:r>
      <w:r>
        <w:rPr>
          <w:spacing w:val="39"/>
          <w:sz w:val="24"/>
        </w:rPr>
        <w:t xml:space="preserve"> </w:t>
      </w:r>
      <w:r>
        <w:rPr>
          <w:sz w:val="24"/>
        </w:rPr>
        <w:t>ongoing</w:t>
      </w:r>
      <w:r>
        <w:rPr>
          <w:spacing w:val="34"/>
          <w:sz w:val="24"/>
        </w:rPr>
        <w:t xml:space="preserve"> </w:t>
      </w:r>
      <w:r>
        <w:rPr>
          <w:spacing w:val="-3"/>
          <w:sz w:val="24"/>
        </w:rPr>
        <w:t>task</w:t>
      </w:r>
      <w:r>
        <w:rPr>
          <w:spacing w:val="38"/>
          <w:sz w:val="24"/>
        </w:rPr>
        <w:t xml:space="preserve"> </w:t>
      </w:r>
      <w:r>
        <w:rPr>
          <w:sz w:val="24"/>
        </w:rPr>
        <w:t>performance.</w:t>
      </w:r>
      <w:r>
        <w:rPr>
          <w:spacing w:val="20"/>
          <w:sz w:val="24"/>
        </w:rPr>
        <w:t xml:space="preserve"> </w:t>
      </w:r>
      <w:r>
        <w:rPr>
          <w:sz w:val="24"/>
        </w:rPr>
        <w:t>Otherwise,</w:t>
      </w:r>
      <w:r>
        <w:rPr>
          <w:spacing w:val="40"/>
          <w:sz w:val="24"/>
        </w:rPr>
        <w:t xml:space="preserve"> </w:t>
      </w:r>
      <w:r>
        <w:rPr>
          <w:sz w:val="24"/>
        </w:rPr>
        <w:t>analyses</w:t>
      </w:r>
      <w:r>
        <w:rPr>
          <w:spacing w:val="36"/>
          <w:sz w:val="24"/>
        </w:rPr>
        <w:t xml:space="preserve"> </w:t>
      </w:r>
      <w:r>
        <w:rPr>
          <w:sz w:val="24"/>
        </w:rPr>
        <w:t>of</w:t>
      </w:r>
    </w:p>
    <w:p w14:paraId="0FDF1A6D" w14:textId="77777777" w:rsidR="00C75312" w:rsidRDefault="00C75312">
      <w:pPr>
        <w:spacing w:line="480" w:lineRule="auto"/>
        <w:jc w:val="both"/>
        <w:rPr>
          <w:sz w:val="24"/>
        </w:rPr>
        <w:sectPr w:rsidR="00C75312">
          <w:pgSz w:w="11900" w:h="16840"/>
          <w:pgMar w:top="1360" w:right="1320" w:bottom="280" w:left="1340" w:header="715" w:footer="0" w:gutter="0"/>
          <w:cols w:space="720"/>
        </w:sectPr>
      </w:pPr>
    </w:p>
    <w:p w14:paraId="7D058E40" w14:textId="77777777" w:rsidR="00C75312" w:rsidRDefault="00BB293A">
      <w:pPr>
        <w:pStyle w:val="BodyText"/>
        <w:spacing w:before="80" w:line="480" w:lineRule="auto"/>
        <w:ind w:left="100" w:right="107"/>
        <w:jc w:val="both"/>
      </w:pPr>
      <w:r>
        <w:lastRenderedPageBreak/>
        <w:t xml:space="preserve">between-group differences in PM performance may be “contaminated” by the effects of between-group differences in ongoing task performance. For example, if the ASD group performs significantly </w:t>
      </w:r>
      <w:r>
        <w:rPr>
          <w:i/>
        </w:rPr>
        <w:t xml:space="preserve">less </w:t>
      </w:r>
      <w:r>
        <w:t>well than the control group(s) on the ongoing task, then poorer</w:t>
      </w:r>
      <w:r>
        <w:rPr>
          <w:spacing w:val="-26"/>
        </w:rPr>
        <w:t xml:space="preserve"> </w:t>
      </w:r>
      <w:r>
        <w:t>PM task performance in the ASD group could merely reflect the fact that ASD participants had fewer cognitive resources than control participants to devote to the PM task as a result of</w:t>
      </w:r>
      <w:r>
        <w:rPr>
          <w:spacing w:val="-34"/>
        </w:rPr>
        <w:t xml:space="preserve"> </w:t>
      </w:r>
      <w:r>
        <w:t xml:space="preserve">their difficulty with the ongoing task. Alternatively, if the ASD group performs significantly </w:t>
      </w:r>
      <w:r>
        <w:rPr>
          <w:i/>
        </w:rPr>
        <w:t xml:space="preserve">less </w:t>
      </w:r>
      <w:r>
        <w:t>well</w:t>
      </w:r>
      <w:r>
        <w:rPr>
          <w:spacing w:val="-3"/>
        </w:rPr>
        <w:t xml:space="preserve"> </w:t>
      </w:r>
      <w:r>
        <w:t>than</w:t>
      </w:r>
      <w:r>
        <w:rPr>
          <w:spacing w:val="-4"/>
        </w:rPr>
        <w:t xml:space="preserve"> </w:t>
      </w:r>
      <w:r>
        <w:t>the</w:t>
      </w:r>
      <w:r>
        <w:rPr>
          <w:spacing w:val="-5"/>
        </w:rPr>
        <w:t xml:space="preserve"> </w:t>
      </w:r>
      <w:r>
        <w:t>control</w:t>
      </w:r>
      <w:r>
        <w:rPr>
          <w:spacing w:val="-3"/>
        </w:rPr>
        <w:t xml:space="preserve"> </w:t>
      </w:r>
      <w:r>
        <w:t>group(s)</w:t>
      </w:r>
      <w:r>
        <w:rPr>
          <w:spacing w:val="-2"/>
        </w:rPr>
        <w:t xml:space="preserve"> </w:t>
      </w:r>
      <w:r>
        <w:t>on</w:t>
      </w:r>
      <w:r>
        <w:rPr>
          <w:spacing w:val="-4"/>
        </w:rPr>
        <w:t xml:space="preserve"> </w:t>
      </w:r>
      <w:r>
        <w:t>the</w:t>
      </w:r>
      <w:r>
        <w:rPr>
          <w:spacing w:val="-5"/>
        </w:rPr>
        <w:t xml:space="preserve"> </w:t>
      </w:r>
      <w:r>
        <w:t>ongoing</w:t>
      </w:r>
      <w:r>
        <w:rPr>
          <w:spacing w:val="-4"/>
        </w:rPr>
        <w:t xml:space="preserve"> </w:t>
      </w:r>
      <w:r>
        <w:t>task,</w:t>
      </w:r>
      <w:r>
        <w:rPr>
          <w:spacing w:val="-6"/>
        </w:rPr>
        <w:t xml:space="preserve"> </w:t>
      </w:r>
      <w:r>
        <w:t>but</w:t>
      </w:r>
      <w:r>
        <w:rPr>
          <w:spacing w:val="-3"/>
        </w:rPr>
        <w:t xml:space="preserve"> </w:t>
      </w:r>
      <w:r>
        <w:rPr>
          <w:i/>
        </w:rPr>
        <w:t>equivalently</w:t>
      </w:r>
      <w:r>
        <w:rPr>
          <w:i/>
          <w:spacing w:val="-5"/>
        </w:rPr>
        <w:t xml:space="preserve"> </w:t>
      </w:r>
      <w:r>
        <w:t>to</w:t>
      </w:r>
      <w:r>
        <w:rPr>
          <w:spacing w:val="-3"/>
        </w:rPr>
        <w:t xml:space="preserve"> </w:t>
      </w:r>
      <w:r>
        <w:t>the</w:t>
      </w:r>
      <w:r>
        <w:rPr>
          <w:spacing w:val="-5"/>
        </w:rPr>
        <w:t xml:space="preserve"> </w:t>
      </w:r>
      <w:r>
        <w:t>control</w:t>
      </w:r>
      <w:r>
        <w:rPr>
          <w:spacing w:val="-3"/>
        </w:rPr>
        <w:t xml:space="preserve"> </w:t>
      </w:r>
      <w:r>
        <w:t>group</w:t>
      </w:r>
      <w:r>
        <w:rPr>
          <w:spacing w:val="-4"/>
        </w:rPr>
        <w:t xml:space="preserve"> </w:t>
      </w:r>
      <w:r>
        <w:t>on</w:t>
      </w:r>
      <w:r>
        <w:rPr>
          <w:spacing w:val="-4"/>
        </w:rPr>
        <w:t xml:space="preserve"> </w:t>
      </w:r>
      <w:r>
        <w:t>the PM</w:t>
      </w:r>
      <w:r>
        <w:rPr>
          <w:spacing w:val="-12"/>
        </w:rPr>
        <w:t xml:space="preserve"> </w:t>
      </w:r>
      <w:r>
        <w:t>task,</w:t>
      </w:r>
      <w:r>
        <w:rPr>
          <w:spacing w:val="-7"/>
        </w:rPr>
        <w:t xml:space="preserve"> </w:t>
      </w:r>
      <w:r>
        <w:t>this</w:t>
      </w:r>
      <w:r>
        <w:rPr>
          <w:spacing w:val="-12"/>
        </w:rPr>
        <w:t xml:space="preserve"> </w:t>
      </w:r>
      <w:r>
        <w:t>may</w:t>
      </w:r>
      <w:r>
        <w:rPr>
          <w:spacing w:val="-10"/>
        </w:rPr>
        <w:t xml:space="preserve"> </w:t>
      </w:r>
      <w:r>
        <w:t>reflect</w:t>
      </w:r>
      <w:r>
        <w:rPr>
          <w:spacing w:val="-9"/>
        </w:rPr>
        <w:t xml:space="preserve"> </w:t>
      </w:r>
      <w:r>
        <w:t>differential</w:t>
      </w:r>
      <w:r>
        <w:rPr>
          <w:spacing w:val="-9"/>
        </w:rPr>
        <w:t xml:space="preserve"> </w:t>
      </w:r>
      <w:r>
        <w:t>allocation</w:t>
      </w:r>
      <w:r>
        <w:rPr>
          <w:spacing w:val="-9"/>
        </w:rPr>
        <w:t xml:space="preserve"> </w:t>
      </w:r>
      <w:r>
        <w:t>of</w:t>
      </w:r>
      <w:r>
        <w:rPr>
          <w:spacing w:val="-8"/>
        </w:rPr>
        <w:t xml:space="preserve"> </w:t>
      </w:r>
      <w:r>
        <w:t>cognitiv</w:t>
      </w:r>
      <w:r>
        <w:t>e</w:t>
      </w:r>
      <w:r>
        <w:rPr>
          <w:spacing w:val="-11"/>
        </w:rPr>
        <w:t xml:space="preserve"> </w:t>
      </w:r>
      <w:r>
        <w:t>resources</w:t>
      </w:r>
      <w:r>
        <w:rPr>
          <w:spacing w:val="-12"/>
        </w:rPr>
        <w:t xml:space="preserve"> </w:t>
      </w:r>
      <w:r>
        <w:t>performance</w:t>
      </w:r>
      <w:r>
        <w:rPr>
          <w:spacing w:val="-11"/>
        </w:rPr>
        <w:t xml:space="preserve"> </w:t>
      </w:r>
      <w:r>
        <w:t>in</w:t>
      </w:r>
      <w:r>
        <w:rPr>
          <w:spacing w:val="-9"/>
        </w:rPr>
        <w:t xml:space="preserve"> </w:t>
      </w:r>
      <w:r>
        <w:t>the</w:t>
      </w:r>
      <w:r>
        <w:rPr>
          <w:spacing w:val="-11"/>
        </w:rPr>
        <w:t xml:space="preserve"> </w:t>
      </w:r>
      <w:r>
        <w:t>ASD group (i.e., PM performance is being scaffolded/</w:t>
      </w:r>
      <w:proofErr w:type="spellStart"/>
      <w:r>
        <w:t>prioritised</w:t>
      </w:r>
      <w:proofErr w:type="spellEnd"/>
      <w:r>
        <w:t xml:space="preserve"> at the expense of ongoing task performance).</w:t>
      </w:r>
    </w:p>
    <w:p w14:paraId="592F3877" w14:textId="77777777" w:rsidR="00C75312" w:rsidRDefault="00BB293A">
      <w:pPr>
        <w:pStyle w:val="ListParagraph"/>
        <w:numPr>
          <w:ilvl w:val="0"/>
          <w:numId w:val="1"/>
        </w:numPr>
        <w:tabs>
          <w:tab w:val="left" w:pos="1156"/>
        </w:tabs>
        <w:spacing w:before="120" w:line="480" w:lineRule="auto"/>
        <w:ind w:right="108" w:firstLine="720"/>
        <w:jc w:val="both"/>
        <w:rPr>
          <w:sz w:val="24"/>
        </w:rPr>
      </w:pPr>
      <w:r>
        <w:rPr>
          <w:i/>
          <w:sz w:val="24"/>
        </w:rPr>
        <w:t xml:space="preserve">Retrospective memory for the PM instruction: </w:t>
      </w:r>
      <w:r>
        <w:rPr>
          <w:sz w:val="24"/>
        </w:rPr>
        <w:t xml:space="preserve">PM requires an individual to encode and store an intention to act in the future, which relies on </w:t>
      </w:r>
      <w:r>
        <w:rPr>
          <w:i/>
          <w:sz w:val="24"/>
        </w:rPr>
        <w:t>retro</w:t>
      </w:r>
      <w:r>
        <w:rPr>
          <w:sz w:val="24"/>
        </w:rPr>
        <w:t>spective memory. While it is clear that retrospective and prospective memory are related, factor analytic studies (among other types of study) show that they are clearly distinguishable (Crawford, Smith, Maylor, Della</w:t>
      </w:r>
      <w:r>
        <w:rPr>
          <w:spacing w:val="-12"/>
          <w:sz w:val="24"/>
        </w:rPr>
        <w:t xml:space="preserve"> </w:t>
      </w:r>
      <w:r>
        <w:rPr>
          <w:sz w:val="24"/>
        </w:rPr>
        <w:t>Sala,</w:t>
      </w:r>
      <w:r>
        <w:rPr>
          <w:spacing w:val="-7"/>
          <w:sz w:val="24"/>
        </w:rPr>
        <w:t xml:space="preserve"> </w:t>
      </w:r>
      <w:r>
        <w:rPr>
          <w:sz w:val="24"/>
        </w:rPr>
        <w:t>&amp;</w:t>
      </w:r>
      <w:r>
        <w:rPr>
          <w:spacing w:val="-10"/>
          <w:sz w:val="24"/>
        </w:rPr>
        <w:t xml:space="preserve"> </w:t>
      </w:r>
      <w:proofErr w:type="spellStart"/>
      <w:r>
        <w:rPr>
          <w:sz w:val="24"/>
        </w:rPr>
        <w:t>Logie</w:t>
      </w:r>
      <w:proofErr w:type="spellEnd"/>
      <w:r>
        <w:rPr>
          <w:sz w:val="24"/>
        </w:rPr>
        <w:t>,</w:t>
      </w:r>
      <w:r>
        <w:rPr>
          <w:spacing w:val="-7"/>
          <w:sz w:val="24"/>
        </w:rPr>
        <w:t xml:space="preserve"> </w:t>
      </w:r>
      <w:r>
        <w:rPr>
          <w:sz w:val="24"/>
        </w:rPr>
        <w:t>2003;</w:t>
      </w:r>
      <w:r>
        <w:rPr>
          <w:spacing w:val="-10"/>
          <w:sz w:val="24"/>
        </w:rPr>
        <w:t xml:space="preserve"> </w:t>
      </w:r>
      <w:r>
        <w:rPr>
          <w:sz w:val="24"/>
        </w:rPr>
        <w:t>Maylor,</w:t>
      </w:r>
      <w:r>
        <w:rPr>
          <w:spacing w:val="-12"/>
          <w:sz w:val="24"/>
        </w:rPr>
        <w:t xml:space="preserve"> </w:t>
      </w:r>
      <w:r>
        <w:rPr>
          <w:sz w:val="24"/>
        </w:rPr>
        <w:t>Smith,</w:t>
      </w:r>
      <w:r>
        <w:rPr>
          <w:spacing w:val="-8"/>
          <w:sz w:val="24"/>
        </w:rPr>
        <w:t xml:space="preserve"> </w:t>
      </w:r>
      <w:r>
        <w:rPr>
          <w:sz w:val="24"/>
        </w:rPr>
        <w:t>Della</w:t>
      </w:r>
      <w:r>
        <w:rPr>
          <w:spacing w:val="-11"/>
          <w:sz w:val="24"/>
        </w:rPr>
        <w:t xml:space="preserve"> </w:t>
      </w:r>
      <w:r>
        <w:rPr>
          <w:sz w:val="24"/>
        </w:rPr>
        <w:t>Sala,</w:t>
      </w:r>
      <w:r>
        <w:rPr>
          <w:spacing w:val="-8"/>
          <w:sz w:val="24"/>
        </w:rPr>
        <w:t xml:space="preserve"> </w:t>
      </w:r>
      <w:r>
        <w:rPr>
          <w:sz w:val="24"/>
        </w:rPr>
        <w:t>&amp;</w:t>
      </w:r>
      <w:r>
        <w:rPr>
          <w:spacing w:val="-9"/>
          <w:sz w:val="24"/>
        </w:rPr>
        <w:t xml:space="preserve"> </w:t>
      </w:r>
      <w:proofErr w:type="spellStart"/>
      <w:r>
        <w:rPr>
          <w:sz w:val="24"/>
        </w:rPr>
        <w:t>Logie</w:t>
      </w:r>
      <w:proofErr w:type="spellEnd"/>
      <w:r>
        <w:rPr>
          <w:sz w:val="24"/>
        </w:rPr>
        <w:t>,</w:t>
      </w:r>
      <w:r>
        <w:rPr>
          <w:spacing w:val="-8"/>
          <w:sz w:val="24"/>
        </w:rPr>
        <w:t xml:space="preserve"> </w:t>
      </w:r>
      <w:r>
        <w:rPr>
          <w:sz w:val="24"/>
        </w:rPr>
        <w:t>2002).</w:t>
      </w:r>
      <w:r>
        <w:rPr>
          <w:spacing w:val="39"/>
          <w:sz w:val="24"/>
        </w:rPr>
        <w:t xml:space="preserve"> </w:t>
      </w:r>
      <w:r>
        <w:rPr>
          <w:sz w:val="24"/>
        </w:rPr>
        <w:t>PM</w:t>
      </w:r>
      <w:r>
        <w:rPr>
          <w:spacing w:val="-13"/>
          <w:sz w:val="24"/>
        </w:rPr>
        <w:t xml:space="preserve"> </w:t>
      </w:r>
      <w:r>
        <w:rPr>
          <w:sz w:val="24"/>
        </w:rPr>
        <w:t>failure</w:t>
      </w:r>
      <w:r>
        <w:rPr>
          <w:spacing w:val="-15"/>
          <w:sz w:val="24"/>
        </w:rPr>
        <w:t xml:space="preserve"> </w:t>
      </w:r>
      <w:r>
        <w:rPr>
          <w:sz w:val="24"/>
        </w:rPr>
        <w:t>could</w:t>
      </w:r>
      <w:r>
        <w:rPr>
          <w:spacing w:val="-10"/>
          <w:sz w:val="24"/>
        </w:rPr>
        <w:t xml:space="preserve"> </w:t>
      </w:r>
      <w:r>
        <w:rPr>
          <w:sz w:val="24"/>
        </w:rPr>
        <w:t xml:space="preserve">result either from a failure of the specific mechanisms that underpin PM retrieval, </w:t>
      </w:r>
      <w:r>
        <w:rPr>
          <w:i/>
          <w:sz w:val="24"/>
        </w:rPr>
        <w:t xml:space="preserve">or </w:t>
      </w:r>
      <w:r>
        <w:rPr>
          <w:sz w:val="24"/>
        </w:rPr>
        <w:t xml:space="preserve">from a failure of retrospective memory (i.e., when the intention </w:t>
      </w:r>
      <w:r>
        <w:rPr>
          <w:spacing w:val="-3"/>
          <w:sz w:val="24"/>
        </w:rPr>
        <w:t xml:space="preserve">is </w:t>
      </w:r>
      <w:r>
        <w:rPr>
          <w:sz w:val="24"/>
        </w:rPr>
        <w:t>not even encoded/stored properly). Given well-established difficulties with spontaneous, episodic recall in ASD (Boucher, Mayes, &amp; Bigham,</w:t>
      </w:r>
      <w:r>
        <w:rPr>
          <w:spacing w:val="-7"/>
          <w:sz w:val="24"/>
        </w:rPr>
        <w:t xml:space="preserve"> </w:t>
      </w:r>
      <w:r>
        <w:rPr>
          <w:sz w:val="24"/>
        </w:rPr>
        <w:t>2012),</w:t>
      </w:r>
      <w:r>
        <w:rPr>
          <w:spacing w:val="-7"/>
          <w:sz w:val="24"/>
        </w:rPr>
        <w:t xml:space="preserve"> </w:t>
      </w:r>
      <w:r>
        <w:rPr>
          <w:sz w:val="24"/>
        </w:rPr>
        <w:t>it</w:t>
      </w:r>
      <w:r>
        <w:rPr>
          <w:spacing w:val="-14"/>
          <w:sz w:val="24"/>
        </w:rPr>
        <w:t xml:space="preserve"> </w:t>
      </w:r>
      <w:r>
        <w:rPr>
          <w:sz w:val="24"/>
        </w:rPr>
        <w:t>may</w:t>
      </w:r>
      <w:r>
        <w:rPr>
          <w:spacing w:val="-14"/>
          <w:sz w:val="24"/>
        </w:rPr>
        <w:t xml:space="preserve"> </w:t>
      </w:r>
      <w:r>
        <w:rPr>
          <w:sz w:val="24"/>
        </w:rPr>
        <w:t>be</w:t>
      </w:r>
      <w:r>
        <w:rPr>
          <w:spacing w:val="-11"/>
          <w:sz w:val="24"/>
        </w:rPr>
        <w:t xml:space="preserve"> </w:t>
      </w:r>
      <w:r>
        <w:rPr>
          <w:sz w:val="24"/>
        </w:rPr>
        <w:t>that</w:t>
      </w:r>
      <w:r>
        <w:rPr>
          <w:spacing w:val="-13"/>
          <w:sz w:val="24"/>
        </w:rPr>
        <w:t xml:space="preserve"> </w:t>
      </w:r>
      <w:r>
        <w:rPr>
          <w:sz w:val="24"/>
        </w:rPr>
        <w:t>people</w:t>
      </w:r>
      <w:r>
        <w:rPr>
          <w:spacing w:val="-11"/>
          <w:sz w:val="24"/>
        </w:rPr>
        <w:t xml:space="preserve"> </w:t>
      </w:r>
      <w:r>
        <w:rPr>
          <w:sz w:val="24"/>
        </w:rPr>
        <w:t>with</w:t>
      </w:r>
      <w:r>
        <w:rPr>
          <w:spacing w:val="-14"/>
          <w:sz w:val="24"/>
        </w:rPr>
        <w:t xml:space="preserve"> </w:t>
      </w:r>
      <w:r>
        <w:rPr>
          <w:sz w:val="24"/>
        </w:rPr>
        <w:t>this</w:t>
      </w:r>
      <w:r>
        <w:rPr>
          <w:spacing w:val="-12"/>
          <w:sz w:val="24"/>
        </w:rPr>
        <w:t xml:space="preserve"> </w:t>
      </w:r>
      <w:r>
        <w:rPr>
          <w:sz w:val="24"/>
        </w:rPr>
        <w:t>disorder</w:t>
      </w:r>
      <w:r>
        <w:rPr>
          <w:spacing w:val="-8"/>
          <w:sz w:val="24"/>
        </w:rPr>
        <w:t xml:space="preserve"> </w:t>
      </w:r>
      <w:r>
        <w:rPr>
          <w:sz w:val="24"/>
        </w:rPr>
        <w:t>have</w:t>
      </w:r>
      <w:r>
        <w:rPr>
          <w:spacing w:val="-11"/>
          <w:sz w:val="24"/>
        </w:rPr>
        <w:t xml:space="preserve"> </w:t>
      </w:r>
      <w:r>
        <w:rPr>
          <w:sz w:val="24"/>
        </w:rPr>
        <w:t>PM</w:t>
      </w:r>
      <w:r>
        <w:rPr>
          <w:spacing w:val="-16"/>
          <w:sz w:val="24"/>
        </w:rPr>
        <w:t xml:space="preserve"> </w:t>
      </w:r>
      <w:r>
        <w:rPr>
          <w:sz w:val="24"/>
        </w:rPr>
        <w:t>impairments</w:t>
      </w:r>
      <w:r>
        <w:rPr>
          <w:spacing w:val="-12"/>
          <w:sz w:val="24"/>
        </w:rPr>
        <w:t xml:space="preserve"> </w:t>
      </w:r>
      <w:r>
        <w:rPr>
          <w:sz w:val="24"/>
        </w:rPr>
        <w:t>purely</w:t>
      </w:r>
      <w:r>
        <w:rPr>
          <w:spacing w:val="-10"/>
          <w:sz w:val="24"/>
        </w:rPr>
        <w:t xml:space="preserve"> </w:t>
      </w:r>
      <w:r>
        <w:rPr>
          <w:sz w:val="24"/>
        </w:rPr>
        <w:t>as</w:t>
      </w:r>
      <w:r>
        <w:rPr>
          <w:spacing w:val="-12"/>
          <w:sz w:val="24"/>
        </w:rPr>
        <w:t xml:space="preserve"> </w:t>
      </w:r>
      <w:r>
        <w:rPr>
          <w:sz w:val="24"/>
        </w:rPr>
        <w:t>a</w:t>
      </w:r>
      <w:r>
        <w:rPr>
          <w:spacing w:val="-14"/>
          <w:sz w:val="24"/>
        </w:rPr>
        <w:t xml:space="preserve"> </w:t>
      </w:r>
      <w:r>
        <w:rPr>
          <w:sz w:val="24"/>
        </w:rPr>
        <w:t>result of retrospective memory difficulties. This would be important to know, of course, and would have</w:t>
      </w:r>
      <w:r>
        <w:rPr>
          <w:spacing w:val="-7"/>
          <w:sz w:val="24"/>
        </w:rPr>
        <w:t xml:space="preserve"> </w:t>
      </w:r>
      <w:r>
        <w:rPr>
          <w:sz w:val="24"/>
        </w:rPr>
        <w:t>implications</w:t>
      </w:r>
      <w:r>
        <w:rPr>
          <w:spacing w:val="-11"/>
          <w:sz w:val="24"/>
        </w:rPr>
        <w:t xml:space="preserve"> </w:t>
      </w:r>
      <w:r>
        <w:rPr>
          <w:sz w:val="24"/>
        </w:rPr>
        <w:t>for</w:t>
      </w:r>
      <w:r>
        <w:rPr>
          <w:spacing w:val="-8"/>
          <w:sz w:val="24"/>
        </w:rPr>
        <w:t xml:space="preserve"> </w:t>
      </w:r>
      <w:r>
        <w:rPr>
          <w:sz w:val="24"/>
        </w:rPr>
        <w:t>the</w:t>
      </w:r>
      <w:r>
        <w:rPr>
          <w:spacing w:val="-11"/>
          <w:sz w:val="24"/>
        </w:rPr>
        <w:t xml:space="preserve"> </w:t>
      </w:r>
      <w:r>
        <w:rPr>
          <w:sz w:val="24"/>
        </w:rPr>
        <w:t>management</w:t>
      </w:r>
      <w:r>
        <w:rPr>
          <w:spacing w:val="-4"/>
          <w:sz w:val="24"/>
        </w:rPr>
        <w:t xml:space="preserve"> </w:t>
      </w:r>
      <w:r>
        <w:rPr>
          <w:sz w:val="24"/>
        </w:rPr>
        <w:t>of</w:t>
      </w:r>
      <w:r>
        <w:rPr>
          <w:spacing w:val="-8"/>
          <w:sz w:val="24"/>
        </w:rPr>
        <w:t xml:space="preserve"> </w:t>
      </w:r>
      <w:r>
        <w:rPr>
          <w:sz w:val="24"/>
        </w:rPr>
        <w:t>PM</w:t>
      </w:r>
      <w:r>
        <w:rPr>
          <w:spacing w:val="-12"/>
          <w:sz w:val="24"/>
        </w:rPr>
        <w:t xml:space="preserve"> </w:t>
      </w:r>
      <w:r>
        <w:rPr>
          <w:sz w:val="24"/>
        </w:rPr>
        <w:t>difficulties</w:t>
      </w:r>
      <w:r>
        <w:rPr>
          <w:spacing w:val="-7"/>
          <w:sz w:val="24"/>
        </w:rPr>
        <w:t xml:space="preserve"> </w:t>
      </w:r>
      <w:r>
        <w:rPr>
          <w:sz w:val="24"/>
        </w:rPr>
        <w:t>in</w:t>
      </w:r>
      <w:r>
        <w:rPr>
          <w:spacing w:val="-10"/>
          <w:sz w:val="24"/>
        </w:rPr>
        <w:t xml:space="preserve"> </w:t>
      </w:r>
      <w:r>
        <w:rPr>
          <w:sz w:val="24"/>
        </w:rPr>
        <w:t>ASD.</w:t>
      </w:r>
      <w:r>
        <w:rPr>
          <w:spacing w:val="44"/>
          <w:sz w:val="24"/>
        </w:rPr>
        <w:t xml:space="preserve"> </w:t>
      </w:r>
      <w:r>
        <w:rPr>
          <w:sz w:val="24"/>
        </w:rPr>
        <w:t>However,</w:t>
      </w:r>
      <w:r>
        <w:rPr>
          <w:spacing w:val="-7"/>
          <w:sz w:val="24"/>
        </w:rPr>
        <w:t xml:space="preserve"> </w:t>
      </w:r>
      <w:r>
        <w:rPr>
          <w:sz w:val="24"/>
        </w:rPr>
        <w:t>most</w:t>
      </w:r>
      <w:r>
        <w:rPr>
          <w:spacing w:val="-9"/>
          <w:sz w:val="24"/>
        </w:rPr>
        <w:t xml:space="preserve"> </w:t>
      </w:r>
      <w:r>
        <w:rPr>
          <w:sz w:val="24"/>
        </w:rPr>
        <w:t>studies</w:t>
      </w:r>
      <w:r>
        <w:rPr>
          <w:spacing w:val="-7"/>
          <w:sz w:val="24"/>
        </w:rPr>
        <w:t xml:space="preserve"> </w:t>
      </w:r>
      <w:r>
        <w:rPr>
          <w:sz w:val="24"/>
        </w:rPr>
        <w:t xml:space="preserve">have the aim </w:t>
      </w:r>
      <w:r>
        <w:rPr>
          <w:spacing w:val="-3"/>
          <w:sz w:val="24"/>
        </w:rPr>
        <w:t xml:space="preserve">of </w:t>
      </w:r>
      <w:r>
        <w:rPr>
          <w:sz w:val="24"/>
        </w:rPr>
        <w:t xml:space="preserve">discovering whether the mechanisms that </w:t>
      </w:r>
      <w:r>
        <w:rPr>
          <w:i/>
          <w:sz w:val="24"/>
        </w:rPr>
        <w:t xml:space="preserve">specifically </w:t>
      </w:r>
      <w:r>
        <w:rPr>
          <w:sz w:val="24"/>
        </w:rPr>
        <w:t>underpin PM retrieval are impaired in ASD (i.e., whether PM is impaired over and above retrospective memory). To achieve this aim, it is necessary to assess retrospective memory for the PM instruction/action immediately</w:t>
      </w:r>
      <w:r>
        <w:rPr>
          <w:spacing w:val="13"/>
          <w:sz w:val="24"/>
        </w:rPr>
        <w:t xml:space="preserve"> </w:t>
      </w:r>
      <w:r>
        <w:rPr>
          <w:sz w:val="24"/>
        </w:rPr>
        <w:t>after</w:t>
      </w:r>
      <w:r>
        <w:rPr>
          <w:spacing w:val="11"/>
          <w:sz w:val="24"/>
        </w:rPr>
        <w:t xml:space="preserve"> </w:t>
      </w:r>
      <w:r>
        <w:rPr>
          <w:sz w:val="24"/>
        </w:rPr>
        <w:t>completion</w:t>
      </w:r>
      <w:r>
        <w:rPr>
          <w:spacing w:val="10"/>
          <w:sz w:val="24"/>
        </w:rPr>
        <w:t xml:space="preserve"> </w:t>
      </w:r>
      <w:r>
        <w:rPr>
          <w:sz w:val="24"/>
        </w:rPr>
        <w:t>of</w:t>
      </w:r>
      <w:r>
        <w:rPr>
          <w:spacing w:val="10"/>
          <w:sz w:val="24"/>
        </w:rPr>
        <w:t xml:space="preserve"> </w:t>
      </w:r>
      <w:r>
        <w:rPr>
          <w:sz w:val="24"/>
        </w:rPr>
        <w:t>the</w:t>
      </w:r>
      <w:r>
        <w:rPr>
          <w:spacing w:val="9"/>
          <w:sz w:val="24"/>
        </w:rPr>
        <w:t xml:space="preserve"> </w:t>
      </w:r>
      <w:r>
        <w:rPr>
          <w:sz w:val="24"/>
        </w:rPr>
        <w:t>experimental</w:t>
      </w:r>
      <w:r>
        <w:rPr>
          <w:spacing w:val="10"/>
          <w:sz w:val="24"/>
        </w:rPr>
        <w:t xml:space="preserve"> </w:t>
      </w:r>
      <w:r>
        <w:rPr>
          <w:sz w:val="24"/>
        </w:rPr>
        <w:t>PM</w:t>
      </w:r>
      <w:r>
        <w:rPr>
          <w:spacing w:val="11"/>
          <w:sz w:val="24"/>
        </w:rPr>
        <w:t xml:space="preserve"> </w:t>
      </w:r>
      <w:r>
        <w:rPr>
          <w:sz w:val="24"/>
        </w:rPr>
        <w:t>task.</w:t>
      </w:r>
      <w:r>
        <w:rPr>
          <w:spacing w:val="22"/>
          <w:sz w:val="24"/>
        </w:rPr>
        <w:t xml:space="preserve"> </w:t>
      </w:r>
      <w:r>
        <w:rPr>
          <w:sz w:val="24"/>
        </w:rPr>
        <w:t>If</w:t>
      </w:r>
      <w:r>
        <w:rPr>
          <w:spacing w:val="11"/>
          <w:sz w:val="24"/>
        </w:rPr>
        <w:t xml:space="preserve"> </w:t>
      </w:r>
      <w:r>
        <w:rPr>
          <w:sz w:val="24"/>
        </w:rPr>
        <w:t>a</w:t>
      </w:r>
      <w:r>
        <w:rPr>
          <w:spacing w:val="8"/>
          <w:sz w:val="24"/>
        </w:rPr>
        <w:t xml:space="preserve"> </w:t>
      </w:r>
      <w:r>
        <w:rPr>
          <w:sz w:val="24"/>
        </w:rPr>
        <w:t>participant</w:t>
      </w:r>
      <w:r>
        <w:rPr>
          <w:spacing w:val="15"/>
          <w:sz w:val="24"/>
        </w:rPr>
        <w:t xml:space="preserve"> </w:t>
      </w:r>
      <w:r>
        <w:rPr>
          <w:sz w:val="24"/>
        </w:rPr>
        <w:t>cannot</w:t>
      </w:r>
      <w:r>
        <w:rPr>
          <w:spacing w:val="10"/>
          <w:sz w:val="24"/>
        </w:rPr>
        <w:t xml:space="preserve"> </w:t>
      </w:r>
      <w:r>
        <w:rPr>
          <w:sz w:val="24"/>
        </w:rPr>
        <w:t>recall</w:t>
      </w:r>
      <w:r>
        <w:rPr>
          <w:spacing w:val="9"/>
          <w:sz w:val="24"/>
        </w:rPr>
        <w:t xml:space="preserve"> </w:t>
      </w:r>
      <w:r>
        <w:rPr>
          <w:sz w:val="24"/>
        </w:rPr>
        <w:t>the</w:t>
      </w:r>
    </w:p>
    <w:p w14:paraId="039619F5" w14:textId="77777777" w:rsidR="00C75312" w:rsidRDefault="00C75312">
      <w:pPr>
        <w:spacing w:line="480" w:lineRule="auto"/>
        <w:jc w:val="both"/>
        <w:rPr>
          <w:sz w:val="24"/>
        </w:rPr>
        <w:sectPr w:rsidR="00C75312">
          <w:pgSz w:w="11900" w:h="16840"/>
          <w:pgMar w:top="1360" w:right="1320" w:bottom="280" w:left="1340" w:header="715" w:footer="0" w:gutter="0"/>
          <w:cols w:space="720"/>
        </w:sectPr>
      </w:pPr>
    </w:p>
    <w:p w14:paraId="306E6E9F" w14:textId="77777777" w:rsidR="00C75312" w:rsidRDefault="00BB293A">
      <w:pPr>
        <w:pStyle w:val="BodyText"/>
        <w:spacing w:before="80" w:line="480" w:lineRule="auto"/>
        <w:ind w:left="100" w:right="111"/>
        <w:jc w:val="both"/>
      </w:pPr>
      <w:r>
        <w:lastRenderedPageBreak/>
        <w:t>PM action even after prompting, it shows that PM failure is a consequence of retrospective memory difficulties only. Hence, studies should exclude those participants who, after prompting, cannot remember the PM instruction/action.</w:t>
      </w:r>
    </w:p>
    <w:p w14:paraId="1796A075" w14:textId="77777777" w:rsidR="00C75312" w:rsidRDefault="00BB293A">
      <w:pPr>
        <w:pStyle w:val="ListParagraph"/>
        <w:numPr>
          <w:ilvl w:val="0"/>
          <w:numId w:val="1"/>
        </w:numPr>
        <w:tabs>
          <w:tab w:val="left" w:pos="1161"/>
        </w:tabs>
        <w:spacing w:before="120" w:line="480" w:lineRule="auto"/>
        <w:ind w:right="108" w:firstLine="720"/>
        <w:jc w:val="both"/>
        <w:rPr>
          <w:sz w:val="24"/>
        </w:rPr>
      </w:pPr>
      <w:r>
        <w:rPr>
          <w:i/>
          <w:sz w:val="24"/>
        </w:rPr>
        <w:t>Mixed</w:t>
      </w:r>
      <w:r>
        <w:rPr>
          <w:i/>
          <w:spacing w:val="-10"/>
          <w:sz w:val="24"/>
        </w:rPr>
        <w:t xml:space="preserve"> </w:t>
      </w:r>
      <w:r>
        <w:rPr>
          <w:i/>
          <w:sz w:val="24"/>
        </w:rPr>
        <w:t>PM</w:t>
      </w:r>
      <w:r>
        <w:rPr>
          <w:i/>
          <w:spacing w:val="-2"/>
          <w:sz w:val="24"/>
        </w:rPr>
        <w:t xml:space="preserve"> </w:t>
      </w:r>
      <w:r>
        <w:rPr>
          <w:i/>
          <w:sz w:val="24"/>
        </w:rPr>
        <w:t>experiments:</w:t>
      </w:r>
      <w:r>
        <w:rPr>
          <w:i/>
          <w:spacing w:val="-3"/>
          <w:sz w:val="24"/>
        </w:rPr>
        <w:t xml:space="preserve"> </w:t>
      </w:r>
      <w:r>
        <w:rPr>
          <w:sz w:val="24"/>
        </w:rPr>
        <w:t>Some</w:t>
      </w:r>
      <w:r>
        <w:rPr>
          <w:spacing w:val="-5"/>
          <w:sz w:val="24"/>
        </w:rPr>
        <w:t xml:space="preserve"> </w:t>
      </w:r>
      <w:r>
        <w:rPr>
          <w:sz w:val="24"/>
        </w:rPr>
        <w:t>studies</w:t>
      </w:r>
      <w:r>
        <w:rPr>
          <w:spacing w:val="-7"/>
          <w:sz w:val="24"/>
        </w:rPr>
        <w:t xml:space="preserve"> </w:t>
      </w:r>
      <w:r>
        <w:rPr>
          <w:sz w:val="24"/>
        </w:rPr>
        <w:t>of</w:t>
      </w:r>
      <w:r>
        <w:rPr>
          <w:spacing w:val="-2"/>
          <w:sz w:val="24"/>
        </w:rPr>
        <w:t xml:space="preserve"> </w:t>
      </w:r>
      <w:r>
        <w:rPr>
          <w:sz w:val="24"/>
        </w:rPr>
        <w:t>PM</w:t>
      </w:r>
      <w:r>
        <w:rPr>
          <w:spacing w:val="-7"/>
          <w:sz w:val="24"/>
        </w:rPr>
        <w:t xml:space="preserve"> </w:t>
      </w:r>
      <w:r>
        <w:rPr>
          <w:spacing w:val="-3"/>
          <w:sz w:val="24"/>
        </w:rPr>
        <w:t>use</w:t>
      </w:r>
      <w:r>
        <w:rPr>
          <w:spacing w:val="-5"/>
          <w:sz w:val="24"/>
        </w:rPr>
        <w:t xml:space="preserve"> </w:t>
      </w:r>
      <w:r>
        <w:rPr>
          <w:sz w:val="24"/>
        </w:rPr>
        <w:t>paradigms</w:t>
      </w:r>
      <w:r>
        <w:rPr>
          <w:spacing w:val="-7"/>
          <w:sz w:val="24"/>
        </w:rPr>
        <w:t xml:space="preserve"> </w:t>
      </w:r>
      <w:r>
        <w:rPr>
          <w:sz w:val="24"/>
        </w:rPr>
        <w:t>that</w:t>
      </w:r>
      <w:r>
        <w:rPr>
          <w:spacing w:val="-3"/>
          <w:sz w:val="24"/>
        </w:rPr>
        <w:t xml:space="preserve"> </w:t>
      </w:r>
      <w:r>
        <w:rPr>
          <w:sz w:val="24"/>
        </w:rPr>
        <w:t>test</w:t>
      </w:r>
      <w:r>
        <w:rPr>
          <w:spacing w:val="-4"/>
          <w:sz w:val="24"/>
        </w:rPr>
        <w:t xml:space="preserve"> </w:t>
      </w:r>
      <w:r>
        <w:rPr>
          <w:sz w:val="24"/>
        </w:rPr>
        <w:t>both</w:t>
      </w:r>
      <w:r>
        <w:rPr>
          <w:spacing w:val="-4"/>
          <w:sz w:val="24"/>
        </w:rPr>
        <w:t xml:space="preserve"> </w:t>
      </w:r>
      <w:r>
        <w:rPr>
          <w:sz w:val="24"/>
        </w:rPr>
        <w:t>time-</w:t>
      </w:r>
      <w:r>
        <w:rPr>
          <w:spacing w:val="-8"/>
          <w:sz w:val="24"/>
        </w:rPr>
        <w:t xml:space="preserve"> </w:t>
      </w:r>
      <w:r>
        <w:rPr>
          <w:sz w:val="24"/>
        </w:rPr>
        <w:t xml:space="preserve">and event-based PM within the same condition. Although this </w:t>
      </w:r>
      <w:r>
        <w:rPr>
          <w:i/>
          <w:sz w:val="24"/>
        </w:rPr>
        <w:t xml:space="preserve">may </w:t>
      </w:r>
      <w:r>
        <w:rPr>
          <w:sz w:val="24"/>
        </w:rPr>
        <w:t>be more representative of real- life PM demands, the approach suffers from difficulties that limit interpretation of results. Specifically,</w:t>
      </w:r>
      <w:r>
        <w:rPr>
          <w:spacing w:val="-7"/>
          <w:sz w:val="24"/>
        </w:rPr>
        <w:t xml:space="preserve"> </w:t>
      </w:r>
      <w:r>
        <w:rPr>
          <w:sz w:val="24"/>
        </w:rPr>
        <w:t>if</w:t>
      </w:r>
      <w:r>
        <w:rPr>
          <w:spacing w:val="-7"/>
          <w:sz w:val="24"/>
        </w:rPr>
        <w:t xml:space="preserve"> </w:t>
      </w:r>
      <w:r>
        <w:rPr>
          <w:sz w:val="24"/>
        </w:rPr>
        <w:t>individuals</w:t>
      </w:r>
      <w:r>
        <w:rPr>
          <w:spacing w:val="-11"/>
          <w:sz w:val="24"/>
        </w:rPr>
        <w:t xml:space="preserve"> </w:t>
      </w:r>
      <w:r>
        <w:rPr>
          <w:sz w:val="24"/>
        </w:rPr>
        <w:t>with</w:t>
      </w:r>
      <w:r>
        <w:rPr>
          <w:spacing w:val="-10"/>
          <w:sz w:val="24"/>
        </w:rPr>
        <w:t xml:space="preserve"> </w:t>
      </w:r>
      <w:r>
        <w:rPr>
          <w:sz w:val="24"/>
        </w:rPr>
        <w:t>ASD</w:t>
      </w:r>
      <w:r>
        <w:rPr>
          <w:spacing w:val="-9"/>
          <w:sz w:val="24"/>
        </w:rPr>
        <w:t xml:space="preserve"> </w:t>
      </w:r>
      <w:r>
        <w:rPr>
          <w:sz w:val="24"/>
        </w:rPr>
        <w:t>have</w:t>
      </w:r>
      <w:r>
        <w:rPr>
          <w:spacing w:val="-5"/>
          <w:sz w:val="24"/>
        </w:rPr>
        <w:t xml:space="preserve"> </w:t>
      </w:r>
      <w:r>
        <w:rPr>
          <w:sz w:val="24"/>
        </w:rPr>
        <w:t>reliable</w:t>
      </w:r>
      <w:r>
        <w:rPr>
          <w:spacing w:val="-14"/>
          <w:sz w:val="24"/>
        </w:rPr>
        <w:t xml:space="preserve"> </w:t>
      </w:r>
      <w:r>
        <w:rPr>
          <w:sz w:val="24"/>
        </w:rPr>
        <w:t>impairments</w:t>
      </w:r>
      <w:r>
        <w:rPr>
          <w:spacing w:val="-7"/>
          <w:sz w:val="24"/>
        </w:rPr>
        <w:t xml:space="preserve"> </w:t>
      </w:r>
      <w:r>
        <w:rPr>
          <w:sz w:val="24"/>
        </w:rPr>
        <w:t>in</w:t>
      </w:r>
      <w:r>
        <w:rPr>
          <w:spacing w:val="-9"/>
          <w:sz w:val="24"/>
        </w:rPr>
        <w:t xml:space="preserve"> </w:t>
      </w:r>
      <w:r>
        <w:rPr>
          <w:sz w:val="24"/>
        </w:rPr>
        <w:t>only</w:t>
      </w:r>
      <w:r>
        <w:rPr>
          <w:spacing w:val="-9"/>
          <w:sz w:val="24"/>
        </w:rPr>
        <w:t xml:space="preserve"> </w:t>
      </w:r>
      <w:r>
        <w:rPr>
          <w:sz w:val="24"/>
        </w:rPr>
        <w:t>one</w:t>
      </w:r>
      <w:r>
        <w:rPr>
          <w:spacing w:val="-11"/>
          <w:sz w:val="24"/>
        </w:rPr>
        <w:t xml:space="preserve"> </w:t>
      </w:r>
      <w:r>
        <w:rPr>
          <w:sz w:val="24"/>
        </w:rPr>
        <w:t>aspect</w:t>
      </w:r>
      <w:r>
        <w:rPr>
          <w:spacing w:val="-3"/>
          <w:sz w:val="24"/>
        </w:rPr>
        <w:t xml:space="preserve"> </w:t>
      </w:r>
      <w:r>
        <w:rPr>
          <w:sz w:val="24"/>
        </w:rPr>
        <w:t>of</w:t>
      </w:r>
      <w:r>
        <w:rPr>
          <w:spacing w:val="-7"/>
          <w:sz w:val="24"/>
        </w:rPr>
        <w:t xml:space="preserve"> </w:t>
      </w:r>
      <w:r>
        <w:rPr>
          <w:sz w:val="24"/>
        </w:rPr>
        <w:t>PM,</w:t>
      </w:r>
      <w:r>
        <w:rPr>
          <w:spacing w:val="-7"/>
          <w:sz w:val="24"/>
        </w:rPr>
        <w:t xml:space="preserve"> </w:t>
      </w:r>
      <w:r>
        <w:rPr>
          <w:sz w:val="24"/>
        </w:rPr>
        <w:t>then difficulties</w:t>
      </w:r>
      <w:r>
        <w:rPr>
          <w:spacing w:val="-8"/>
          <w:sz w:val="24"/>
        </w:rPr>
        <w:t xml:space="preserve"> </w:t>
      </w:r>
      <w:r>
        <w:rPr>
          <w:sz w:val="24"/>
        </w:rPr>
        <w:t>with</w:t>
      </w:r>
      <w:r>
        <w:rPr>
          <w:spacing w:val="-10"/>
          <w:sz w:val="24"/>
        </w:rPr>
        <w:t xml:space="preserve"> </w:t>
      </w:r>
      <w:r>
        <w:rPr>
          <w:sz w:val="24"/>
        </w:rPr>
        <w:t>this</w:t>
      </w:r>
      <w:r>
        <w:rPr>
          <w:spacing w:val="-12"/>
          <w:sz w:val="24"/>
        </w:rPr>
        <w:t xml:space="preserve"> </w:t>
      </w:r>
      <w:r>
        <w:rPr>
          <w:sz w:val="24"/>
        </w:rPr>
        <w:t>aspect</w:t>
      </w:r>
      <w:r>
        <w:rPr>
          <w:spacing w:val="-4"/>
          <w:sz w:val="24"/>
        </w:rPr>
        <w:t xml:space="preserve"> </w:t>
      </w:r>
      <w:r>
        <w:rPr>
          <w:sz w:val="24"/>
        </w:rPr>
        <w:t>would</w:t>
      </w:r>
      <w:r>
        <w:rPr>
          <w:spacing w:val="-10"/>
          <w:sz w:val="24"/>
        </w:rPr>
        <w:t xml:space="preserve"> </w:t>
      </w:r>
      <w:r>
        <w:rPr>
          <w:sz w:val="24"/>
        </w:rPr>
        <w:t>leave</w:t>
      </w:r>
      <w:r>
        <w:rPr>
          <w:spacing w:val="-6"/>
          <w:sz w:val="24"/>
        </w:rPr>
        <w:t xml:space="preserve"> </w:t>
      </w:r>
      <w:r>
        <w:rPr>
          <w:sz w:val="24"/>
        </w:rPr>
        <w:t>fewer</w:t>
      </w:r>
      <w:r>
        <w:rPr>
          <w:spacing w:val="-8"/>
          <w:sz w:val="24"/>
        </w:rPr>
        <w:t xml:space="preserve"> </w:t>
      </w:r>
      <w:r>
        <w:rPr>
          <w:sz w:val="24"/>
        </w:rPr>
        <w:t>cognitive</w:t>
      </w:r>
      <w:r>
        <w:rPr>
          <w:spacing w:val="-6"/>
          <w:sz w:val="24"/>
        </w:rPr>
        <w:t xml:space="preserve"> </w:t>
      </w:r>
      <w:r>
        <w:rPr>
          <w:sz w:val="24"/>
        </w:rPr>
        <w:t>resources</w:t>
      </w:r>
      <w:r>
        <w:rPr>
          <w:spacing w:val="-7"/>
          <w:sz w:val="24"/>
        </w:rPr>
        <w:t xml:space="preserve"> </w:t>
      </w:r>
      <w:r>
        <w:rPr>
          <w:sz w:val="24"/>
        </w:rPr>
        <w:t>than</w:t>
      </w:r>
      <w:r>
        <w:rPr>
          <w:spacing w:val="-10"/>
          <w:sz w:val="24"/>
        </w:rPr>
        <w:t xml:space="preserve"> </w:t>
      </w:r>
      <w:r>
        <w:rPr>
          <w:sz w:val="24"/>
        </w:rPr>
        <w:t>would</w:t>
      </w:r>
      <w:r>
        <w:rPr>
          <w:spacing w:val="-10"/>
          <w:sz w:val="24"/>
        </w:rPr>
        <w:t xml:space="preserve"> </w:t>
      </w:r>
      <w:r>
        <w:rPr>
          <w:sz w:val="24"/>
        </w:rPr>
        <w:t>otherwise</w:t>
      </w:r>
      <w:r>
        <w:rPr>
          <w:spacing w:val="-6"/>
          <w:sz w:val="24"/>
        </w:rPr>
        <w:t xml:space="preserve"> </w:t>
      </w:r>
      <w:r>
        <w:rPr>
          <w:sz w:val="24"/>
        </w:rPr>
        <w:t>be</w:t>
      </w:r>
      <w:r>
        <w:rPr>
          <w:spacing w:val="-11"/>
          <w:sz w:val="24"/>
        </w:rPr>
        <w:t xml:space="preserve"> </w:t>
      </w:r>
      <w:r>
        <w:rPr>
          <w:sz w:val="24"/>
        </w:rPr>
        <w:t>the case for the usually-undiminished aspect. Thus, the recommended approach is to investigate time-</w:t>
      </w:r>
      <w:r>
        <w:rPr>
          <w:spacing w:val="-18"/>
          <w:sz w:val="24"/>
        </w:rPr>
        <w:t xml:space="preserve"> </w:t>
      </w:r>
      <w:r>
        <w:rPr>
          <w:sz w:val="24"/>
        </w:rPr>
        <w:t>and</w:t>
      </w:r>
      <w:r>
        <w:rPr>
          <w:spacing w:val="-14"/>
          <w:sz w:val="24"/>
        </w:rPr>
        <w:t xml:space="preserve"> </w:t>
      </w:r>
      <w:r>
        <w:rPr>
          <w:sz w:val="24"/>
        </w:rPr>
        <w:t>event-based</w:t>
      </w:r>
      <w:r>
        <w:rPr>
          <w:spacing w:val="-14"/>
          <w:sz w:val="24"/>
        </w:rPr>
        <w:t xml:space="preserve"> </w:t>
      </w:r>
      <w:r>
        <w:rPr>
          <w:sz w:val="24"/>
        </w:rPr>
        <w:t>PM</w:t>
      </w:r>
      <w:r>
        <w:rPr>
          <w:spacing w:val="-17"/>
          <w:sz w:val="24"/>
        </w:rPr>
        <w:t xml:space="preserve"> </w:t>
      </w:r>
      <w:r>
        <w:rPr>
          <w:sz w:val="24"/>
        </w:rPr>
        <w:t>in</w:t>
      </w:r>
      <w:r>
        <w:rPr>
          <w:spacing w:val="-14"/>
          <w:sz w:val="24"/>
        </w:rPr>
        <w:t xml:space="preserve"> </w:t>
      </w:r>
      <w:r>
        <w:rPr>
          <w:sz w:val="24"/>
        </w:rPr>
        <w:t>separate</w:t>
      </w:r>
      <w:r>
        <w:rPr>
          <w:spacing w:val="-14"/>
          <w:sz w:val="24"/>
        </w:rPr>
        <w:t xml:space="preserve"> </w:t>
      </w:r>
      <w:r>
        <w:rPr>
          <w:sz w:val="24"/>
        </w:rPr>
        <w:t>experiments</w:t>
      </w:r>
      <w:r>
        <w:rPr>
          <w:spacing w:val="-17"/>
          <w:sz w:val="24"/>
        </w:rPr>
        <w:t xml:space="preserve"> </w:t>
      </w:r>
      <w:r>
        <w:rPr>
          <w:sz w:val="24"/>
        </w:rPr>
        <w:t>(or</w:t>
      </w:r>
      <w:r>
        <w:rPr>
          <w:spacing w:val="-13"/>
          <w:sz w:val="24"/>
        </w:rPr>
        <w:t xml:space="preserve"> </w:t>
      </w:r>
      <w:r>
        <w:rPr>
          <w:sz w:val="24"/>
        </w:rPr>
        <w:t>experimental</w:t>
      </w:r>
      <w:r>
        <w:rPr>
          <w:spacing w:val="-14"/>
          <w:sz w:val="24"/>
        </w:rPr>
        <w:t xml:space="preserve"> </w:t>
      </w:r>
      <w:r>
        <w:rPr>
          <w:sz w:val="24"/>
        </w:rPr>
        <w:t>conditions</w:t>
      </w:r>
      <w:r>
        <w:rPr>
          <w:spacing w:val="-17"/>
          <w:sz w:val="24"/>
        </w:rPr>
        <w:t xml:space="preserve"> </w:t>
      </w:r>
      <w:r>
        <w:rPr>
          <w:sz w:val="24"/>
        </w:rPr>
        <w:t>of</w:t>
      </w:r>
      <w:r>
        <w:rPr>
          <w:spacing w:val="-12"/>
          <w:sz w:val="24"/>
        </w:rPr>
        <w:t xml:space="preserve"> </w:t>
      </w:r>
      <w:r>
        <w:rPr>
          <w:sz w:val="24"/>
        </w:rPr>
        <w:t>a</w:t>
      </w:r>
      <w:r>
        <w:rPr>
          <w:spacing w:val="-15"/>
          <w:sz w:val="24"/>
        </w:rPr>
        <w:t xml:space="preserve"> </w:t>
      </w:r>
      <w:r>
        <w:rPr>
          <w:sz w:val="24"/>
        </w:rPr>
        <w:t>task)</w:t>
      </w:r>
      <w:r>
        <w:rPr>
          <w:spacing w:val="-13"/>
          <w:sz w:val="24"/>
        </w:rPr>
        <w:t xml:space="preserve"> </w:t>
      </w:r>
      <w:r>
        <w:rPr>
          <w:sz w:val="24"/>
        </w:rPr>
        <w:t>within the same</w:t>
      </w:r>
      <w:r>
        <w:rPr>
          <w:spacing w:val="1"/>
          <w:sz w:val="24"/>
        </w:rPr>
        <w:t xml:space="preserve"> </w:t>
      </w:r>
      <w:r>
        <w:rPr>
          <w:sz w:val="24"/>
        </w:rPr>
        <w:t>sample.</w:t>
      </w:r>
    </w:p>
    <w:p w14:paraId="0896620D" w14:textId="77777777" w:rsidR="00C75312" w:rsidRDefault="00BB293A">
      <w:pPr>
        <w:pStyle w:val="BodyText"/>
        <w:spacing w:before="120" w:line="480" w:lineRule="auto"/>
        <w:ind w:left="100" w:right="108" w:firstLine="720"/>
        <w:jc w:val="both"/>
      </w:pPr>
      <w:r>
        <w:t>Having considered these potential methodological issues, I now discuss four landmark studies that serve as a foundation for considering other studies of PM in ASD. Then, further laboratory studies are examined, as well as studies that explored PM in ASD in a more naturalistic context.</w:t>
      </w:r>
    </w:p>
    <w:p w14:paraId="0C3C5362" w14:textId="77777777" w:rsidR="00C75312" w:rsidRDefault="00C75312">
      <w:pPr>
        <w:spacing w:line="480" w:lineRule="auto"/>
        <w:jc w:val="both"/>
        <w:sectPr w:rsidR="00C75312">
          <w:pgSz w:w="11900" w:h="16840"/>
          <w:pgMar w:top="1360" w:right="1320" w:bottom="280" w:left="1340" w:header="715" w:footer="0" w:gutter="0"/>
          <w:cols w:space="720"/>
        </w:sectPr>
      </w:pPr>
    </w:p>
    <w:p w14:paraId="01579519" w14:textId="77777777" w:rsidR="00C75312" w:rsidRDefault="00BB293A">
      <w:pPr>
        <w:tabs>
          <w:tab w:val="right" w:pos="14103"/>
        </w:tabs>
        <w:spacing w:before="71"/>
        <w:ind w:left="140"/>
      </w:pPr>
      <w:r>
        <w:lastRenderedPageBreak/>
        <w:pict w14:anchorId="51DDACBA">
          <v:line id="_x0000_s2846" style="position:absolute;left:0;text-align:left;z-index:251664384;mso-position-horizontal-relative:page" from="70.55pt,18.6pt" to="771.35pt,18.6pt" strokecolor="#bfbfbf" strokeweight="1.44pt">
            <w10:wrap anchorx="page"/>
          </v:line>
        </w:pict>
      </w:r>
      <w:r>
        <w:rPr>
          <w:color w:val="BFBFBF"/>
        </w:rPr>
        <w:t>Chapter 1: Introduction to PM</w:t>
      </w:r>
      <w:r>
        <w:rPr>
          <w:color w:val="BFBFBF"/>
          <w:spacing w:val="-4"/>
        </w:rPr>
        <w:t xml:space="preserve"> </w:t>
      </w:r>
      <w:r>
        <w:rPr>
          <w:color w:val="BFBFBF"/>
        </w:rPr>
        <w:t>in</w:t>
      </w:r>
      <w:r>
        <w:rPr>
          <w:color w:val="BFBFBF"/>
          <w:spacing w:val="2"/>
        </w:rPr>
        <w:t xml:space="preserve"> </w:t>
      </w:r>
      <w:r>
        <w:rPr>
          <w:color w:val="BFBFBF"/>
        </w:rPr>
        <w:t>ASD</w:t>
      </w:r>
      <w:r>
        <w:rPr>
          <w:color w:val="BFBFBF"/>
        </w:rPr>
        <w:tab/>
        <w:t>22</w:t>
      </w:r>
    </w:p>
    <w:p w14:paraId="17FF7FEE" w14:textId="77777777" w:rsidR="00C75312" w:rsidRDefault="00C75312">
      <w:pPr>
        <w:sectPr w:rsidR="00C75312">
          <w:headerReference w:type="default" r:id="rId24"/>
          <w:pgSz w:w="16840" w:h="11900" w:orient="landscape"/>
          <w:pgMar w:top="640" w:right="1300" w:bottom="280" w:left="1300" w:header="0" w:footer="0" w:gutter="0"/>
          <w:cols w:space="720"/>
        </w:sectPr>
      </w:pPr>
    </w:p>
    <w:p w14:paraId="3FDB8882" w14:textId="77777777" w:rsidR="00C75312" w:rsidRDefault="00BB293A">
      <w:pPr>
        <w:spacing w:before="476"/>
        <w:ind w:left="140"/>
        <w:rPr>
          <w:i/>
          <w:sz w:val="20"/>
        </w:rPr>
      </w:pPr>
      <w:r>
        <w:rPr>
          <w:i/>
          <w:sz w:val="20"/>
        </w:rPr>
        <w:t>Table 3. Overview of included studies with regard to key methodological issues</w:t>
      </w:r>
    </w:p>
    <w:p w14:paraId="6410A74C" w14:textId="77777777" w:rsidR="00C75312" w:rsidRDefault="00BB293A">
      <w:pPr>
        <w:spacing w:before="341" w:line="276" w:lineRule="auto"/>
        <w:ind w:left="4867" w:right="25" w:hanging="2271"/>
        <w:rPr>
          <w:b/>
          <w:sz w:val="20"/>
        </w:rPr>
      </w:pPr>
      <w:r>
        <w:pict w14:anchorId="40383616">
          <v:group id="_x0000_s2836" style="position:absolute;left:0;text-align:left;margin-left:1in;margin-top:10.05pt;width:697.95pt;height:.5pt;z-index:251665408;mso-position-horizontal-relative:page" coordorigin="1440,201" coordsize="13959,10">
            <v:line id="_x0000_s2845" style="position:absolute" from="1440,206" to="3754,206" strokeweight=".48pt"/>
            <v:rect id="_x0000_s2844" style="position:absolute;left:3753;top:201;width:10;height:10" fillcolor="black" stroked="f"/>
            <v:line id="_x0000_s2843" style="position:absolute" from="3763,206" to="9360,206" strokeweight=".48pt"/>
            <v:rect id="_x0000_s2842" style="position:absolute;left:9360;top:201;width:10;height:10" fillcolor="black" stroked="f"/>
            <v:line id="_x0000_s2841" style="position:absolute" from="9370,206" to="12312,206" strokeweight=".48pt"/>
            <v:rect id="_x0000_s2840" style="position:absolute;left:12312;top:201;width:10;height:10" fillcolor="black" stroked="f"/>
            <v:line id="_x0000_s2839" style="position:absolute" from="12322,206" to="14002,206" strokeweight=".48pt"/>
            <v:rect id="_x0000_s2838" style="position:absolute;left:14001;top:201;width:10;height:10" fillcolor="black" stroked="f"/>
            <v:line id="_x0000_s2837" style="position:absolute" from="14011,206" to="15398,206" strokeweight=".48pt"/>
            <w10:wrap anchorx="page"/>
          </v:group>
        </w:pict>
      </w:r>
      <w:r>
        <w:rPr>
          <w:b/>
          <w:sz w:val="20"/>
        </w:rPr>
        <w:t xml:space="preserve">Matching on baseline characteristics &amp; Cohen’s </w:t>
      </w:r>
      <w:r>
        <w:rPr>
          <w:b/>
          <w:i/>
          <w:sz w:val="20"/>
        </w:rPr>
        <w:t xml:space="preserve">d </w:t>
      </w:r>
      <w:r>
        <w:rPr>
          <w:b/>
          <w:sz w:val="20"/>
        </w:rPr>
        <w:t>for matched variables</w:t>
      </w:r>
    </w:p>
    <w:p w14:paraId="6DEEFC74" w14:textId="77777777" w:rsidR="00C75312" w:rsidRDefault="00BB293A">
      <w:pPr>
        <w:pStyle w:val="BodyText"/>
        <w:rPr>
          <w:b/>
          <w:sz w:val="22"/>
        </w:rPr>
      </w:pPr>
      <w:r>
        <w:br w:type="column"/>
      </w:r>
    </w:p>
    <w:p w14:paraId="0457D2EC" w14:textId="77777777" w:rsidR="00C75312" w:rsidRDefault="00C75312">
      <w:pPr>
        <w:pStyle w:val="BodyText"/>
        <w:rPr>
          <w:b/>
          <w:sz w:val="22"/>
        </w:rPr>
      </w:pPr>
    </w:p>
    <w:p w14:paraId="3843670D" w14:textId="77777777" w:rsidR="00C75312" w:rsidRDefault="00C75312">
      <w:pPr>
        <w:pStyle w:val="BodyText"/>
        <w:rPr>
          <w:b/>
          <w:sz w:val="22"/>
        </w:rPr>
      </w:pPr>
    </w:p>
    <w:p w14:paraId="0CD523DC" w14:textId="77777777" w:rsidR="00C75312" w:rsidRDefault="00C75312">
      <w:pPr>
        <w:pStyle w:val="BodyText"/>
        <w:spacing w:before="1"/>
        <w:rPr>
          <w:b/>
          <w:sz w:val="25"/>
        </w:rPr>
      </w:pPr>
    </w:p>
    <w:p w14:paraId="67CD62FF" w14:textId="77777777" w:rsidR="00C75312" w:rsidRDefault="00BB293A">
      <w:pPr>
        <w:spacing w:line="276" w:lineRule="auto"/>
        <w:ind w:left="140" w:right="25"/>
        <w:rPr>
          <w:b/>
          <w:i/>
          <w:sz w:val="20"/>
        </w:rPr>
      </w:pPr>
      <w:r>
        <w:rPr>
          <w:b/>
          <w:sz w:val="20"/>
        </w:rPr>
        <w:t xml:space="preserve">Matching on ongoing task performance &amp; Cohen’s </w:t>
      </w:r>
      <w:r>
        <w:rPr>
          <w:b/>
          <w:i/>
          <w:sz w:val="20"/>
        </w:rPr>
        <w:t>d</w:t>
      </w:r>
    </w:p>
    <w:p w14:paraId="4D5BB3B1" w14:textId="77777777" w:rsidR="00C75312" w:rsidRDefault="00BB293A">
      <w:pPr>
        <w:pStyle w:val="BodyText"/>
        <w:rPr>
          <w:b/>
          <w:i/>
          <w:sz w:val="22"/>
        </w:rPr>
      </w:pPr>
      <w:r>
        <w:br w:type="column"/>
      </w:r>
    </w:p>
    <w:p w14:paraId="52096C16" w14:textId="77777777" w:rsidR="00C75312" w:rsidRDefault="00C75312">
      <w:pPr>
        <w:pStyle w:val="BodyText"/>
        <w:rPr>
          <w:b/>
          <w:i/>
          <w:sz w:val="22"/>
        </w:rPr>
      </w:pPr>
    </w:p>
    <w:p w14:paraId="4E845937" w14:textId="77777777" w:rsidR="00C75312" w:rsidRDefault="00C75312">
      <w:pPr>
        <w:pStyle w:val="BodyText"/>
        <w:rPr>
          <w:b/>
          <w:i/>
          <w:sz w:val="22"/>
        </w:rPr>
      </w:pPr>
    </w:p>
    <w:p w14:paraId="465F68EC" w14:textId="77777777" w:rsidR="00C75312" w:rsidRDefault="00BB293A">
      <w:pPr>
        <w:spacing w:before="159" w:line="276" w:lineRule="auto"/>
        <w:ind w:left="139" w:right="38"/>
        <w:jc w:val="center"/>
        <w:rPr>
          <w:b/>
          <w:sz w:val="20"/>
        </w:rPr>
      </w:pPr>
      <w:r>
        <w:rPr>
          <w:b/>
          <w:sz w:val="20"/>
        </w:rPr>
        <w:t>Retrospective memory for PM instruction</w:t>
      </w:r>
    </w:p>
    <w:p w14:paraId="55490CAF" w14:textId="77777777" w:rsidR="00C75312" w:rsidRDefault="00BB293A">
      <w:pPr>
        <w:pStyle w:val="BodyText"/>
        <w:rPr>
          <w:b/>
          <w:sz w:val="22"/>
        </w:rPr>
      </w:pPr>
      <w:r>
        <w:br w:type="column"/>
      </w:r>
    </w:p>
    <w:p w14:paraId="6E788571" w14:textId="77777777" w:rsidR="00C75312" w:rsidRDefault="00C75312">
      <w:pPr>
        <w:pStyle w:val="BodyText"/>
        <w:rPr>
          <w:b/>
          <w:sz w:val="22"/>
        </w:rPr>
      </w:pPr>
    </w:p>
    <w:p w14:paraId="20A42129" w14:textId="77777777" w:rsidR="00C75312" w:rsidRDefault="00C75312">
      <w:pPr>
        <w:pStyle w:val="BodyText"/>
        <w:rPr>
          <w:b/>
          <w:sz w:val="22"/>
        </w:rPr>
      </w:pPr>
    </w:p>
    <w:p w14:paraId="5398E4F4" w14:textId="77777777" w:rsidR="00C75312" w:rsidRDefault="00C75312">
      <w:pPr>
        <w:pStyle w:val="BodyText"/>
        <w:spacing w:before="1"/>
        <w:rPr>
          <w:b/>
          <w:sz w:val="25"/>
        </w:rPr>
      </w:pPr>
    </w:p>
    <w:p w14:paraId="2B945449" w14:textId="77777777" w:rsidR="00C75312" w:rsidRDefault="00BB293A">
      <w:pPr>
        <w:spacing w:line="276" w:lineRule="auto"/>
        <w:ind w:left="140" w:right="336" w:firstLine="28"/>
        <w:rPr>
          <w:b/>
          <w:sz w:val="20"/>
        </w:rPr>
      </w:pPr>
      <w:r>
        <w:rPr>
          <w:b/>
          <w:sz w:val="20"/>
        </w:rPr>
        <w:t>Mixed PM experiment</w:t>
      </w:r>
    </w:p>
    <w:p w14:paraId="747240B8" w14:textId="77777777" w:rsidR="00C75312" w:rsidRDefault="00C75312">
      <w:pPr>
        <w:spacing w:line="276" w:lineRule="auto"/>
        <w:rPr>
          <w:sz w:val="20"/>
        </w:rPr>
        <w:sectPr w:rsidR="00C75312">
          <w:type w:val="continuous"/>
          <w:pgSz w:w="16840" w:h="11900" w:orient="landscape"/>
          <w:pgMar w:top="700" w:right="1300" w:bottom="280" w:left="1300" w:header="720" w:footer="720" w:gutter="0"/>
          <w:cols w:num="4" w:space="720" w:equalWidth="0">
            <w:col w:w="7963" w:space="322"/>
            <w:col w:w="2403" w:space="342"/>
            <w:col w:w="1561" w:space="186"/>
            <w:col w:w="1463"/>
          </w:cols>
        </w:sectPr>
      </w:pPr>
    </w:p>
    <w:p w14:paraId="5E29C8A1" w14:textId="77777777" w:rsidR="00C75312" w:rsidRDefault="00C75312">
      <w:pPr>
        <w:pStyle w:val="BodyText"/>
        <w:rPr>
          <w:b/>
          <w:sz w:val="20"/>
        </w:rPr>
      </w:pPr>
    </w:p>
    <w:p w14:paraId="0402B703" w14:textId="77777777" w:rsidR="00C75312" w:rsidRDefault="00C75312">
      <w:pPr>
        <w:pStyle w:val="BodyText"/>
        <w:rPr>
          <w:b/>
          <w:sz w:val="20"/>
        </w:rPr>
      </w:pPr>
    </w:p>
    <w:p w14:paraId="77339E7E" w14:textId="77777777" w:rsidR="00C75312" w:rsidRDefault="00C75312">
      <w:pPr>
        <w:pStyle w:val="BodyText"/>
        <w:rPr>
          <w:b/>
          <w:sz w:val="20"/>
        </w:rPr>
      </w:pPr>
    </w:p>
    <w:p w14:paraId="12542EA7" w14:textId="77777777" w:rsidR="00C75312" w:rsidRDefault="00C75312">
      <w:pPr>
        <w:pStyle w:val="BodyText"/>
        <w:rPr>
          <w:b/>
          <w:sz w:val="20"/>
        </w:rPr>
      </w:pPr>
    </w:p>
    <w:p w14:paraId="428E7F48" w14:textId="77777777" w:rsidR="00C75312" w:rsidRDefault="00C75312">
      <w:pPr>
        <w:pStyle w:val="BodyText"/>
        <w:rPr>
          <w:b/>
          <w:sz w:val="20"/>
        </w:rPr>
      </w:pPr>
    </w:p>
    <w:p w14:paraId="6FB5B2FD" w14:textId="77777777" w:rsidR="00C75312" w:rsidRDefault="00C75312">
      <w:pPr>
        <w:pStyle w:val="BodyText"/>
        <w:rPr>
          <w:b/>
          <w:sz w:val="20"/>
        </w:rPr>
      </w:pPr>
    </w:p>
    <w:p w14:paraId="28A078D7" w14:textId="77777777" w:rsidR="00C75312" w:rsidRDefault="00C75312">
      <w:pPr>
        <w:pStyle w:val="BodyText"/>
        <w:rPr>
          <w:b/>
          <w:sz w:val="20"/>
        </w:rPr>
      </w:pPr>
    </w:p>
    <w:p w14:paraId="2F489D5C" w14:textId="77777777" w:rsidR="00C75312" w:rsidRDefault="00C75312">
      <w:pPr>
        <w:pStyle w:val="BodyText"/>
        <w:rPr>
          <w:b/>
          <w:sz w:val="20"/>
        </w:rPr>
      </w:pPr>
    </w:p>
    <w:p w14:paraId="0FC99051" w14:textId="77777777" w:rsidR="00C75312" w:rsidRDefault="00C75312">
      <w:pPr>
        <w:pStyle w:val="BodyText"/>
        <w:rPr>
          <w:b/>
          <w:sz w:val="20"/>
        </w:rPr>
      </w:pPr>
    </w:p>
    <w:p w14:paraId="42B22840" w14:textId="77777777" w:rsidR="00C75312" w:rsidRDefault="00C75312">
      <w:pPr>
        <w:pStyle w:val="BodyText"/>
        <w:rPr>
          <w:b/>
          <w:sz w:val="20"/>
        </w:rPr>
      </w:pPr>
    </w:p>
    <w:p w14:paraId="47BEFB43" w14:textId="77777777" w:rsidR="00C75312" w:rsidRDefault="00C75312">
      <w:pPr>
        <w:pStyle w:val="BodyText"/>
        <w:rPr>
          <w:b/>
          <w:sz w:val="20"/>
        </w:rPr>
      </w:pPr>
    </w:p>
    <w:p w14:paraId="04BA1548" w14:textId="77777777" w:rsidR="00C75312" w:rsidRDefault="00C75312">
      <w:pPr>
        <w:pStyle w:val="BodyText"/>
        <w:rPr>
          <w:b/>
          <w:sz w:val="20"/>
        </w:rPr>
      </w:pPr>
    </w:p>
    <w:p w14:paraId="71CF19C2" w14:textId="77777777" w:rsidR="00C75312" w:rsidRDefault="00C75312">
      <w:pPr>
        <w:pStyle w:val="BodyText"/>
        <w:rPr>
          <w:b/>
          <w:sz w:val="20"/>
        </w:rPr>
      </w:pPr>
    </w:p>
    <w:p w14:paraId="311C26EE" w14:textId="77777777" w:rsidR="00C75312" w:rsidRDefault="00C75312">
      <w:pPr>
        <w:pStyle w:val="BodyText"/>
        <w:rPr>
          <w:b/>
          <w:sz w:val="20"/>
        </w:rPr>
      </w:pPr>
    </w:p>
    <w:p w14:paraId="200E5141" w14:textId="77777777" w:rsidR="00C75312" w:rsidRDefault="00C75312">
      <w:pPr>
        <w:pStyle w:val="BodyText"/>
        <w:rPr>
          <w:b/>
          <w:sz w:val="20"/>
        </w:rPr>
      </w:pPr>
    </w:p>
    <w:p w14:paraId="604FE774" w14:textId="77777777" w:rsidR="00C75312" w:rsidRDefault="00C75312">
      <w:pPr>
        <w:pStyle w:val="BodyText"/>
        <w:rPr>
          <w:b/>
          <w:sz w:val="20"/>
        </w:rPr>
      </w:pPr>
    </w:p>
    <w:p w14:paraId="746F39DC" w14:textId="77777777" w:rsidR="00C75312" w:rsidRDefault="00C75312">
      <w:pPr>
        <w:pStyle w:val="BodyText"/>
        <w:rPr>
          <w:b/>
          <w:sz w:val="20"/>
        </w:rPr>
      </w:pPr>
    </w:p>
    <w:p w14:paraId="6A0B9C43" w14:textId="77777777" w:rsidR="00C75312" w:rsidRDefault="00C75312">
      <w:pPr>
        <w:pStyle w:val="BodyText"/>
        <w:rPr>
          <w:b/>
          <w:sz w:val="20"/>
        </w:rPr>
      </w:pPr>
    </w:p>
    <w:p w14:paraId="5A76B38B" w14:textId="77777777" w:rsidR="00C75312" w:rsidRDefault="00C75312">
      <w:pPr>
        <w:pStyle w:val="BodyText"/>
        <w:rPr>
          <w:b/>
          <w:sz w:val="20"/>
        </w:rPr>
      </w:pPr>
    </w:p>
    <w:p w14:paraId="16D2C958" w14:textId="77777777" w:rsidR="00C75312" w:rsidRDefault="00C75312">
      <w:pPr>
        <w:pStyle w:val="BodyText"/>
        <w:rPr>
          <w:b/>
          <w:sz w:val="20"/>
        </w:rPr>
      </w:pPr>
    </w:p>
    <w:p w14:paraId="2F82F363" w14:textId="77777777" w:rsidR="00C75312" w:rsidRDefault="00C75312">
      <w:pPr>
        <w:pStyle w:val="BodyText"/>
        <w:spacing w:before="2"/>
        <w:rPr>
          <w:b/>
          <w:sz w:val="19"/>
        </w:rPr>
      </w:pPr>
    </w:p>
    <w:p w14:paraId="4DBFDC34" w14:textId="77777777" w:rsidR="00C75312" w:rsidRDefault="00BB293A">
      <w:pPr>
        <w:spacing w:before="93"/>
        <w:ind w:left="2722"/>
        <w:rPr>
          <w:sz w:val="20"/>
        </w:rPr>
      </w:pPr>
      <w:r>
        <w:pict w14:anchorId="477FADA7">
          <v:shapetype id="_x0000_t202" coordsize="21600,21600" o:spt="202" path="m,l,21600r21600,l21600,xe">
            <v:stroke joinstyle="miter"/>
            <v:path gradientshapeok="t" o:connecttype="rect"/>
          </v:shapetype>
          <v:shape id="_x0000_s2835" type="#_x0000_t202" style="position:absolute;left:0;text-align:left;margin-left:70.55pt;margin-top:-240.85pt;width:700.8pt;height:286.35pt;z-index:2516684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628"/>
                    <w:gridCol w:w="1380"/>
                    <w:gridCol w:w="1454"/>
                    <w:gridCol w:w="1248"/>
                    <w:gridCol w:w="1222"/>
                    <w:gridCol w:w="1582"/>
                    <w:gridCol w:w="1236"/>
                    <w:gridCol w:w="1946"/>
                    <w:gridCol w:w="1320"/>
                  </w:tblGrid>
                  <w:tr w:rsidR="00C75312" w14:paraId="68E8D25E" w14:textId="77777777">
                    <w:trPr>
                      <w:trHeight w:val="455"/>
                    </w:trPr>
                    <w:tc>
                      <w:tcPr>
                        <w:tcW w:w="2628" w:type="dxa"/>
                        <w:tcBorders>
                          <w:top w:val="single" w:sz="4" w:space="0" w:color="000000"/>
                          <w:bottom w:val="single" w:sz="4" w:space="0" w:color="000000"/>
                        </w:tcBorders>
                      </w:tcPr>
                      <w:p w14:paraId="65081BFC" w14:textId="77777777" w:rsidR="00C75312" w:rsidRDefault="00BB293A">
                        <w:pPr>
                          <w:pStyle w:val="TableParagraph"/>
                          <w:spacing w:before="96"/>
                          <w:ind w:left="134"/>
                          <w:rPr>
                            <w:sz w:val="20"/>
                          </w:rPr>
                        </w:pPr>
                        <w:proofErr w:type="spellStart"/>
                        <w:r>
                          <w:rPr>
                            <w:sz w:val="20"/>
                          </w:rPr>
                          <w:t>Altgassen</w:t>
                        </w:r>
                        <w:proofErr w:type="spellEnd"/>
                        <w:r>
                          <w:rPr>
                            <w:sz w:val="20"/>
                          </w:rPr>
                          <w:t xml:space="preserve"> et al. (2009)</w:t>
                        </w:r>
                      </w:p>
                    </w:tc>
                    <w:tc>
                      <w:tcPr>
                        <w:tcW w:w="1380" w:type="dxa"/>
                        <w:tcBorders>
                          <w:top w:val="single" w:sz="4" w:space="0" w:color="000000"/>
                          <w:bottom w:val="single" w:sz="4" w:space="0" w:color="000000"/>
                        </w:tcBorders>
                      </w:tcPr>
                      <w:p w14:paraId="03268EB5" w14:textId="77777777" w:rsidR="00C75312" w:rsidRDefault="00BB293A">
                        <w:pPr>
                          <w:pStyle w:val="TableParagraph"/>
                          <w:spacing w:before="96"/>
                          <w:ind w:left="409" w:right="451"/>
                          <w:jc w:val="center"/>
                          <w:rPr>
                            <w:sz w:val="20"/>
                          </w:rPr>
                        </w:pPr>
                        <w:r>
                          <w:rPr>
                            <w:sz w:val="20"/>
                          </w:rPr>
                          <w:t>Yes</w:t>
                        </w:r>
                      </w:p>
                    </w:tc>
                    <w:tc>
                      <w:tcPr>
                        <w:tcW w:w="1454" w:type="dxa"/>
                        <w:tcBorders>
                          <w:top w:val="single" w:sz="4" w:space="0" w:color="000000"/>
                          <w:bottom w:val="single" w:sz="4" w:space="0" w:color="000000"/>
                        </w:tcBorders>
                      </w:tcPr>
                      <w:p w14:paraId="793D6867" w14:textId="77777777" w:rsidR="00C75312" w:rsidRDefault="00BB293A">
                        <w:pPr>
                          <w:pStyle w:val="TableParagraph"/>
                          <w:spacing w:before="96"/>
                          <w:ind w:left="470"/>
                          <w:rPr>
                            <w:sz w:val="20"/>
                          </w:rPr>
                        </w:pPr>
                        <w:r>
                          <w:rPr>
                            <w:sz w:val="20"/>
                          </w:rPr>
                          <w:t>Age: 0.36</w:t>
                        </w:r>
                      </w:p>
                    </w:tc>
                    <w:tc>
                      <w:tcPr>
                        <w:tcW w:w="1248" w:type="dxa"/>
                        <w:tcBorders>
                          <w:top w:val="single" w:sz="4" w:space="0" w:color="000000"/>
                          <w:bottom w:val="single" w:sz="4" w:space="0" w:color="000000"/>
                        </w:tcBorders>
                      </w:tcPr>
                      <w:p w14:paraId="43DB2F88" w14:textId="77777777" w:rsidR="00C75312" w:rsidRDefault="00BB293A">
                        <w:pPr>
                          <w:pStyle w:val="TableParagraph"/>
                          <w:spacing w:before="96"/>
                          <w:ind w:right="232"/>
                          <w:jc w:val="right"/>
                          <w:rPr>
                            <w:sz w:val="20"/>
                          </w:rPr>
                        </w:pPr>
                        <w:r>
                          <w:rPr>
                            <w:sz w:val="20"/>
                          </w:rPr>
                          <w:t>VA: 0.50</w:t>
                        </w:r>
                      </w:p>
                    </w:tc>
                    <w:tc>
                      <w:tcPr>
                        <w:tcW w:w="1222" w:type="dxa"/>
                        <w:tcBorders>
                          <w:top w:val="single" w:sz="4" w:space="0" w:color="000000"/>
                          <w:bottom w:val="single" w:sz="4" w:space="0" w:color="000000"/>
                        </w:tcBorders>
                      </w:tcPr>
                      <w:p w14:paraId="4ABB4567" w14:textId="77777777" w:rsidR="00C75312" w:rsidRDefault="00BB293A">
                        <w:pPr>
                          <w:pStyle w:val="TableParagraph"/>
                          <w:spacing w:before="96"/>
                          <w:ind w:left="146" w:right="147"/>
                          <w:jc w:val="center"/>
                          <w:rPr>
                            <w:sz w:val="20"/>
                          </w:rPr>
                        </w:pPr>
                        <w:r>
                          <w:rPr>
                            <w:sz w:val="20"/>
                          </w:rPr>
                          <w:t>NVA: 0.30</w:t>
                        </w:r>
                      </w:p>
                    </w:tc>
                    <w:tc>
                      <w:tcPr>
                        <w:tcW w:w="1582" w:type="dxa"/>
                        <w:tcBorders>
                          <w:top w:val="single" w:sz="4" w:space="0" w:color="000000"/>
                          <w:bottom w:val="single" w:sz="4" w:space="0" w:color="000000"/>
                        </w:tcBorders>
                      </w:tcPr>
                      <w:p w14:paraId="0D6267D3" w14:textId="77777777" w:rsidR="00C75312" w:rsidRDefault="00BB293A">
                        <w:pPr>
                          <w:pStyle w:val="TableParagraph"/>
                          <w:spacing w:before="96"/>
                          <w:ind w:left="138" w:right="375"/>
                          <w:jc w:val="center"/>
                          <w:rPr>
                            <w:sz w:val="20"/>
                          </w:rPr>
                        </w:pPr>
                        <w:r>
                          <w:rPr>
                            <w:sz w:val="20"/>
                          </w:rPr>
                          <w:t>No</w:t>
                        </w:r>
                      </w:p>
                    </w:tc>
                    <w:tc>
                      <w:tcPr>
                        <w:tcW w:w="1236" w:type="dxa"/>
                        <w:tcBorders>
                          <w:top w:val="single" w:sz="4" w:space="0" w:color="000000"/>
                          <w:bottom w:val="single" w:sz="4" w:space="0" w:color="000000"/>
                        </w:tcBorders>
                      </w:tcPr>
                      <w:p w14:paraId="1335B03E" w14:textId="77777777" w:rsidR="00C75312" w:rsidRDefault="00BB293A">
                        <w:pPr>
                          <w:pStyle w:val="TableParagraph"/>
                          <w:spacing w:before="96"/>
                          <w:ind w:right="485"/>
                          <w:jc w:val="right"/>
                          <w:rPr>
                            <w:sz w:val="20"/>
                          </w:rPr>
                        </w:pPr>
                        <w:r>
                          <w:rPr>
                            <w:sz w:val="20"/>
                          </w:rPr>
                          <w:t>1.19</w:t>
                        </w:r>
                      </w:p>
                    </w:tc>
                    <w:tc>
                      <w:tcPr>
                        <w:tcW w:w="1946" w:type="dxa"/>
                        <w:tcBorders>
                          <w:top w:val="single" w:sz="4" w:space="0" w:color="000000"/>
                          <w:bottom w:val="single" w:sz="4" w:space="0" w:color="000000"/>
                        </w:tcBorders>
                      </w:tcPr>
                      <w:p w14:paraId="0DB702E8" w14:textId="77777777" w:rsidR="00C75312" w:rsidRDefault="00BB293A">
                        <w:pPr>
                          <w:pStyle w:val="TableParagraph"/>
                          <w:spacing w:before="96"/>
                          <w:ind w:left="469" w:right="420"/>
                          <w:jc w:val="center"/>
                          <w:rPr>
                            <w:sz w:val="20"/>
                          </w:rPr>
                        </w:pPr>
                        <w:r>
                          <w:rPr>
                            <w:sz w:val="20"/>
                          </w:rPr>
                          <w:t>Not reported</w:t>
                        </w:r>
                      </w:p>
                    </w:tc>
                    <w:tc>
                      <w:tcPr>
                        <w:tcW w:w="1320" w:type="dxa"/>
                        <w:tcBorders>
                          <w:top w:val="single" w:sz="4" w:space="0" w:color="000000"/>
                          <w:bottom w:val="single" w:sz="4" w:space="0" w:color="000000"/>
                        </w:tcBorders>
                      </w:tcPr>
                      <w:p w14:paraId="40F74397" w14:textId="77777777" w:rsidR="00C75312" w:rsidRDefault="00BB293A">
                        <w:pPr>
                          <w:pStyle w:val="TableParagraph"/>
                          <w:spacing w:before="96"/>
                          <w:ind w:left="470"/>
                          <w:rPr>
                            <w:sz w:val="20"/>
                          </w:rPr>
                        </w:pPr>
                        <w:r>
                          <w:rPr>
                            <w:sz w:val="20"/>
                          </w:rPr>
                          <w:t>No</w:t>
                        </w:r>
                      </w:p>
                    </w:tc>
                  </w:tr>
                  <w:tr w:rsidR="00C75312" w14:paraId="0A4C3B46" w14:textId="77777777">
                    <w:trPr>
                      <w:trHeight w:val="450"/>
                    </w:trPr>
                    <w:tc>
                      <w:tcPr>
                        <w:tcW w:w="2628" w:type="dxa"/>
                        <w:tcBorders>
                          <w:top w:val="single" w:sz="4" w:space="0" w:color="000000"/>
                          <w:bottom w:val="single" w:sz="4" w:space="0" w:color="000000"/>
                        </w:tcBorders>
                      </w:tcPr>
                      <w:p w14:paraId="46DB4A2C" w14:textId="77777777" w:rsidR="00C75312" w:rsidRDefault="00BB293A">
                        <w:pPr>
                          <w:pStyle w:val="TableParagraph"/>
                          <w:spacing w:before="91"/>
                          <w:ind w:left="134"/>
                          <w:rPr>
                            <w:sz w:val="20"/>
                          </w:rPr>
                        </w:pPr>
                        <w:proofErr w:type="spellStart"/>
                        <w:r>
                          <w:rPr>
                            <w:sz w:val="20"/>
                          </w:rPr>
                          <w:t>Altgassen</w:t>
                        </w:r>
                        <w:proofErr w:type="spellEnd"/>
                        <w:r>
                          <w:rPr>
                            <w:sz w:val="20"/>
                          </w:rPr>
                          <w:t xml:space="preserve"> et al. (2010)</w:t>
                        </w:r>
                      </w:p>
                    </w:tc>
                    <w:tc>
                      <w:tcPr>
                        <w:tcW w:w="1380" w:type="dxa"/>
                        <w:tcBorders>
                          <w:top w:val="single" w:sz="4" w:space="0" w:color="000000"/>
                          <w:bottom w:val="single" w:sz="4" w:space="0" w:color="000000"/>
                        </w:tcBorders>
                      </w:tcPr>
                      <w:p w14:paraId="65B954A5" w14:textId="77777777" w:rsidR="00C75312" w:rsidRDefault="00BB293A">
                        <w:pPr>
                          <w:pStyle w:val="TableParagraph"/>
                          <w:spacing w:before="91"/>
                          <w:ind w:left="409" w:right="452"/>
                          <w:jc w:val="center"/>
                          <w:rPr>
                            <w:sz w:val="20"/>
                          </w:rPr>
                        </w:pPr>
                        <w:r>
                          <w:rPr>
                            <w:sz w:val="20"/>
                          </w:rPr>
                          <w:t>Partly</w:t>
                        </w:r>
                      </w:p>
                    </w:tc>
                    <w:tc>
                      <w:tcPr>
                        <w:tcW w:w="1454" w:type="dxa"/>
                        <w:tcBorders>
                          <w:top w:val="single" w:sz="4" w:space="0" w:color="000000"/>
                          <w:bottom w:val="single" w:sz="4" w:space="0" w:color="000000"/>
                        </w:tcBorders>
                      </w:tcPr>
                      <w:p w14:paraId="11F135E8" w14:textId="77777777" w:rsidR="00C75312" w:rsidRDefault="00BB293A">
                        <w:pPr>
                          <w:pStyle w:val="TableParagraph"/>
                          <w:spacing w:before="91"/>
                          <w:ind w:left="470"/>
                          <w:rPr>
                            <w:sz w:val="20"/>
                          </w:rPr>
                        </w:pPr>
                        <w:r>
                          <w:rPr>
                            <w:sz w:val="20"/>
                          </w:rPr>
                          <w:t>Age: 0.01</w:t>
                        </w:r>
                      </w:p>
                    </w:tc>
                    <w:tc>
                      <w:tcPr>
                        <w:tcW w:w="1248" w:type="dxa"/>
                        <w:tcBorders>
                          <w:top w:val="single" w:sz="4" w:space="0" w:color="000000"/>
                          <w:bottom w:val="single" w:sz="4" w:space="0" w:color="000000"/>
                        </w:tcBorders>
                      </w:tcPr>
                      <w:p w14:paraId="6DADB156" w14:textId="77777777" w:rsidR="00C75312" w:rsidRDefault="00BB293A">
                        <w:pPr>
                          <w:pStyle w:val="TableParagraph"/>
                          <w:spacing w:before="91"/>
                          <w:ind w:right="232"/>
                          <w:jc w:val="right"/>
                          <w:rPr>
                            <w:sz w:val="20"/>
                          </w:rPr>
                        </w:pPr>
                        <w:r>
                          <w:rPr>
                            <w:sz w:val="20"/>
                          </w:rPr>
                          <w:t>VA: 0.58</w:t>
                        </w:r>
                      </w:p>
                    </w:tc>
                    <w:tc>
                      <w:tcPr>
                        <w:tcW w:w="1222" w:type="dxa"/>
                        <w:tcBorders>
                          <w:top w:val="single" w:sz="4" w:space="0" w:color="000000"/>
                          <w:bottom w:val="single" w:sz="4" w:space="0" w:color="000000"/>
                        </w:tcBorders>
                      </w:tcPr>
                      <w:p w14:paraId="3B7928F4" w14:textId="77777777" w:rsidR="00C75312" w:rsidRDefault="00BB293A">
                        <w:pPr>
                          <w:pStyle w:val="TableParagraph"/>
                          <w:spacing w:before="91"/>
                          <w:ind w:left="146" w:right="147"/>
                          <w:jc w:val="center"/>
                          <w:rPr>
                            <w:sz w:val="20"/>
                          </w:rPr>
                        </w:pPr>
                        <w:r>
                          <w:rPr>
                            <w:sz w:val="20"/>
                          </w:rPr>
                          <w:t>NVA: 0.25</w:t>
                        </w:r>
                      </w:p>
                    </w:tc>
                    <w:tc>
                      <w:tcPr>
                        <w:tcW w:w="1582" w:type="dxa"/>
                        <w:tcBorders>
                          <w:top w:val="single" w:sz="4" w:space="0" w:color="000000"/>
                          <w:bottom w:val="single" w:sz="4" w:space="0" w:color="000000"/>
                        </w:tcBorders>
                      </w:tcPr>
                      <w:p w14:paraId="3224E418" w14:textId="77777777" w:rsidR="00C75312" w:rsidRDefault="00BB293A">
                        <w:pPr>
                          <w:pStyle w:val="TableParagraph"/>
                          <w:spacing w:before="91"/>
                          <w:ind w:left="141" w:right="375"/>
                          <w:jc w:val="center"/>
                          <w:rPr>
                            <w:sz w:val="20"/>
                          </w:rPr>
                        </w:pPr>
                        <w:r>
                          <w:rPr>
                            <w:sz w:val="20"/>
                          </w:rPr>
                          <w:t>Yes</w:t>
                        </w:r>
                      </w:p>
                    </w:tc>
                    <w:tc>
                      <w:tcPr>
                        <w:tcW w:w="1236" w:type="dxa"/>
                        <w:tcBorders>
                          <w:top w:val="single" w:sz="4" w:space="0" w:color="000000"/>
                          <w:bottom w:val="single" w:sz="4" w:space="0" w:color="000000"/>
                        </w:tcBorders>
                      </w:tcPr>
                      <w:p w14:paraId="4C4F4330" w14:textId="77777777" w:rsidR="00C75312" w:rsidRDefault="00BB293A">
                        <w:pPr>
                          <w:pStyle w:val="TableParagraph"/>
                          <w:spacing w:before="91"/>
                          <w:ind w:right="485"/>
                          <w:jc w:val="right"/>
                          <w:rPr>
                            <w:sz w:val="20"/>
                          </w:rPr>
                        </w:pPr>
                        <w:r>
                          <w:rPr>
                            <w:sz w:val="20"/>
                          </w:rPr>
                          <w:t>0.09</w:t>
                        </w:r>
                      </w:p>
                    </w:tc>
                    <w:tc>
                      <w:tcPr>
                        <w:tcW w:w="1946" w:type="dxa"/>
                        <w:tcBorders>
                          <w:top w:val="single" w:sz="4" w:space="0" w:color="000000"/>
                          <w:bottom w:val="single" w:sz="4" w:space="0" w:color="000000"/>
                        </w:tcBorders>
                      </w:tcPr>
                      <w:p w14:paraId="17D15372" w14:textId="77777777" w:rsidR="00C75312" w:rsidRDefault="00BB293A">
                        <w:pPr>
                          <w:pStyle w:val="TableParagraph"/>
                          <w:spacing w:before="91"/>
                          <w:ind w:left="469" w:right="420"/>
                          <w:jc w:val="center"/>
                          <w:rPr>
                            <w:sz w:val="20"/>
                          </w:rPr>
                        </w:pPr>
                        <w:r>
                          <w:rPr>
                            <w:sz w:val="20"/>
                          </w:rPr>
                          <w:t>Not reported</w:t>
                        </w:r>
                      </w:p>
                    </w:tc>
                    <w:tc>
                      <w:tcPr>
                        <w:tcW w:w="1320" w:type="dxa"/>
                        <w:tcBorders>
                          <w:top w:val="single" w:sz="4" w:space="0" w:color="000000"/>
                          <w:bottom w:val="single" w:sz="4" w:space="0" w:color="000000"/>
                        </w:tcBorders>
                      </w:tcPr>
                      <w:p w14:paraId="547AE912" w14:textId="77777777" w:rsidR="00C75312" w:rsidRDefault="00BB293A">
                        <w:pPr>
                          <w:pStyle w:val="TableParagraph"/>
                          <w:spacing w:before="91"/>
                          <w:ind w:left="470"/>
                          <w:rPr>
                            <w:sz w:val="20"/>
                          </w:rPr>
                        </w:pPr>
                        <w:r>
                          <w:rPr>
                            <w:sz w:val="20"/>
                          </w:rPr>
                          <w:t>No</w:t>
                        </w:r>
                      </w:p>
                    </w:tc>
                  </w:tr>
                  <w:tr w:rsidR="00C75312" w14:paraId="28FD339B" w14:textId="77777777">
                    <w:trPr>
                      <w:trHeight w:val="455"/>
                    </w:trPr>
                    <w:tc>
                      <w:tcPr>
                        <w:tcW w:w="2628" w:type="dxa"/>
                        <w:tcBorders>
                          <w:top w:val="single" w:sz="4" w:space="0" w:color="000000"/>
                          <w:bottom w:val="single" w:sz="4" w:space="0" w:color="000000"/>
                        </w:tcBorders>
                      </w:tcPr>
                      <w:p w14:paraId="298A96D7" w14:textId="77777777" w:rsidR="00C75312" w:rsidRDefault="00BB293A">
                        <w:pPr>
                          <w:pStyle w:val="TableParagraph"/>
                          <w:spacing w:before="96"/>
                          <w:ind w:left="134"/>
                          <w:rPr>
                            <w:sz w:val="20"/>
                          </w:rPr>
                        </w:pPr>
                        <w:proofErr w:type="spellStart"/>
                        <w:r>
                          <w:rPr>
                            <w:sz w:val="20"/>
                          </w:rPr>
                          <w:t>Brandimonte</w:t>
                        </w:r>
                        <w:proofErr w:type="spellEnd"/>
                        <w:r>
                          <w:rPr>
                            <w:sz w:val="20"/>
                          </w:rPr>
                          <w:t xml:space="preserve"> et al. (2011)</w:t>
                        </w:r>
                      </w:p>
                    </w:tc>
                    <w:tc>
                      <w:tcPr>
                        <w:tcW w:w="1380" w:type="dxa"/>
                        <w:tcBorders>
                          <w:top w:val="single" w:sz="4" w:space="0" w:color="000000"/>
                          <w:bottom w:val="single" w:sz="4" w:space="0" w:color="000000"/>
                        </w:tcBorders>
                      </w:tcPr>
                      <w:p w14:paraId="44C9889A" w14:textId="77777777" w:rsidR="00C75312" w:rsidRDefault="00BB293A">
                        <w:pPr>
                          <w:pStyle w:val="TableParagraph"/>
                          <w:spacing w:before="96"/>
                          <w:ind w:left="409" w:right="452"/>
                          <w:jc w:val="center"/>
                          <w:rPr>
                            <w:sz w:val="20"/>
                          </w:rPr>
                        </w:pPr>
                        <w:r>
                          <w:rPr>
                            <w:sz w:val="20"/>
                          </w:rPr>
                          <w:t>Partly</w:t>
                        </w:r>
                      </w:p>
                    </w:tc>
                    <w:tc>
                      <w:tcPr>
                        <w:tcW w:w="1454" w:type="dxa"/>
                        <w:tcBorders>
                          <w:top w:val="single" w:sz="4" w:space="0" w:color="000000"/>
                          <w:bottom w:val="single" w:sz="4" w:space="0" w:color="000000"/>
                        </w:tcBorders>
                      </w:tcPr>
                      <w:p w14:paraId="028A5544" w14:textId="77777777" w:rsidR="00C75312" w:rsidRDefault="00BB293A">
                        <w:pPr>
                          <w:pStyle w:val="TableParagraph"/>
                          <w:spacing w:before="96"/>
                          <w:ind w:left="470"/>
                          <w:rPr>
                            <w:sz w:val="20"/>
                          </w:rPr>
                        </w:pPr>
                        <w:r>
                          <w:rPr>
                            <w:sz w:val="20"/>
                          </w:rPr>
                          <w:t>Age: 0.04</w:t>
                        </w:r>
                      </w:p>
                    </w:tc>
                    <w:tc>
                      <w:tcPr>
                        <w:tcW w:w="1248" w:type="dxa"/>
                        <w:tcBorders>
                          <w:top w:val="single" w:sz="4" w:space="0" w:color="000000"/>
                          <w:bottom w:val="single" w:sz="4" w:space="0" w:color="000000"/>
                        </w:tcBorders>
                      </w:tcPr>
                      <w:p w14:paraId="0FF5B29A" w14:textId="77777777" w:rsidR="00C75312" w:rsidRDefault="00BB293A">
                        <w:pPr>
                          <w:pStyle w:val="TableParagraph"/>
                          <w:spacing w:before="96"/>
                          <w:ind w:right="160"/>
                          <w:jc w:val="right"/>
                          <w:rPr>
                            <w:sz w:val="20"/>
                          </w:rPr>
                        </w:pPr>
                        <w:r>
                          <w:rPr>
                            <w:sz w:val="20"/>
                          </w:rPr>
                          <w:t>FSIQ: 0.29</w:t>
                        </w:r>
                      </w:p>
                    </w:tc>
                    <w:tc>
                      <w:tcPr>
                        <w:tcW w:w="1222" w:type="dxa"/>
                        <w:tcBorders>
                          <w:top w:val="single" w:sz="4" w:space="0" w:color="000000"/>
                          <w:bottom w:val="single" w:sz="4" w:space="0" w:color="000000"/>
                        </w:tcBorders>
                      </w:tcPr>
                      <w:p w14:paraId="5FD16775" w14:textId="77777777" w:rsidR="00C75312" w:rsidRDefault="00BB293A">
                        <w:pPr>
                          <w:pStyle w:val="TableParagraph"/>
                          <w:spacing w:before="96"/>
                          <w:jc w:val="center"/>
                          <w:rPr>
                            <w:sz w:val="20"/>
                          </w:rPr>
                        </w:pPr>
                        <w:r>
                          <w:rPr>
                            <w:sz w:val="20"/>
                          </w:rPr>
                          <w:t>-</w:t>
                        </w:r>
                      </w:p>
                    </w:tc>
                    <w:tc>
                      <w:tcPr>
                        <w:tcW w:w="1582" w:type="dxa"/>
                        <w:tcBorders>
                          <w:top w:val="single" w:sz="4" w:space="0" w:color="000000"/>
                          <w:bottom w:val="single" w:sz="4" w:space="0" w:color="000000"/>
                        </w:tcBorders>
                      </w:tcPr>
                      <w:p w14:paraId="7F7AD61B" w14:textId="77777777" w:rsidR="00C75312" w:rsidRDefault="00BB293A">
                        <w:pPr>
                          <w:pStyle w:val="TableParagraph"/>
                          <w:spacing w:before="96"/>
                          <w:ind w:left="138" w:right="375"/>
                          <w:jc w:val="center"/>
                          <w:rPr>
                            <w:sz w:val="20"/>
                          </w:rPr>
                        </w:pPr>
                        <w:r>
                          <w:rPr>
                            <w:sz w:val="20"/>
                          </w:rPr>
                          <w:t>No</w:t>
                        </w:r>
                      </w:p>
                    </w:tc>
                    <w:tc>
                      <w:tcPr>
                        <w:tcW w:w="1236" w:type="dxa"/>
                        <w:tcBorders>
                          <w:top w:val="single" w:sz="4" w:space="0" w:color="000000"/>
                          <w:bottom w:val="single" w:sz="4" w:space="0" w:color="000000"/>
                        </w:tcBorders>
                      </w:tcPr>
                      <w:p w14:paraId="2674CB83" w14:textId="77777777" w:rsidR="00C75312" w:rsidRDefault="00BB293A">
                        <w:pPr>
                          <w:pStyle w:val="TableParagraph"/>
                          <w:spacing w:before="96"/>
                          <w:ind w:right="485"/>
                          <w:jc w:val="right"/>
                          <w:rPr>
                            <w:sz w:val="20"/>
                          </w:rPr>
                        </w:pPr>
                        <w:r>
                          <w:rPr>
                            <w:sz w:val="20"/>
                          </w:rPr>
                          <w:t>0.55</w:t>
                        </w:r>
                      </w:p>
                    </w:tc>
                    <w:tc>
                      <w:tcPr>
                        <w:tcW w:w="1946" w:type="dxa"/>
                        <w:tcBorders>
                          <w:top w:val="single" w:sz="4" w:space="0" w:color="000000"/>
                          <w:bottom w:val="single" w:sz="4" w:space="0" w:color="000000"/>
                        </w:tcBorders>
                      </w:tcPr>
                      <w:p w14:paraId="69B0243F" w14:textId="77777777" w:rsidR="00C75312" w:rsidRDefault="00BB293A">
                        <w:pPr>
                          <w:pStyle w:val="TableParagraph"/>
                          <w:spacing w:before="96"/>
                          <w:ind w:left="469" w:right="418"/>
                          <w:jc w:val="center"/>
                          <w:rPr>
                            <w:sz w:val="20"/>
                          </w:rPr>
                        </w:pPr>
                        <w:r>
                          <w:rPr>
                            <w:sz w:val="20"/>
                          </w:rPr>
                          <w:t>Yes</w:t>
                        </w:r>
                      </w:p>
                    </w:tc>
                    <w:tc>
                      <w:tcPr>
                        <w:tcW w:w="1320" w:type="dxa"/>
                        <w:tcBorders>
                          <w:top w:val="single" w:sz="4" w:space="0" w:color="000000"/>
                          <w:bottom w:val="single" w:sz="4" w:space="0" w:color="000000"/>
                        </w:tcBorders>
                      </w:tcPr>
                      <w:p w14:paraId="256B85EA" w14:textId="77777777" w:rsidR="00C75312" w:rsidRDefault="00BB293A">
                        <w:pPr>
                          <w:pStyle w:val="TableParagraph"/>
                          <w:spacing w:before="96"/>
                          <w:ind w:left="470"/>
                          <w:rPr>
                            <w:sz w:val="20"/>
                          </w:rPr>
                        </w:pPr>
                        <w:r>
                          <w:rPr>
                            <w:sz w:val="20"/>
                          </w:rPr>
                          <w:t>No</w:t>
                        </w:r>
                      </w:p>
                    </w:tc>
                  </w:tr>
                  <w:tr w:rsidR="00C75312" w14:paraId="558D63AD" w14:textId="77777777">
                    <w:trPr>
                      <w:trHeight w:val="455"/>
                    </w:trPr>
                    <w:tc>
                      <w:tcPr>
                        <w:tcW w:w="2628" w:type="dxa"/>
                        <w:tcBorders>
                          <w:top w:val="single" w:sz="4" w:space="0" w:color="000000"/>
                          <w:bottom w:val="single" w:sz="4" w:space="0" w:color="000000"/>
                        </w:tcBorders>
                      </w:tcPr>
                      <w:p w14:paraId="14B193BC" w14:textId="77777777" w:rsidR="00C75312" w:rsidRDefault="00BB293A">
                        <w:pPr>
                          <w:pStyle w:val="TableParagraph"/>
                          <w:spacing w:before="96"/>
                          <w:ind w:left="134"/>
                          <w:rPr>
                            <w:sz w:val="20"/>
                          </w:rPr>
                        </w:pPr>
                        <w:r>
                          <w:rPr>
                            <w:sz w:val="20"/>
                          </w:rPr>
                          <w:t>Jones et al. (2011)</w:t>
                        </w:r>
                      </w:p>
                    </w:tc>
                    <w:tc>
                      <w:tcPr>
                        <w:tcW w:w="1380" w:type="dxa"/>
                        <w:tcBorders>
                          <w:top w:val="single" w:sz="4" w:space="0" w:color="000000"/>
                          <w:bottom w:val="single" w:sz="4" w:space="0" w:color="000000"/>
                        </w:tcBorders>
                      </w:tcPr>
                      <w:p w14:paraId="7B7D3F47" w14:textId="77777777" w:rsidR="00C75312" w:rsidRDefault="00BB293A">
                        <w:pPr>
                          <w:pStyle w:val="TableParagraph"/>
                          <w:spacing w:before="96"/>
                          <w:ind w:left="409" w:right="451"/>
                          <w:jc w:val="center"/>
                          <w:rPr>
                            <w:sz w:val="20"/>
                          </w:rPr>
                        </w:pPr>
                        <w:r>
                          <w:rPr>
                            <w:sz w:val="20"/>
                          </w:rPr>
                          <w:t>Yes</w:t>
                        </w:r>
                      </w:p>
                    </w:tc>
                    <w:tc>
                      <w:tcPr>
                        <w:tcW w:w="1454" w:type="dxa"/>
                        <w:tcBorders>
                          <w:top w:val="single" w:sz="4" w:space="0" w:color="000000"/>
                          <w:bottom w:val="single" w:sz="4" w:space="0" w:color="000000"/>
                        </w:tcBorders>
                      </w:tcPr>
                      <w:p w14:paraId="0EF1788A" w14:textId="77777777" w:rsidR="00C75312" w:rsidRDefault="00BB293A">
                        <w:pPr>
                          <w:pStyle w:val="TableParagraph"/>
                          <w:spacing w:before="96"/>
                          <w:ind w:left="523"/>
                          <w:rPr>
                            <w:sz w:val="20"/>
                          </w:rPr>
                        </w:pPr>
                        <w:r>
                          <w:rPr>
                            <w:sz w:val="20"/>
                          </w:rPr>
                          <w:t>Age: 0.0</w:t>
                        </w:r>
                      </w:p>
                    </w:tc>
                    <w:tc>
                      <w:tcPr>
                        <w:tcW w:w="1248" w:type="dxa"/>
                        <w:tcBorders>
                          <w:top w:val="single" w:sz="4" w:space="0" w:color="000000"/>
                          <w:bottom w:val="single" w:sz="4" w:space="0" w:color="000000"/>
                        </w:tcBorders>
                      </w:tcPr>
                      <w:p w14:paraId="60A9EF6B" w14:textId="77777777" w:rsidR="00C75312" w:rsidRDefault="00BB293A">
                        <w:pPr>
                          <w:pStyle w:val="TableParagraph"/>
                          <w:spacing w:before="96"/>
                          <w:ind w:right="199"/>
                          <w:jc w:val="right"/>
                          <w:rPr>
                            <w:sz w:val="20"/>
                          </w:rPr>
                        </w:pPr>
                        <w:r>
                          <w:rPr>
                            <w:sz w:val="20"/>
                          </w:rPr>
                          <w:t>VIQ: 0.25</w:t>
                        </w:r>
                      </w:p>
                    </w:tc>
                    <w:tc>
                      <w:tcPr>
                        <w:tcW w:w="1222" w:type="dxa"/>
                        <w:tcBorders>
                          <w:top w:val="single" w:sz="4" w:space="0" w:color="000000"/>
                          <w:bottom w:val="single" w:sz="4" w:space="0" w:color="000000"/>
                        </w:tcBorders>
                      </w:tcPr>
                      <w:p w14:paraId="7252B8EE" w14:textId="77777777" w:rsidR="00C75312" w:rsidRDefault="00BB293A">
                        <w:pPr>
                          <w:pStyle w:val="TableParagraph"/>
                          <w:spacing w:before="96"/>
                          <w:ind w:left="146" w:right="144"/>
                          <w:jc w:val="center"/>
                          <w:rPr>
                            <w:sz w:val="20"/>
                          </w:rPr>
                        </w:pPr>
                        <w:r>
                          <w:rPr>
                            <w:sz w:val="20"/>
                          </w:rPr>
                          <w:t>PIQ: 0.04</w:t>
                        </w:r>
                      </w:p>
                    </w:tc>
                    <w:tc>
                      <w:tcPr>
                        <w:tcW w:w="1582" w:type="dxa"/>
                        <w:tcBorders>
                          <w:top w:val="single" w:sz="4" w:space="0" w:color="000000"/>
                          <w:bottom w:val="single" w:sz="4" w:space="0" w:color="000000"/>
                        </w:tcBorders>
                      </w:tcPr>
                      <w:p w14:paraId="6A8D733A" w14:textId="77777777" w:rsidR="00C75312" w:rsidRDefault="00BB293A">
                        <w:pPr>
                          <w:pStyle w:val="TableParagraph"/>
                          <w:spacing w:before="96"/>
                          <w:ind w:left="144" w:right="375"/>
                          <w:jc w:val="center"/>
                          <w:rPr>
                            <w:sz w:val="20"/>
                          </w:rPr>
                        </w:pPr>
                        <w:r>
                          <w:rPr>
                            <w:sz w:val="20"/>
                          </w:rPr>
                          <w:t>NA</w:t>
                        </w:r>
                      </w:p>
                    </w:tc>
                    <w:tc>
                      <w:tcPr>
                        <w:tcW w:w="1236" w:type="dxa"/>
                        <w:tcBorders>
                          <w:top w:val="single" w:sz="4" w:space="0" w:color="000000"/>
                          <w:bottom w:val="single" w:sz="4" w:space="0" w:color="000000"/>
                        </w:tcBorders>
                      </w:tcPr>
                      <w:p w14:paraId="4F8A6025" w14:textId="77777777" w:rsidR="00C75312" w:rsidRDefault="00BB293A">
                        <w:pPr>
                          <w:pStyle w:val="TableParagraph"/>
                          <w:spacing w:before="96"/>
                          <w:ind w:right="102"/>
                          <w:jc w:val="center"/>
                          <w:rPr>
                            <w:sz w:val="20"/>
                          </w:rPr>
                        </w:pPr>
                        <w:r>
                          <w:rPr>
                            <w:sz w:val="20"/>
                          </w:rPr>
                          <w:t>-</w:t>
                        </w:r>
                      </w:p>
                    </w:tc>
                    <w:tc>
                      <w:tcPr>
                        <w:tcW w:w="1946" w:type="dxa"/>
                        <w:tcBorders>
                          <w:top w:val="single" w:sz="4" w:space="0" w:color="000000"/>
                          <w:bottom w:val="single" w:sz="4" w:space="0" w:color="000000"/>
                        </w:tcBorders>
                      </w:tcPr>
                      <w:p w14:paraId="0A9750BF" w14:textId="77777777" w:rsidR="00C75312" w:rsidRDefault="00BB293A">
                        <w:pPr>
                          <w:pStyle w:val="TableParagraph"/>
                          <w:spacing w:before="96"/>
                          <w:ind w:left="469" w:right="418"/>
                          <w:jc w:val="center"/>
                          <w:rPr>
                            <w:sz w:val="20"/>
                          </w:rPr>
                        </w:pPr>
                        <w:r>
                          <w:rPr>
                            <w:sz w:val="20"/>
                          </w:rPr>
                          <w:t>Yes</w:t>
                        </w:r>
                      </w:p>
                    </w:tc>
                    <w:tc>
                      <w:tcPr>
                        <w:tcW w:w="1320" w:type="dxa"/>
                        <w:tcBorders>
                          <w:top w:val="single" w:sz="4" w:space="0" w:color="000000"/>
                          <w:bottom w:val="single" w:sz="4" w:space="0" w:color="000000"/>
                        </w:tcBorders>
                      </w:tcPr>
                      <w:p w14:paraId="6A01790A" w14:textId="77777777" w:rsidR="00C75312" w:rsidRDefault="00BB293A">
                        <w:pPr>
                          <w:pStyle w:val="TableParagraph"/>
                          <w:spacing w:before="96"/>
                          <w:ind w:left="470"/>
                          <w:rPr>
                            <w:sz w:val="20"/>
                          </w:rPr>
                        </w:pPr>
                        <w:r>
                          <w:rPr>
                            <w:sz w:val="20"/>
                          </w:rPr>
                          <w:t>No</w:t>
                        </w:r>
                      </w:p>
                    </w:tc>
                  </w:tr>
                  <w:tr w:rsidR="00C75312" w14:paraId="01B0BA35" w14:textId="77777777">
                    <w:trPr>
                      <w:trHeight w:val="450"/>
                    </w:trPr>
                    <w:tc>
                      <w:tcPr>
                        <w:tcW w:w="2628" w:type="dxa"/>
                        <w:tcBorders>
                          <w:top w:val="single" w:sz="4" w:space="0" w:color="000000"/>
                          <w:bottom w:val="single" w:sz="4" w:space="0" w:color="000000"/>
                        </w:tcBorders>
                      </w:tcPr>
                      <w:p w14:paraId="2C35C508" w14:textId="77777777" w:rsidR="00C75312" w:rsidRDefault="00BB293A">
                        <w:pPr>
                          <w:pStyle w:val="TableParagraph"/>
                          <w:spacing w:before="91"/>
                          <w:ind w:left="134"/>
                          <w:rPr>
                            <w:sz w:val="20"/>
                          </w:rPr>
                        </w:pPr>
                        <w:proofErr w:type="spellStart"/>
                        <w:r>
                          <w:rPr>
                            <w:sz w:val="20"/>
                          </w:rPr>
                          <w:t>Altgassen</w:t>
                        </w:r>
                        <w:proofErr w:type="spellEnd"/>
                        <w:r>
                          <w:rPr>
                            <w:sz w:val="20"/>
                          </w:rPr>
                          <w:t xml:space="preserve"> et al. (2012)</w:t>
                        </w:r>
                      </w:p>
                    </w:tc>
                    <w:tc>
                      <w:tcPr>
                        <w:tcW w:w="1380" w:type="dxa"/>
                        <w:tcBorders>
                          <w:top w:val="single" w:sz="4" w:space="0" w:color="000000"/>
                          <w:bottom w:val="single" w:sz="4" w:space="0" w:color="000000"/>
                        </w:tcBorders>
                      </w:tcPr>
                      <w:p w14:paraId="25D48DF0" w14:textId="77777777" w:rsidR="00C75312" w:rsidRDefault="00BB293A">
                        <w:pPr>
                          <w:pStyle w:val="TableParagraph"/>
                          <w:spacing w:before="91"/>
                          <w:ind w:left="409" w:right="451"/>
                          <w:jc w:val="center"/>
                          <w:rPr>
                            <w:sz w:val="20"/>
                          </w:rPr>
                        </w:pPr>
                        <w:r>
                          <w:rPr>
                            <w:sz w:val="20"/>
                          </w:rPr>
                          <w:t>Yes</w:t>
                        </w:r>
                      </w:p>
                    </w:tc>
                    <w:tc>
                      <w:tcPr>
                        <w:tcW w:w="1454" w:type="dxa"/>
                        <w:tcBorders>
                          <w:top w:val="single" w:sz="4" w:space="0" w:color="000000"/>
                          <w:bottom w:val="single" w:sz="4" w:space="0" w:color="000000"/>
                        </w:tcBorders>
                      </w:tcPr>
                      <w:p w14:paraId="6655F558" w14:textId="77777777" w:rsidR="00C75312" w:rsidRDefault="00BB293A">
                        <w:pPr>
                          <w:pStyle w:val="TableParagraph"/>
                          <w:spacing w:before="91"/>
                          <w:ind w:left="523"/>
                          <w:rPr>
                            <w:sz w:val="20"/>
                          </w:rPr>
                        </w:pPr>
                        <w:r>
                          <w:rPr>
                            <w:sz w:val="20"/>
                          </w:rPr>
                          <w:t>Age: 0.0</w:t>
                        </w:r>
                      </w:p>
                    </w:tc>
                    <w:tc>
                      <w:tcPr>
                        <w:tcW w:w="1248" w:type="dxa"/>
                        <w:tcBorders>
                          <w:top w:val="single" w:sz="4" w:space="0" w:color="000000"/>
                          <w:bottom w:val="single" w:sz="4" w:space="0" w:color="000000"/>
                        </w:tcBorders>
                      </w:tcPr>
                      <w:p w14:paraId="0AB223EA" w14:textId="77777777" w:rsidR="00C75312" w:rsidRDefault="00BB293A">
                        <w:pPr>
                          <w:pStyle w:val="TableParagraph"/>
                          <w:spacing w:before="91"/>
                          <w:ind w:right="232"/>
                          <w:jc w:val="right"/>
                          <w:rPr>
                            <w:sz w:val="20"/>
                          </w:rPr>
                        </w:pPr>
                        <w:r>
                          <w:rPr>
                            <w:sz w:val="20"/>
                          </w:rPr>
                          <w:t>VA: 0.44</w:t>
                        </w:r>
                      </w:p>
                    </w:tc>
                    <w:tc>
                      <w:tcPr>
                        <w:tcW w:w="1222" w:type="dxa"/>
                        <w:tcBorders>
                          <w:top w:val="single" w:sz="4" w:space="0" w:color="000000"/>
                          <w:bottom w:val="single" w:sz="4" w:space="0" w:color="000000"/>
                        </w:tcBorders>
                      </w:tcPr>
                      <w:p w14:paraId="6F186D8B" w14:textId="77777777" w:rsidR="00C75312" w:rsidRDefault="00BB293A">
                        <w:pPr>
                          <w:pStyle w:val="TableParagraph"/>
                          <w:spacing w:before="91"/>
                          <w:ind w:left="146" w:right="147"/>
                          <w:jc w:val="center"/>
                          <w:rPr>
                            <w:sz w:val="20"/>
                          </w:rPr>
                        </w:pPr>
                        <w:r>
                          <w:rPr>
                            <w:sz w:val="20"/>
                          </w:rPr>
                          <w:t>NVA: 0.15</w:t>
                        </w:r>
                      </w:p>
                    </w:tc>
                    <w:tc>
                      <w:tcPr>
                        <w:tcW w:w="1582" w:type="dxa"/>
                        <w:tcBorders>
                          <w:top w:val="single" w:sz="4" w:space="0" w:color="000000"/>
                          <w:bottom w:val="single" w:sz="4" w:space="0" w:color="000000"/>
                        </w:tcBorders>
                      </w:tcPr>
                      <w:p w14:paraId="172F6DC7" w14:textId="77777777" w:rsidR="00C75312" w:rsidRDefault="00BB293A">
                        <w:pPr>
                          <w:pStyle w:val="TableParagraph"/>
                          <w:spacing w:before="91"/>
                          <w:ind w:left="138" w:right="375"/>
                          <w:jc w:val="center"/>
                          <w:rPr>
                            <w:sz w:val="20"/>
                          </w:rPr>
                        </w:pPr>
                        <w:r>
                          <w:rPr>
                            <w:sz w:val="20"/>
                          </w:rPr>
                          <w:t>No</w:t>
                        </w:r>
                      </w:p>
                    </w:tc>
                    <w:tc>
                      <w:tcPr>
                        <w:tcW w:w="1236" w:type="dxa"/>
                        <w:tcBorders>
                          <w:top w:val="single" w:sz="4" w:space="0" w:color="000000"/>
                          <w:bottom w:val="single" w:sz="4" w:space="0" w:color="000000"/>
                        </w:tcBorders>
                      </w:tcPr>
                      <w:p w14:paraId="11931D93" w14:textId="77777777" w:rsidR="00C75312" w:rsidRDefault="00BB293A">
                        <w:pPr>
                          <w:pStyle w:val="TableParagraph"/>
                          <w:spacing w:before="91"/>
                          <w:ind w:right="485"/>
                          <w:jc w:val="right"/>
                          <w:rPr>
                            <w:sz w:val="20"/>
                          </w:rPr>
                        </w:pPr>
                        <w:r>
                          <w:rPr>
                            <w:sz w:val="20"/>
                          </w:rPr>
                          <w:t>1.60</w:t>
                        </w:r>
                      </w:p>
                    </w:tc>
                    <w:tc>
                      <w:tcPr>
                        <w:tcW w:w="1946" w:type="dxa"/>
                        <w:tcBorders>
                          <w:top w:val="single" w:sz="4" w:space="0" w:color="000000"/>
                          <w:bottom w:val="single" w:sz="4" w:space="0" w:color="000000"/>
                        </w:tcBorders>
                      </w:tcPr>
                      <w:p w14:paraId="53E23F4E" w14:textId="77777777" w:rsidR="00C75312" w:rsidRDefault="00BB293A">
                        <w:pPr>
                          <w:pStyle w:val="TableParagraph"/>
                          <w:spacing w:before="91"/>
                          <w:ind w:left="469" w:right="420"/>
                          <w:jc w:val="center"/>
                          <w:rPr>
                            <w:sz w:val="20"/>
                          </w:rPr>
                        </w:pPr>
                        <w:r>
                          <w:rPr>
                            <w:sz w:val="20"/>
                          </w:rPr>
                          <w:t>Not reported</w:t>
                        </w:r>
                      </w:p>
                    </w:tc>
                    <w:tc>
                      <w:tcPr>
                        <w:tcW w:w="1320" w:type="dxa"/>
                        <w:tcBorders>
                          <w:top w:val="single" w:sz="4" w:space="0" w:color="000000"/>
                          <w:bottom w:val="single" w:sz="4" w:space="0" w:color="000000"/>
                        </w:tcBorders>
                      </w:tcPr>
                      <w:p w14:paraId="29A3884D" w14:textId="77777777" w:rsidR="00C75312" w:rsidRDefault="00BB293A">
                        <w:pPr>
                          <w:pStyle w:val="TableParagraph"/>
                          <w:spacing w:before="91"/>
                          <w:ind w:left="436"/>
                          <w:rPr>
                            <w:sz w:val="20"/>
                          </w:rPr>
                        </w:pPr>
                        <w:r>
                          <w:rPr>
                            <w:sz w:val="20"/>
                          </w:rPr>
                          <w:t>Yes</w:t>
                        </w:r>
                      </w:p>
                    </w:tc>
                  </w:tr>
                  <w:tr w:rsidR="00C75312" w14:paraId="6C778263" w14:textId="77777777">
                    <w:trPr>
                      <w:trHeight w:val="455"/>
                    </w:trPr>
                    <w:tc>
                      <w:tcPr>
                        <w:tcW w:w="2628" w:type="dxa"/>
                        <w:tcBorders>
                          <w:top w:val="single" w:sz="4" w:space="0" w:color="000000"/>
                          <w:bottom w:val="single" w:sz="4" w:space="0" w:color="000000"/>
                        </w:tcBorders>
                      </w:tcPr>
                      <w:p w14:paraId="73E43AA0" w14:textId="77777777" w:rsidR="00C75312" w:rsidRDefault="00BB293A">
                        <w:pPr>
                          <w:pStyle w:val="TableParagraph"/>
                          <w:spacing w:before="96"/>
                          <w:ind w:left="134"/>
                          <w:rPr>
                            <w:sz w:val="20"/>
                          </w:rPr>
                        </w:pPr>
                        <w:r>
                          <w:rPr>
                            <w:sz w:val="20"/>
                          </w:rPr>
                          <w:t>Williams et al. (2013)</w:t>
                        </w:r>
                      </w:p>
                    </w:tc>
                    <w:tc>
                      <w:tcPr>
                        <w:tcW w:w="1380" w:type="dxa"/>
                        <w:tcBorders>
                          <w:top w:val="single" w:sz="4" w:space="0" w:color="000000"/>
                          <w:bottom w:val="single" w:sz="4" w:space="0" w:color="000000"/>
                        </w:tcBorders>
                      </w:tcPr>
                      <w:p w14:paraId="15A9EEE3" w14:textId="77777777" w:rsidR="00C75312" w:rsidRDefault="00BB293A">
                        <w:pPr>
                          <w:pStyle w:val="TableParagraph"/>
                          <w:spacing w:before="96"/>
                          <w:ind w:left="409" w:right="451"/>
                          <w:jc w:val="center"/>
                          <w:rPr>
                            <w:sz w:val="20"/>
                          </w:rPr>
                        </w:pPr>
                        <w:r>
                          <w:rPr>
                            <w:sz w:val="20"/>
                          </w:rPr>
                          <w:t>Yes</w:t>
                        </w:r>
                      </w:p>
                    </w:tc>
                    <w:tc>
                      <w:tcPr>
                        <w:tcW w:w="1454" w:type="dxa"/>
                        <w:tcBorders>
                          <w:top w:val="single" w:sz="4" w:space="0" w:color="000000"/>
                          <w:bottom w:val="single" w:sz="4" w:space="0" w:color="000000"/>
                        </w:tcBorders>
                      </w:tcPr>
                      <w:p w14:paraId="333E2E17" w14:textId="77777777" w:rsidR="00C75312" w:rsidRDefault="00BB293A">
                        <w:pPr>
                          <w:pStyle w:val="TableParagraph"/>
                          <w:spacing w:before="96"/>
                          <w:ind w:left="470"/>
                          <w:rPr>
                            <w:sz w:val="20"/>
                          </w:rPr>
                        </w:pPr>
                        <w:r>
                          <w:rPr>
                            <w:sz w:val="20"/>
                          </w:rPr>
                          <w:t>Age: 0.01</w:t>
                        </w:r>
                      </w:p>
                    </w:tc>
                    <w:tc>
                      <w:tcPr>
                        <w:tcW w:w="1248" w:type="dxa"/>
                        <w:tcBorders>
                          <w:top w:val="single" w:sz="4" w:space="0" w:color="000000"/>
                          <w:bottom w:val="single" w:sz="4" w:space="0" w:color="000000"/>
                        </w:tcBorders>
                      </w:tcPr>
                      <w:p w14:paraId="737B07F6" w14:textId="77777777" w:rsidR="00C75312" w:rsidRDefault="00BB293A">
                        <w:pPr>
                          <w:pStyle w:val="TableParagraph"/>
                          <w:spacing w:before="96"/>
                          <w:ind w:right="199"/>
                          <w:jc w:val="right"/>
                          <w:rPr>
                            <w:sz w:val="20"/>
                          </w:rPr>
                        </w:pPr>
                        <w:r>
                          <w:rPr>
                            <w:sz w:val="20"/>
                          </w:rPr>
                          <w:t>VIQ: 0.18</w:t>
                        </w:r>
                      </w:p>
                    </w:tc>
                    <w:tc>
                      <w:tcPr>
                        <w:tcW w:w="1222" w:type="dxa"/>
                        <w:tcBorders>
                          <w:top w:val="single" w:sz="4" w:space="0" w:color="000000"/>
                          <w:bottom w:val="single" w:sz="4" w:space="0" w:color="000000"/>
                        </w:tcBorders>
                      </w:tcPr>
                      <w:p w14:paraId="51ED5FE1" w14:textId="77777777" w:rsidR="00C75312" w:rsidRDefault="00BB293A">
                        <w:pPr>
                          <w:pStyle w:val="TableParagraph"/>
                          <w:spacing w:before="96"/>
                          <w:ind w:left="146" w:right="144"/>
                          <w:jc w:val="center"/>
                          <w:rPr>
                            <w:sz w:val="20"/>
                          </w:rPr>
                        </w:pPr>
                        <w:r>
                          <w:rPr>
                            <w:sz w:val="20"/>
                          </w:rPr>
                          <w:t>PIQ: 0.18</w:t>
                        </w:r>
                      </w:p>
                    </w:tc>
                    <w:tc>
                      <w:tcPr>
                        <w:tcW w:w="1582" w:type="dxa"/>
                        <w:tcBorders>
                          <w:top w:val="single" w:sz="4" w:space="0" w:color="000000"/>
                          <w:bottom w:val="single" w:sz="4" w:space="0" w:color="000000"/>
                        </w:tcBorders>
                      </w:tcPr>
                      <w:p w14:paraId="1A8409CA" w14:textId="77777777" w:rsidR="00C75312" w:rsidRDefault="00BB293A">
                        <w:pPr>
                          <w:pStyle w:val="TableParagraph"/>
                          <w:spacing w:before="96"/>
                          <w:ind w:left="141" w:right="375"/>
                          <w:jc w:val="center"/>
                          <w:rPr>
                            <w:sz w:val="20"/>
                          </w:rPr>
                        </w:pPr>
                        <w:r>
                          <w:rPr>
                            <w:sz w:val="20"/>
                          </w:rPr>
                          <w:t>Yes</w:t>
                        </w:r>
                      </w:p>
                    </w:tc>
                    <w:tc>
                      <w:tcPr>
                        <w:tcW w:w="1236" w:type="dxa"/>
                        <w:tcBorders>
                          <w:top w:val="single" w:sz="4" w:space="0" w:color="000000"/>
                          <w:bottom w:val="single" w:sz="4" w:space="0" w:color="000000"/>
                        </w:tcBorders>
                      </w:tcPr>
                      <w:p w14:paraId="5678560F" w14:textId="77777777" w:rsidR="00C75312" w:rsidRDefault="00BB293A">
                        <w:pPr>
                          <w:pStyle w:val="TableParagraph"/>
                          <w:spacing w:before="96"/>
                          <w:ind w:right="538"/>
                          <w:jc w:val="right"/>
                          <w:rPr>
                            <w:sz w:val="20"/>
                          </w:rPr>
                        </w:pPr>
                        <w:r>
                          <w:rPr>
                            <w:sz w:val="20"/>
                          </w:rPr>
                          <w:t>0.5</w:t>
                        </w:r>
                      </w:p>
                    </w:tc>
                    <w:tc>
                      <w:tcPr>
                        <w:tcW w:w="1946" w:type="dxa"/>
                        <w:tcBorders>
                          <w:top w:val="single" w:sz="4" w:space="0" w:color="000000"/>
                          <w:bottom w:val="single" w:sz="4" w:space="0" w:color="000000"/>
                        </w:tcBorders>
                      </w:tcPr>
                      <w:p w14:paraId="618A68D2" w14:textId="77777777" w:rsidR="00C75312" w:rsidRDefault="00BB293A">
                        <w:pPr>
                          <w:pStyle w:val="TableParagraph"/>
                          <w:spacing w:before="96"/>
                          <w:ind w:left="469" w:right="418"/>
                          <w:jc w:val="center"/>
                          <w:rPr>
                            <w:sz w:val="20"/>
                          </w:rPr>
                        </w:pPr>
                        <w:r>
                          <w:rPr>
                            <w:sz w:val="20"/>
                          </w:rPr>
                          <w:t>Yes</w:t>
                        </w:r>
                      </w:p>
                    </w:tc>
                    <w:tc>
                      <w:tcPr>
                        <w:tcW w:w="1320" w:type="dxa"/>
                        <w:tcBorders>
                          <w:top w:val="single" w:sz="4" w:space="0" w:color="000000"/>
                          <w:bottom w:val="single" w:sz="4" w:space="0" w:color="000000"/>
                        </w:tcBorders>
                      </w:tcPr>
                      <w:p w14:paraId="15E4254C" w14:textId="77777777" w:rsidR="00C75312" w:rsidRDefault="00BB293A">
                        <w:pPr>
                          <w:pStyle w:val="TableParagraph"/>
                          <w:spacing w:before="96"/>
                          <w:ind w:left="470"/>
                          <w:rPr>
                            <w:sz w:val="20"/>
                          </w:rPr>
                        </w:pPr>
                        <w:r>
                          <w:rPr>
                            <w:sz w:val="20"/>
                          </w:rPr>
                          <w:t>No</w:t>
                        </w:r>
                      </w:p>
                    </w:tc>
                  </w:tr>
                  <w:tr w:rsidR="00C75312" w14:paraId="5A8BF44D" w14:textId="77777777">
                    <w:trPr>
                      <w:trHeight w:val="455"/>
                    </w:trPr>
                    <w:tc>
                      <w:tcPr>
                        <w:tcW w:w="2628" w:type="dxa"/>
                        <w:tcBorders>
                          <w:top w:val="single" w:sz="4" w:space="0" w:color="000000"/>
                          <w:bottom w:val="single" w:sz="4" w:space="0" w:color="000000"/>
                        </w:tcBorders>
                      </w:tcPr>
                      <w:p w14:paraId="3FD20F7E" w14:textId="77777777" w:rsidR="00C75312" w:rsidRDefault="00BB293A">
                        <w:pPr>
                          <w:pStyle w:val="TableParagraph"/>
                          <w:spacing w:before="96"/>
                          <w:ind w:left="134"/>
                          <w:rPr>
                            <w:sz w:val="20"/>
                          </w:rPr>
                        </w:pPr>
                        <w:r>
                          <w:rPr>
                            <w:sz w:val="20"/>
                          </w:rPr>
                          <w:t>Williams et al. (2014)</w:t>
                        </w:r>
                      </w:p>
                    </w:tc>
                    <w:tc>
                      <w:tcPr>
                        <w:tcW w:w="1380" w:type="dxa"/>
                        <w:tcBorders>
                          <w:top w:val="single" w:sz="4" w:space="0" w:color="000000"/>
                          <w:bottom w:val="single" w:sz="4" w:space="0" w:color="000000"/>
                        </w:tcBorders>
                      </w:tcPr>
                      <w:p w14:paraId="78A9349B" w14:textId="77777777" w:rsidR="00C75312" w:rsidRDefault="00BB293A">
                        <w:pPr>
                          <w:pStyle w:val="TableParagraph"/>
                          <w:spacing w:before="96"/>
                          <w:ind w:left="409" w:right="451"/>
                          <w:jc w:val="center"/>
                          <w:rPr>
                            <w:sz w:val="20"/>
                          </w:rPr>
                        </w:pPr>
                        <w:r>
                          <w:rPr>
                            <w:sz w:val="20"/>
                          </w:rPr>
                          <w:t>Yes</w:t>
                        </w:r>
                      </w:p>
                    </w:tc>
                    <w:tc>
                      <w:tcPr>
                        <w:tcW w:w="1454" w:type="dxa"/>
                        <w:tcBorders>
                          <w:top w:val="single" w:sz="4" w:space="0" w:color="000000"/>
                          <w:bottom w:val="single" w:sz="4" w:space="0" w:color="000000"/>
                        </w:tcBorders>
                      </w:tcPr>
                      <w:p w14:paraId="0E54045D" w14:textId="77777777" w:rsidR="00C75312" w:rsidRDefault="00BB293A">
                        <w:pPr>
                          <w:pStyle w:val="TableParagraph"/>
                          <w:spacing w:before="96"/>
                          <w:ind w:left="470"/>
                          <w:rPr>
                            <w:sz w:val="20"/>
                          </w:rPr>
                        </w:pPr>
                        <w:r>
                          <w:rPr>
                            <w:sz w:val="20"/>
                          </w:rPr>
                          <w:t>Age: 0.07</w:t>
                        </w:r>
                      </w:p>
                    </w:tc>
                    <w:tc>
                      <w:tcPr>
                        <w:tcW w:w="1248" w:type="dxa"/>
                        <w:tcBorders>
                          <w:top w:val="single" w:sz="4" w:space="0" w:color="000000"/>
                          <w:bottom w:val="single" w:sz="4" w:space="0" w:color="000000"/>
                        </w:tcBorders>
                      </w:tcPr>
                      <w:p w14:paraId="4838268C" w14:textId="77777777" w:rsidR="00C75312" w:rsidRDefault="00BB293A">
                        <w:pPr>
                          <w:pStyle w:val="TableParagraph"/>
                          <w:spacing w:before="96"/>
                          <w:ind w:right="199"/>
                          <w:jc w:val="right"/>
                          <w:rPr>
                            <w:sz w:val="20"/>
                          </w:rPr>
                        </w:pPr>
                        <w:r>
                          <w:rPr>
                            <w:sz w:val="20"/>
                          </w:rPr>
                          <w:t>VIQ: 0.21</w:t>
                        </w:r>
                      </w:p>
                    </w:tc>
                    <w:tc>
                      <w:tcPr>
                        <w:tcW w:w="1222" w:type="dxa"/>
                        <w:tcBorders>
                          <w:top w:val="single" w:sz="4" w:space="0" w:color="000000"/>
                          <w:bottom w:val="single" w:sz="4" w:space="0" w:color="000000"/>
                        </w:tcBorders>
                      </w:tcPr>
                      <w:p w14:paraId="2D2B9CA1" w14:textId="77777777" w:rsidR="00C75312" w:rsidRDefault="00BB293A">
                        <w:pPr>
                          <w:pStyle w:val="TableParagraph"/>
                          <w:spacing w:before="96"/>
                          <w:ind w:left="146" w:right="144"/>
                          <w:jc w:val="center"/>
                          <w:rPr>
                            <w:sz w:val="20"/>
                          </w:rPr>
                        </w:pPr>
                        <w:r>
                          <w:rPr>
                            <w:sz w:val="20"/>
                          </w:rPr>
                          <w:t>PIQ: 0.25</w:t>
                        </w:r>
                      </w:p>
                    </w:tc>
                    <w:tc>
                      <w:tcPr>
                        <w:tcW w:w="1582" w:type="dxa"/>
                        <w:tcBorders>
                          <w:top w:val="single" w:sz="4" w:space="0" w:color="000000"/>
                          <w:bottom w:val="single" w:sz="4" w:space="0" w:color="000000"/>
                        </w:tcBorders>
                      </w:tcPr>
                      <w:p w14:paraId="7D24A92C" w14:textId="77777777" w:rsidR="00C75312" w:rsidRDefault="00BB293A">
                        <w:pPr>
                          <w:pStyle w:val="TableParagraph"/>
                          <w:spacing w:before="96"/>
                          <w:ind w:left="141" w:right="375"/>
                          <w:jc w:val="center"/>
                          <w:rPr>
                            <w:sz w:val="20"/>
                          </w:rPr>
                        </w:pPr>
                        <w:r>
                          <w:rPr>
                            <w:sz w:val="20"/>
                          </w:rPr>
                          <w:t>Yes</w:t>
                        </w:r>
                      </w:p>
                    </w:tc>
                    <w:tc>
                      <w:tcPr>
                        <w:tcW w:w="1236" w:type="dxa"/>
                        <w:tcBorders>
                          <w:top w:val="single" w:sz="4" w:space="0" w:color="000000"/>
                          <w:bottom w:val="single" w:sz="4" w:space="0" w:color="000000"/>
                        </w:tcBorders>
                      </w:tcPr>
                      <w:p w14:paraId="027AF147" w14:textId="77777777" w:rsidR="00C75312" w:rsidRDefault="00BB293A">
                        <w:pPr>
                          <w:pStyle w:val="TableParagraph"/>
                          <w:spacing w:before="96"/>
                          <w:ind w:right="485"/>
                          <w:jc w:val="right"/>
                          <w:rPr>
                            <w:sz w:val="20"/>
                          </w:rPr>
                        </w:pPr>
                        <w:r>
                          <w:rPr>
                            <w:sz w:val="20"/>
                          </w:rPr>
                          <w:t>0.03</w:t>
                        </w:r>
                      </w:p>
                    </w:tc>
                    <w:tc>
                      <w:tcPr>
                        <w:tcW w:w="1946" w:type="dxa"/>
                        <w:tcBorders>
                          <w:top w:val="single" w:sz="4" w:space="0" w:color="000000"/>
                          <w:bottom w:val="single" w:sz="4" w:space="0" w:color="000000"/>
                        </w:tcBorders>
                      </w:tcPr>
                      <w:p w14:paraId="4186E0AC" w14:textId="77777777" w:rsidR="00C75312" w:rsidRDefault="00BB293A">
                        <w:pPr>
                          <w:pStyle w:val="TableParagraph"/>
                          <w:spacing w:before="96"/>
                          <w:ind w:left="469" w:right="418"/>
                          <w:jc w:val="center"/>
                          <w:rPr>
                            <w:sz w:val="20"/>
                          </w:rPr>
                        </w:pPr>
                        <w:r>
                          <w:rPr>
                            <w:sz w:val="20"/>
                          </w:rPr>
                          <w:t>Yes</w:t>
                        </w:r>
                      </w:p>
                    </w:tc>
                    <w:tc>
                      <w:tcPr>
                        <w:tcW w:w="1320" w:type="dxa"/>
                        <w:tcBorders>
                          <w:top w:val="single" w:sz="4" w:space="0" w:color="000000"/>
                          <w:bottom w:val="single" w:sz="4" w:space="0" w:color="000000"/>
                        </w:tcBorders>
                      </w:tcPr>
                      <w:p w14:paraId="6E6602F2" w14:textId="77777777" w:rsidR="00C75312" w:rsidRDefault="00BB293A">
                        <w:pPr>
                          <w:pStyle w:val="TableParagraph"/>
                          <w:spacing w:before="96"/>
                          <w:ind w:left="470"/>
                          <w:rPr>
                            <w:sz w:val="20"/>
                          </w:rPr>
                        </w:pPr>
                        <w:r>
                          <w:rPr>
                            <w:sz w:val="20"/>
                          </w:rPr>
                          <w:t>No</w:t>
                        </w:r>
                      </w:p>
                    </w:tc>
                  </w:tr>
                  <w:tr w:rsidR="00C75312" w14:paraId="26CE7357" w14:textId="77777777">
                    <w:trPr>
                      <w:trHeight w:val="450"/>
                    </w:trPr>
                    <w:tc>
                      <w:tcPr>
                        <w:tcW w:w="2628" w:type="dxa"/>
                        <w:tcBorders>
                          <w:top w:val="single" w:sz="4" w:space="0" w:color="000000"/>
                          <w:bottom w:val="single" w:sz="4" w:space="0" w:color="000000"/>
                        </w:tcBorders>
                      </w:tcPr>
                      <w:p w14:paraId="46280783" w14:textId="77777777" w:rsidR="00C75312" w:rsidRDefault="00BB293A">
                        <w:pPr>
                          <w:pStyle w:val="TableParagraph"/>
                          <w:spacing w:before="91"/>
                          <w:ind w:left="134"/>
                          <w:rPr>
                            <w:sz w:val="20"/>
                          </w:rPr>
                        </w:pPr>
                        <w:proofErr w:type="spellStart"/>
                        <w:r>
                          <w:rPr>
                            <w:sz w:val="20"/>
                          </w:rPr>
                          <w:t>Altgassen</w:t>
                        </w:r>
                        <w:proofErr w:type="spellEnd"/>
                        <w:r>
                          <w:rPr>
                            <w:sz w:val="20"/>
                          </w:rPr>
                          <w:t xml:space="preserve"> &amp; Koch (2014)</w:t>
                        </w:r>
                      </w:p>
                    </w:tc>
                    <w:tc>
                      <w:tcPr>
                        <w:tcW w:w="1380" w:type="dxa"/>
                        <w:tcBorders>
                          <w:top w:val="single" w:sz="4" w:space="0" w:color="000000"/>
                          <w:bottom w:val="single" w:sz="4" w:space="0" w:color="000000"/>
                        </w:tcBorders>
                      </w:tcPr>
                      <w:p w14:paraId="08B508C1" w14:textId="77777777" w:rsidR="00C75312" w:rsidRDefault="00BB293A">
                        <w:pPr>
                          <w:pStyle w:val="TableParagraph"/>
                          <w:spacing w:before="91"/>
                          <w:ind w:left="409" w:right="452"/>
                          <w:jc w:val="center"/>
                          <w:rPr>
                            <w:sz w:val="20"/>
                          </w:rPr>
                        </w:pPr>
                        <w:r>
                          <w:rPr>
                            <w:sz w:val="20"/>
                          </w:rPr>
                          <w:t>Partly</w:t>
                        </w:r>
                      </w:p>
                    </w:tc>
                    <w:tc>
                      <w:tcPr>
                        <w:tcW w:w="1454" w:type="dxa"/>
                        <w:tcBorders>
                          <w:top w:val="single" w:sz="4" w:space="0" w:color="000000"/>
                          <w:bottom w:val="single" w:sz="4" w:space="0" w:color="000000"/>
                        </w:tcBorders>
                      </w:tcPr>
                      <w:p w14:paraId="241D97A0" w14:textId="77777777" w:rsidR="00C75312" w:rsidRDefault="00BB293A">
                        <w:pPr>
                          <w:pStyle w:val="TableParagraph"/>
                          <w:spacing w:before="91"/>
                          <w:ind w:left="470"/>
                          <w:rPr>
                            <w:sz w:val="20"/>
                          </w:rPr>
                        </w:pPr>
                        <w:r>
                          <w:rPr>
                            <w:sz w:val="20"/>
                          </w:rPr>
                          <w:t>Age: 0.03</w:t>
                        </w:r>
                      </w:p>
                    </w:tc>
                    <w:tc>
                      <w:tcPr>
                        <w:tcW w:w="1248" w:type="dxa"/>
                        <w:tcBorders>
                          <w:top w:val="single" w:sz="4" w:space="0" w:color="000000"/>
                          <w:bottom w:val="single" w:sz="4" w:space="0" w:color="000000"/>
                        </w:tcBorders>
                      </w:tcPr>
                      <w:p w14:paraId="1E4EA1DB" w14:textId="77777777" w:rsidR="00C75312" w:rsidRDefault="00BB293A">
                        <w:pPr>
                          <w:pStyle w:val="TableParagraph"/>
                          <w:spacing w:before="91"/>
                          <w:ind w:left="29"/>
                          <w:jc w:val="center"/>
                          <w:rPr>
                            <w:sz w:val="20"/>
                          </w:rPr>
                        </w:pPr>
                        <w:r>
                          <w:rPr>
                            <w:sz w:val="20"/>
                          </w:rPr>
                          <w:t>-</w:t>
                        </w:r>
                      </w:p>
                    </w:tc>
                    <w:tc>
                      <w:tcPr>
                        <w:tcW w:w="1222" w:type="dxa"/>
                        <w:tcBorders>
                          <w:top w:val="single" w:sz="4" w:space="0" w:color="000000"/>
                          <w:bottom w:val="single" w:sz="4" w:space="0" w:color="000000"/>
                        </w:tcBorders>
                      </w:tcPr>
                      <w:p w14:paraId="49A40209" w14:textId="77777777" w:rsidR="00C75312" w:rsidRDefault="00BB293A">
                        <w:pPr>
                          <w:pStyle w:val="TableParagraph"/>
                          <w:spacing w:before="91"/>
                          <w:ind w:left="146" w:right="144"/>
                          <w:jc w:val="center"/>
                          <w:rPr>
                            <w:sz w:val="20"/>
                          </w:rPr>
                        </w:pPr>
                        <w:r>
                          <w:rPr>
                            <w:sz w:val="20"/>
                          </w:rPr>
                          <w:t>NVA: 0.1</w:t>
                        </w:r>
                      </w:p>
                    </w:tc>
                    <w:tc>
                      <w:tcPr>
                        <w:tcW w:w="1582" w:type="dxa"/>
                        <w:tcBorders>
                          <w:top w:val="single" w:sz="4" w:space="0" w:color="000000"/>
                          <w:bottom w:val="single" w:sz="4" w:space="0" w:color="000000"/>
                        </w:tcBorders>
                      </w:tcPr>
                      <w:p w14:paraId="33EEE4F1" w14:textId="77777777" w:rsidR="00C75312" w:rsidRDefault="00BB293A">
                        <w:pPr>
                          <w:pStyle w:val="TableParagraph"/>
                          <w:spacing w:before="91"/>
                          <w:ind w:left="138" w:right="375"/>
                          <w:jc w:val="center"/>
                          <w:rPr>
                            <w:sz w:val="20"/>
                          </w:rPr>
                        </w:pPr>
                        <w:r>
                          <w:rPr>
                            <w:sz w:val="20"/>
                          </w:rPr>
                          <w:t>No</w:t>
                        </w:r>
                      </w:p>
                    </w:tc>
                    <w:tc>
                      <w:tcPr>
                        <w:tcW w:w="1236" w:type="dxa"/>
                        <w:tcBorders>
                          <w:top w:val="single" w:sz="4" w:space="0" w:color="000000"/>
                          <w:bottom w:val="single" w:sz="4" w:space="0" w:color="000000"/>
                        </w:tcBorders>
                      </w:tcPr>
                      <w:p w14:paraId="6ED1CAF0" w14:textId="77777777" w:rsidR="00C75312" w:rsidRDefault="00BB293A">
                        <w:pPr>
                          <w:pStyle w:val="TableParagraph"/>
                          <w:spacing w:before="91"/>
                          <w:ind w:right="485"/>
                          <w:jc w:val="right"/>
                          <w:rPr>
                            <w:sz w:val="20"/>
                          </w:rPr>
                        </w:pPr>
                        <w:r>
                          <w:rPr>
                            <w:sz w:val="20"/>
                          </w:rPr>
                          <w:t>0.94</w:t>
                        </w:r>
                      </w:p>
                    </w:tc>
                    <w:tc>
                      <w:tcPr>
                        <w:tcW w:w="1946" w:type="dxa"/>
                        <w:tcBorders>
                          <w:top w:val="single" w:sz="4" w:space="0" w:color="000000"/>
                          <w:bottom w:val="single" w:sz="4" w:space="0" w:color="000000"/>
                        </w:tcBorders>
                      </w:tcPr>
                      <w:p w14:paraId="01634DC8" w14:textId="77777777" w:rsidR="00C75312" w:rsidRDefault="00BB293A">
                        <w:pPr>
                          <w:pStyle w:val="TableParagraph"/>
                          <w:spacing w:before="91"/>
                          <w:ind w:left="469" w:right="420"/>
                          <w:jc w:val="center"/>
                          <w:rPr>
                            <w:sz w:val="20"/>
                          </w:rPr>
                        </w:pPr>
                        <w:r>
                          <w:rPr>
                            <w:sz w:val="20"/>
                          </w:rPr>
                          <w:t>Not reported</w:t>
                        </w:r>
                      </w:p>
                    </w:tc>
                    <w:tc>
                      <w:tcPr>
                        <w:tcW w:w="1320" w:type="dxa"/>
                        <w:tcBorders>
                          <w:top w:val="single" w:sz="4" w:space="0" w:color="000000"/>
                          <w:bottom w:val="single" w:sz="4" w:space="0" w:color="000000"/>
                        </w:tcBorders>
                      </w:tcPr>
                      <w:p w14:paraId="59AB970B" w14:textId="77777777" w:rsidR="00C75312" w:rsidRDefault="00BB293A">
                        <w:pPr>
                          <w:pStyle w:val="TableParagraph"/>
                          <w:spacing w:before="91"/>
                          <w:ind w:left="470"/>
                          <w:rPr>
                            <w:sz w:val="20"/>
                          </w:rPr>
                        </w:pPr>
                        <w:r>
                          <w:rPr>
                            <w:sz w:val="20"/>
                          </w:rPr>
                          <w:t>No</w:t>
                        </w:r>
                      </w:p>
                    </w:tc>
                  </w:tr>
                  <w:tr w:rsidR="00C75312" w14:paraId="11839482" w14:textId="77777777">
                    <w:trPr>
                      <w:trHeight w:val="455"/>
                    </w:trPr>
                    <w:tc>
                      <w:tcPr>
                        <w:tcW w:w="2628" w:type="dxa"/>
                        <w:tcBorders>
                          <w:top w:val="single" w:sz="4" w:space="0" w:color="000000"/>
                          <w:bottom w:val="single" w:sz="4" w:space="0" w:color="000000"/>
                        </w:tcBorders>
                      </w:tcPr>
                      <w:p w14:paraId="592B9696" w14:textId="77777777" w:rsidR="00C75312" w:rsidRDefault="00BB293A">
                        <w:pPr>
                          <w:pStyle w:val="TableParagraph"/>
                          <w:spacing w:before="96"/>
                          <w:ind w:left="134"/>
                          <w:rPr>
                            <w:sz w:val="20"/>
                          </w:rPr>
                        </w:pPr>
                        <w:r>
                          <w:rPr>
                            <w:sz w:val="20"/>
                          </w:rPr>
                          <w:t>Henry et al. (2014)</w:t>
                        </w:r>
                      </w:p>
                    </w:tc>
                    <w:tc>
                      <w:tcPr>
                        <w:tcW w:w="1380" w:type="dxa"/>
                        <w:tcBorders>
                          <w:top w:val="single" w:sz="4" w:space="0" w:color="000000"/>
                          <w:bottom w:val="single" w:sz="4" w:space="0" w:color="000000"/>
                        </w:tcBorders>
                      </w:tcPr>
                      <w:p w14:paraId="783CEB5B" w14:textId="77777777" w:rsidR="00C75312" w:rsidRDefault="00BB293A">
                        <w:pPr>
                          <w:pStyle w:val="TableParagraph"/>
                          <w:spacing w:before="96"/>
                          <w:ind w:left="409" w:right="451"/>
                          <w:jc w:val="center"/>
                          <w:rPr>
                            <w:sz w:val="20"/>
                          </w:rPr>
                        </w:pPr>
                        <w:r>
                          <w:rPr>
                            <w:sz w:val="20"/>
                          </w:rPr>
                          <w:t>Yes</w:t>
                        </w:r>
                      </w:p>
                    </w:tc>
                    <w:tc>
                      <w:tcPr>
                        <w:tcW w:w="1454" w:type="dxa"/>
                        <w:tcBorders>
                          <w:top w:val="single" w:sz="4" w:space="0" w:color="000000"/>
                          <w:bottom w:val="single" w:sz="4" w:space="0" w:color="000000"/>
                        </w:tcBorders>
                      </w:tcPr>
                      <w:p w14:paraId="541DED5B" w14:textId="77777777" w:rsidR="00C75312" w:rsidRDefault="00BB293A">
                        <w:pPr>
                          <w:pStyle w:val="TableParagraph"/>
                          <w:spacing w:before="96"/>
                          <w:ind w:left="470"/>
                          <w:rPr>
                            <w:sz w:val="20"/>
                          </w:rPr>
                        </w:pPr>
                        <w:r>
                          <w:rPr>
                            <w:sz w:val="20"/>
                          </w:rPr>
                          <w:t>Age: 0.07</w:t>
                        </w:r>
                      </w:p>
                    </w:tc>
                    <w:tc>
                      <w:tcPr>
                        <w:tcW w:w="1248" w:type="dxa"/>
                        <w:tcBorders>
                          <w:top w:val="single" w:sz="4" w:space="0" w:color="000000"/>
                          <w:bottom w:val="single" w:sz="4" w:space="0" w:color="000000"/>
                        </w:tcBorders>
                      </w:tcPr>
                      <w:p w14:paraId="1B279A19" w14:textId="77777777" w:rsidR="00C75312" w:rsidRDefault="00BB293A">
                        <w:pPr>
                          <w:pStyle w:val="TableParagraph"/>
                          <w:spacing w:before="96"/>
                          <w:ind w:right="199"/>
                          <w:jc w:val="right"/>
                          <w:rPr>
                            <w:sz w:val="20"/>
                          </w:rPr>
                        </w:pPr>
                        <w:r>
                          <w:rPr>
                            <w:sz w:val="20"/>
                          </w:rPr>
                          <w:t>VIQ: 0.28</w:t>
                        </w:r>
                      </w:p>
                    </w:tc>
                    <w:tc>
                      <w:tcPr>
                        <w:tcW w:w="1222" w:type="dxa"/>
                        <w:tcBorders>
                          <w:top w:val="single" w:sz="4" w:space="0" w:color="000000"/>
                          <w:bottom w:val="single" w:sz="4" w:space="0" w:color="000000"/>
                        </w:tcBorders>
                      </w:tcPr>
                      <w:p w14:paraId="594F62FC" w14:textId="77777777" w:rsidR="00C75312" w:rsidRDefault="00BB293A">
                        <w:pPr>
                          <w:pStyle w:val="TableParagraph"/>
                          <w:spacing w:before="96"/>
                          <w:ind w:left="146" w:right="144"/>
                          <w:jc w:val="center"/>
                          <w:rPr>
                            <w:sz w:val="20"/>
                          </w:rPr>
                        </w:pPr>
                        <w:r>
                          <w:rPr>
                            <w:sz w:val="20"/>
                          </w:rPr>
                          <w:t>PIQ: 0.24</w:t>
                        </w:r>
                      </w:p>
                    </w:tc>
                    <w:tc>
                      <w:tcPr>
                        <w:tcW w:w="1582" w:type="dxa"/>
                        <w:tcBorders>
                          <w:top w:val="single" w:sz="4" w:space="0" w:color="000000"/>
                          <w:bottom w:val="single" w:sz="4" w:space="0" w:color="000000"/>
                        </w:tcBorders>
                      </w:tcPr>
                      <w:p w14:paraId="55953656" w14:textId="77777777" w:rsidR="00C75312" w:rsidRDefault="00BB293A">
                        <w:pPr>
                          <w:pStyle w:val="TableParagraph"/>
                          <w:spacing w:before="96"/>
                          <w:ind w:left="144" w:right="375"/>
                          <w:jc w:val="center"/>
                          <w:rPr>
                            <w:sz w:val="20"/>
                          </w:rPr>
                        </w:pPr>
                        <w:r>
                          <w:rPr>
                            <w:sz w:val="20"/>
                          </w:rPr>
                          <w:t>NA</w:t>
                        </w:r>
                      </w:p>
                    </w:tc>
                    <w:tc>
                      <w:tcPr>
                        <w:tcW w:w="1236" w:type="dxa"/>
                        <w:tcBorders>
                          <w:top w:val="single" w:sz="4" w:space="0" w:color="000000"/>
                          <w:bottom w:val="single" w:sz="4" w:space="0" w:color="000000"/>
                        </w:tcBorders>
                      </w:tcPr>
                      <w:p w14:paraId="58526472" w14:textId="77777777" w:rsidR="00C75312" w:rsidRDefault="00BB293A">
                        <w:pPr>
                          <w:pStyle w:val="TableParagraph"/>
                          <w:spacing w:before="96"/>
                          <w:ind w:right="102"/>
                          <w:jc w:val="center"/>
                          <w:rPr>
                            <w:sz w:val="20"/>
                          </w:rPr>
                        </w:pPr>
                        <w:r>
                          <w:rPr>
                            <w:sz w:val="20"/>
                          </w:rPr>
                          <w:t>-</w:t>
                        </w:r>
                      </w:p>
                    </w:tc>
                    <w:tc>
                      <w:tcPr>
                        <w:tcW w:w="1946" w:type="dxa"/>
                        <w:tcBorders>
                          <w:top w:val="single" w:sz="4" w:space="0" w:color="000000"/>
                          <w:bottom w:val="single" w:sz="4" w:space="0" w:color="000000"/>
                        </w:tcBorders>
                      </w:tcPr>
                      <w:p w14:paraId="6BE45622" w14:textId="77777777" w:rsidR="00C75312" w:rsidRDefault="00BB293A">
                        <w:pPr>
                          <w:pStyle w:val="TableParagraph"/>
                          <w:spacing w:before="96"/>
                          <w:ind w:left="468" w:right="420"/>
                          <w:jc w:val="center"/>
                          <w:rPr>
                            <w:sz w:val="20"/>
                          </w:rPr>
                        </w:pPr>
                        <w:r>
                          <w:rPr>
                            <w:sz w:val="20"/>
                          </w:rPr>
                          <w:t>No</w:t>
                        </w:r>
                      </w:p>
                    </w:tc>
                    <w:tc>
                      <w:tcPr>
                        <w:tcW w:w="1320" w:type="dxa"/>
                        <w:tcBorders>
                          <w:top w:val="single" w:sz="4" w:space="0" w:color="000000"/>
                          <w:bottom w:val="single" w:sz="4" w:space="0" w:color="000000"/>
                        </w:tcBorders>
                      </w:tcPr>
                      <w:p w14:paraId="31C945B2" w14:textId="77777777" w:rsidR="00C75312" w:rsidRDefault="00BB293A">
                        <w:pPr>
                          <w:pStyle w:val="TableParagraph"/>
                          <w:spacing w:before="96"/>
                          <w:ind w:left="436"/>
                          <w:rPr>
                            <w:sz w:val="20"/>
                          </w:rPr>
                        </w:pPr>
                        <w:r>
                          <w:rPr>
                            <w:sz w:val="20"/>
                          </w:rPr>
                          <w:t>Yes</w:t>
                        </w:r>
                      </w:p>
                    </w:tc>
                  </w:tr>
                  <w:tr w:rsidR="00C75312" w14:paraId="4B0DA66C" w14:textId="77777777">
                    <w:trPr>
                      <w:trHeight w:val="455"/>
                    </w:trPr>
                    <w:tc>
                      <w:tcPr>
                        <w:tcW w:w="2628" w:type="dxa"/>
                        <w:tcBorders>
                          <w:top w:val="single" w:sz="4" w:space="0" w:color="000000"/>
                          <w:bottom w:val="single" w:sz="4" w:space="0" w:color="000000"/>
                        </w:tcBorders>
                      </w:tcPr>
                      <w:p w14:paraId="7FE506B4" w14:textId="77777777" w:rsidR="00C75312" w:rsidRDefault="00BB293A">
                        <w:pPr>
                          <w:pStyle w:val="TableParagraph"/>
                          <w:spacing w:before="96"/>
                          <w:ind w:left="134"/>
                          <w:rPr>
                            <w:sz w:val="20"/>
                          </w:rPr>
                        </w:pPr>
                        <w:r>
                          <w:rPr>
                            <w:sz w:val="20"/>
                          </w:rPr>
                          <w:t>Kretschmer et al. (2014)</w:t>
                        </w:r>
                      </w:p>
                    </w:tc>
                    <w:tc>
                      <w:tcPr>
                        <w:tcW w:w="1380" w:type="dxa"/>
                        <w:tcBorders>
                          <w:top w:val="single" w:sz="4" w:space="0" w:color="000000"/>
                          <w:bottom w:val="single" w:sz="4" w:space="0" w:color="000000"/>
                        </w:tcBorders>
                      </w:tcPr>
                      <w:p w14:paraId="103F3289" w14:textId="77777777" w:rsidR="00C75312" w:rsidRDefault="00BB293A">
                        <w:pPr>
                          <w:pStyle w:val="TableParagraph"/>
                          <w:spacing w:before="96"/>
                          <w:ind w:left="409" w:right="451"/>
                          <w:jc w:val="center"/>
                          <w:rPr>
                            <w:sz w:val="20"/>
                          </w:rPr>
                        </w:pPr>
                        <w:r>
                          <w:rPr>
                            <w:sz w:val="20"/>
                          </w:rPr>
                          <w:t>Yes</w:t>
                        </w:r>
                      </w:p>
                    </w:tc>
                    <w:tc>
                      <w:tcPr>
                        <w:tcW w:w="1454" w:type="dxa"/>
                        <w:tcBorders>
                          <w:top w:val="single" w:sz="4" w:space="0" w:color="000000"/>
                          <w:bottom w:val="single" w:sz="4" w:space="0" w:color="000000"/>
                        </w:tcBorders>
                      </w:tcPr>
                      <w:p w14:paraId="63827115" w14:textId="77777777" w:rsidR="00C75312" w:rsidRDefault="00BB293A">
                        <w:pPr>
                          <w:pStyle w:val="TableParagraph"/>
                          <w:spacing w:before="96"/>
                          <w:ind w:left="470"/>
                          <w:rPr>
                            <w:sz w:val="20"/>
                          </w:rPr>
                        </w:pPr>
                        <w:r>
                          <w:rPr>
                            <w:sz w:val="20"/>
                          </w:rPr>
                          <w:t>Age: 0.45</w:t>
                        </w:r>
                      </w:p>
                    </w:tc>
                    <w:tc>
                      <w:tcPr>
                        <w:tcW w:w="1248" w:type="dxa"/>
                        <w:tcBorders>
                          <w:top w:val="single" w:sz="4" w:space="0" w:color="000000"/>
                          <w:bottom w:val="single" w:sz="4" w:space="0" w:color="000000"/>
                        </w:tcBorders>
                      </w:tcPr>
                      <w:p w14:paraId="1E391F21" w14:textId="77777777" w:rsidR="00C75312" w:rsidRDefault="00BB293A">
                        <w:pPr>
                          <w:pStyle w:val="TableParagraph"/>
                          <w:spacing w:before="96"/>
                          <w:ind w:right="232"/>
                          <w:jc w:val="right"/>
                          <w:rPr>
                            <w:sz w:val="20"/>
                          </w:rPr>
                        </w:pPr>
                        <w:r>
                          <w:rPr>
                            <w:sz w:val="20"/>
                          </w:rPr>
                          <w:t>VA: 0.25</w:t>
                        </w:r>
                      </w:p>
                    </w:tc>
                    <w:tc>
                      <w:tcPr>
                        <w:tcW w:w="1222" w:type="dxa"/>
                        <w:tcBorders>
                          <w:top w:val="single" w:sz="4" w:space="0" w:color="000000"/>
                          <w:bottom w:val="single" w:sz="4" w:space="0" w:color="000000"/>
                        </w:tcBorders>
                      </w:tcPr>
                      <w:p w14:paraId="106BE911" w14:textId="77777777" w:rsidR="00C75312" w:rsidRDefault="00BB293A">
                        <w:pPr>
                          <w:pStyle w:val="TableParagraph"/>
                          <w:spacing w:before="96"/>
                          <w:ind w:left="146" w:right="147"/>
                          <w:jc w:val="center"/>
                          <w:rPr>
                            <w:sz w:val="20"/>
                          </w:rPr>
                        </w:pPr>
                        <w:r>
                          <w:rPr>
                            <w:sz w:val="20"/>
                          </w:rPr>
                          <w:t>NVA: 0.03</w:t>
                        </w:r>
                      </w:p>
                    </w:tc>
                    <w:tc>
                      <w:tcPr>
                        <w:tcW w:w="1582" w:type="dxa"/>
                        <w:tcBorders>
                          <w:top w:val="single" w:sz="4" w:space="0" w:color="000000"/>
                          <w:bottom w:val="single" w:sz="4" w:space="0" w:color="000000"/>
                        </w:tcBorders>
                      </w:tcPr>
                      <w:p w14:paraId="16D8EDDF" w14:textId="77777777" w:rsidR="00C75312" w:rsidRDefault="00BB293A">
                        <w:pPr>
                          <w:pStyle w:val="TableParagraph"/>
                          <w:spacing w:before="96"/>
                          <w:ind w:left="144" w:right="375"/>
                          <w:jc w:val="center"/>
                          <w:rPr>
                            <w:sz w:val="20"/>
                          </w:rPr>
                        </w:pPr>
                        <w:r>
                          <w:rPr>
                            <w:sz w:val="20"/>
                          </w:rPr>
                          <w:t>NA</w:t>
                        </w:r>
                      </w:p>
                    </w:tc>
                    <w:tc>
                      <w:tcPr>
                        <w:tcW w:w="1236" w:type="dxa"/>
                        <w:tcBorders>
                          <w:top w:val="single" w:sz="4" w:space="0" w:color="000000"/>
                          <w:bottom w:val="single" w:sz="4" w:space="0" w:color="000000"/>
                        </w:tcBorders>
                      </w:tcPr>
                      <w:p w14:paraId="1B2A3C6F" w14:textId="77777777" w:rsidR="00C75312" w:rsidRDefault="00BB293A">
                        <w:pPr>
                          <w:pStyle w:val="TableParagraph"/>
                          <w:spacing w:before="96"/>
                          <w:ind w:right="102"/>
                          <w:jc w:val="center"/>
                          <w:rPr>
                            <w:sz w:val="20"/>
                          </w:rPr>
                        </w:pPr>
                        <w:r>
                          <w:rPr>
                            <w:sz w:val="20"/>
                          </w:rPr>
                          <w:t>-</w:t>
                        </w:r>
                      </w:p>
                    </w:tc>
                    <w:tc>
                      <w:tcPr>
                        <w:tcW w:w="1946" w:type="dxa"/>
                        <w:tcBorders>
                          <w:top w:val="single" w:sz="4" w:space="0" w:color="000000"/>
                          <w:bottom w:val="single" w:sz="4" w:space="0" w:color="000000"/>
                        </w:tcBorders>
                      </w:tcPr>
                      <w:p w14:paraId="3E5D3F8C" w14:textId="77777777" w:rsidR="00C75312" w:rsidRDefault="00BB293A">
                        <w:pPr>
                          <w:pStyle w:val="TableParagraph"/>
                          <w:spacing w:before="96"/>
                          <w:ind w:left="468" w:right="420"/>
                          <w:jc w:val="center"/>
                          <w:rPr>
                            <w:sz w:val="20"/>
                          </w:rPr>
                        </w:pPr>
                        <w:r>
                          <w:rPr>
                            <w:sz w:val="20"/>
                          </w:rPr>
                          <w:t>No</w:t>
                        </w:r>
                      </w:p>
                    </w:tc>
                    <w:tc>
                      <w:tcPr>
                        <w:tcW w:w="1320" w:type="dxa"/>
                        <w:tcBorders>
                          <w:top w:val="single" w:sz="4" w:space="0" w:color="000000"/>
                          <w:bottom w:val="single" w:sz="4" w:space="0" w:color="000000"/>
                        </w:tcBorders>
                      </w:tcPr>
                      <w:p w14:paraId="1A5BB3CE" w14:textId="77777777" w:rsidR="00C75312" w:rsidRDefault="00BB293A">
                        <w:pPr>
                          <w:pStyle w:val="TableParagraph"/>
                          <w:spacing w:before="96"/>
                          <w:ind w:left="436"/>
                          <w:rPr>
                            <w:sz w:val="20"/>
                          </w:rPr>
                        </w:pPr>
                        <w:r>
                          <w:rPr>
                            <w:sz w:val="20"/>
                          </w:rPr>
                          <w:t>Yes</w:t>
                        </w:r>
                      </w:p>
                    </w:tc>
                  </w:tr>
                  <w:tr w:rsidR="00C75312" w14:paraId="3F44C65B" w14:textId="77777777">
                    <w:trPr>
                      <w:trHeight w:val="527"/>
                    </w:trPr>
                    <w:tc>
                      <w:tcPr>
                        <w:tcW w:w="5462" w:type="dxa"/>
                        <w:gridSpan w:val="3"/>
                        <w:tcBorders>
                          <w:bottom w:val="single" w:sz="4" w:space="0" w:color="000000"/>
                        </w:tcBorders>
                      </w:tcPr>
                      <w:p w14:paraId="65B66D1A" w14:textId="77777777" w:rsidR="00C75312" w:rsidRDefault="00BB293A">
                        <w:pPr>
                          <w:pStyle w:val="TableParagraph"/>
                          <w:tabs>
                            <w:tab w:val="left" w:pos="3172"/>
                            <w:tab w:val="left" w:pos="4478"/>
                          </w:tabs>
                          <w:spacing w:line="355" w:lineRule="exact"/>
                          <w:ind w:left="134"/>
                          <w:rPr>
                            <w:sz w:val="20"/>
                          </w:rPr>
                        </w:pPr>
                        <w:r>
                          <w:rPr>
                            <w:sz w:val="20"/>
                          </w:rPr>
                          <w:t>Yi et</w:t>
                        </w:r>
                        <w:r>
                          <w:rPr>
                            <w:spacing w:val="2"/>
                            <w:sz w:val="20"/>
                          </w:rPr>
                          <w:t xml:space="preserve"> </w:t>
                        </w:r>
                        <w:r>
                          <w:rPr>
                            <w:sz w:val="20"/>
                          </w:rPr>
                          <w:t>al. (2014)</w:t>
                        </w:r>
                        <w:r>
                          <w:rPr>
                            <w:sz w:val="20"/>
                          </w:rPr>
                          <w:tab/>
                        </w:r>
                        <w:r>
                          <w:rPr>
                            <w:position w:val="13"/>
                            <w:sz w:val="20"/>
                          </w:rPr>
                          <w:t>No</w:t>
                        </w:r>
                        <w:r>
                          <w:rPr>
                            <w:position w:val="13"/>
                            <w:sz w:val="20"/>
                          </w:rPr>
                          <w:tab/>
                        </w:r>
                        <w:r>
                          <w:rPr>
                            <w:sz w:val="20"/>
                          </w:rPr>
                          <w:t>Age: 1.29</w:t>
                        </w:r>
                      </w:p>
                    </w:tc>
                    <w:tc>
                      <w:tcPr>
                        <w:tcW w:w="1248" w:type="dxa"/>
                        <w:tcBorders>
                          <w:bottom w:val="single" w:sz="4" w:space="0" w:color="000000"/>
                        </w:tcBorders>
                      </w:tcPr>
                      <w:p w14:paraId="22845F8E" w14:textId="77777777" w:rsidR="00C75312" w:rsidRDefault="00BB293A">
                        <w:pPr>
                          <w:pStyle w:val="TableParagraph"/>
                          <w:spacing w:before="125"/>
                          <w:ind w:right="232"/>
                          <w:jc w:val="right"/>
                          <w:rPr>
                            <w:sz w:val="20"/>
                          </w:rPr>
                        </w:pPr>
                        <w:r>
                          <w:rPr>
                            <w:sz w:val="20"/>
                          </w:rPr>
                          <w:t>VA: 0.13</w:t>
                        </w:r>
                      </w:p>
                    </w:tc>
                    <w:tc>
                      <w:tcPr>
                        <w:tcW w:w="1222" w:type="dxa"/>
                        <w:tcBorders>
                          <w:bottom w:val="single" w:sz="4" w:space="0" w:color="000000"/>
                        </w:tcBorders>
                      </w:tcPr>
                      <w:p w14:paraId="4B528DA5" w14:textId="77777777" w:rsidR="00C75312" w:rsidRDefault="00BB293A">
                        <w:pPr>
                          <w:pStyle w:val="TableParagraph"/>
                          <w:spacing w:before="125"/>
                          <w:ind w:left="146" w:right="147"/>
                          <w:jc w:val="center"/>
                          <w:rPr>
                            <w:sz w:val="20"/>
                          </w:rPr>
                        </w:pPr>
                        <w:r>
                          <w:rPr>
                            <w:sz w:val="20"/>
                          </w:rPr>
                          <w:t>NVA: 0.63</w:t>
                        </w:r>
                      </w:p>
                    </w:tc>
                    <w:tc>
                      <w:tcPr>
                        <w:tcW w:w="1582" w:type="dxa"/>
                        <w:tcBorders>
                          <w:bottom w:val="single" w:sz="4" w:space="0" w:color="000000"/>
                        </w:tcBorders>
                      </w:tcPr>
                      <w:p w14:paraId="3910E296" w14:textId="77777777" w:rsidR="00C75312" w:rsidRDefault="00BB293A">
                        <w:pPr>
                          <w:pStyle w:val="TableParagraph"/>
                          <w:spacing w:before="125"/>
                          <w:ind w:left="149" w:right="375"/>
                          <w:jc w:val="center"/>
                          <w:rPr>
                            <w:sz w:val="20"/>
                          </w:rPr>
                        </w:pPr>
                        <w:r>
                          <w:rPr>
                            <w:sz w:val="20"/>
                          </w:rPr>
                          <w:t>Not reported</w:t>
                        </w:r>
                      </w:p>
                    </w:tc>
                    <w:tc>
                      <w:tcPr>
                        <w:tcW w:w="1236" w:type="dxa"/>
                        <w:tcBorders>
                          <w:bottom w:val="single" w:sz="4" w:space="0" w:color="000000"/>
                        </w:tcBorders>
                      </w:tcPr>
                      <w:p w14:paraId="57D160B1" w14:textId="77777777" w:rsidR="00C75312" w:rsidRDefault="00BB293A">
                        <w:pPr>
                          <w:pStyle w:val="TableParagraph"/>
                          <w:spacing w:before="125"/>
                          <w:ind w:right="102"/>
                          <w:jc w:val="center"/>
                          <w:rPr>
                            <w:sz w:val="20"/>
                          </w:rPr>
                        </w:pPr>
                        <w:r>
                          <w:rPr>
                            <w:sz w:val="20"/>
                          </w:rPr>
                          <w:t>-</w:t>
                        </w:r>
                      </w:p>
                    </w:tc>
                    <w:tc>
                      <w:tcPr>
                        <w:tcW w:w="1946" w:type="dxa"/>
                        <w:tcBorders>
                          <w:bottom w:val="single" w:sz="4" w:space="0" w:color="000000"/>
                        </w:tcBorders>
                      </w:tcPr>
                      <w:p w14:paraId="16775C17" w14:textId="77777777" w:rsidR="00C75312" w:rsidRDefault="00BB293A">
                        <w:pPr>
                          <w:pStyle w:val="TableParagraph"/>
                          <w:spacing w:before="125"/>
                          <w:ind w:left="469" w:right="420"/>
                          <w:jc w:val="center"/>
                          <w:rPr>
                            <w:sz w:val="20"/>
                          </w:rPr>
                        </w:pPr>
                        <w:r>
                          <w:rPr>
                            <w:sz w:val="20"/>
                          </w:rPr>
                          <w:t>Not reported</w:t>
                        </w:r>
                      </w:p>
                    </w:tc>
                    <w:tc>
                      <w:tcPr>
                        <w:tcW w:w="1320" w:type="dxa"/>
                        <w:tcBorders>
                          <w:bottom w:val="single" w:sz="4" w:space="0" w:color="000000"/>
                        </w:tcBorders>
                      </w:tcPr>
                      <w:p w14:paraId="7C14A682" w14:textId="77777777" w:rsidR="00C75312" w:rsidRDefault="00BB293A">
                        <w:pPr>
                          <w:pStyle w:val="TableParagraph"/>
                          <w:spacing w:before="125"/>
                          <w:ind w:left="470"/>
                          <w:rPr>
                            <w:sz w:val="20"/>
                          </w:rPr>
                        </w:pPr>
                        <w:r>
                          <w:rPr>
                            <w:sz w:val="20"/>
                          </w:rPr>
                          <w:t>No</w:t>
                        </w:r>
                      </w:p>
                    </w:tc>
                  </w:tr>
                  <w:tr w:rsidR="00C75312" w14:paraId="4ABECEBD" w14:textId="77777777">
                    <w:trPr>
                      <w:trHeight w:val="527"/>
                    </w:trPr>
                    <w:tc>
                      <w:tcPr>
                        <w:tcW w:w="5462" w:type="dxa"/>
                        <w:gridSpan w:val="3"/>
                        <w:tcBorders>
                          <w:top w:val="single" w:sz="4" w:space="0" w:color="000000"/>
                          <w:bottom w:val="single" w:sz="4" w:space="0" w:color="000000"/>
                        </w:tcBorders>
                      </w:tcPr>
                      <w:p w14:paraId="4C7A7816" w14:textId="77777777" w:rsidR="00C75312" w:rsidRDefault="00BB293A">
                        <w:pPr>
                          <w:pStyle w:val="TableParagraph"/>
                          <w:tabs>
                            <w:tab w:val="left" w:pos="4478"/>
                          </w:tabs>
                          <w:spacing w:before="4"/>
                          <w:ind w:left="3172"/>
                          <w:rPr>
                            <w:sz w:val="20"/>
                          </w:rPr>
                        </w:pPr>
                        <w:r>
                          <w:rPr>
                            <w:position w:val="13"/>
                            <w:sz w:val="20"/>
                          </w:rPr>
                          <w:t>No</w:t>
                        </w:r>
                        <w:r>
                          <w:rPr>
                            <w:position w:val="13"/>
                            <w:sz w:val="20"/>
                          </w:rPr>
                          <w:tab/>
                        </w:r>
                        <w:r>
                          <w:rPr>
                            <w:sz w:val="20"/>
                          </w:rPr>
                          <w:t>Age:</w:t>
                        </w:r>
                        <w:r>
                          <w:rPr>
                            <w:spacing w:val="-1"/>
                            <w:sz w:val="20"/>
                          </w:rPr>
                          <w:t xml:space="preserve"> </w:t>
                        </w:r>
                        <w:r>
                          <w:rPr>
                            <w:sz w:val="20"/>
                          </w:rPr>
                          <w:t>0.01</w:t>
                        </w:r>
                      </w:p>
                    </w:tc>
                    <w:tc>
                      <w:tcPr>
                        <w:tcW w:w="1248" w:type="dxa"/>
                        <w:tcBorders>
                          <w:top w:val="single" w:sz="4" w:space="0" w:color="000000"/>
                          <w:bottom w:val="single" w:sz="4" w:space="0" w:color="000000"/>
                        </w:tcBorders>
                      </w:tcPr>
                      <w:p w14:paraId="115DB478" w14:textId="77777777" w:rsidR="00C75312" w:rsidRDefault="00BB293A">
                        <w:pPr>
                          <w:pStyle w:val="TableParagraph"/>
                          <w:spacing w:before="134"/>
                          <w:ind w:left="29"/>
                          <w:jc w:val="center"/>
                          <w:rPr>
                            <w:b/>
                            <w:sz w:val="20"/>
                          </w:rPr>
                        </w:pPr>
                        <w:r>
                          <w:rPr>
                            <w:b/>
                            <w:sz w:val="20"/>
                          </w:rPr>
                          <w:t>-</w:t>
                        </w:r>
                      </w:p>
                    </w:tc>
                    <w:tc>
                      <w:tcPr>
                        <w:tcW w:w="1222" w:type="dxa"/>
                        <w:tcBorders>
                          <w:top w:val="single" w:sz="4" w:space="0" w:color="000000"/>
                          <w:bottom w:val="single" w:sz="4" w:space="0" w:color="000000"/>
                        </w:tcBorders>
                      </w:tcPr>
                      <w:p w14:paraId="52E11637" w14:textId="77777777" w:rsidR="00C75312" w:rsidRDefault="00BB293A">
                        <w:pPr>
                          <w:pStyle w:val="TableParagraph"/>
                          <w:spacing w:before="134"/>
                          <w:ind w:left="146" w:right="147"/>
                          <w:jc w:val="center"/>
                          <w:rPr>
                            <w:sz w:val="20"/>
                          </w:rPr>
                        </w:pPr>
                        <w:r>
                          <w:rPr>
                            <w:sz w:val="20"/>
                          </w:rPr>
                          <w:t>NVA: 0.65</w:t>
                        </w:r>
                      </w:p>
                    </w:tc>
                    <w:tc>
                      <w:tcPr>
                        <w:tcW w:w="1582" w:type="dxa"/>
                        <w:tcBorders>
                          <w:top w:val="single" w:sz="4" w:space="0" w:color="000000"/>
                          <w:bottom w:val="single" w:sz="4" w:space="0" w:color="000000"/>
                        </w:tcBorders>
                      </w:tcPr>
                      <w:p w14:paraId="201E25C8" w14:textId="77777777" w:rsidR="00C75312" w:rsidRDefault="00BB293A">
                        <w:pPr>
                          <w:pStyle w:val="TableParagraph"/>
                          <w:spacing w:before="134"/>
                          <w:ind w:left="149" w:right="375"/>
                          <w:jc w:val="center"/>
                          <w:rPr>
                            <w:sz w:val="20"/>
                          </w:rPr>
                        </w:pPr>
                        <w:r>
                          <w:rPr>
                            <w:sz w:val="20"/>
                          </w:rPr>
                          <w:t>Not reported</w:t>
                        </w:r>
                      </w:p>
                    </w:tc>
                    <w:tc>
                      <w:tcPr>
                        <w:tcW w:w="1236" w:type="dxa"/>
                        <w:tcBorders>
                          <w:top w:val="single" w:sz="4" w:space="0" w:color="000000"/>
                          <w:bottom w:val="single" w:sz="4" w:space="0" w:color="000000"/>
                        </w:tcBorders>
                      </w:tcPr>
                      <w:p w14:paraId="3F9C2F6A" w14:textId="77777777" w:rsidR="00C75312" w:rsidRDefault="00BB293A">
                        <w:pPr>
                          <w:pStyle w:val="TableParagraph"/>
                          <w:spacing w:before="134"/>
                          <w:ind w:right="102"/>
                          <w:jc w:val="center"/>
                          <w:rPr>
                            <w:sz w:val="20"/>
                          </w:rPr>
                        </w:pPr>
                        <w:r>
                          <w:rPr>
                            <w:sz w:val="20"/>
                          </w:rPr>
                          <w:t>-</w:t>
                        </w:r>
                      </w:p>
                    </w:tc>
                    <w:tc>
                      <w:tcPr>
                        <w:tcW w:w="1946" w:type="dxa"/>
                        <w:tcBorders>
                          <w:top w:val="single" w:sz="4" w:space="0" w:color="000000"/>
                          <w:bottom w:val="single" w:sz="4" w:space="0" w:color="000000"/>
                        </w:tcBorders>
                      </w:tcPr>
                      <w:p w14:paraId="65D3D377" w14:textId="77777777" w:rsidR="00C75312" w:rsidRDefault="00BB293A">
                        <w:pPr>
                          <w:pStyle w:val="TableParagraph"/>
                          <w:spacing w:before="134"/>
                          <w:ind w:left="469" w:right="420"/>
                          <w:jc w:val="center"/>
                          <w:rPr>
                            <w:sz w:val="20"/>
                          </w:rPr>
                        </w:pPr>
                        <w:r>
                          <w:rPr>
                            <w:sz w:val="20"/>
                          </w:rPr>
                          <w:t>Not reported</w:t>
                        </w:r>
                      </w:p>
                    </w:tc>
                    <w:tc>
                      <w:tcPr>
                        <w:tcW w:w="1320" w:type="dxa"/>
                        <w:tcBorders>
                          <w:top w:val="single" w:sz="4" w:space="0" w:color="000000"/>
                          <w:bottom w:val="single" w:sz="4" w:space="0" w:color="000000"/>
                        </w:tcBorders>
                      </w:tcPr>
                      <w:p w14:paraId="0A6473E5" w14:textId="77777777" w:rsidR="00C75312" w:rsidRDefault="00BB293A">
                        <w:pPr>
                          <w:pStyle w:val="TableParagraph"/>
                          <w:spacing w:before="134"/>
                          <w:ind w:left="470"/>
                          <w:rPr>
                            <w:sz w:val="20"/>
                          </w:rPr>
                        </w:pPr>
                        <w:r>
                          <w:rPr>
                            <w:sz w:val="20"/>
                          </w:rPr>
                          <w:t>No</w:t>
                        </w:r>
                      </w:p>
                    </w:tc>
                  </w:tr>
                </w:tbl>
                <w:p w14:paraId="150E0B7E" w14:textId="77777777" w:rsidR="00C75312" w:rsidRDefault="00C75312">
                  <w:pPr>
                    <w:pStyle w:val="BodyText"/>
                  </w:pPr>
                </w:p>
              </w:txbxContent>
            </v:textbox>
            <w10:wrap anchorx="page"/>
          </v:shape>
        </w:pict>
      </w:r>
      <w:r>
        <w:rPr>
          <w:position w:val="1"/>
          <w:sz w:val="20"/>
        </w:rPr>
        <w:t>(ASD vs. NT</w:t>
      </w:r>
      <w:r>
        <w:rPr>
          <w:position w:val="1"/>
          <w:sz w:val="20"/>
          <w:vertAlign w:val="subscript"/>
        </w:rPr>
        <w:t>MA</w:t>
      </w:r>
      <w:r>
        <w:rPr>
          <w:position w:val="1"/>
          <w:sz w:val="20"/>
        </w:rPr>
        <w:t xml:space="preserve"> )</w:t>
      </w:r>
    </w:p>
    <w:p w14:paraId="546F9C6B" w14:textId="77777777" w:rsidR="00C75312" w:rsidRDefault="00C75312">
      <w:pPr>
        <w:pStyle w:val="BodyText"/>
        <w:spacing w:before="10"/>
        <w:rPr>
          <w:sz w:val="17"/>
        </w:rPr>
      </w:pPr>
    </w:p>
    <w:p w14:paraId="58D0936E" w14:textId="77777777" w:rsidR="00C75312" w:rsidRDefault="00C75312">
      <w:pPr>
        <w:rPr>
          <w:sz w:val="17"/>
        </w:rPr>
        <w:sectPr w:rsidR="00C75312">
          <w:type w:val="continuous"/>
          <w:pgSz w:w="16840" w:h="11900" w:orient="landscape"/>
          <w:pgMar w:top="700" w:right="1300" w:bottom="280" w:left="1300" w:header="720" w:footer="720" w:gutter="0"/>
          <w:cols w:space="720"/>
        </w:sectPr>
      </w:pPr>
    </w:p>
    <w:p w14:paraId="54B4C5A4" w14:textId="77777777" w:rsidR="00C75312" w:rsidRDefault="00BB293A">
      <w:pPr>
        <w:spacing w:before="92"/>
        <w:ind w:left="2751"/>
        <w:rPr>
          <w:sz w:val="20"/>
        </w:rPr>
      </w:pPr>
      <w:r>
        <w:rPr>
          <w:position w:val="1"/>
          <w:sz w:val="20"/>
        </w:rPr>
        <w:t>(ASD vs. NT</w:t>
      </w:r>
      <w:r>
        <w:rPr>
          <w:position w:val="1"/>
          <w:sz w:val="20"/>
          <w:vertAlign w:val="subscript"/>
        </w:rPr>
        <w:t>CA</w:t>
      </w:r>
      <w:r>
        <w:rPr>
          <w:position w:val="1"/>
          <w:sz w:val="20"/>
        </w:rPr>
        <w:t>)</w:t>
      </w:r>
    </w:p>
    <w:p w14:paraId="360F06E3" w14:textId="77777777" w:rsidR="00C75312" w:rsidRDefault="00BB293A">
      <w:pPr>
        <w:tabs>
          <w:tab w:val="left" w:pos="3283"/>
        </w:tabs>
        <w:spacing w:before="117" w:line="139" w:lineRule="auto"/>
        <w:ind w:left="2684" w:right="38" w:hanging="2439"/>
        <w:rPr>
          <w:sz w:val="20"/>
        </w:rPr>
      </w:pPr>
      <w:r>
        <w:rPr>
          <w:sz w:val="20"/>
        </w:rPr>
        <w:t>Sheppard et</w:t>
      </w:r>
      <w:r>
        <w:rPr>
          <w:spacing w:val="-3"/>
          <w:sz w:val="20"/>
        </w:rPr>
        <w:t xml:space="preserve"> </w:t>
      </w:r>
      <w:r>
        <w:rPr>
          <w:sz w:val="20"/>
        </w:rPr>
        <w:t>al. (2016)</w:t>
      </w:r>
      <w:r>
        <w:rPr>
          <w:sz w:val="20"/>
        </w:rPr>
        <w:tab/>
      </w:r>
      <w:r>
        <w:rPr>
          <w:sz w:val="20"/>
        </w:rPr>
        <w:tab/>
      </w:r>
      <w:r>
        <w:rPr>
          <w:position w:val="13"/>
          <w:sz w:val="20"/>
        </w:rPr>
        <w:t xml:space="preserve">No </w:t>
      </w:r>
      <w:r>
        <w:rPr>
          <w:position w:val="1"/>
          <w:sz w:val="20"/>
        </w:rPr>
        <w:t>(</w:t>
      </w:r>
      <w:proofErr w:type="spellStart"/>
      <w:r>
        <w:rPr>
          <w:position w:val="1"/>
          <w:sz w:val="20"/>
        </w:rPr>
        <w:t>ASD</w:t>
      </w:r>
      <w:r>
        <w:rPr>
          <w:position w:val="1"/>
          <w:sz w:val="20"/>
          <w:vertAlign w:val="subscript"/>
        </w:rPr>
        <w:t>severe</w:t>
      </w:r>
      <w:proofErr w:type="spellEnd"/>
      <w:r>
        <w:rPr>
          <w:position w:val="1"/>
          <w:sz w:val="20"/>
        </w:rPr>
        <w:t xml:space="preserve"> vs.</w:t>
      </w:r>
      <w:r>
        <w:rPr>
          <w:spacing w:val="-12"/>
          <w:position w:val="1"/>
          <w:sz w:val="20"/>
        </w:rPr>
        <w:t xml:space="preserve"> </w:t>
      </w:r>
      <w:r>
        <w:rPr>
          <w:spacing w:val="-7"/>
          <w:position w:val="1"/>
          <w:sz w:val="20"/>
        </w:rPr>
        <w:t>NT)</w:t>
      </w:r>
    </w:p>
    <w:p w14:paraId="7987F1ED" w14:textId="77777777" w:rsidR="00C75312" w:rsidRDefault="00BB293A">
      <w:pPr>
        <w:spacing w:before="53" w:line="276" w:lineRule="auto"/>
        <w:ind w:left="2732" w:firstLine="552"/>
        <w:rPr>
          <w:sz w:val="20"/>
        </w:rPr>
      </w:pPr>
      <w:r>
        <w:pict w14:anchorId="0835BA56">
          <v:group id="_x0000_s2817" style="position:absolute;left:0;text-align:left;margin-left:1in;margin-top:1.9pt;width:697.95pt;height:.5pt;z-index:251666432;mso-position-horizontal-relative:page" coordorigin="1440,38" coordsize="13959,10">
            <v:line id="_x0000_s2834" style="position:absolute" from="1440,43" to="3754,43" strokeweight=".48pt"/>
            <v:rect id="_x0000_s2833" style="position:absolute;left:3753;top:38;width:10;height:10" fillcolor="black" stroked="f"/>
            <v:line id="_x0000_s2832" style="position:absolute" from="3763,43" to="5654,43" strokeweight=".48pt"/>
            <v:rect id="_x0000_s2831" style="position:absolute;left:5654;top:38;width:10;height:10" fillcolor="black" stroked="f"/>
            <v:line id="_x0000_s2830" style="position:absolute" from="5664,43" to="6922,43" strokeweight=".48pt"/>
            <v:rect id="_x0000_s2829" style="position:absolute;left:6921;top:38;width:10;height:10" fillcolor="black" stroked="f"/>
            <v:line id="_x0000_s2828" style="position:absolute" from="6931,43" to="8107,43" strokeweight=".48pt"/>
            <v:rect id="_x0000_s2827" style="position:absolute;left:8107;top:38;width:10;height:10" fillcolor="black" stroked="f"/>
            <v:line id="_x0000_s2826" style="position:absolute" from="8117,43" to="9360,43" strokeweight=".48pt"/>
            <v:rect id="_x0000_s2825" style="position:absolute;left:9360;top:38;width:10;height:10" fillcolor="black" stroked="f"/>
            <v:line id="_x0000_s2824" style="position:absolute" from="9370,43" to="10680,43" strokeweight=".48pt"/>
            <v:rect id="_x0000_s2823" style="position:absolute;left:10680;top:38;width:10;height:10" fillcolor="black" stroked="f"/>
            <v:line id="_x0000_s2822" style="position:absolute" from="10690,43" to="12312,43" strokeweight=".48pt"/>
            <v:rect id="_x0000_s2821" style="position:absolute;left:12312;top:38;width:10;height:10" fillcolor="black" stroked="f"/>
            <v:line id="_x0000_s2820" style="position:absolute" from="12322,43" to="14002,43" strokeweight=".48pt"/>
            <v:rect id="_x0000_s2819" style="position:absolute;left:14001;top:38;width:10;height:10" fillcolor="black" stroked="f"/>
            <v:line id="_x0000_s2818" style="position:absolute" from="14011,43" to="15398,43" strokeweight=".48pt"/>
            <w10:wrap anchorx="page"/>
          </v:group>
        </w:pict>
      </w:r>
      <w:r>
        <w:pict w14:anchorId="103A207B">
          <v:group id="_x0000_s2799" style="position:absolute;left:0;text-align:left;margin-left:71.3pt;margin-top:29.05pt;width:698.65pt;height:.5pt;z-index:251667456;mso-position-horizontal-relative:page" coordorigin="1426,581" coordsize="13973,10">
            <v:line id="_x0000_s2816" style="position:absolute" from="1426,585" to="3754,585" strokeweight=".48pt"/>
            <v:rect id="_x0000_s2815" style="position:absolute;left:3739;top:580;width:10;height:10" fillcolor="black" stroked="f"/>
            <v:line id="_x0000_s2814" style="position:absolute" from="3749,585" to="5654,585" strokeweight=".48pt"/>
            <v:rect id="_x0000_s2813" style="position:absolute;left:5640;top:580;width:10;height:10" fillcolor="black" stroked="f"/>
            <v:line id="_x0000_s2812" style="position:absolute" from="5650,585" to="6922,585" strokeweight=".48pt"/>
            <v:rect id="_x0000_s2811" style="position:absolute;left:6907;top:580;width:10;height:10" fillcolor="black" stroked="f"/>
            <v:line id="_x0000_s2810" style="position:absolute" from="6917,585" to="8107,585" strokeweight=".48pt"/>
            <v:rect id="_x0000_s2809" style="position:absolute;left:8092;top:580;width:10;height:10" fillcolor="black" stroked="f"/>
            <v:line id="_x0000_s2808" style="position:absolute" from="8102,585" to="9360,585" strokeweight=".48pt"/>
            <v:rect id="_x0000_s2807" style="position:absolute;left:9345;top:580;width:10;height:10" fillcolor="black" stroked="f"/>
            <v:line id="_x0000_s2806" style="position:absolute" from="9355,585" to="10680,585" strokeweight=".48pt"/>
            <v:rect id="_x0000_s2805" style="position:absolute;left:10665;top:580;width:10;height:10" fillcolor="black" stroked="f"/>
            <v:line id="_x0000_s2804" style="position:absolute" from="10675,585" to="12312,585" strokeweight=".48pt"/>
            <v:rect id="_x0000_s2803" style="position:absolute;left:12297;top:580;width:10;height:10" fillcolor="black" stroked="f"/>
            <v:line id="_x0000_s2802" style="position:absolute" from="12307,585" to="14002,585" strokeweight=".48pt"/>
            <v:rect id="_x0000_s2801" style="position:absolute;left:13987;top:580;width:10;height:10" fillcolor="black" stroked="f"/>
            <v:line id="_x0000_s2800" style="position:absolute" from="13997,585" to="15398,585" strokeweight=".48pt"/>
            <w10:wrap anchorx="page"/>
          </v:group>
        </w:pict>
      </w:r>
      <w:r>
        <w:rPr>
          <w:sz w:val="20"/>
        </w:rPr>
        <w:t xml:space="preserve">No </w:t>
      </w:r>
      <w:r>
        <w:rPr>
          <w:position w:val="1"/>
          <w:sz w:val="20"/>
        </w:rPr>
        <w:t>(</w:t>
      </w:r>
      <w:proofErr w:type="spellStart"/>
      <w:r>
        <w:rPr>
          <w:position w:val="1"/>
          <w:sz w:val="20"/>
        </w:rPr>
        <w:t>ASD</w:t>
      </w:r>
      <w:r>
        <w:rPr>
          <w:position w:val="1"/>
          <w:sz w:val="20"/>
          <w:vertAlign w:val="subscript"/>
        </w:rPr>
        <w:t>mild</w:t>
      </w:r>
      <w:proofErr w:type="spellEnd"/>
      <w:r>
        <w:rPr>
          <w:position w:val="1"/>
          <w:sz w:val="20"/>
        </w:rPr>
        <w:t xml:space="preserve"> vs.</w:t>
      </w:r>
      <w:r>
        <w:rPr>
          <w:spacing w:val="-10"/>
          <w:position w:val="1"/>
          <w:sz w:val="20"/>
        </w:rPr>
        <w:t xml:space="preserve"> </w:t>
      </w:r>
      <w:r>
        <w:rPr>
          <w:spacing w:val="-7"/>
          <w:position w:val="1"/>
          <w:sz w:val="20"/>
        </w:rPr>
        <w:t>NT)</w:t>
      </w:r>
    </w:p>
    <w:p w14:paraId="6F590B87" w14:textId="77777777" w:rsidR="00C75312" w:rsidRDefault="00BB293A">
      <w:pPr>
        <w:pStyle w:val="BodyText"/>
        <w:spacing w:before="3"/>
        <w:rPr>
          <w:sz w:val="32"/>
        </w:rPr>
      </w:pPr>
      <w:r>
        <w:br w:type="column"/>
      </w:r>
    </w:p>
    <w:p w14:paraId="461C32C1" w14:textId="77777777" w:rsidR="00C75312" w:rsidRDefault="00BB293A">
      <w:pPr>
        <w:tabs>
          <w:tab w:val="left" w:pos="1546"/>
        </w:tabs>
        <w:spacing w:line="310" w:lineRule="exact"/>
        <w:ind w:left="245"/>
        <w:rPr>
          <w:sz w:val="20"/>
        </w:rPr>
      </w:pPr>
      <w:r>
        <w:rPr>
          <w:sz w:val="20"/>
        </w:rPr>
        <w:t>Age:</w:t>
      </w:r>
      <w:r>
        <w:rPr>
          <w:spacing w:val="-1"/>
          <w:sz w:val="20"/>
        </w:rPr>
        <w:t xml:space="preserve"> </w:t>
      </w:r>
      <w:r>
        <w:rPr>
          <w:sz w:val="20"/>
        </w:rPr>
        <w:t>3.05</w:t>
      </w:r>
      <w:r>
        <w:rPr>
          <w:sz w:val="20"/>
        </w:rPr>
        <w:tab/>
      </w:r>
      <w:r>
        <w:rPr>
          <w:position w:val="13"/>
          <w:sz w:val="20"/>
        </w:rPr>
        <w:t>R: 0.15,</w:t>
      </w:r>
    </w:p>
    <w:p w14:paraId="42D3E191" w14:textId="77777777" w:rsidR="00C75312" w:rsidRDefault="00BB293A">
      <w:pPr>
        <w:spacing w:line="180" w:lineRule="exact"/>
        <w:ind w:right="38"/>
        <w:jc w:val="right"/>
        <w:rPr>
          <w:sz w:val="20"/>
        </w:rPr>
      </w:pPr>
      <w:r>
        <w:rPr>
          <w:sz w:val="20"/>
        </w:rPr>
        <w:t>W:</w:t>
      </w:r>
      <w:r>
        <w:rPr>
          <w:spacing w:val="1"/>
          <w:sz w:val="20"/>
        </w:rPr>
        <w:t xml:space="preserve"> </w:t>
      </w:r>
      <w:r>
        <w:rPr>
          <w:sz w:val="20"/>
        </w:rPr>
        <w:t>0.64</w:t>
      </w:r>
    </w:p>
    <w:p w14:paraId="55814E24" w14:textId="77777777" w:rsidR="00C75312" w:rsidRDefault="00BB293A">
      <w:pPr>
        <w:tabs>
          <w:tab w:val="left" w:pos="1546"/>
        </w:tabs>
        <w:spacing w:before="126" w:line="139" w:lineRule="auto"/>
        <w:ind w:left="1570" w:right="45" w:hanging="1301"/>
        <w:jc w:val="right"/>
        <w:rPr>
          <w:sz w:val="20"/>
        </w:rPr>
      </w:pPr>
      <w:r>
        <w:rPr>
          <w:sz w:val="20"/>
        </w:rPr>
        <w:t>Age:2.76</w:t>
      </w:r>
      <w:r>
        <w:rPr>
          <w:sz w:val="20"/>
        </w:rPr>
        <w:tab/>
      </w:r>
      <w:r>
        <w:rPr>
          <w:position w:val="13"/>
          <w:sz w:val="20"/>
        </w:rPr>
        <w:t>R:</w:t>
      </w:r>
      <w:r>
        <w:rPr>
          <w:spacing w:val="14"/>
          <w:position w:val="13"/>
          <w:sz w:val="20"/>
        </w:rPr>
        <w:t xml:space="preserve"> </w:t>
      </w:r>
      <w:r>
        <w:rPr>
          <w:spacing w:val="-6"/>
          <w:position w:val="13"/>
          <w:sz w:val="20"/>
        </w:rPr>
        <w:t>0.33,</w:t>
      </w:r>
      <w:r>
        <w:rPr>
          <w:position w:val="13"/>
          <w:sz w:val="20"/>
        </w:rPr>
        <w:t xml:space="preserve"> </w:t>
      </w:r>
      <w:r>
        <w:rPr>
          <w:spacing w:val="-1"/>
          <w:sz w:val="20"/>
        </w:rPr>
        <w:t>W:0.07</w:t>
      </w:r>
    </w:p>
    <w:p w14:paraId="5C9FAC71" w14:textId="77777777" w:rsidR="00C75312" w:rsidRDefault="00BB293A">
      <w:pPr>
        <w:pStyle w:val="BodyText"/>
        <w:rPr>
          <w:sz w:val="22"/>
        </w:rPr>
      </w:pPr>
      <w:r>
        <w:br w:type="column"/>
      </w:r>
    </w:p>
    <w:p w14:paraId="74A7646F" w14:textId="77777777" w:rsidR="00C75312" w:rsidRDefault="00C75312">
      <w:pPr>
        <w:pStyle w:val="BodyText"/>
        <w:spacing w:before="6"/>
        <w:rPr>
          <w:sz w:val="21"/>
        </w:rPr>
      </w:pPr>
    </w:p>
    <w:p w14:paraId="54C4DA0E" w14:textId="77777777" w:rsidR="00C75312" w:rsidRDefault="00BB293A">
      <w:pPr>
        <w:tabs>
          <w:tab w:val="left" w:pos="1690"/>
          <w:tab w:val="left" w:pos="3274"/>
          <w:tab w:val="left" w:pos="4464"/>
          <w:tab w:val="left" w:pos="6394"/>
        </w:tabs>
        <w:ind w:left="245"/>
        <w:rPr>
          <w:sz w:val="20"/>
        </w:rPr>
      </w:pPr>
      <w:r>
        <w:rPr>
          <w:sz w:val="20"/>
        </w:rPr>
        <w:t>N:</w:t>
      </w:r>
      <w:r>
        <w:rPr>
          <w:spacing w:val="3"/>
          <w:sz w:val="20"/>
        </w:rPr>
        <w:t xml:space="preserve"> </w:t>
      </w:r>
      <w:r>
        <w:rPr>
          <w:sz w:val="20"/>
        </w:rPr>
        <w:t>0.16</w:t>
      </w:r>
      <w:r>
        <w:rPr>
          <w:sz w:val="20"/>
        </w:rPr>
        <w:tab/>
        <w:t>NA</w:t>
      </w:r>
      <w:r>
        <w:rPr>
          <w:sz w:val="20"/>
        </w:rPr>
        <w:tab/>
        <w:t>-</w:t>
      </w:r>
      <w:r>
        <w:rPr>
          <w:sz w:val="20"/>
        </w:rPr>
        <w:tab/>
        <w:t>Not</w:t>
      </w:r>
      <w:r>
        <w:rPr>
          <w:spacing w:val="4"/>
          <w:sz w:val="20"/>
        </w:rPr>
        <w:t xml:space="preserve"> </w:t>
      </w:r>
      <w:r>
        <w:rPr>
          <w:sz w:val="20"/>
        </w:rPr>
        <w:t>reported</w:t>
      </w:r>
      <w:r>
        <w:rPr>
          <w:sz w:val="20"/>
        </w:rPr>
        <w:tab/>
        <w:t>No</w:t>
      </w:r>
    </w:p>
    <w:p w14:paraId="1EEE1BF0" w14:textId="77777777" w:rsidR="00C75312" w:rsidRDefault="00C75312">
      <w:pPr>
        <w:pStyle w:val="BodyText"/>
        <w:spacing w:before="9"/>
        <w:rPr>
          <w:sz w:val="26"/>
        </w:rPr>
      </w:pPr>
    </w:p>
    <w:p w14:paraId="2FB2794A" w14:textId="77777777" w:rsidR="00C75312" w:rsidRDefault="00BB293A">
      <w:pPr>
        <w:tabs>
          <w:tab w:val="left" w:pos="1690"/>
          <w:tab w:val="left" w:pos="3274"/>
          <w:tab w:val="left" w:pos="4464"/>
          <w:tab w:val="left" w:pos="6394"/>
        </w:tabs>
        <w:ind w:left="245"/>
        <w:rPr>
          <w:sz w:val="20"/>
        </w:rPr>
      </w:pPr>
      <w:r>
        <w:rPr>
          <w:sz w:val="20"/>
        </w:rPr>
        <w:t>N:</w:t>
      </w:r>
      <w:r>
        <w:rPr>
          <w:spacing w:val="3"/>
          <w:sz w:val="20"/>
        </w:rPr>
        <w:t xml:space="preserve"> </w:t>
      </w:r>
      <w:r>
        <w:rPr>
          <w:sz w:val="20"/>
        </w:rPr>
        <w:t>0.46</w:t>
      </w:r>
      <w:r>
        <w:rPr>
          <w:sz w:val="20"/>
        </w:rPr>
        <w:tab/>
        <w:t>NA</w:t>
      </w:r>
      <w:r>
        <w:rPr>
          <w:sz w:val="20"/>
        </w:rPr>
        <w:tab/>
        <w:t>-</w:t>
      </w:r>
      <w:r>
        <w:rPr>
          <w:sz w:val="20"/>
        </w:rPr>
        <w:tab/>
        <w:t>Not</w:t>
      </w:r>
      <w:r>
        <w:rPr>
          <w:spacing w:val="4"/>
          <w:sz w:val="20"/>
        </w:rPr>
        <w:t xml:space="preserve"> </w:t>
      </w:r>
      <w:r>
        <w:rPr>
          <w:sz w:val="20"/>
        </w:rPr>
        <w:t>reported</w:t>
      </w:r>
      <w:r>
        <w:rPr>
          <w:sz w:val="20"/>
        </w:rPr>
        <w:tab/>
        <w:t>No</w:t>
      </w:r>
    </w:p>
    <w:p w14:paraId="6CE3E113" w14:textId="77777777" w:rsidR="00C75312" w:rsidRDefault="00C75312">
      <w:pPr>
        <w:rPr>
          <w:sz w:val="20"/>
        </w:rPr>
        <w:sectPr w:rsidR="00C75312">
          <w:type w:val="continuous"/>
          <w:pgSz w:w="16840" w:h="11900" w:orient="landscape"/>
          <w:pgMar w:top="700" w:right="1300" w:bottom="280" w:left="1300" w:header="720" w:footer="720" w:gutter="0"/>
          <w:cols w:num="3" w:space="720" w:equalWidth="0">
            <w:col w:w="4169" w:space="175"/>
            <w:col w:w="2235" w:space="304"/>
            <w:col w:w="7357"/>
          </w:cols>
        </w:sectPr>
      </w:pPr>
    </w:p>
    <w:p w14:paraId="7D3E83E5" w14:textId="77777777" w:rsidR="00C75312" w:rsidRDefault="00BB293A">
      <w:pPr>
        <w:ind w:left="140" w:right="366"/>
        <w:rPr>
          <w:i/>
          <w:sz w:val="20"/>
        </w:rPr>
      </w:pPr>
      <w:r>
        <w:rPr>
          <w:i/>
          <w:sz w:val="20"/>
        </w:rPr>
        <w:t>Notes. VA: verbal abilities; NVA: nonverbal abilities; VIQ: verbal IQ; PIQ: performance IQ; FSIQ: full scale IQ; R: Reading national curriculum point score; W: Writing national curriculum point score; N: Number national curriculum point score; NA: not applicable</w:t>
      </w:r>
    </w:p>
    <w:p w14:paraId="6256DAE8" w14:textId="77777777" w:rsidR="00C75312" w:rsidRDefault="00C75312">
      <w:pPr>
        <w:rPr>
          <w:sz w:val="20"/>
        </w:rPr>
        <w:sectPr w:rsidR="00C75312">
          <w:type w:val="continuous"/>
          <w:pgSz w:w="16840" w:h="11900" w:orient="landscape"/>
          <w:pgMar w:top="700" w:right="1300" w:bottom="280" w:left="1300" w:header="720" w:footer="720" w:gutter="0"/>
          <w:cols w:space="720"/>
        </w:sectPr>
      </w:pPr>
    </w:p>
    <w:p w14:paraId="3918D3B8" w14:textId="77777777" w:rsidR="00C75312" w:rsidRDefault="00BB293A">
      <w:pPr>
        <w:pStyle w:val="BodyText"/>
        <w:spacing w:before="80" w:line="480" w:lineRule="auto"/>
        <w:ind w:left="100" w:right="108" w:firstLine="720"/>
        <w:jc w:val="both"/>
      </w:pPr>
      <w:r>
        <w:rPr>
          <w:b/>
        </w:rPr>
        <w:lastRenderedPageBreak/>
        <w:t xml:space="preserve">Landmark studies of PM </w:t>
      </w:r>
      <w:r>
        <w:rPr>
          <w:b/>
          <w:spacing w:val="-3"/>
        </w:rPr>
        <w:t xml:space="preserve">in </w:t>
      </w:r>
      <w:r>
        <w:rPr>
          <w:b/>
        </w:rPr>
        <w:t xml:space="preserve">ASD. </w:t>
      </w:r>
      <w:r>
        <w:t xml:space="preserve">In the first study of </w:t>
      </w:r>
      <w:r>
        <w:rPr>
          <w:i/>
        </w:rPr>
        <w:t xml:space="preserve">event-based </w:t>
      </w:r>
      <w:r>
        <w:t xml:space="preserve">PM in ASD, </w:t>
      </w:r>
      <w:proofErr w:type="spellStart"/>
      <w:r>
        <w:t>Altgassen</w:t>
      </w:r>
      <w:proofErr w:type="spellEnd"/>
      <w:r>
        <w:t xml:space="preserve">, Schmitz-Hübsch, and </w:t>
      </w:r>
      <w:proofErr w:type="spellStart"/>
      <w:r>
        <w:t>Kliegel</w:t>
      </w:r>
      <w:proofErr w:type="spellEnd"/>
      <w:r>
        <w:t xml:space="preserve"> (2010) compared 19 children/adolescents with ASD to 19 age- and ability-matched NT peers. The ongoing task tapped visuospatial working memory. In a study phase </w:t>
      </w:r>
      <w:r>
        <w:rPr>
          <w:spacing w:val="-3"/>
        </w:rPr>
        <w:t xml:space="preserve">of </w:t>
      </w:r>
      <w:r>
        <w:t xml:space="preserve">this task, participants viewed a number of geometric shapes, and had to encode and store the configuration </w:t>
      </w:r>
      <w:r>
        <w:rPr>
          <w:spacing w:val="-3"/>
        </w:rPr>
        <w:t xml:space="preserve">of </w:t>
      </w:r>
      <w:r>
        <w:t>shapes. After a short delay, a second set of geometric shapes appeared on the screen and participants had to decide whether the shape configuration</w:t>
      </w:r>
      <w:r>
        <w:rPr>
          <w:spacing w:val="-15"/>
        </w:rPr>
        <w:t xml:space="preserve"> </w:t>
      </w:r>
      <w:r>
        <w:t>was</w:t>
      </w:r>
      <w:r>
        <w:rPr>
          <w:spacing w:val="-17"/>
        </w:rPr>
        <w:t xml:space="preserve"> </w:t>
      </w:r>
      <w:r>
        <w:t>same</w:t>
      </w:r>
      <w:r>
        <w:rPr>
          <w:spacing w:val="-15"/>
        </w:rPr>
        <w:t xml:space="preserve"> </w:t>
      </w:r>
      <w:r>
        <w:t>or</w:t>
      </w:r>
      <w:r>
        <w:rPr>
          <w:spacing w:val="-13"/>
        </w:rPr>
        <w:t xml:space="preserve"> </w:t>
      </w:r>
      <w:r>
        <w:t>different</w:t>
      </w:r>
      <w:r>
        <w:rPr>
          <w:spacing w:val="-14"/>
        </w:rPr>
        <w:t xml:space="preserve"> </w:t>
      </w:r>
      <w:r>
        <w:t>to</w:t>
      </w:r>
      <w:r>
        <w:rPr>
          <w:spacing w:val="-19"/>
        </w:rPr>
        <w:t xml:space="preserve"> </w:t>
      </w:r>
      <w:r>
        <w:t>the</w:t>
      </w:r>
      <w:r>
        <w:rPr>
          <w:spacing w:val="-15"/>
        </w:rPr>
        <w:t xml:space="preserve"> </w:t>
      </w:r>
      <w:r>
        <w:t>first</w:t>
      </w:r>
      <w:r>
        <w:rPr>
          <w:spacing w:val="-14"/>
        </w:rPr>
        <w:t xml:space="preserve"> </w:t>
      </w:r>
      <w:r>
        <w:t>one</w:t>
      </w:r>
      <w:r>
        <w:rPr>
          <w:spacing w:val="-15"/>
        </w:rPr>
        <w:t xml:space="preserve"> </w:t>
      </w:r>
      <w:r>
        <w:t>(recognition</w:t>
      </w:r>
      <w:r>
        <w:rPr>
          <w:spacing w:val="-14"/>
        </w:rPr>
        <w:t xml:space="preserve"> </w:t>
      </w:r>
      <w:r>
        <w:t>phase).</w:t>
      </w:r>
      <w:r>
        <w:rPr>
          <w:spacing w:val="29"/>
        </w:rPr>
        <w:t xml:space="preserve"> </w:t>
      </w:r>
      <w:r>
        <w:t>The</w:t>
      </w:r>
      <w:r>
        <w:rPr>
          <w:spacing w:val="-15"/>
        </w:rPr>
        <w:t xml:space="preserve"> </w:t>
      </w:r>
      <w:r>
        <w:t>background</w:t>
      </w:r>
      <w:r>
        <w:rPr>
          <w:spacing w:val="-14"/>
        </w:rPr>
        <w:t xml:space="preserve"> </w:t>
      </w:r>
      <w:proofErr w:type="spellStart"/>
      <w:r>
        <w:t>colour</w:t>
      </w:r>
      <w:proofErr w:type="spellEnd"/>
      <w:r>
        <w:t xml:space="preserve"> on</w:t>
      </w:r>
      <w:r>
        <w:rPr>
          <w:spacing w:val="-11"/>
        </w:rPr>
        <w:t xml:space="preserve"> </w:t>
      </w:r>
      <w:r>
        <w:t>which</w:t>
      </w:r>
      <w:r>
        <w:rPr>
          <w:spacing w:val="-14"/>
        </w:rPr>
        <w:t xml:space="preserve"> </w:t>
      </w:r>
      <w:r>
        <w:t>the</w:t>
      </w:r>
      <w:r>
        <w:rPr>
          <w:spacing w:val="-12"/>
        </w:rPr>
        <w:t xml:space="preserve"> </w:t>
      </w:r>
      <w:r>
        <w:t>shapes</w:t>
      </w:r>
      <w:r>
        <w:rPr>
          <w:spacing w:val="-12"/>
        </w:rPr>
        <w:t xml:space="preserve"> </w:t>
      </w:r>
      <w:r>
        <w:t>were</w:t>
      </w:r>
      <w:r>
        <w:rPr>
          <w:spacing w:val="-11"/>
        </w:rPr>
        <w:t xml:space="preserve"> </w:t>
      </w:r>
      <w:r>
        <w:t>presented</w:t>
      </w:r>
      <w:r>
        <w:rPr>
          <w:spacing w:val="-11"/>
        </w:rPr>
        <w:t xml:space="preserve"> </w:t>
      </w:r>
      <w:r>
        <w:t>changed</w:t>
      </w:r>
      <w:r>
        <w:rPr>
          <w:spacing w:val="-10"/>
        </w:rPr>
        <w:t xml:space="preserve"> </w:t>
      </w:r>
      <w:r>
        <w:t>randomly</w:t>
      </w:r>
      <w:r>
        <w:rPr>
          <w:spacing w:val="-11"/>
        </w:rPr>
        <w:t xml:space="preserve"> </w:t>
      </w:r>
      <w:r>
        <w:t>after</w:t>
      </w:r>
      <w:r>
        <w:rPr>
          <w:spacing w:val="-13"/>
        </w:rPr>
        <w:t xml:space="preserve"> </w:t>
      </w:r>
      <w:r>
        <w:t>each</w:t>
      </w:r>
      <w:r>
        <w:rPr>
          <w:spacing w:val="-14"/>
        </w:rPr>
        <w:t xml:space="preserve"> </w:t>
      </w:r>
      <w:r>
        <w:t>trial.</w:t>
      </w:r>
      <w:r>
        <w:rPr>
          <w:spacing w:val="33"/>
        </w:rPr>
        <w:t xml:space="preserve"> </w:t>
      </w:r>
      <w:r>
        <w:t>For</w:t>
      </w:r>
      <w:r>
        <w:rPr>
          <w:spacing w:val="-9"/>
        </w:rPr>
        <w:t xml:space="preserve"> </w:t>
      </w:r>
      <w:r>
        <w:t>the</w:t>
      </w:r>
      <w:r>
        <w:rPr>
          <w:spacing w:val="-15"/>
        </w:rPr>
        <w:t xml:space="preserve"> </w:t>
      </w:r>
      <w:r>
        <w:t>PM</w:t>
      </w:r>
      <w:r>
        <w:rPr>
          <w:spacing w:val="-17"/>
        </w:rPr>
        <w:t xml:space="preserve"> </w:t>
      </w:r>
      <w:r>
        <w:t xml:space="preserve">component, participants were instructed to press a pre-specified keyboard key whenever they noticed a change in background </w:t>
      </w:r>
      <w:proofErr w:type="spellStart"/>
      <w:r>
        <w:t>colour</w:t>
      </w:r>
      <w:proofErr w:type="spellEnd"/>
      <w:r>
        <w:t xml:space="preserve"> to yellow. Participants performed the ongoing task alone for 10 trials</w:t>
      </w:r>
      <w:r>
        <w:rPr>
          <w:spacing w:val="-13"/>
        </w:rPr>
        <w:t xml:space="preserve"> </w:t>
      </w:r>
      <w:r>
        <w:t>(single-task</w:t>
      </w:r>
      <w:r>
        <w:rPr>
          <w:spacing w:val="-10"/>
        </w:rPr>
        <w:t xml:space="preserve"> </w:t>
      </w:r>
      <w:r>
        <w:t>block),</w:t>
      </w:r>
      <w:r>
        <w:rPr>
          <w:spacing w:val="-7"/>
        </w:rPr>
        <w:t xml:space="preserve"> </w:t>
      </w:r>
      <w:r>
        <w:t>followed</w:t>
      </w:r>
      <w:r>
        <w:rPr>
          <w:spacing w:val="-10"/>
        </w:rPr>
        <w:t xml:space="preserve"> </w:t>
      </w:r>
      <w:r>
        <w:t>by</w:t>
      </w:r>
      <w:r>
        <w:rPr>
          <w:spacing w:val="-11"/>
        </w:rPr>
        <w:t xml:space="preserve"> </w:t>
      </w:r>
      <w:r>
        <w:t>the</w:t>
      </w:r>
      <w:r>
        <w:rPr>
          <w:spacing w:val="-15"/>
        </w:rPr>
        <w:t xml:space="preserve"> </w:t>
      </w:r>
      <w:r>
        <w:t>PM</w:t>
      </w:r>
      <w:r>
        <w:rPr>
          <w:spacing w:val="-12"/>
        </w:rPr>
        <w:t xml:space="preserve"> </w:t>
      </w:r>
      <w:r>
        <w:t>condition</w:t>
      </w:r>
      <w:r>
        <w:rPr>
          <w:spacing w:val="-10"/>
        </w:rPr>
        <w:t xml:space="preserve"> </w:t>
      </w:r>
      <w:r>
        <w:t>(dual-task</w:t>
      </w:r>
      <w:r>
        <w:rPr>
          <w:spacing w:val="-10"/>
        </w:rPr>
        <w:t xml:space="preserve"> </w:t>
      </w:r>
      <w:r>
        <w:t>block).</w:t>
      </w:r>
      <w:r>
        <w:rPr>
          <w:spacing w:val="38"/>
        </w:rPr>
        <w:t xml:space="preserve"> </w:t>
      </w:r>
      <w:r>
        <w:t>The</w:t>
      </w:r>
      <w:r>
        <w:rPr>
          <w:spacing w:val="-11"/>
        </w:rPr>
        <w:t xml:space="preserve"> </w:t>
      </w:r>
      <w:r>
        <w:t>results</w:t>
      </w:r>
      <w:r>
        <w:rPr>
          <w:spacing w:val="-12"/>
        </w:rPr>
        <w:t xml:space="preserve"> </w:t>
      </w:r>
      <w:r>
        <w:t>revealed no</w:t>
      </w:r>
      <w:r>
        <w:rPr>
          <w:spacing w:val="-10"/>
        </w:rPr>
        <w:t xml:space="preserve"> </w:t>
      </w:r>
      <w:r>
        <w:t>between-group</w:t>
      </w:r>
      <w:r>
        <w:rPr>
          <w:spacing w:val="-9"/>
        </w:rPr>
        <w:t xml:space="preserve"> </w:t>
      </w:r>
      <w:r>
        <w:t>differences</w:t>
      </w:r>
      <w:r>
        <w:rPr>
          <w:spacing w:val="-11"/>
        </w:rPr>
        <w:t xml:space="preserve"> </w:t>
      </w:r>
      <w:r>
        <w:t>in</w:t>
      </w:r>
      <w:r>
        <w:rPr>
          <w:spacing w:val="-9"/>
        </w:rPr>
        <w:t xml:space="preserve"> </w:t>
      </w:r>
      <w:r>
        <w:t>ongoing</w:t>
      </w:r>
      <w:r>
        <w:rPr>
          <w:spacing w:val="-9"/>
        </w:rPr>
        <w:t xml:space="preserve"> </w:t>
      </w:r>
      <w:r>
        <w:t>or</w:t>
      </w:r>
      <w:r>
        <w:rPr>
          <w:spacing w:val="-7"/>
        </w:rPr>
        <w:t xml:space="preserve"> </w:t>
      </w:r>
      <w:r>
        <w:t>PM</w:t>
      </w:r>
      <w:r>
        <w:rPr>
          <w:spacing w:val="-11"/>
        </w:rPr>
        <w:t xml:space="preserve"> </w:t>
      </w:r>
      <w:r>
        <w:t>task</w:t>
      </w:r>
      <w:r>
        <w:rPr>
          <w:spacing w:val="-9"/>
        </w:rPr>
        <w:t xml:space="preserve"> </w:t>
      </w:r>
      <w:r>
        <w:t>performance.</w:t>
      </w:r>
      <w:r>
        <w:rPr>
          <w:spacing w:val="40"/>
        </w:rPr>
        <w:t xml:space="preserve"> </w:t>
      </w:r>
      <w:r>
        <w:t>The</w:t>
      </w:r>
      <w:r>
        <w:rPr>
          <w:spacing w:val="-10"/>
        </w:rPr>
        <w:t xml:space="preserve"> </w:t>
      </w:r>
      <w:r>
        <w:t>authors</w:t>
      </w:r>
      <w:r>
        <w:rPr>
          <w:spacing w:val="-11"/>
        </w:rPr>
        <w:t xml:space="preserve"> </w:t>
      </w:r>
      <w:r>
        <w:t>concluded</w:t>
      </w:r>
      <w:r>
        <w:rPr>
          <w:spacing w:val="-9"/>
        </w:rPr>
        <w:t xml:space="preserve"> </w:t>
      </w:r>
      <w:r>
        <w:t>that event-based PM, which depends on cued retrieval, is unimpaired in</w:t>
      </w:r>
      <w:r>
        <w:rPr>
          <w:spacing w:val="-4"/>
        </w:rPr>
        <w:t xml:space="preserve"> </w:t>
      </w:r>
      <w:r>
        <w:t>ASD.</w:t>
      </w:r>
    </w:p>
    <w:p w14:paraId="087F00BB" w14:textId="77777777" w:rsidR="00C75312" w:rsidRDefault="00BB293A">
      <w:pPr>
        <w:pStyle w:val="BodyText"/>
        <w:spacing w:before="120" w:line="480" w:lineRule="auto"/>
        <w:ind w:left="100" w:right="104" w:firstLine="720"/>
        <w:jc w:val="both"/>
      </w:pPr>
      <w:proofErr w:type="spellStart"/>
      <w:r>
        <w:t>Altgassen</w:t>
      </w:r>
      <w:proofErr w:type="spellEnd"/>
      <w:r>
        <w:rPr>
          <w:spacing w:val="-5"/>
        </w:rPr>
        <w:t xml:space="preserve"> </w:t>
      </w:r>
      <w:r>
        <w:t>and</w:t>
      </w:r>
      <w:r>
        <w:rPr>
          <w:spacing w:val="-5"/>
        </w:rPr>
        <w:t xml:space="preserve"> </w:t>
      </w:r>
      <w:r>
        <w:t>colleagues</w:t>
      </w:r>
      <w:r>
        <w:rPr>
          <w:spacing w:val="-7"/>
        </w:rPr>
        <w:t xml:space="preserve"> </w:t>
      </w:r>
      <w:r>
        <w:t>were</w:t>
      </w:r>
      <w:r>
        <w:rPr>
          <w:spacing w:val="-6"/>
        </w:rPr>
        <w:t xml:space="preserve"> </w:t>
      </w:r>
      <w:r>
        <w:t>also</w:t>
      </w:r>
      <w:r>
        <w:rPr>
          <w:spacing w:val="-4"/>
        </w:rPr>
        <w:t xml:space="preserve"> </w:t>
      </w:r>
      <w:r>
        <w:t>the</w:t>
      </w:r>
      <w:r>
        <w:rPr>
          <w:spacing w:val="-6"/>
        </w:rPr>
        <w:t xml:space="preserve"> </w:t>
      </w:r>
      <w:r>
        <w:t>first</w:t>
      </w:r>
      <w:r>
        <w:rPr>
          <w:spacing w:val="-4"/>
        </w:rPr>
        <w:t xml:space="preserve"> </w:t>
      </w:r>
      <w:r>
        <w:t>to</w:t>
      </w:r>
      <w:r>
        <w:rPr>
          <w:spacing w:val="-5"/>
        </w:rPr>
        <w:t xml:space="preserve"> </w:t>
      </w:r>
      <w:r>
        <w:t>investigate</w:t>
      </w:r>
      <w:r>
        <w:rPr>
          <w:spacing w:val="-6"/>
        </w:rPr>
        <w:t xml:space="preserve"> </w:t>
      </w:r>
      <w:r>
        <w:rPr>
          <w:i/>
        </w:rPr>
        <w:t>time-based</w:t>
      </w:r>
      <w:r>
        <w:rPr>
          <w:i/>
          <w:spacing w:val="-5"/>
        </w:rPr>
        <w:t xml:space="preserve"> </w:t>
      </w:r>
      <w:r>
        <w:t>PM</w:t>
      </w:r>
      <w:r>
        <w:rPr>
          <w:spacing w:val="-6"/>
        </w:rPr>
        <w:t xml:space="preserve"> </w:t>
      </w:r>
      <w:r>
        <w:t xml:space="preserve">performance in individuals with ASD. </w:t>
      </w:r>
      <w:proofErr w:type="spellStart"/>
      <w:r>
        <w:t>Altgassen</w:t>
      </w:r>
      <w:proofErr w:type="spellEnd"/>
      <w:r>
        <w:t xml:space="preserve">, Williams, </w:t>
      </w:r>
      <w:proofErr w:type="spellStart"/>
      <w:r>
        <w:t>Bölte</w:t>
      </w:r>
      <w:proofErr w:type="spellEnd"/>
      <w:r>
        <w:t xml:space="preserve">, and </w:t>
      </w:r>
      <w:proofErr w:type="spellStart"/>
      <w:r>
        <w:t>Kliegel</w:t>
      </w:r>
      <w:proofErr w:type="spellEnd"/>
      <w:r>
        <w:t xml:space="preserve"> (2009) assessed 11 children/teenagers with ASD and 11 age- and ability-matched NT control participants. The ongoing task required participants to perform a visuospatial working memory task similar to the one used by </w:t>
      </w:r>
      <w:proofErr w:type="spellStart"/>
      <w:r>
        <w:t>Altgassen</w:t>
      </w:r>
      <w:proofErr w:type="spellEnd"/>
      <w:r>
        <w:t xml:space="preserve"> et al. (2010). In the PM condition, participants were instructed to press a pre-specified keyboard key at 2-minute intervals throughout the ongoing task. During this condition, participants coul</w:t>
      </w:r>
      <w:r>
        <w:t>d, at any time, bring up an on-screen clock that displayed the time elapsed by pressing a specified key.  Importantly, the ongoing task was carried out</w:t>
      </w:r>
      <w:r>
        <w:rPr>
          <w:spacing w:val="9"/>
        </w:rPr>
        <w:t xml:space="preserve"> </w:t>
      </w:r>
      <w:r>
        <w:t>twice</w:t>
      </w:r>
    </w:p>
    <w:p w14:paraId="0B4BB2F8" w14:textId="77777777" w:rsidR="00C75312" w:rsidRDefault="00BB293A">
      <w:pPr>
        <w:pStyle w:val="BodyText"/>
        <w:spacing w:line="480" w:lineRule="auto"/>
        <w:ind w:left="100" w:right="108"/>
        <w:jc w:val="both"/>
      </w:pPr>
      <w:r>
        <w:t>-</w:t>
      </w:r>
      <w:r>
        <w:rPr>
          <w:spacing w:val="-14"/>
        </w:rPr>
        <w:t xml:space="preserve"> </w:t>
      </w:r>
      <w:r>
        <w:t>once</w:t>
      </w:r>
      <w:r>
        <w:rPr>
          <w:spacing w:val="-11"/>
        </w:rPr>
        <w:t xml:space="preserve"> </w:t>
      </w:r>
      <w:r>
        <w:t>as</w:t>
      </w:r>
      <w:r>
        <w:rPr>
          <w:spacing w:val="-7"/>
        </w:rPr>
        <w:t xml:space="preserve"> </w:t>
      </w:r>
      <w:r>
        <w:t>single-task</w:t>
      </w:r>
      <w:r>
        <w:rPr>
          <w:spacing w:val="-10"/>
        </w:rPr>
        <w:t xml:space="preserve"> </w:t>
      </w:r>
      <w:r>
        <w:t>block</w:t>
      </w:r>
      <w:r>
        <w:rPr>
          <w:spacing w:val="-10"/>
        </w:rPr>
        <w:t xml:space="preserve"> </w:t>
      </w:r>
      <w:r>
        <w:t>(ongoing-only</w:t>
      </w:r>
      <w:r>
        <w:rPr>
          <w:spacing w:val="-11"/>
        </w:rPr>
        <w:t xml:space="preserve"> </w:t>
      </w:r>
      <w:r>
        <w:t>condition),</w:t>
      </w:r>
      <w:r>
        <w:rPr>
          <w:spacing w:val="-7"/>
        </w:rPr>
        <w:t xml:space="preserve"> </w:t>
      </w:r>
      <w:r>
        <w:t>and</w:t>
      </w:r>
      <w:r>
        <w:rPr>
          <w:spacing w:val="-10"/>
        </w:rPr>
        <w:t xml:space="preserve"> </w:t>
      </w:r>
      <w:r>
        <w:t>once</w:t>
      </w:r>
      <w:r>
        <w:rPr>
          <w:spacing w:val="-11"/>
        </w:rPr>
        <w:t xml:space="preserve"> </w:t>
      </w:r>
      <w:r>
        <w:t>as</w:t>
      </w:r>
      <w:r>
        <w:rPr>
          <w:spacing w:val="-12"/>
        </w:rPr>
        <w:t xml:space="preserve"> </w:t>
      </w:r>
      <w:r>
        <w:t>dual-task</w:t>
      </w:r>
      <w:r>
        <w:rPr>
          <w:spacing w:val="-11"/>
        </w:rPr>
        <w:t xml:space="preserve"> </w:t>
      </w:r>
      <w:r>
        <w:t>block</w:t>
      </w:r>
      <w:r>
        <w:rPr>
          <w:spacing w:val="-10"/>
        </w:rPr>
        <w:t xml:space="preserve"> </w:t>
      </w:r>
      <w:r>
        <w:t>together</w:t>
      </w:r>
      <w:r>
        <w:rPr>
          <w:spacing w:val="-8"/>
        </w:rPr>
        <w:t xml:space="preserve"> </w:t>
      </w:r>
      <w:r>
        <w:t xml:space="preserve">with the PM instruction (PM condition). The ASD group performed significantly worse in the ongoing task during the PM condition, but not in the ongoing-only condition. More importantly,  the results  revealed  significantly  better  PM performance,  as  well  as a </w:t>
      </w:r>
      <w:r>
        <w:rPr>
          <w:spacing w:val="54"/>
        </w:rPr>
        <w:t xml:space="preserve"> </w:t>
      </w:r>
      <w:r>
        <w:t>more</w:t>
      </w:r>
    </w:p>
    <w:p w14:paraId="721D8DF0" w14:textId="77777777" w:rsidR="00C75312" w:rsidRDefault="00C75312">
      <w:pPr>
        <w:spacing w:line="480" w:lineRule="auto"/>
        <w:jc w:val="both"/>
        <w:sectPr w:rsidR="00C75312">
          <w:headerReference w:type="default" r:id="rId25"/>
          <w:pgSz w:w="11900" w:h="16840"/>
          <w:pgMar w:top="1360" w:right="1320" w:bottom="280" w:left="1340" w:header="715" w:footer="0" w:gutter="0"/>
          <w:pgNumType w:start="23"/>
          <w:cols w:space="720"/>
        </w:sectPr>
      </w:pPr>
    </w:p>
    <w:p w14:paraId="72DB12B7" w14:textId="77777777" w:rsidR="00C75312" w:rsidRDefault="00BB293A">
      <w:pPr>
        <w:pStyle w:val="BodyText"/>
        <w:spacing w:before="80" w:line="480" w:lineRule="auto"/>
        <w:ind w:left="100" w:right="108"/>
        <w:jc w:val="both"/>
      </w:pPr>
      <w:r>
        <w:lastRenderedPageBreak/>
        <w:t>adaptive time-monitoring curve, in NT children. Therefore, the authors concluded that the diminished PM performance in ASD might originate from difficulties with self-initiated processing, as reflected by a less-than-optimal pattern of time monitoring.</w:t>
      </w:r>
    </w:p>
    <w:p w14:paraId="5969F149" w14:textId="77777777" w:rsidR="00C75312" w:rsidRDefault="00BB293A">
      <w:pPr>
        <w:pStyle w:val="BodyText"/>
        <w:spacing w:before="120" w:line="480" w:lineRule="auto"/>
        <w:ind w:left="100" w:right="106" w:firstLine="720"/>
        <w:jc w:val="both"/>
      </w:pPr>
      <w:r>
        <w:t xml:space="preserve">Despite some methodological concerns regarding </w:t>
      </w:r>
      <w:proofErr w:type="spellStart"/>
      <w:r>
        <w:t>Altgassen</w:t>
      </w:r>
      <w:proofErr w:type="spellEnd"/>
      <w:r>
        <w:t xml:space="preserve"> et al.’s (2009) study (see Williams, Boucher, Lind, &amp; Jarrold, 2013), the conclusions drawn both from this study (that time-based PM is impaired in ASD) and the study by </w:t>
      </w:r>
      <w:proofErr w:type="spellStart"/>
      <w:r>
        <w:t>Altgassen</w:t>
      </w:r>
      <w:proofErr w:type="spellEnd"/>
      <w:r>
        <w:t xml:space="preserve"> et al. (2010) (that</w:t>
      </w:r>
      <w:r>
        <w:rPr>
          <w:spacing w:val="-40"/>
        </w:rPr>
        <w:t xml:space="preserve"> </w:t>
      </w:r>
      <w:r>
        <w:t xml:space="preserve">event-based PM is unimpaired in ASD) are supported by the results from two studies by Williams and colleagues (2013, 2014). Williams, Boucher, Lind, and Jarrold (2013) examined both time- based and event-based PM in a sample of 21 children with ASD and 21 </w:t>
      </w:r>
      <w:r>
        <w:rPr>
          <w:spacing w:val="-3"/>
        </w:rPr>
        <w:t xml:space="preserve">NT </w:t>
      </w:r>
      <w:r>
        <w:t>children matched on age, and IQ. Time-based</w:t>
      </w:r>
      <w:r>
        <w:t xml:space="preserve"> versus event-based PM were assessed separately as two within- subject conditions carried out within the context of a computer-based driving game (the ongoing task). The ongoing task required participants to collect tokens and avoid obstacles while driving down a road. For the time-based PM task, participants were told that their car had only a limited amount of fuel, which would run out after 80 seconds unless they remembered</w:t>
      </w:r>
      <w:r>
        <w:rPr>
          <w:spacing w:val="-5"/>
        </w:rPr>
        <w:t xml:space="preserve"> </w:t>
      </w:r>
      <w:r>
        <w:t>to</w:t>
      </w:r>
      <w:r>
        <w:rPr>
          <w:spacing w:val="-10"/>
        </w:rPr>
        <w:t xml:space="preserve"> </w:t>
      </w:r>
      <w:r>
        <w:t>refuel</w:t>
      </w:r>
      <w:r>
        <w:rPr>
          <w:spacing w:val="-8"/>
        </w:rPr>
        <w:t xml:space="preserve"> </w:t>
      </w:r>
      <w:r>
        <w:t>it.</w:t>
      </w:r>
      <w:r>
        <w:rPr>
          <w:spacing w:val="45"/>
        </w:rPr>
        <w:t xml:space="preserve"> </w:t>
      </w:r>
      <w:r>
        <w:t>The</w:t>
      </w:r>
      <w:r>
        <w:rPr>
          <w:spacing w:val="-11"/>
        </w:rPr>
        <w:t xml:space="preserve"> </w:t>
      </w:r>
      <w:r>
        <w:t>fuel</w:t>
      </w:r>
      <w:r>
        <w:rPr>
          <w:spacing w:val="-8"/>
        </w:rPr>
        <w:t xml:space="preserve"> </w:t>
      </w:r>
      <w:r>
        <w:t>level</w:t>
      </w:r>
      <w:r>
        <w:rPr>
          <w:spacing w:val="-4"/>
        </w:rPr>
        <w:t xml:space="preserve"> </w:t>
      </w:r>
      <w:r>
        <w:t>could</w:t>
      </w:r>
      <w:r>
        <w:rPr>
          <w:spacing w:val="-10"/>
        </w:rPr>
        <w:t xml:space="preserve"> </w:t>
      </w:r>
      <w:r>
        <w:t>be</w:t>
      </w:r>
      <w:r>
        <w:rPr>
          <w:spacing w:val="-5"/>
        </w:rPr>
        <w:t xml:space="preserve"> </w:t>
      </w:r>
      <w:r>
        <w:t>monitored</w:t>
      </w:r>
      <w:r>
        <w:rPr>
          <w:spacing w:val="-5"/>
        </w:rPr>
        <w:t xml:space="preserve"> </w:t>
      </w:r>
      <w:r>
        <w:t>at</w:t>
      </w:r>
      <w:r>
        <w:rPr>
          <w:spacing w:val="-9"/>
        </w:rPr>
        <w:t xml:space="preserve"> </w:t>
      </w:r>
      <w:r>
        <w:t>any</w:t>
      </w:r>
      <w:r>
        <w:rPr>
          <w:spacing w:val="-9"/>
        </w:rPr>
        <w:t xml:space="preserve"> </w:t>
      </w:r>
      <w:r>
        <w:t>time</w:t>
      </w:r>
      <w:r>
        <w:rPr>
          <w:spacing w:val="-6"/>
        </w:rPr>
        <w:t xml:space="preserve"> </w:t>
      </w:r>
      <w:r>
        <w:t>by</w:t>
      </w:r>
      <w:r>
        <w:rPr>
          <w:spacing w:val="-9"/>
        </w:rPr>
        <w:t xml:space="preserve"> </w:t>
      </w:r>
      <w:r>
        <w:t>pressing</w:t>
      </w:r>
      <w:r>
        <w:rPr>
          <w:spacing w:val="-5"/>
        </w:rPr>
        <w:t xml:space="preserve"> </w:t>
      </w:r>
      <w:r>
        <w:t>a</w:t>
      </w:r>
      <w:r>
        <w:rPr>
          <w:spacing w:val="-6"/>
        </w:rPr>
        <w:t xml:space="preserve"> </w:t>
      </w:r>
      <w:r>
        <w:t xml:space="preserve">particular keyboard key, which caused a fuel gauge to be displayed on screen temporarily. Importantly </w:t>
      </w:r>
      <w:proofErr w:type="spellStart"/>
      <w:r>
        <w:t>refuelling</w:t>
      </w:r>
      <w:proofErr w:type="spellEnd"/>
      <w:r>
        <w:t xml:space="preserve"> was only possible after the fuel level dropped to a critical level (between 60 and 80 seconds). For the event-based PM task participants had to press a specific keyboard key whenever</w:t>
      </w:r>
      <w:r>
        <w:rPr>
          <w:spacing w:val="-10"/>
        </w:rPr>
        <w:t xml:space="preserve"> </w:t>
      </w:r>
      <w:r>
        <w:t>they</w:t>
      </w:r>
      <w:r>
        <w:rPr>
          <w:spacing w:val="-11"/>
        </w:rPr>
        <w:t xml:space="preserve"> </w:t>
      </w:r>
      <w:r>
        <w:t>passed</w:t>
      </w:r>
      <w:r>
        <w:rPr>
          <w:spacing w:val="-11"/>
        </w:rPr>
        <w:t xml:space="preserve"> </w:t>
      </w:r>
      <w:r>
        <w:t>a</w:t>
      </w:r>
      <w:r>
        <w:rPr>
          <w:spacing w:val="-13"/>
        </w:rPr>
        <w:t xml:space="preserve"> </w:t>
      </w:r>
      <w:r>
        <w:t>truck.</w:t>
      </w:r>
      <w:r>
        <w:rPr>
          <w:spacing w:val="37"/>
        </w:rPr>
        <w:t xml:space="preserve"> </w:t>
      </w:r>
      <w:r>
        <w:t>Results</w:t>
      </w:r>
      <w:r>
        <w:rPr>
          <w:spacing w:val="-13"/>
        </w:rPr>
        <w:t xml:space="preserve"> </w:t>
      </w:r>
      <w:r>
        <w:t>revealed</w:t>
      </w:r>
      <w:r>
        <w:rPr>
          <w:spacing w:val="-12"/>
        </w:rPr>
        <w:t xml:space="preserve"> </w:t>
      </w:r>
      <w:r>
        <w:t>a</w:t>
      </w:r>
      <w:r>
        <w:rPr>
          <w:spacing w:val="-12"/>
        </w:rPr>
        <w:t xml:space="preserve"> </w:t>
      </w:r>
      <w:r>
        <w:t>significant</w:t>
      </w:r>
      <w:r>
        <w:rPr>
          <w:spacing w:val="-10"/>
        </w:rPr>
        <w:t xml:space="preserve"> </w:t>
      </w:r>
      <w:r>
        <w:t>Group</w:t>
      </w:r>
      <w:r>
        <w:rPr>
          <w:spacing w:val="-15"/>
        </w:rPr>
        <w:t xml:space="preserve"> </w:t>
      </w:r>
      <w:r>
        <w:t>(ASD/control)</w:t>
      </w:r>
      <w:r>
        <w:rPr>
          <w:spacing w:val="-14"/>
        </w:rPr>
        <w:t xml:space="preserve"> </w:t>
      </w:r>
      <w:r>
        <w:t>×</w:t>
      </w:r>
      <w:r>
        <w:rPr>
          <w:spacing w:val="-12"/>
        </w:rPr>
        <w:t xml:space="preserve"> </w:t>
      </w:r>
      <w:r>
        <w:t>Condition (event-based/time-based) interaction effect on PM task performance, reflecting preserve</w:t>
      </w:r>
      <w:r>
        <w:t xml:space="preserve">d event-based PM performance but impaired time-based PM in the ASD group. More adaptive time monitoring (i.e., a greater number of fuel checks prior to the period where </w:t>
      </w:r>
      <w:proofErr w:type="spellStart"/>
      <w:r>
        <w:t>refuelling</w:t>
      </w:r>
      <w:proofErr w:type="spellEnd"/>
      <w:r>
        <w:t xml:space="preserve"> was possible) was related to fewer time-based PM failures in both groups. Importantly, groups did not differ in ongoing task performance, nor time-monitoring frequency or</w:t>
      </w:r>
      <w:r>
        <w:rPr>
          <w:spacing w:val="-3"/>
        </w:rPr>
        <w:t xml:space="preserve"> </w:t>
      </w:r>
      <w:r>
        <w:t>pattern.</w:t>
      </w:r>
    </w:p>
    <w:p w14:paraId="505A72A2" w14:textId="77777777" w:rsidR="00C75312" w:rsidRDefault="00C75312">
      <w:pPr>
        <w:spacing w:line="480" w:lineRule="auto"/>
        <w:jc w:val="both"/>
        <w:sectPr w:rsidR="00C75312">
          <w:pgSz w:w="11900" w:h="16840"/>
          <w:pgMar w:top="1360" w:right="1320" w:bottom="280" w:left="1340" w:header="715" w:footer="0" w:gutter="0"/>
          <w:cols w:space="720"/>
        </w:sectPr>
      </w:pPr>
    </w:p>
    <w:p w14:paraId="38EC8705" w14:textId="77777777" w:rsidR="00C75312" w:rsidRDefault="00BB293A">
      <w:pPr>
        <w:pStyle w:val="BodyText"/>
        <w:spacing w:before="80" w:line="480" w:lineRule="auto"/>
        <w:ind w:left="100" w:right="108" w:firstLine="720"/>
        <w:jc w:val="both"/>
      </w:pPr>
      <w:r>
        <w:lastRenderedPageBreak/>
        <w:t>The</w:t>
      </w:r>
      <w:r>
        <w:rPr>
          <w:spacing w:val="-7"/>
        </w:rPr>
        <w:t xml:space="preserve"> </w:t>
      </w:r>
      <w:r>
        <w:t>results</w:t>
      </w:r>
      <w:r>
        <w:rPr>
          <w:spacing w:val="-7"/>
        </w:rPr>
        <w:t xml:space="preserve"> </w:t>
      </w:r>
      <w:r>
        <w:t>of</w:t>
      </w:r>
      <w:r>
        <w:rPr>
          <w:spacing w:val="-4"/>
        </w:rPr>
        <w:t xml:space="preserve"> </w:t>
      </w:r>
      <w:r>
        <w:t>Williams</w:t>
      </w:r>
      <w:r>
        <w:rPr>
          <w:spacing w:val="-7"/>
        </w:rPr>
        <w:t xml:space="preserve"> </w:t>
      </w:r>
      <w:r>
        <w:t>et</w:t>
      </w:r>
      <w:r>
        <w:rPr>
          <w:spacing w:val="-9"/>
        </w:rPr>
        <w:t xml:space="preserve"> </w:t>
      </w:r>
      <w:r>
        <w:t>al.</w:t>
      </w:r>
      <w:r>
        <w:rPr>
          <w:spacing w:val="-7"/>
        </w:rPr>
        <w:t xml:space="preserve"> </w:t>
      </w:r>
      <w:r>
        <w:t>(2013)</w:t>
      </w:r>
      <w:r>
        <w:rPr>
          <w:spacing w:val="-4"/>
        </w:rPr>
        <w:t xml:space="preserve"> </w:t>
      </w:r>
      <w:r>
        <w:t>were</w:t>
      </w:r>
      <w:r>
        <w:rPr>
          <w:spacing w:val="-6"/>
        </w:rPr>
        <w:t xml:space="preserve"> </w:t>
      </w:r>
      <w:r>
        <w:t>replicated</w:t>
      </w:r>
      <w:r>
        <w:rPr>
          <w:spacing w:val="-5"/>
        </w:rPr>
        <w:t xml:space="preserve"> </w:t>
      </w:r>
      <w:r>
        <w:t>precisely</w:t>
      </w:r>
      <w:r>
        <w:rPr>
          <w:spacing w:val="-6"/>
        </w:rPr>
        <w:t xml:space="preserve"> </w:t>
      </w:r>
      <w:r>
        <w:t>in</w:t>
      </w:r>
      <w:r>
        <w:rPr>
          <w:spacing w:val="-5"/>
        </w:rPr>
        <w:t xml:space="preserve"> </w:t>
      </w:r>
      <w:r>
        <w:t>a</w:t>
      </w:r>
      <w:r>
        <w:rPr>
          <w:spacing w:val="-6"/>
        </w:rPr>
        <w:t xml:space="preserve"> </w:t>
      </w:r>
      <w:r>
        <w:t>subsequent</w:t>
      </w:r>
      <w:r>
        <w:rPr>
          <w:spacing w:val="-5"/>
        </w:rPr>
        <w:t xml:space="preserve"> </w:t>
      </w:r>
      <w:r>
        <w:t>study</w:t>
      </w:r>
      <w:r>
        <w:rPr>
          <w:spacing w:val="-5"/>
        </w:rPr>
        <w:t xml:space="preserve"> </w:t>
      </w:r>
      <w:r>
        <w:t xml:space="preserve">by Williams, Jarrold, Grainger, and Lind (2014) of </w:t>
      </w:r>
      <w:r>
        <w:rPr>
          <w:spacing w:val="-3"/>
        </w:rPr>
        <w:t xml:space="preserve">17 </w:t>
      </w:r>
      <w:r>
        <w:rPr>
          <w:i/>
        </w:rPr>
        <w:t xml:space="preserve">adults </w:t>
      </w:r>
      <w:r>
        <w:t>with ASD and 17 age-, and verbal and performance IQ-matched NT adults. The same ongoing task (which tapped verbal short- term</w:t>
      </w:r>
      <w:r>
        <w:rPr>
          <w:spacing w:val="-4"/>
        </w:rPr>
        <w:t xml:space="preserve"> </w:t>
      </w:r>
      <w:r>
        <w:t>memory)</w:t>
      </w:r>
      <w:r>
        <w:rPr>
          <w:spacing w:val="-3"/>
        </w:rPr>
        <w:t xml:space="preserve"> </w:t>
      </w:r>
      <w:r>
        <w:t>was</w:t>
      </w:r>
      <w:r>
        <w:rPr>
          <w:spacing w:val="-7"/>
        </w:rPr>
        <w:t xml:space="preserve"> </w:t>
      </w:r>
      <w:r>
        <w:t>used</w:t>
      </w:r>
      <w:r>
        <w:rPr>
          <w:spacing w:val="-4"/>
        </w:rPr>
        <w:t xml:space="preserve"> </w:t>
      </w:r>
      <w:r>
        <w:t>for</w:t>
      </w:r>
      <w:r>
        <w:rPr>
          <w:spacing w:val="-3"/>
        </w:rPr>
        <w:t xml:space="preserve"> </w:t>
      </w:r>
      <w:r>
        <w:t>both</w:t>
      </w:r>
      <w:r>
        <w:rPr>
          <w:spacing w:val="-10"/>
        </w:rPr>
        <w:t xml:space="preserve"> </w:t>
      </w:r>
      <w:r>
        <w:t>PM</w:t>
      </w:r>
      <w:r>
        <w:rPr>
          <w:spacing w:val="-6"/>
        </w:rPr>
        <w:t xml:space="preserve"> </w:t>
      </w:r>
      <w:r>
        <w:t>conditions,</w:t>
      </w:r>
      <w:r>
        <w:rPr>
          <w:spacing w:val="-2"/>
        </w:rPr>
        <w:t xml:space="preserve"> </w:t>
      </w:r>
      <w:r>
        <w:t>which</w:t>
      </w:r>
      <w:r>
        <w:rPr>
          <w:spacing w:val="-5"/>
        </w:rPr>
        <w:t xml:space="preserve"> </w:t>
      </w:r>
      <w:r>
        <w:t>were</w:t>
      </w:r>
      <w:r>
        <w:rPr>
          <w:spacing w:val="-6"/>
        </w:rPr>
        <w:t xml:space="preserve"> </w:t>
      </w:r>
      <w:r>
        <w:t>carried</w:t>
      </w:r>
      <w:r>
        <w:rPr>
          <w:spacing w:val="-4"/>
        </w:rPr>
        <w:t xml:space="preserve"> </w:t>
      </w:r>
      <w:r>
        <w:t>out</w:t>
      </w:r>
      <w:r>
        <w:rPr>
          <w:spacing w:val="-4"/>
        </w:rPr>
        <w:t xml:space="preserve"> </w:t>
      </w:r>
      <w:r>
        <w:t>separately</w:t>
      </w:r>
      <w:r>
        <w:rPr>
          <w:spacing w:val="-5"/>
        </w:rPr>
        <w:t xml:space="preserve"> </w:t>
      </w:r>
      <w:r>
        <w:t>in</w:t>
      </w:r>
      <w:r>
        <w:rPr>
          <w:spacing w:val="-5"/>
        </w:rPr>
        <w:t xml:space="preserve"> </w:t>
      </w:r>
      <w:r>
        <w:t xml:space="preserve">counter- balanced order. In the ongoing task, participants studied sequences of seven words across 40 trials. After each study trial, a test list </w:t>
      </w:r>
      <w:r>
        <w:rPr>
          <w:spacing w:val="-3"/>
        </w:rPr>
        <w:t xml:space="preserve">of </w:t>
      </w:r>
      <w:r>
        <w:t>seven words appeared on-screen and participants had to decide whether all seven had been present on the immediately-preceding study list. The event-based PM in</w:t>
      </w:r>
      <w:r>
        <w:t xml:space="preserve">struction required participants </w:t>
      </w:r>
      <w:r>
        <w:rPr>
          <w:spacing w:val="-3"/>
        </w:rPr>
        <w:t xml:space="preserve">to </w:t>
      </w:r>
      <w:r>
        <w:t xml:space="preserve">press a specific key when one </w:t>
      </w:r>
      <w:r>
        <w:rPr>
          <w:spacing w:val="-3"/>
        </w:rPr>
        <w:t xml:space="preserve">of </w:t>
      </w:r>
      <w:r>
        <w:t>the test list words represented a musical instrument. For the time-based PM task, participants had to press a specific key every two minutes throughout the ongoing task. Participants could bring up</w:t>
      </w:r>
      <w:r>
        <w:rPr>
          <w:spacing w:val="-5"/>
        </w:rPr>
        <w:t xml:space="preserve"> </w:t>
      </w:r>
      <w:r>
        <w:t>a</w:t>
      </w:r>
      <w:r>
        <w:rPr>
          <w:spacing w:val="-6"/>
        </w:rPr>
        <w:t xml:space="preserve"> </w:t>
      </w:r>
      <w:r>
        <w:t>clock</w:t>
      </w:r>
      <w:r>
        <w:rPr>
          <w:spacing w:val="-10"/>
        </w:rPr>
        <w:t xml:space="preserve"> </w:t>
      </w:r>
      <w:r>
        <w:t>displaying</w:t>
      </w:r>
      <w:r>
        <w:rPr>
          <w:spacing w:val="-4"/>
        </w:rPr>
        <w:t xml:space="preserve"> </w:t>
      </w:r>
      <w:r>
        <w:t>the</w:t>
      </w:r>
      <w:r>
        <w:rPr>
          <w:spacing w:val="-11"/>
        </w:rPr>
        <w:t xml:space="preserve"> </w:t>
      </w:r>
      <w:r>
        <w:t>elapsed</w:t>
      </w:r>
      <w:r>
        <w:rPr>
          <w:spacing w:val="-5"/>
        </w:rPr>
        <w:t xml:space="preserve"> </w:t>
      </w:r>
      <w:r>
        <w:t>time</w:t>
      </w:r>
      <w:r>
        <w:rPr>
          <w:spacing w:val="-6"/>
        </w:rPr>
        <w:t xml:space="preserve"> </w:t>
      </w:r>
      <w:r>
        <w:t>via</w:t>
      </w:r>
      <w:r>
        <w:rPr>
          <w:spacing w:val="-10"/>
        </w:rPr>
        <w:t xml:space="preserve"> </w:t>
      </w:r>
      <w:r>
        <w:t>key</w:t>
      </w:r>
      <w:r>
        <w:rPr>
          <w:spacing w:val="-10"/>
        </w:rPr>
        <w:t xml:space="preserve"> </w:t>
      </w:r>
      <w:r>
        <w:t>press.</w:t>
      </w:r>
      <w:r>
        <w:rPr>
          <w:spacing w:val="54"/>
        </w:rPr>
        <w:t xml:space="preserve"> </w:t>
      </w:r>
      <w:r>
        <w:t>Williams</w:t>
      </w:r>
      <w:r>
        <w:rPr>
          <w:spacing w:val="-7"/>
        </w:rPr>
        <w:t xml:space="preserve"> </w:t>
      </w:r>
      <w:r>
        <w:t>et</w:t>
      </w:r>
      <w:r>
        <w:rPr>
          <w:spacing w:val="-9"/>
        </w:rPr>
        <w:t xml:space="preserve"> </w:t>
      </w:r>
      <w:r>
        <w:t>al.</w:t>
      </w:r>
      <w:r>
        <w:rPr>
          <w:spacing w:val="-7"/>
        </w:rPr>
        <w:t xml:space="preserve"> </w:t>
      </w:r>
      <w:r>
        <w:t>(2014)</w:t>
      </w:r>
      <w:r>
        <w:rPr>
          <w:spacing w:val="-7"/>
        </w:rPr>
        <w:t xml:space="preserve"> </w:t>
      </w:r>
      <w:r>
        <w:t>found</w:t>
      </w:r>
      <w:r>
        <w:rPr>
          <w:spacing w:val="-10"/>
        </w:rPr>
        <w:t xml:space="preserve"> </w:t>
      </w:r>
      <w:r>
        <w:t>a</w:t>
      </w:r>
      <w:r>
        <w:rPr>
          <w:spacing w:val="-10"/>
        </w:rPr>
        <w:t xml:space="preserve"> </w:t>
      </w:r>
      <w:r>
        <w:t xml:space="preserve">significant Group × Condition interaction, reflecting diminished time-based but spared event-based </w:t>
      </w:r>
      <w:r>
        <w:rPr>
          <w:spacing w:val="2"/>
        </w:rPr>
        <w:t xml:space="preserve">PM </w:t>
      </w:r>
      <w:r>
        <w:t xml:space="preserve">performance in the ASD group. Again, groups did not differ in </w:t>
      </w:r>
      <w:r>
        <w:t>ongoing task performance or time-monitoring</w:t>
      </w:r>
      <w:r>
        <w:rPr>
          <w:spacing w:val="1"/>
        </w:rPr>
        <w:t xml:space="preserve"> </w:t>
      </w:r>
      <w:r>
        <w:t>frequency.</w:t>
      </w:r>
    </w:p>
    <w:p w14:paraId="6504A04F" w14:textId="77777777" w:rsidR="00C75312" w:rsidRDefault="00BB293A">
      <w:pPr>
        <w:pStyle w:val="BodyText"/>
        <w:spacing w:before="120" w:line="480" w:lineRule="auto"/>
        <w:ind w:left="100" w:right="107" w:firstLine="720"/>
        <w:jc w:val="both"/>
      </w:pPr>
      <w:r>
        <w:t xml:space="preserve">In summary, there seems to be a consistent pattern emerging from these initial studies suggesting that time-based PM is impaired, but event-based PM is unimpaired, in ASD. To explore this pattern further, first four additional studies are reviewed, which have investigated event-based PM </w:t>
      </w:r>
      <w:r>
        <w:rPr>
          <w:i/>
        </w:rPr>
        <w:t xml:space="preserve">separately </w:t>
      </w:r>
      <w:r>
        <w:t>from time-based PM, followed by a review of more naturalistic studies of time- and/or event-based PM.</w:t>
      </w:r>
    </w:p>
    <w:p w14:paraId="7D86DA33" w14:textId="77777777" w:rsidR="00C75312" w:rsidRDefault="00BB293A">
      <w:pPr>
        <w:pStyle w:val="BodyText"/>
        <w:spacing w:before="120" w:line="475" w:lineRule="auto"/>
        <w:ind w:left="100" w:right="107" w:firstLine="720"/>
        <w:jc w:val="both"/>
        <w:rPr>
          <w:i/>
        </w:rPr>
      </w:pPr>
      <w:r>
        <w:rPr>
          <w:b/>
        </w:rPr>
        <w:t>Is</w:t>
      </w:r>
      <w:r>
        <w:rPr>
          <w:b/>
          <w:spacing w:val="-18"/>
        </w:rPr>
        <w:t xml:space="preserve"> </w:t>
      </w:r>
      <w:r>
        <w:rPr>
          <w:b/>
        </w:rPr>
        <w:t>ASD</w:t>
      </w:r>
      <w:r>
        <w:rPr>
          <w:b/>
          <w:spacing w:val="-16"/>
        </w:rPr>
        <w:t xml:space="preserve"> </w:t>
      </w:r>
      <w:proofErr w:type="spellStart"/>
      <w:r>
        <w:rPr>
          <w:b/>
        </w:rPr>
        <w:t>characterised</w:t>
      </w:r>
      <w:proofErr w:type="spellEnd"/>
      <w:r>
        <w:rPr>
          <w:b/>
          <w:spacing w:val="-15"/>
        </w:rPr>
        <w:t xml:space="preserve"> </w:t>
      </w:r>
      <w:r>
        <w:rPr>
          <w:b/>
        </w:rPr>
        <w:t>by</w:t>
      </w:r>
      <w:r>
        <w:rPr>
          <w:b/>
          <w:spacing w:val="-15"/>
        </w:rPr>
        <w:t xml:space="preserve"> </w:t>
      </w:r>
      <w:r>
        <w:rPr>
          <w:b/>
        </w:rPr>
        <w:t>truly</w:t>
      </w:r>
      <w:r>
        <w:rPr>
          <w:b/>
          <w:spacing w:val="-14"/>
        </w:rPr>
        <w:t xml:space="preserve"> </w:t>
      </w:r>
      <w:r>
        <w:rPr>
          <w:b/>
        </w:rPr>
        <w:t>unimpaired</w:t>
      </w:r>
      <w:r>
        <w:rPr>
          <w:b/>
          <w:spacing w:val="-15"/>
        </w:rPr>
        <w:t xml:space="preserve"> </w:t>
      </w:r>
      <w:r>
        <w:rPr>
          <w:b/>
        </w:rPr>
        <w:t>event-based</w:t>
      </w:r>
      <w:r>
        <w:rPr>
          <w:b/>
          <w:spacing w:val="-15"/>
        </w:rPr>
        <w:t xml:space="preserve"> </w:t>
      </w:r>
      <w:r>
        <w:rPr>
          <w:b/>
        </w:rPr>
        <w:t>PM?</w:t>
      </w:r>
      <w:r>
        <w:rPr>
          <w:b/>
          <w:spacing w:val="29"/>
        </w:rPr>
        <w:t xml:space="preserve"> </w:t>
      </w:r>
      <w:r>
        <w:t>Firstly,</w:t>
      </w:r>
      <w:r>
        <w:rPr>
          <w:spacing w:val="-13"/>
        </w:rPr>
        <w:t xml:space="preserve"> </w:t>
      </w:r>
      <w:r>
        <w:t>Yi</w:t>
      </w:r>
      <w:r>
        <w:rPr>
          <w:spacing w:val="-15"/>
        </w:rPr>
        <w:t xml:space="preserve"> </w:t>
      </w:r>
      <w:r>
        <w:t>et</w:t>
      </w:r>
      <w:r>
        <w:rPr>
          <w:spacing w:val="-14"/>
        </w:rPr>
        <w:t xml:space="preserve"> </w:t>
      </w:r>
      <w:r>
        <w:t>al.</w:t>
      </w:r>
      <w:r>
        <w:rPr>
          <w:spacing w:val="-13"/>
        </w:rPr>
        <w:t xml:space="preserve"> </w:t>
      </w:r>
      <w:r>
        <w:t>(2014) studied the role of executive functioning in event-based PM in a sample of 25 children with ASD</w:t>
      </w:r>
      <w:r>
        <w:rPr>
          <w:spacing w:val="-10"/>
        </w:rPr>
        <w:t xml:space="preserve"> </w:t>
      </w:r>
      <w:r>
        <w:t>and</w:t>
      </w:r>
      <w:r>
        <w:rPr>
          <w:spacing w:val="-10"/>
        </w:rPr>
        <w:t xml:space="preserve"> </w:t>
      </w:r>
      <w:r>
        <w:t>two</w:t>
      </w:r>
      <w:r>
        <w:rPr>
          <w:spacing w:val="-9"/>
        </w:rPr>
        <w:t xml:space="preserve"> </w:t>
      </w:r>
      <w:r>
        <w:t>NT</w:t>
      </w:r>
      <w:r>
        <w:rPr>
          <w:spacing w:val="-7"/>
        </w:rPr>
        <w:t xml:space="preserve"> </w:t>
      </w:r>
      <w:r>
        <w:t>comparison</w:t>
      </w:r>
      <w:r>
        <w:rPr>
          <w:spacing w:val="-10"/>
        </w:rPr>
        <w:t xml:space="preserve"> </w:t>
      </w:r>
      <w:r>
        <w:t>groups.</w:t>
      </w:r>
      <w:r>
        <w:rPr>
          <w:spacing w:val="45"/>
        </w:rPr>
        <w:t xml:space="preserve"> </w:t>
      </w:r>
      <w:r>
        <w:t>One</w:t>
      </w:r>
      <w:r>
        <w:rPr>
          <w:spacing w:val="-10"/>
        </w:rPr>
        <w:t xml:space="preserve"> </w:t>
      </w:r>
      <w:r>
        <w:t>comparison</w:t>
      </w:r>
      <w:r>
        <w:rPr>
          <w:spacing w:val="-10"/>
        </w:rPr>
        <w:t xml:space="preserve"> </w:t>
      </w:r>
      <w:r>
        <w:t>group</w:t>
      </w:r>
      <w:r>
        <w:rPr>
          <w:spacing w:val="-10"/>
        </w:rPr>
        <w:t xml:space="preserve"> </w:t>
      </w:r>
      <w:r>
        <w:t>was</w:t>
      </w:r>
      <w:r>
        <w:rPr>
          <w:spacing w:val="-11"/>
        </w:rPr>
        <w:t xml:space="preserve"> </w:t>
      </w:r>
      <w:r>
        <w:t>reported</w:t>
      </w:r>
      <w:r>
        <w:rPr>
          <w:spacing w:val="-10"/>
        </w:rPr>
        <w:t xml:space="preserve"> </w:t>
      </w:r>
      <w:r>
        <w:t>to</w:t>
      </w:r>
      <w:r>
        <w:rPr>
          <w:spacing w:val="-9"/>
        </w:rPr>
        <w:t xml:space="preserve"> </w:t>
      </w:r>
      <w:r>
        <w:t>be</w:t>
      </w:r>
      <w:r>
        <w:rPr>
          <w:spacing w:val="-11"/>
        </w:rPr>
        <w:t xml:space="preserve"> </w:t>
      </w:r>
      <w:r>
        <w:t>matched</w:t>
      </w:r>
      <w:r>
        <w:rPr>
          <w:spacing w:val="-10"/>
        </w:rPr>
        <w:t xml:space="preserve"> </w:t>
      </w:r>
      <w:r>
        <w:t xml:space="preserve">with </w:t>
      </w:r>
      <w:r>
        <w:rPr>
          <w:position w:val="2"/>
        </w:rPr>
        <w:t>the</w:t>
      </w:r>
      <w:r>
        <w:rPr>
          <w:spacing w:val="-7"/>
          <w:position w:val="2"/>
        </w:rPr>
        <w:t xml:space="preserve"> </w:t>
      </w:r>
      <w:r>
        <w:rPr>
          <w:position w:val="2"/>
        </w:rPr>
        <w:t>ASD</w:t>
      </w:r>
      <w:r>
        <w:rPr>
          <w:spacing w:val="-5"/>
          <w:position w:val="2"/>
        </w:rPr>
        <w:t xml:space="preserve"> </w:t>
      </w:r>
      <w:r>
        <w:rPr>
          <w:position w:val="2"/>
        </w:rPr>
        <w:t>group</w:t>
      </w:r>
      <w:r>
        <w:rPr>
          <w:spacing w:val="-10"/>
          <w:position w:val="2"/>
        </w:rPr>
        <w:t xml:space="preserve"> </w:t>
      </w:r>
      <w:r>
        <w:rPr>
          <w:position w:val="2"/>
        </w:rPr>
        <w:t>for</w:t>
      </w:r>
      <w:r>
        <w:rPr>
          <w:spacing w:val="-8"/>
          <w:position w:val="2"/>
        </w:rPr>
        <w:t xml:space="preserve"> </w:t>
      </w:r>
      <w:r>
        <w:rPr>
          <w:position w:val="2"/>
        </w:rPr>
        <w:t>chronological</w:t>
      </w:r>
      <w:r>
        <w:rPr>
          <w:spacing w:val="-4"/>
          <w:position w:val="2"/>
        </w:rPr>
        <w:t xml:space="preserve"> </w:t>
      </w:r>
      <w:r>
        <w:rPr>
          <w:position w:val="2"/>
        </w:rPr>
        <w:t>age</w:t>
      </w:r>
      <w:r>
        <w:rPr>
          <w:spacing w:val="-11"/>
          <w:position w:val="2"/>
        </w:rPr>
        <w:t xml:space="preserve"> </w:t>
      </w:r>
      <w:r>
        <w:rPr>
          <w:position w:val="2"/>
        </w:rPr>
        <w:t>(NT</w:t>
      </w:r>
      <w:r>
        <w:rPr>
          <w:position w:val="2"/>
          <w:vertAlign w:val="subscript"/>
        </w:rPr>
        <w:t>CA</w:t>
      </w:r>
      <w:r>
        <w:rPr>
          <w:position w:val="2"/>
        </w:rPr>
        <w:t>,</w:t>
      </w:r>
      <w:r>
        <w:rPr>
          <w:spacing w:val="-3"/>
          <w:position w:val="2"/>
        </w:rPr>
        <w:t xml:space="preserve"> </w:t>
      </w:r>
      <w:r>
        <w:rPr>
          <w:i/>
          <w:position w:val="2"/>
        </w:rPr>
        <w:t>n</w:t>
      </w:r>
      <w:r>
        <w:rPr>
          <w:i/>
          <w:spacing w:val="-10"/>
          <w:position w:val="2"/>
        </w:rPr>
        <w:t xml:space="preserve"> </w:t>
      </w:r>
      <w:r>
        <w:rPr>
          <w:position w:val="2"/>
        </w:rPr>
        <w:t>=</w:t>
      </w:r>
      <w:r>
        <w:rPr>
          <w:spacing w:val="-6"/>
          <w:position w:val="2"/>
        </w:rPr>
        <w:t xml:space="preserve"> </w:t>
      </w:r>
      <w:r>
        <w:rPr>
          <w:position w:val="2"/>
        </w:rPr>
        <w:t>25),</w:t>
      </w:r>
      <w:r>
        <w:rPr>
          <w:spacing w:val="-7"/>
          <w:position w:val="2"/>
        </w:rPr>
        <w:t xml:space="preserve"> </w:t>
      </w:r>
      <w:r>
        <w:rPr>
          <w:position w:val="2"/>
        </w:rPr>
        <w:t>whereas</w:t>
      </w:r>
      <w:r>
        <w:rPr>
          <w:spacing w:val="-7"/>
          <w:position w:val="2"/>
        </w:rPr>
        <w:t xml:space="preserve"> </w:t>
      </w:r>
      <w:r>
        <w:rPr>
          <w:position w:val="2"/>
        </w:rPr>
        <w:t>the</w:t>
      </w:r>
      <w:r>
        <w:rPr>
          <w:spacing w:val="-6"/>
          <w:position w:val="2"/>
        </w:rPr>
        <w:t xml:space="preserve"> </w:t>
      </w:r>
      <w:r>
        <w:rPr>
          <w:position w:val="2"/>
        </w:rPr>
        <w:t>other</w:t>
      </w:r>
      <w:r>
        <w:rPr>
          <w:spacing w:val="-8"/>
          <w:position w:val="2"/>
        </w:rPr>
        <w:t xml:space="preserve"> </w:t>
      </w:r>
      <w:r>
        <w:rPr>
          <w:position w:val="2"/>
        </w:rPr>
        <w:t>comparison</w:t>
      </w:r>
      <w:r>
        <w:rPr>
          <w:spacing w:val="-5"/>
          <w:position w:val="2"/>
        </w:rPr>
        <w:t xml:space="preserve"> </w:t>
      </w:r>
      <w:r>
        <w:rPr>
          <w:position w:val="2"/>
        </w:rPr>
        <w:t>group</w:t>
      </w:r>
      <w:r>
        <w:rPr>
          <w:spacing w:val="-6"/>
          <w:position w:val="2"/>
        </w:rPr>
        <w:t xml:space="preserve"> </w:t>
      </w:r>
      <w:r>
        <w:rPr>
          <w:position w:val="2"/>
        </w:rPr>
        <w:t xml:space="preserve">was reported to be matched with the ASD group for verbal </w:t>
      </w:r>
      <w:r>
        <w:rPr>
          <w:i/>
          <w:position w:val="2"/>
        </w:rPr>
        <w:t xml:space="preserve">mental age </w:t>
      </w:r>
      <w:r>
        <w:rPr>
          <w:position w:val="2"/>
        </w:rPr>
        <w:t xml:space="preserve">and nonverbal </w:t>
      </w:r>
      <w:r>
        <w:rPr>
          <w:i/>
          <w:position w:val="2"/>
        </w:rPr>
        <w:t>IQ</w:t>
      </w:r>
      <w:r>
        <w:rPr>
          <w:position w:val="2"/>
        </w:rPr>
        <w:t>, NT</w:t>
      </w:r>
      <w:r>
        <w:rPr>
          <w:position w:val="2"/>
          <w:vertAlign w:val="subscript"/>
        </w:rPr>
        <w:t>MA</w:t>
      </w:r>
      <w:r>
        <w:rPr>
          <w:position w:val="2"/>
        </w:rPr>
        <w:t xml:space="preserve">, </w:t>
      </w:r>
      <w:r>
        <w:rPr>
          <w:i/>
          <w:position w:val="2"/>
        </w:rPr>
        <w:t>n</w:t>
      </w:r>
    </w:p>
    <w:p w14:paraId="396DDF1F" w14:textId="77777777" w:rsidR="00C75312" w:rsidRDefault="00BB293A">
      <w:pPr>
        <w:pStyle w:val="BodyText"/>
        <w:spacing w:line="264" w:lineRule="exact"/>
        <w:ind w:left="100"/>
      </w:pPr>
      <w:r>
        <w:t>= 28).  In Yi et al.’s paradigm, the ongoing task involved naming pictorial items on a series</w:t>
      </w:r>
      <w:r>
        <w:rPr>
          <w:spacing w:val="-16"/>
        </w:rPr>
        <w:t xml:space="preserve"> </w:t>
      </w:r>
      <w:r>
        <w:t>of</w:t>
      </w:r>
    </w:p>
    <w:p w14:paraId="47158732" w14:textId="77777777" w:rsidR="00C75312" w:rsidRDefault="00C75312">
      <w:pPr>
        <w:spacing w:line="264" w:lineRule="exact"/>
        <w:sectPr w:rsidR="00C75312">
          <w:pgSz w:w="11900" w:h="16840"/>
          <w:pgMar w:top="1360" w:right="1320" w:bottom="280" w:left="1340" w:header="715" w:footer="0" w:gutter="0"/>
          <w:cols w:space="720"/>
        </w:sectPr>
      </w:pPr>
    </w:p>
    <w:p w14:paraId="1FF06853" w14:textId="77777777" w:rsidR="00C75312" w:rsidRDefault="00BB293A">
      <w:pPr>
        <w:pStyle w:val="BodyText"/>
        <w:spacing w:before="80" w:line="477" w:lineRule="auto"/>
        <w:ind w:left="100" w:right="108"/>
        <w:jc w:val="both"/>
      </w:pPr>
      <w:r>
        <w:lastRenderedPageBreak/>
        <w:t>cards. The PM task was to hand the experimenter a “target” card that had a red heart-shaped sticker on it. The ASD group performed significantly worse than both comparison groups on the PM task. Although this is an interesting study, there are two potential methodological issues</w:t>
      </w:r>
      <w:r>
        <w:rPr>
          <w:spacing w:val="-17"/>
        </w:rPr>
        <w:t xml:space="preserve"> </w:t>
      </w:r>
      <w:r>
        <w:t>with</w:t>
      </w:r>
      <w:r>
        <w:rPr>
          <w:spacing w:val="-14"/>
        </w:rPr>
        <w:t xml:space="preserve"> </w:t>
      </w:r>
      <w:r>
        <w:t>Yi</w:t>
      </w:r>
      <w:r>
        <w:rPr>
          <w:spacing w:val="-15"/>
        </w:rPr>
        <w:t xml:space="preserve"> </w:t>
      </w:r>
      <w:r>
        <w:t>et</w:t>
      </w:r>
      <w:r>
        <w:rPr>
          <w:spacing w:val="-14"/>
        </w:rPr>
        <w:t xml:space="preserve"> </w:t>
      </w:r>
      <w:r>
        <w:t>al.’s</w:t>
      </w:r>
      <w:r>
        <w:rPr>
          <w:spacing w:val="-20"/>
        </w:rPr>
        <w:t xml:space="preserve"> </w:t>
      </w:r>
      <w:r>
        <w:t>procedure</w:t>
      </w:r>
      <w:r>
        <w:rPr>
          <w:spacing w:val="-15"/>
        </w:rPr>
        <w:t xml:space="preserve"> </w:t>
      </w:r>
      <w:r>
        <w:t>that</w:t>
      </w:r>
      <w:r>
        <w:rPr>
          <w:spacing w:val="-19"/>
        </w:rPr>
        <w:t xml:space="preserve"> </w:t>
      </w:r>
      <w:r>
        <w:t>might</w:t>
      </w:r>
      <w:r>
        <w:rPr>
          <w:spacing w:val="-19"/>
        </w:rPr>
        <w:t xml:space="preserve"> </w:t>
      </w:r>
      <w:r>
        <w:t>lead</w:t>
      </w:r>
      <w:r>
        <w:rPr>
          <w:spacing w:val="-14"/>
        </w:rPr>
        <w:t xml:space="preserve"> </w:t>
      </w:r>
      <w:r>
        <w:t>to</w:t>
      </w:r>
      <w:r>
        <w:rPr>
          <w:spacing w:val="-19"/>
        </w:rPr>
        <w:t xml:space="preserve"> </w:t>
      </w:r>
      <w:r>
        <w:t>caution</w:t>
      </w:r>
      <w:r>
        <w:rPr>
          <w:spacing w:val="-14"/>
        </w:rPr>
        <w:t xml:space="preserve"> </w:t>
      </w:r>
      <w:r>
        <w:t>when</w:t>
      </w:r>
      <w:r>
        <w:rPr>
          <w:spacing w:val="-14"/>
        </w:rPr>
        <w:t xml:space="preserve"> </w:t>
      </w:r>
      <w:r>
        <w:t>interpreting</w:t>
      </w:r>
      <w:r>
        <w:rPr>
          <w:spacing w:val="-14"/>
        </w:rPr>
        <w:t xml:space="preserve"> </w:t>
      </w:r>
      <w:r>
        <w:t>the</w:t>
      </w:r>
      <w:r>
        <w:rPr>
          <w:spacing w:val="-20"/>
        </w:rPr>
        <w:t xml:space="preserve"> </w:t>
      </w:r>
      <w:r>
        <w:t>results.</w:t>
      </w:r>
      <w:r>
        <w:rPr>
          <w:spacing w:val="29"/>
        </w:rPr>
        <w:t xml:space="preserve"> </w:t>
      </w:r>
      <w:r>
        <w:t xml:space="preserve">Firstly, ongoing task performance was not reported and memory for the PM task instruction was not checked at the end. It is not clear whether participants with ASD either noticed the target sticker on the relevant cards or even that they encoded the instruction to hand the cards with such a sticker to the experimenter. Secondly, based on the data provided, it appears as if the </w:t>
      </w:r>
      <w:r>
        <w:rPr>
          <w:position w:val="2"/>
        </w:rPr>
        <w:t xml:space="preserve">groups were not equated on baseline cognitive </w:t>
      </w:r>
      <w:r>
        <w:rPr>
          <w:position w:val="2"/>
        </w:rPr>
        <w:t>abilities. The NT</w:t>
      </w:r>
      <w:r>
        <w:rPr>
          <w:position w:val="2"/>
          <w:vertAlign w:val="subscript"/>
        </w:rPr>
        <w:t>CA</w:t>
      </w:r>
      <w:r>
        <w:rPr>
          <w:position w:val="2"/>
        </w:rPr>
        <w:t xml:space="preserve"> group was not equated for verbal</w:t>
      </w:r>
      <w:r>
        <w:rPr>
          <w:spacing w:val="-5"/>
          <w:position w:val="2"/>
        </w:rPr>
        <w:t xml:space="preserve"> </w:t>
      </w:r>
      <w:r>
        <w:rPr>
          <w:position w:val="2"/>
        </w:rPr>
        <w:t>mental</w:t>
      </w:r>
      <w:r>
        <w:rPr>
          <w:spacing w:val="-9"/>
          <w:position w:val="2"/>
        </w:rPr>
        <w:t xml:space="preserve"> </w:t>
      </w:r>
      <w:r>
        <w:rPr>
          <w:position w:val="2"/>
        </w:rPr>
        <w:t>age</w:t>
      </w:r>
      <w:r>
        <w:rPr>
          <w:spacing w:val="-6"/>
          <w:position w:val="2"/>
        </w:rPr>
        <w:t xml:space="preserve"> </w:t>
      </w:r>
      <w:r>
        <w:rPr>
          <w:spacing w:val="-3"/>
          <w:position w:val="2"/>
        </w:rPr>
        <w:t xml:space="preserve">or </w:t>
      </w:r>
      <w:r>
        <w:rPr>
          <w:position w:val="2"/>
        </w:rPr>
        <w:t>nonverbal</w:t>
      </w:r>
      <w:r>
        <w:rPr>
          <w:spacing w:val="-9"/>
          <w:position w:val="2"/>
        </w:rPr>
        <w:t xml:space="preserve"> </w:t>
      </w:r>
      <w:r>
        <w:rPr>
          <w:position w:val="2"/>
        </w:rPr>
        <w:t>IQ,</w:t>
      </w:r>
      <w:r>
        <w:rPr>
          <w:spacing w:val="-7"/>
          <w:position w:val="2"/>
        </w:rPr>
        <w:t xml:space="preserve"> </w:t>
      </w:r>
      <w:r>
        <w:rPr>
          <w:position w:val="2"/>
        </w:rPr>
        <w:t>whereas</w:t>
      </w:r>
      <w:r>
        <w:rPr>
          <w:spacing w:val="-8"/>
          <w:position w:val="2"/>
        </w:rPr>
        <w:t xml:space="preserve"> </w:t>
      </w:r>
      <w:r>
        <w:rPr>
          <w:position w:val="2"/>
        </w:rPr>
        <w:t>the</w:t>
      </w:r>
      <w:r>
        <w:rPr>
          <w:spacing w:val="-11"/>
          <w:position w:val="2"/>
        </w:rPr>
        <w:t xml:space="preserve"> </w:t>
      </w:r>
      <w:r>
        <w:rPr>
          <w:position w:val="2"/>
        </w:rPr>
        <w:t>NT</w:t>
      </w:r>
      <w:r>
        <w:rPr>
          <w:position w:val="2"/>
          <w:vertAlign w:val="subscript"/>
        </w:rPr>
        <w:t>MA</w:t>
      </w:r>
      <w:r>
        <w:rPr>
          <w:spacing w:val="-4"/>
          <w:position w:val="2"/>
        </w:rPr>
        <w:t xml:space="preserve"> </w:t>
      </w:r>
      <w:r>
        <w:rPr>
          <w:position w:val="2"/>
        </w:rPr>
        <w:t>group</w:t>
      </w:r>
      <w:r>
        <w:rPr>
          <w:spacing w:val="-5"/>
          <w:position w:val="2"/>
        </w:rPr>
        <w:t xml:space="preserve"> </w:t>
      </w:r>
      <w:r>
        <w:rPr>
          <w:position w:val="2"/>
        </w:rPr>
        <w:t>was</w:t>
      </w:r>
      <w:r>
        <w:rPr>
          <w:spacing w:val="-7"/>
          <w:position w:val="2"/>
        </w:rPr>
        <w:t xml:space="preserve"> </w:t>
      </w:r>
      <w:r>
        <w:rPr>
          <w:position w:val="2"/>
        </w:rPr>
        <w:t>not</w:t>
      </w:r>
      <w:r>
        <w:rPr>
          <w:spacing w:val="-4"/>
          <w:position w:val="2"/>
        </w:rPr>
        <w:t xml:space="preserve"> </w:t>
      </w:r>
      <w:r>
        <w:rPr>
          <w:position w:val="2"/>
        </w:rPr>
        <w:t>matched</w:t>
      </w:r>
      <w:r>
        <w:rPr>
          <w:spacing w:val="-11"/>
          <w:position w:val="2"/>
        </w:rPr>
        <w:t xml:space="preserve"> </w:t>
      </w:r>
      <w:r>
        <w:rPr>
          <w:position w:val="2"/>
        </w:rPr>
        <w:t>on</w:t>
      </w:r>
      <w:r>
        <w:rPr>
          <w:spacing w:val="-10"/>
          <w:position w:val="2"/>
        </w:rPr>
        <w:t xml:space="preserve"> </w:t>
      </w:r>
      <w:r>
        <w:rPr>
          <w:position w:val="2"/>
        </w:rPr>
        <w:t>nonverbal</w:t>
      </w:r>
      <w:r>
        <w:rPr>
          <w:spacing w:val="-9"/>
          <w:position w:val="2"/>
        </w:rPr>
        <w:t xml:space="preserve"> </w:t>
      </w:r>
      <w:r>
        <w:rPr>
          <w:position w:val="2"/>
        </w:rPr>
        <w:t>IQ or chronological age. Although the authors stated that the NT</w:t>
      </w:r>
      <w:r>
        <w:rPr>
          <w:position w:val="2"/>
          <w:vertAlign w:val="subscript"/>
        </w:rPr>
        <w:t>MA</w:t>
      </w:r>
      <w:r>
        <w:rPr>
          <w:position w:val="2"/>
        </w:rPr>
        <w:t xml:space="preserve"> group was matched with the </w:t>
      </w:r>
      <w:r>
        <w:t xml:space="preserve">ASD group for nonverbal IQ this was not accurate. Rather, the groups were matched for </w:t>
      </w:r>
      <w:r>
        <w:rPr>
          <w:i/>
        </w:rPr>
        <w:t xml:space="preserve">raw </w:t>
      </w:r>
      <w:r>
        <w:t>scores</w:t>
      </w:r>
      <w:r>
        <w:rPr>
          <w:spacing w:val="-14"/>
        </w:rPr>
        <w:t xml:space="preserve"> </w:t>
      </w:r>
      <w:r>
        <w:t>on</w:t>
      </w:r>
      <w:r>
        <w:rPr>
          <w:spacing w:val="-11"/>
        </w:rPr>
        <w:t xml:space="preserve"> </w:t>
      </w:r>
      <w:r>
        <w:t>the</w:t>
      </w:r>
      <w:r>
        <w:rPr>
          <w:spacing w:val="-15"/>
        </w:rPr>
        <w:t xml:space="preserve"> </w:t>
      </w:r>
      <w:r>
        <w:t>Combined</w:t>
      </w:r>
      <w:r>
        <w:rPr>
          <w:spacing w:val="-15"/>
        </w:rPr>
        <w:t xml:space="preserve"> </w:t>
      </w:r>
      <w:r>
        <w:t>Raven’s</w:t>
      </w:r>
      <w:r>
        <w:rPr>
          <w:spacing w:val="-13"/>
        </w:rPr>
        <w:t xml:space="preserve"> </w:t>
      </w:r>
      <w:r>
        <w:t>Matrices</w:t>
      </w:r>
      <w:r>
        <w:rPr>
          <w:spacing w:val="-13"/>
        </w:rPr>
        <w:t xml:space="preserve"> </w:t>
      </w:r>
      <w:r>
        <w:t>test</w:t>
      </w:r>
      <w:r>
        <w:rPr>
          <w:spacing w:val="-11"/>
        </w:rPr>
        <w:t xml:space="preserve"> </w:t>
      </w:r>
      <w:r>
        <w:rPr>
          <w:spacing w:val="-3"/>
        </w:rPr>
        <w:t>of</w:t>
      </w:r>
      <w:r>
        <w:rPr>
          <w:spacing w:val="-14"/>
        </w:rPr>
        <w:t xml:space="preserve"> </w:t>
      </w:r>
      <w:r>
        <w:t>nonverbal</w:t>
      </w:r>
      <w:r>
        <w:rPr>
          <w:spacing w:val="-10"/>
        </w:rPr>
        <w:t xml:space="preserve"> </w:t>
      </w:r>
      <w:r>
        <w:t>ability,</w:t>
      </w:r>
      <w:r>
        <w:rPr>
          <w:spacing w:val="-13"/>
        </w:rPr>
        <w:t xml:space="preserve"> </w:t>
      </w:r>
      <w:r>
        <w:t>but</w:t>
      </w:r>
      <w:r>
        <w:rPr>
          <w:spacing w:val="-15"/>
        </w:rPr>
        <w:t xml:space="preserve"> </w:t>
      </w:r>
      <w:r>
        <w:t>not</w:t>
      </w:r>
      <w:r>
        <w:rPr>
          <w:spacing w:val="-15"/>
        </w:rPr>
        <w:t xml:space="preserve"> </w:t>
      </w:r>
      <w:r>
        <w:t>for</w:t>
      </w:r>
      <w:r>
        <w:rPr>
          <w:spacing w:val="-13"/>
        </w:rPr>
        <w:t xml:space="preserve"> </w:t>
      </w:r>
      <w:r>
        <w:t>the</w:t>
      </w:r>
      <w:r>
        <w:rPr>
          <w:spacing w:val="-16"/>
        </w:rPr>
        <w:t xml:space="preserve"> </w:t>
      </w:r>
      <w:proofErr w:type="spellStart"/>
      <w:r>
        <w:rPr>
          <w:i/>
        </w:rPr>
        <w:t>standardised</w:t>
      </w:r>
      <w:proofErr w:type="spellEnd"/>
      <w:r>
        <w:rPr>
          <w:i/>
        </w:rPr>
        <w:t xml:space="preserve"> </w:t>
      </w:r>
      <w:r>
        <w:t xml:space="preserve">scores (i.e., not for nonverbal IQ). Crucially, the reported </w:t>
      </w:r>
      <w:proofErr w:type="spellStart"/>
      <w:r>
        <w:t>standardised</w:t>
      </w:r>
      <w:proofErr w:type="spellEnd"/>
      <w:r>
        <w:t xml:space="preserve"> score among ASD participants</w:t>
      </w:r>
      <w:r>
        <w:rPr>
          <w:spacing w:val="-6"/>
        </w:rPr>
        <w:t xml:space="preserve"> </w:t>
      </w:r>
      <w:r>
        <w:t>was</w:t>
      </w:r>
      <w:r>
        <w:rPr>
          <w:spacing w:val="-6"/>
        </w:rPr>
        <w:t xml:space="preserve"> </w:t>
      </w:r>
      <w:r>
        <w:t>an</w:t>
      </w:r>
      <w:r>
        <w:rPr>
          <w:spacing w:val="-3"/>
        </w:rPr>
        <w:t xml:space="preserve"> </w:t>
      </w:r>
      <w:r>
        <w:t>average</w:t>
      </w:r>
      <w:r>
        <w:rPr>
          <w:spacing w:val="-5"/>
        </w:rPr>
        <w:t xml:space="preserve"> </w:t>
      </w:r>
      <w:r>
        <w:t>of</w:t>
      </w:r>
      <w:r>
        <w:rPr>
          <w:spacing w:val="-2"/>
        </w:rPr>
        <w:t xml:space="preserve"> </w:t>
      </w:r>
      <w:r>
        <w:t>11</w:t>
      </w:r>
      <w:r>
        <w:rPr>
          <w:spacing w:val="-3"/>
        </w:rPr>
        <w:t xml:space="preserve"> </w:t>
      </w:r>
      <w:r>
        <w:t>or</w:t>
      </w:r>
      <w:r>
        <w:rPr>
          <w:spacing w:val="-2"/>
        </w:rPr>
        <w:t xml:space="preserve"> </w:t>
      </w:r>
      <w:r>
        <w:t>12</w:t>
      </w:r>
      <w:r>
        <w:rPr>
          <w:spacing w:val="-4"/>
        </w:rPr>
        <w:t xml:space="preserve"> </w:t>
      </w:r>
      <w:r>
        <w:t>points</w:t>
      </w:r>
      <w:r>
        <w:rPr>
          <w:spacing w:val="-5"/>
        </w:rPr>
        <w:t xml:space="preserve"> </w:t>
      </w:r>
      <w:r>
        <w:t>below</w:t>
      </w:r>
      <w:r>
        <w:rPr>
          <w:spacing w:val="-4"/>
        </w:rPr>
        <w:t xml:space="preserve"> </w:t>
      </w:r>
      <w:r>
        <w:t>that</w:t>
      </w:r>
      <w:r>
        <w:rPr>
          <w:spacing w:val="-2"/>
        </w:rPr>
        <w:t xml:space="preserve"> </w:t>
      </w:r>
      <w:r>
        <w:t>of</w:t>
      </w:r>
      <w:r>
        <w:rPr>
          <w:spacing w:val="-2"/>
        </w:rPr>
        <w:t xml:space="preserve"> </w:t>
      </w:r>
      <w:r>
        <w:t>the</w:t>
      </w:r>
      <w:r>
        <w:rPr>
          <w:spacing w:val="-5"/>
        </w:rPr>
        <w:t xml:space="preserve"> </w:t>
      </w:r>
      <w:r>
        <w:t>comparison</w:t>
      </w:r>
      <w:r>
        <w:rPr>
          <w:spacing w:val="-3"/>
        </w:rPr>
        <w:t xml:space="preserve"> </w:t>
      </w:r>
      <w:r>
        <w:t>groups</w:t>
      </w:r>
      <w:r>
        <w:rPr>
          <w:spacing w:val="-6"/>
        </w:rPr>
        <w:t xml:space="preserve"> </w:t>
      </w:r>
      <w:r>
        <w:t>and</w:t>
      </w:r>
      <w:r>
        <w:rPr>
          <w:spacing w:val="-4"/>
        </w:rPr>
        <w:t xml:space="preserve"> </w:t>
      </w:r>
      <w:r>
        <w:t>was</w:t>
      </w:r>
      <w:r>
        <w:rPr>
          <w:spacing w:val="-5"/>
        </w:rPr>
        <w:t xml:space="preserve"> </w:t>
      </w:r>
      <w:r>
        <w:t>in the “below average” range (</w:t>
      </w:r>
      <w:r>
        <w:rPr>
          <w:i/>
        </w:rPr>
        <w:t xml:space="preserve">M </w:t>
      </w:r>
      <w:r>
        <w:t xml:space="preserve">= 79.17, </w:t>
      </w:r>
      <w:r>
        <w:rPr>
          <w:i/>
        </w:rPr>
        <w:t xml:space="preserve">SD </w:t>
      </w:r>
      <w:r>
        <w:t>= 21.83). In general, it is not clear why Yi et al. adopted this matching strategy. Ideally, case and control groups are matched for age and IQ, as other studies have shown is possible when investigating PM in ASD (see Williams et al., 2014).</w:t>
      </w:r>
    </w:p>
    <w:p w14:paraId="64DF05DA" w14:textId="77777777" w:rsidR="00C75312" w:rsidRDefault="00BB293A">
      <w:pPr>
        <w:pStyle w:val="BodyText"/>
        <w:spacing w:before="113" w:line="480" w:lineRule="auto"/>
        <w:ind w:left="100" w:right="109" w:firstLine="720"/>
        <w:jc w:val="both"/>
      </w:pPr>
      <w:r>
        <w:t xml:space="preserve">The second such study also examined solely event-based PM in a similar age group. </w:t>
      </w:r>
      <w:proofErr w:type="spellStart"/>
      <w:r>
        <w:t>Brandimonte</w:t>
      </w:r>
      <w:proofErr w:type="spellEnd"/>
      <w:r>
        <w:t>,</w:t>
      </w:r>
      <w:r>
        <w:rPr>
          <w:spacing w:val="-4"/>
        </w:rPr>
        <w:t xml:space="preserve"> </w:t>
      </w:r>
      <w:r>
        <w:t>Filippello,</w:t>
      </w:r>
      <w:r>
        <w:rPr>
          <w:spacing w:val="-4"/>
        </w:rPr>
        <w:t xml:space="preserve"> </w:t>
      </w:r>
      <w:proofErr w:type="spellStart"/>
      <w:r>
        <w:t>Coluccia</w:t>
      </w:r>
      <w:proofErr w:type="spellEnd"/>
      <w:r>
        <w:t>,</w:t>
      </w:r>
      <w:r>
        <w:rPr>
          <w:spacing w:val="-4"/>
        </w:rPr>
        <w:t xml:space="preserve"> </w:t>
      </w:r>
      <w:proofErr w:type="spellStart"/>
      <w:r>
        <w:t>Altgassen</w:t>
      </w:r>
      <w:proofErr w:type="spellEnd"/>
      <w:r>
        <w:t>,</w:t>
      </w:r>
      <w:r>
        <w:rPr>
          <w:spacing w:val="-4"/>
        </w:rPr>
        <w:t xml:space="preserve"> </w:t>
      </w:r>
      <w:r>
        <w:t>and</w:t>
      </w:r>
      <w:r>
        <w:rPr>
          <w:spacing w:val="-7"/>
        </w:rPr>
        <w:t xml:space="preserve"> </w:t>
      </w:r>
      <w:proofErr w:type="spellStart"/>
      <w:r>
        <w:t>Kliegel</w:t>
      </w:r>
      <w:proofErr w:type="spellEnd"/>
      <w:r>
        <w:rPr>
          <w:spacing w:val="-6"/>
        </w:rPr>
        <w:t xml:space="preserve"> </w:t>
      </w:r>
      <w:r>
        <w:t>(2011)</w:t>
      </w:r>
      <w:r>
        <w:rPr>
          <w:spacing w:val="-5"/>
        </w:rPr>
        <w:t xml:space="preserve"> </w:t>
      </w:r>
      <w:r>
        <w:t>studied</w:t>
      </w:r>
      <w:r>
        <w:rPr>
          <w:spacing w:val="-7"/>
        </w:rPr>
        <w:t xml:space="preserve"> </w:t>
      </w:r>
      <w:r>
        <w:t>event-based</w:t>
      </w:r>
      <w:r>
        <w:rPr>
          <w:spacing w:val="-7"/>
        </w:rPr>
        <w:t xml:space="preserve"> </w:t>
      </w:r>
      <w:r>
        <w:rPr>
          <w:spacing w:val="2"/>
        </w:rPr>
        <w:t>PM</w:t>
      </w:r>
      <w:r>
        <w:rPr>
          <w:spacing w:val="-8"/>
        </w:rPr>
        <w:t xml:space="preserve"> </w:t>
      </w:r>
      <w:r>
        <w:t>and response</w:t>
      </w:r>
      <w:r>
        <w:rPr>
          <w:spacing w:val="-2"/>
        </w:rPr>
        <w:t xml:space="preserve"> </w:t>
      </w:r>
      <w:r>
        <w:t>inhibition</w:t>
      </w:r>
      <w:r>
        <w:rPr>
          <w:spacing w:val="-1"/>
        </w:rPr>
        <w:t xml:space="preserve"> </w:t>
      </w:r>
      <w:r>
        <w:t>among</w:t>
      </w:r>
      <w:r>
        <w:rPr>
          <w:spacing w:val="-5"/>
        </w:rPr>
        <w:t xml:space="preserve"> </w:t>
      </w:r>
      <w:r>
        <w:t>30</w:t>
      </w:r>
      <w:r>
        <w:rPr>
          <w:spacing w:val="-5"/>
        </w:rPr>
        <w:t xml:space="preserve"> </w:t>
      </w:r>
      <w:r>
        <w:t>primary</w:t>
      </w:r>
      <w:r>
        <w:rPr>
          <w:spacing w:val="-6"/>
        </w:rPr>
        <w:t xml:space="preserve"> </w:t>
      </w:r>
      <w:r>
        <w:t>school-aged</w:t>
      </w:r>
      <w:r>
        <w:rPr>
          <w:spacing w:val="4"/>
        </w:rPr>
        <w:t xml:space="preserve"> </w:t>
      </w:r>
      <w:r>
        <w:t>children</w:t>
      </w:r>
      <w:r>
        <w:rPr>
          <w:spacing w:val="-5"/>
        </w:rPr>
        <w:t xml:space="preserve"> </w:t>
      </w:r>
      <w:r>
        <w:t>with</w:t>
      </w:r>
      <w:r>
        <w:rPr>
          <w:spacing w:val="-5"/>
        </w:rPr>
        <w:t xml:space="preserve"> </w:t>
      </w:r>
      <w:r>
        <w:t>ASD,</w:t>
      </w:r>
      <w:r>
        <w:rPr>
          <w:spacing w:val="-3"/>
        </w:rPr>
        <w:t xml:space="preserve"> </w:t>
      </w:r>
      <w:r>
        <w:t>as</w:t>
      </w:r>
      <w:r>
        <w:rPr>
          <w:spacing w:val="-7"/>
        </w:rPr>
        <w:t xml:space="preserve"> </w:t>
      </w:r>
      <w:r>
        <w:t>well</w:t>
      </w:r>
      <w:r>
        <w:rPr>
          <w:spacing w:val="-1"/>
        </w:rPr>
        <w:t xml:space="preserve"> </w:t>
      </w:r>
      <w:r>
        <w:t>as</w:t>
      </w:r>
      <w:r>
        <w:rPr>
          <w:spacing w:val="-7"/>
        </w:rPr>
        <w:t xml:space="preserve"> </w:t>
      </w:r>
      <w:r>
        <w:t>30</w:t>
      </w:r>
      <w:r>
        <w:rPr>
          <w:spacing w:val="-6"/>
        </w:rPr>
        <w:t xml:space="preserve"> </w:t>
      </w:r>
      <w:r>
        <w:t>age-,</w:t>
      </w:r>
      <w:r>
        <w:rPr>
          <w:spacing w:val="2"/>
        </w:rPr>
        <w:t xml:space="preserve"> </w:t>
      </w:r>
      <w:r>
        <w:t xml:space="preserve">and full-scale IQ-matched NT comparison participants. All participants completed a </w:t>
      </w:r>
      <w:proofErr w:type="spellStart"/>
      <w:r>
        <w:t>computerised</w:t>
      </w:r>
      <w:proofErr w:type="spellEnd"/>
      <w:r>
        <w:t xml:space="preserve"> ongoing</w:t>
      </w:r>
      <w:r>
        <w:rPr>
          <w:spacing w:val="-11"/>
        </w:rPr>
        <w:t xml:space="preserve"> </w:t>
      </w:r>
      <w:r>
        <w:t>task</w:t>
      </w:r>
      <w:r>
        <w:rPr>
          <w:spacing w:val="-10"/>
        </w:rPr>
        <w:t xml:space="preserve"> </w:t>
      </w:r>
      <w:r>
        <w:t>that</w:t>
      </w:r>
      <w:r>
        <w:rPr>
          <w:spacing w:val="-9"/>
        </w:rPr>
        <w:t xml:space="preserve"> </w:t>
      </w:r>
      <w:r>
        <w:t>involved</w:t>
      </w:r>
      <w:r>
        <w:rPr>
          <w:spacing w:val="-11"/>
        </w:rPr>
        <w:t xml:space="preserve"> </w:t>
      </w:r>
      <w:r>
        <w:t>sorting</w:t>
      </w:r>
      <w:r>
        <w:rPr>
          <w:spacing w:val="-10"/>
        </w:rPr>
        <w:t xml:space="preserve"> </w:t>
      </w:r>
      <w:r>
        <w:t>pictorial</w:t>
      </w:r>
      <w:r>
        <w:rPr>
          <w:spacing w:val="-9"/>
        </w:rPr>
        <w:t xml:space="preserve"> </w:t>
      </w:r>
      <w:r>
        <w:t>items</w:t>
      </w:r>
      <w:r>
        <w:rPr>
          <w:spacing w:val="-12"/>
        </w:rPr>
        <w:t xml:space="preserve"> </w:t>
      </w:r>
      <w:r>
        <w:t>into</w:t>
      </w:r>
      <w:r>
        <w:rPr>
          <w:spacing w:val="-11"/>
        </w:rPr>
        <w:t xml:space="preserve"> </w:t>
      </w:r>
      <w:r>
        <w:t>one</w:t>
      </w:r>
      <w:r>
        <w:rPr>
          <w:spacing w:val="-11"/>
        </w:rPr>
        <w:t xml:space="preserve"> </w:t>
      </w:r>
      <w:r>
        <w:t>of</w:t>
      </w:r>
      <w:r>
        <w:rPr>
          <w:spacing w:val="-8"/>
        </w:rPr>
        <w:t xml:space="preserve"> </w:t>
      </w:r>
      <w:r>
        <w:t>two</w:t>
      </w:r>
      <w:r>
        <w:rPr>
          <w:spacing w:val="-10"/>
        </w:rPr>
        <w:t xml:space="preserve"> </w:t>
      </w:r>
      <w:r>
        <w:t>categories</w:t>
      </w:r>
      <w:r>
        <w:rPr>
          <w:spacing w:val="-13"/>
        </w:rPr>
        <w:t xml:space="preserve"> </w:t>
      </w:r>
      <w:r>
        <w:t>(food</w:t>
      </w:r>
      <w:r>
        <w:rPr>
          <w:spacing w:val="-10"/>
        </w:rPr>
        <w:t xml:space="preserve"> </w:t>
      </w:r>
      <w:r>
        <w:t>and</w:t>
      </w:r>
      <w:r>
        <w:rPr>
          <w:spacing w:val="-10"/>
        </w:rPr>
        <w:t xml:space="preserve"> </w:t>
      </w:r>
      <w:r>
        <w:t>animals) via</w:t>
      </w:r>
      <w:r>
        <w:rPr>
          <w:spacing w:val="4"/>
        </w:rPr>
        <w:t xml:space="preserve"> </w:t>
      </w:r>
      <w:r>
        <w:t>key</w:t>
      </w:r>
      <w:r>
        <w:rPr>
          <w:spacing w:val="5"/>
        </w:rPr>
        <w:t xml:space="preserve"> </w:t>
      </w:r>
      <w:r>
        <w:t>press.</w:t>
      </w:r>
      <w:r>
        <w:rPr>
          <w:spacing w:val="13"/>
        </w:rPr>
        <w:t xml:space="preserve"> </w:t>
      </w:r>
      <w:r>
        <w:t>The</w:t>
      </w:r>
      <w:r>
        <w:rPr>
          <w:spacing w:val="5"/>
        </w:rPr>
        <w:t xml:space="preserve"> </w:t>
      </w:r>
      <w:r>
        <w:t>participants</w:t>
      </w:r>
      <w:r>
        <w:rPr>
          <w:spacing w:val="3"/>
        </w:rPr>
        <w:t xml:space="preserve"> </w:t>
      </w:r>
      <w:r>
        <w:t>of</w:t>
      </w:r>
      <w:r>
        <w:rPr>
          <w:spacing w:val="6"/>
        </w:rPr>
        <w:t xml:space="preserve"> </w:t>
      </w:r>
      <w:r>
        <w:t>each</w:t>
      </w:r>
      <w:r>
        <w:rPr>
          <w:spacing w:val="6"/>
        </w:rPr>
        <w:t xml:space="preserve"> </w:t>
      </w:r>
      <w:r>
        <w:t>experimental</w:t>
      </w:r>
      <w:r>
        <w:rPr>
          <w:spacing w:val="5"/>
        </w:rPr>
        <w:t xml:space="preserve"> </w:t>
      </w:r>
      <w:r>
        <w:t>group</w:t>
      </w:r>
      <w:r>
        <w:rPr>
          <w:spacing w:val="6"/>
        </w:rPr>
        <w:t xml:space="preserve"> </w:t>
      </w:r>
      <w:r>
        <w:t>(</w:t>
      </w:r>
      <w:r>
        <w:rPr>
          <w:i/>
        </w:rPr>
        <w:t>n</w:t>
      </w:r>
      <w:r>
        <w:rPr>
          <w:i/>
          <w:spacing w:val="5"/>
        </w:rPr>
        <w:t xml:space="preserve"> </w:t>
      </w:r>
      <w:r>
        <w:t>=</w:t>
      </w:r>
      <w:r>
        <w:rPr>
          <w:spacing w:val="5"/>
        </w:rPr>
        <w:t xml:space="preserve"> </w:t>
      </w:r>
      <w:r>
        <w:t>30</w:t>
      </w:r>
      <w:r>
        <w:rPr>
          <w:spacing w:val="5"/>
        </w:rPr>
        <w:t xml:space="preserve"> </w:t>
      </w:r>
      <w:r>
        <w:t>per</w:t>
      </w:r>
      <w:r>
        <w:rPr>
          <w:spacing w:val="6"/>
        </w:rPr>
        <w:t xml:space="preserve"> </w:t>
      </w:r>
      <w:r>
        <w:t>group)</w:t>
      </w:r>
      <w:r>
        <w:rPr>
          <w:spacing w:val="7"/>
        </w:rPr>
        <w:t xml:space="preserve"> </w:t>
      </w:r>
      <w:r>
        <w:t>were</w:t>
      </w:r>
      <w:r>
        <w:rPr>
          <w:spacing w:val="4"/>
        </w:rPr>
        <w:t xml:space="preserve"> </w:t>
      </w:r>
      <w:r>
        <w:t>assigned</w:t>
      </w:r>
    </w:p>
    <w:p w14:paraId="5AF063E5" w14:textId="77777777" w:rsidR="00C75312" w:rsidRDefault="00C75312">
      <w:pPr>
        <w:spacing w:line="480" w:lineRule="auto"/>
        <w:jc w:val="both"/>
        <w:sectPr w:rsidR="00C75312">
          <w:pgSz w:w="11900" w:h="16840"/>
          <w:pgMar w:top="1360" w:right="1320" w:bottom="280" w:left="1340" w:header="715" w:footer="0" w:gutter="0"/>
          <w:cols w:space="720"/>
        </w:sectPr>
      </w:pPr>
    </w:p>
    <w:p w14:paraId="53353104" w14:textId="77777777" w:rsidR="00C75312" w:rsidRDefault="00BB293A">
      <w:pPr>
        <w:pStyle w:val="BodyText"/>
        <w:spacing w:before="80" w:line="480" w:lineRule="auto"/>
        <w:ind w:left="100" w:right="104"/>
        <w:jc w:val="both"/>
      </w:pPr>
      <w:r>
        <w:lastRenderedPageBreak/>
        <w:pict w14:anchorId="20FCBABE">
          <v:shape id="_x0000_s2798" type="#_x0000_t202" style="position:absolute;left:0;text-align:left;margin-left:117.85pt;margin-top:479.05pt;width:5.3pt;height:9.85pt;z-index:-260632576;mso-position-horizontal-relative:page" filled="f" stroked="f">
            <v:textbox inset="0,0,0,0">
              <w:txbxContent>
                <w:p w14:paraId="442EA641"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 xml:space="preserve">to </w:t>
      </w:r>
      <w:r>
        <w:rPr>
          <w:i/>
        </w:rPr>
        <w:t xml:space="preserve">one </w:t>
      </w:r>
      <w:r>
        <w:t xml:space="preserve">of three between-subject conditions of the ongoing task. In a “PM condition”, </w:t>
      </w:r>
      <w:r>
        <w:rPr>
          <w:i/>
        </w:rPr>
        <w:t xml:space="preserve">n </w:t>
      </w:r>
      <w:r>
        <w:t xml:space="preserve">= 10 ASD and </w:t>
      </w:r>
      <w:r>
        <w:rPr>
          <w:i/>
        </w:rPr>
        <w:t xml:space="preserve">n </w:t>
      </w:r>
      <w:r>
        <w:t xml:space="preserve">= 10 NT participants completed the ongoing task as described, but had the additional requirement to press a particular keyboard key whenever pre-specified images appeared. In other words, participants had to encode and retain a PM instruction while completing the ongoing </w:t>
      </w:r>
      <w:proofErr w:type="spellStart"/>
      <w:r>
        <w:t>categorisation</w:t>
      </w:r>
      <w:proofErr w:type="spellEnd"/>
      <w:r>
        <w:t xml:space="preserve"> task (hence, this was a standard PM task). In a “response</w:t>
      </w:r>
      <w:r>
        <w:rPr>
          <w:spacing w:val="-11"/>
        </w:rPr>
        <w:t xml:space="preserve"> </w:t>
      </w:r>
      <w:r>
        <w:t>inhibition”</w:t>
      </w:r>
      <w:r>
        <w:rPr>
          <w:spacing w:val="-10"/>
        </w:rPr>
        <w:t xml:space="preserve"> </w:t>
      </w:r>
      <w:r>
        <w:t>condition,</w:t>
      </w:r>
      <w:r>
        <w:rPr>
          <w:spacing w:val="-11"/>
        </w:rPr>
        <w:t xml:space="preserve"> </w:t>
      </w:r>
      <w:r>
        <w:rPr>
          <w:i/>
        </w:rPr>
        <w:t>n</w:t>
      </w:r>
      <w:r>
        <w:rPr>
          <w:i/>
          <w:spacing w:val="-14"/>
        </w:rPr>
        <w:t xml:space="preserve"> </w:t>
      </w:r>
      <w:r>
        <w:t>=</w:t>
      </w:r>
      <w:r>
        <w:rPr>
          <w:spacing w:val="-14"/>
        </w:rPr>
        <w:t xml:space="preserve"> </w:t>
      </w:r>
      <w:r>
        <w:t>10</w:t>
      </w:r>
      <w:r>
        <w:rPr>
          <w:spacing w:val="-9"/>
        </w:rPr>
        <w:t xml:space="preserve"> </w:t>
      </w:r>
      <w:r>
        <w:t>ASD</w:t>
      </w:r>
      <w:r>
        <w:rPr>
          <w:spacing w:val="-14"/>
        </w:rPr>
        <w:t xml:space="preserve"> </w:t>
      </w:r>
      <w:r>
        <w:t>and</w:t>
      </w:r>
      <w:r>
        <w:rPr>
          <w:spacing w:val="-14"/>
        </w:rPr>
        <w:t xml:space="preserve"> </w:t>
      </w:r>
      <w:r>
        <w:rPr>
          <w:i/>
        </w:rPr>
        <w:t>n</w:t>
      </w:r>
      <w:r>
        <w:rPr>
          <w:i/>
          <w:spacing w:val="-13"/>
        </w:rPr>
        <w:t xml:space="preserve"> </w:t>
      </w:r>
      <w:r>
        <w:t>=</w:t>
      </w:r>
      <w:r>
        <w:rPr>
          <w:spacing w:val="-10"/>
        </w:rPr>
        <w:t xml:space="preserve"> </w:t>
      </w:r>
      <w:r>
        <w:t>10</w:t>
      </w:r>
      <w:r>
        <w:rPr>
          <w:spacing w:val="-10"/>
        </w:rPr>
        <w:t xml:space="preserve"> </w:t>
      </w:r>
      <w:r>
        <w:rPr>
          <w:spacing w:val="-3"/>
        </w:rPr>
        <w:t>NT</w:t>
      </w:r>
      <w:r>
        <w:rPr>
          <w:spacing w:val="-6"/>
        </w:rPr>
        <w:t xml:space="preserve"> </w:t>
      </w:r>
      <w:r>
        <w:t>participants</w:t>
      </w:r>
      <w:r>
        <w:rPr>
          <w:spacing w:val="-11"/>
        </w:rPr>
        <w:t xml:space="preserve"> </w:t>
      </w:r>
      <w:r>
        <w:t>completed</w:t>
      </w:r>
      <w:r>
        <w:rPr>
          <w:spacing w:val="-14"/>
        </w:rPr>
        <w:t xml:space="preserve"> </w:t>
      </w:r>
      <w:r>
        <w:t>t</w:t>
      </w:r>
      <w:r>
        <w:t>he</w:t>
      </w:r>
      <w:r>
        <w:rPr>
          <w:spacing w:val="-10"/>
        </w:rPr>
        <w:t xml:space="preserve"> </w:t>
      </w:r>
      <w:r>
        <w:t xml:space="preserve">ongoing task, but had the additional requirement to </w:t>
      </w:r>
      <w:r>
        <w:rPr>
          <w:i/>
        </w:rPr>
        <w:t xml:space="preserve">not respond </w:t>
      </w:r>
      <w:r>
        <w:t xml:space="preserve">(i.e., not make a </w:t>
      </w:r>
      <w:proofErr w:type="spellStart"/>
      <w:r>
        <w:t>categorisation</w:t>
      </w:r>
      <w:proofErr w:type="spellEnd"/>
      <w:r>
        <w:t xml:space="preserve"> judgement) when pre-specified images appeared. The requirements </w:t>
      </w:r>
      <w:r>
        <w:rPr>
          <w:spacing w:val="-3"/>
        </w:rPr>
        <w:t xml:space="preserve">of </w:t>
      </w:r>
      <w:r>
        <w:t xml:space="preserve">this condition resemble a classic “Go/No-Go” task (Verbruggen &amp; Logan, 2008). Finally, in an “ongoing-only” condition, </w:t>
      </w:r>
      <w:r>
        <w:rPr>
          <w:i/>
        </w:rPr>
        <w:t xml:space="preserve">n </w:t>
      </w:r>
      <w:r>
        <w:t xml:space="preserve">= 10 ASD and </w:t>
      </w:r>
      <w:r>
        <w:rPr>
          <w:i/>
        </w:rPr>
        <w:t xml:space="preserve">n </w:t>
      </w:r>
      <w:r>
        <w:t>= 10 NT participants completed the ongoing task as described, but with no additional secondary requirements. This ongoing-only condition could be considered a control condition to establish how able participan</w:t>
      </w:r>
      <w:r>
        <w:t xml:space="preserve">ts with ASD are to perform the ongoing task independent of their PM or response inhibition skills. </w:t>
      </w:r>
      <w:proofErr w:type="spellStart"/>
      <w:r>
        <w:t>Brandimonte</w:t>
      </w:r>
      <w:proofErr w:type="spellEnd"/>
      <w:r>
        <w:t xml:space="preserve"> et al. (2011) performed two ANOVAs on their data. First, a 2 (Group: ASD/NT) × 3 (Condition: ongoing/PM/response inhibition condition) was conducted with ongoing task accuracy (percentage</w:t>
      </w:r>
      <w:r>
        <w:rPr>
          <w:spacing w:val="-12"/>
        </w:rPr>
        <w:t xml:space="preserve"> </w:t>
      </w:r>
      <w:r>
        <w:t>of</w:t>
      </w:r>
      <w:r>
        <w:rPr>
          <w:spacing w:val="-13"/>
        </w:rPr>
        <w:t xml:space="preserve"> </w:t>
      </w:r>
      <w:r>
        <w:t>correctly</w:t>
      </w:r>
      <w:r>
        <w:rPr>
          <w:spacing w:val="-14"/>
        </w:rPr>
        <w:t xml:space="preserve"> </w:t>
      </w:r>
      <w:proofErr w:type="spellStart"/>
      <w:r>
        <w:t>categorised</w:t>
      </w:r>
      <w:proofErr w:type="spellEnd"/>
      <w:r>
        <w:rPr>
          <w:spacing w:val="-10"/>
        </w:rPr>
        <w:t xml:space="preserve"> </w:t>
      </w:r>
      <w:r>
        <w:t>images)</w:t>
      </w:r>
      <w:r>
        <w:rPr>
          <w:spacing w:val="-13"/>
        </w:rPr>
        <w:t xml:space="preserve"> </w:t>
      </w:r>
      <w:r>
        <w:t>as</w:t>
      </w:r>
      <w:r>
        <w:rPr>
          <w:spacing w:val="-12"/>
        </w:rPr>
        <w:t xml:space="preserve"> </w:t>
      </w:r>
      <w:r>
        <w:t>the</w:t>
      </w:r>
      <w:r>
        <w:rPr>
          <w:spacing w:val="-20"/>
        </w:rPr>
        <w:t xml:space="preserve"> </w:t>
      </w:r>
      <w:r>
        <w:t>dependent</w:t>
      </w:r>
      <w:r>
        <w:rPr>
          <w:spacing w:val="-9"/>
        </w:rPr>
        <w:t xml:space="preserve"> </w:t>
      </w:r>
      <w:r>
        <w:t>variable.</w:t>
      </w:r>
      <w:r>
        <w:rPr>
          <w:spacing w:val="33"/>
        </w:rPr>
        <w:t xml:space="preserve"> </w:t>
      </w:r>
      <w:r>
        <w:t>There</w:t>
      </w:r>
      <w:r>
        <w:rPr>
          <w:spacing w:val="-15"/>
        </w:rPr>
        <w:t xml:space="preserve"> </w:t>
      </w:r>
      <w:r>
        <w:t>was</w:t>
      </w:r>
      <w:r>
        <w:rPr>
          <w:spacing w:val="-12"/>
        </w:rPr>
        <w:t xml:space="preserve"> </w:t>
      </w:r>
      <w:r>
        <w:t>a</w:t>
      </w:r>
      <w:r>
        <w:rPr>
          <w:spacing w:val="-11"/>
        </w:rPr>
        <w:t xml:space="preserve"> </w:t>
      </w:r>
      <w:r>
        <w:t xml:space="preserve">significant main effect </w:t>
      </w:r>
      <w:r>
        <w:rPr>
          <w:spacing w:val="-3"/>
        </w:rPr>
        <w:t xml:space="preserve">of </w:t>
      </w:r>
      <w:r>
        <w:t>group, indicating that the comparison groups performed better than the ASD groups (</w:t>
      </w:r>
      <w:r>
        <w:rPr>
          <w:rFonts w:ascii="Cambria Math" w:hAnsi="Cambria Math"/>
        </w:rPr>
        <w:t>!</w:t>
      </w:r>
      <w:r>
        <w:rPr>
          <w:rFonts w:ascii="Cambria Math" w:hAnsi="Cambria Math"/>
          <w:position w:val="9"/>
          <w:sz w:val="17"/>
        </w:rPr>
        <w:t xml:space="preserve"># </w:t>
      </w:r>
      <w:r>
        <w:t xml:space="preserve">= .07, </w:t>
      </w:r>
      <w:r>
        <w:rPr>
          <w:i/>
        </w:rPr>
        <w:t xml:space="preserve">p </w:t>
      </w:r>
      <w:r>
        <w:t xml:space="preserve">= .05) in the image </w:t>
      </w:r>
      <w:proofErr w:type="spellStart"/>
      <w:r>
        <w:t>categorisation</w:t>
      </w:r>
      <w:proofErr w:type="spellEnd"/>
      <w:r>
        <w:rPr>
          <w:spacing w:val="17"/>
        </w:rPr>
        <w:t xml:space="preserve"> </w:t>
      </w:r>
      <w:r>
        <w:t>task.</w:t>
      </w:r>
    </w:p>
    <w:p w14:paraId="3AA644B7" w14:textId="77777777" w:rsidR="00C75312" w:rsidRDefault="00BB293A">
      <w:pPr>
        <w:pStyle w:val="BodyText"/>
        <w:spacing w:before="124" w:line="472" w:lineRule="auto"/>
        <w:ind w:left="100" w:right="111" w:firstLine="720"/>
        <w:jc w:val="both"/>
      </w:pPr>
      <w:r>
        <w:pict w14:anchorId="1A94DD5F">
          <v:shape id="_x0000_s2797" type="#_x0000_t202" style="position:absolute;left:0;text-align:left;margin-left:157.45pt;margin-top:94.85pt;width:5.3pt;height:9.85pt;z-index:-260631552;mso-position-horizontal-relative:page" filled="f" stroked="f">
            <v:textbox inset="0,0,0,0">
              <w:txbxContent>
                <w:p w14:paraId="1F2ACD7B"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Second, a 2 (Group: ASD/NT) × 2 (Condition: PM/response inhibition) ANOVA was conducted</w:t>
      </w:r>
      <w:r>
        <w:rPr>
          <w:spacing w:val="-13"/>
        </w:rPr>
        <w:t xml:space="preserve"> </w:t>
      </w:r>
      <w:r>
        <w:t>using</w:t>
      </w:r>
      <w:r>
        <w:rPr>
          <w:spacing w:val="-12"/>
        </w:rPr>
        <w:t xml:space="preserve"> </w:t>
      </w:r>
      <w:r>
        <w:t>secondary</w:t>
      </w:r>
      <w:r>
        <w:rPr>
          <w:spacing w:val="-16"/>
        </w:rPr>
        <w:t xml:space="preserve"> </w:t>
      </w:r>
      <w:r>
        <w:t>task</w:t>
      </w:r>
      <w:r>
        <w:rPr>
          <w:spacing w:val="-12"/>
        </w:rPr>
        <w:t xml:space="preserve"> </w:t>
      </w:r>
      <w:r>
        <w:t>accuracy</w:t>
      </w:r>
      <w:r>
        <w:rPr>
          <w:spacing w:val="-16"/>
        </w:rPr>
        <w:t xml:space="preserve"> </w:t>
      </w:r>
      <w:r>
        <w:t>(percentage</w:t>
      </w:r>
      <w:r>
        <w:rPr>
          <w:spacing w:val="-13"/>
        </w:rPr>
        <w:t xml:space="preserve"> </w:t>
      </w:r>
      <w:r>
        <w:t>of</w:t>
      </w:r>
      <w:r>
        <w:rPr>
          <w:spacing w:val="-15"/>
        </w:rPr>
        <w:t xml:space="preserve"> </w:t>
      </w:r>
      <w:r>
        <w:t>PM</w:t>
      </w:r>
      <w:r>
        <w:rPr>
          <w:spacing w:val="-19"/>
        </w:rPr>
        <w:t xml:space="preserve"> </w:t>
      </w:r>
      <w:r>
        <w:t>successes/percentage</w:t>
      </w:r>
      <w:r>
        <w:rPr>
          <w:spacing w:val="-13"/>
        </w:rPr>
        <w:t xml:space="preserve"> </w:t>
      </w:r>
      <w:r>
        <w:t>of</w:t>
      </w:r>
      <w:r>
        <w:rPr>
          <w:spacing w:val="-10"/>
        </w:rPr>
        <w:t xml:space="preserve"> </w:t>
      </w:r>
      <w:r>
        <w:t>responses correctly inhibited) as the dependent variable. In this ANOVA, there was a significant main effect</w:t>
      </w:r>
      <w:r>
        <w:rPr>
          <w:spacing w:val="8"/>
        </w:rPr>
        <w:t xml:space="preserve"> </w:t>
      </w:r>
      <w:r>
        <w:t>of</w:t>
      </w:r>
      <w:r>
        <w:rPr>
          <w:spacing w:val="10"/>
        </w:rPr>
        <w:t xml:space="preserve"> </w:t>
      </w:r>
      <w:r>
        <w:t>group</w:t>
      </w:r>
      <w:r>
        <w:rPr>
          <w:spacing w:val="8"/>
        </w:rPr>
        <w:t xml:space="preserve"> </w:t>
      </w:r>
      <w:r>
        <w:t>(</w:t>
      </w:r>
      <w:r>
        <w:rPr>
          <w:rFonts w:ascii="Cambria Math" w:hAnsi="Cambria Math"/>
        </w:rPr>
        <w:t>!</w:t>
      </w:r>
      <w:r>
        <w:rPr>
          <w:rFonts w:ascii="Cambria Math" w:hAnsi="Cambria Math"/>
          <w:position w:val="9"/>
          <w:sz w:val="17"/>
        </w:rPr>
        <w:t xml:space="preserve"># </w:t>
      </w:r>
      <w:r>
        <w:rPr>
          <w:rFonts w:ascii="Cambria Math" w:hAnsi="Cambria Math"/>
          <w:spacing w:val="12"/>
          <w:position w:val="9"/>
          <w:sz w:val="17"/>
        </w:rPr>
        <w:t xml:space="preserve"> </w:t>
      </w:r>
      <w:r>
        <w:t>=</w:t>
      </w:r>
      <w:r>
        <w:rPr>
          <w:spacing w:val="8"/>
        </w:rPr>
        <w:t xml:space="preserve"> </w:t>
      </w:r>
      <w:r>
        <w:t>.10,</w:t>
      </w:r>
      <w:r>
        <w:rPr>
          <w:spacing w:val="10"/>
        </w:rPr>
        <w:t xml:space="preserve"> </w:t>
      </w:r>
      <w:r>
        <w:rPr>
          <w:i/>
        </w:rPr>
        <w:t>p</w:t>
      </w:r>
      <w:r>
        <w:rPr>
          <w:i/>
          <w:spacing w:val="9"/>
        </w:rPr>
        <w:t xml:space="preserve"> </w:t>
      </w:r>
      <w:r>
        <w:t>&lt;</w:t>
      </w:r>
      <w:r>
        <w:rPr>
          <w:spacing w:val="2"/>
        </w:rPr>
        <w:t xml:space="preserve"> </w:t>
      </w:r>
      <w:r>
        <w:t>.05)</w:t>
      </w:r>
      <w:r>
        <w:rPr>
          <w:spacing w:val="6"/>
        </w:rPr>
        <w:t xml:space="preserve"> </w:t>
      </w:r>
      <w:r>
        <w:t>indicating</w:t>
      </w:r>
      <w:r>
        <w:rPr>
          <w:spacing w:val="8"/>
        </w:rPr>
        <w:t xml:space="preserve"> </w:t>
      </w:r>
      <w:r>
        <w:t>better</w:t>
      </w:r>
      <w:r>
        <w:rPr>
          <w:spacing w:val="10"/>
        </w:rPr>
        <w:t xml:space="preserve"> </w:t>
      </w:r>
      <w:r>
        <w:t>performance</w:t>
      </w:r>
      <w:r>
        <w:rPr>
          <w:spacing w:val="8"/>
        </w:rPr>
        <w:t xml:space="preserve"> </w:t>
      </w:r>
      <w:r>
        <w:t>in</w:t>
      </w:r>
      <w:r>
        <w:rPr>
          <w:spacing w:val="8"/>
        </w:rPr>
        <w:t xml:space="preserve"> </w:t>
      </w:r>
      <w:r>
        <w:t>both</w:t>
      </w:r>
      <w:r>
        <w:rPr>
          <w:spacing w:val="4"/>
        </w:rPr>
        <w:t xml:space="preserve"> </w:t>
      </w:r>
      <w:r>
        <w:t>secondary</w:t>
      </w:r>
      <w:r>
        <w:rPr>
          <w:spacing w:val="8"/>
        </w:rPr>
        <w:t xml:space="preserve"> </w:t>
      </w:r>
      <w:r>
        <w:t>tasks</w:t>
      </w:r>
      <w:r>
        <w:rPr>
          <w:spacing w:val="7"/>
        </w:rPr>
        <w:t xml:space="preserve"> </w:t>
      </w:r>
      <w:r>
        <w:t>(PM</w:t>
      </w:r>
    </w:p>
    <w:p w14:paraId="17A6E74A" w14:textId="77777777" w:rsidR="00C75312" w:rsidRDefault="00BB293A">
      <w:pPr>
        <w:pStyle w:val="BodyText"/>
        <w:spacing w:before="43"/>
        <w:ind w:left="100"/>
        <w:jc w:val="both"/>
      </w:pPr>
      <w:r>
        <w:rPr>
          <w:i/>
        </w:rPr>
        <w:t>and</w:t>
      </w:r>
      <w:r>
        <w:rPr>
          <w:i/>
          <w:spacing w:val="-6"/>
        </w:rPr>
        <w:t xml:space="preserve"> </w:t>
      </w:r>
      <w:r>
        <w:t>response</w:t>
      </w:r>
      <w:r>
        <w:rPr>
          <w:spacing w:val="-6"/>
        </w:rPr>
        <w:t xml:space="preserve"> </w:t>
      </w:r>
      <w:r>
        <w:t>inhibition)</w:t>
      </w:r>
      <w:r>
        <w:rPr>
          <w:spacing w:val="-8"/>
        </w:rPr>
        <w:t xml:space="preserve"> </w:t>
      </w:r>
      <w:r>
        <w:t>in</w:t>
      </w:r>
      <w:r>
        <w:rPr>
          <w:spacing w:val="-10"/>
        </w:rPr>
        <w:t xml:space="preserve"> </w:t>
      </w:r>
      <w:r>
        <w:t>the</w:t>
      </w:r>
      <w:r>
        <w:rPr>
          <w:spacing w:val="-7"/>
        </w:rPr>
        <w:t xml:space="preserve"> </w:t>
      </w:r>
      <w:r>
        <w:t>comparison</w:t>
      </w:r>
      <w:r>
        <w:rPr>
          <w:spacing w:val="-5"/>
        </w:rPr>
        <w:t xml:space="preserve"> </w:t>
      </w:r>
      <w:r>
        <w:t>group</w:t>
      </w:r>
      <w:r>
        <w:rPr>
          <w:spacing w:val="-10"/>
        </w:rPr>
        <w:t xml:space="preserve"> </w:t>
      </w:r>
      <w:r>
        <w:t>than</w:t>
      </w:r>
      <w:r>
        <w:rPr>
          <w:spacing w:val="-5"/>
        </w:rPr>
        <w:t xml:space="preserve"> </w:t>
      </w:r>
      <w:r>
        <w:t>in</w:t>
      </w:r>
      <w:r>
        <w:rPr>
          <w:spacing w:val="-10"/>
        </w:rPr>
        <w:t xml:space="preserve"> </w:t>
      </w:r>
      <w:r>
        <w:t>the</w:t>
      </w:r>
      <w:r>
        <w:rPr>
          <w:spacing w:val="-11"/>
        </w:rPr>
        <w:t xml:space="preserve"> </w:t>
      </w:r>
      <w:r>
        <w:t>ASD</w:t>
      </w:r>
      <w:r>
        <w:rPr>
          <w:spacing w:val="-6"/>
        </w:rPr>
        <w:t xml:space="preserve"> </w:t>
      </w:r>
      <w:r>
        <w:t>group.</w:t>
      </w:r>
      <w:r>
        <w:rPr>
          <w:spacing w:val="44"/>
        </w:rPr>
        <w:t xml:space="preserve"> </w:t>
      </w:r>
      <w:r>
        <w:t>Crucially,</w:t>
      </w:r>
      <w:r>
        <w:rPr>
          <w:spacing w:val="-7"/>
        </w:rPr>
        <w:t xml:space="preserve"> </w:t>
      </w:r>
      <w:r>
        <w:t>the</w:t>
      </w:r>
      <w:r>
        <w:rPr>
          <w:spacing w:val="-10"/>
        </w:rPr>
        <w:t xml:space="preserve"> </w:t>
      </w:r>
      <w:r>
        <w:t>Group</w:t>
      </w:r>
    </w:p>
    <w:p w14:paraId="7903CE4E" w14:textId="77777777" w:rsidR="00C75312" w:rsidRDefault="00C75312">
      <w:pPr>
        <w:pStyle w:val="BodyText"/>
      </w:pPr>
    </w:p>
    <w:p w14:paraId="220E9108" w14:textId="77777777" w:rsidR="00C75312" w:rsidRDefault="00BB293A">
      <w:pPr>
        <w:pStyle w:val="BodyText"/>
        <w:spacing w:line="460" w:lineRule="auto"/>
        <w:ind w:left="100" w:right="111"/>
        <w:jc w:val="both"/>
      </w:pPr>
      <w:r>
        <w:pict w14:anchorId="5BFD50E3">
          <v:shape id="_x0000_s2796" type="#_x0000_t202" style="position:absolute;left:0;text-align:left;margin-left:104.4pt;margin-top:33.45pt;width:5.3pt;height:9.85pt;z-index:-260630528;mso-position-horizontal-relative:page" filled="f" stroked="f">
            <v:textbox inset="0,0,0,0">
              <w:txbxContent>
                <w:p w14:paraId="1A735948"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 Condition interaction was reported as non-significant and associated with a negligible</w:t>
      </w:r>
      <w:r>
        <w:rPr>
          <w:spacing w:val="-36"/>
        </w:rPr>
        <w:t xml:space="preserve"> </w:t>
      </w:r>
      <w:r>
        <w:t>effect size (</w:t>
      </w:r>
      <w:r>
        <w:rPr>
          <w:rFonts w:ascii="Cambria Math" w:hAnsi="Cambria Math"/>
        </w:rPr>
        <w:t>!</w:t>
      </w:r>
      <w:r>
        <w:rPr>
          <w:rFonts w:ascii="Cambria Math" w:hAnsi="Cambria Math"/>
          <w:position w:val="9"/>
          <w:sz w:val="17"/>
        </w:rPr>
        <w:t xml:space="preserve">#   </w:t>
      </w:r>
      <w:r>
        <w:t xml:space="preserve">= .02, </w:t>
      </w:r>
      <w:r>
        <w:rPr>
          <w:i/>
        </w:rPr>
        <w:t>p</w:t>
      </w:r>
      <w:r>
        <w:t xml:space="preserve">-value not reported).   Despite the minimal interaction effect, </w:t>
      </w:r>
      <w:r>
        <w:rPr>
          <w:spacing w:val="18"/>
        </w:rPr>
        <w:t xml:space="preserve"> </w:t>
      </w:r>
      <w:proofErr w:type="spellStart"/>
      <w:r>
        <w:t>Brandimonte</w:t>
      </w:r>
      <w:proofErr w:type="spellEnd"/>
      <w:r>
        <w:t xml:space="preserve"> et</w:t>
      </w:r>
    </w:p>
    <w:p w14:paraId="23DE9BC7" w14:textId="77777777" w:rsidR="00C75312" w:rsidRDefault="00C75312">
      <w:pPr>
        <w:spacing w:line="460" w:lineRule="auto"/>
        <w:jc w:val="both"/>
        <w:sectPr w:rsidR="00C75312">
          <w:pgSz w:w="11900" w:h="16840"/>
          <w:pgMar w:top="1360" w:right="1320" w:bottom="280" w:left="1340" w:header="715" w:footer="0" w:gutter="0"/>
          <w:cols w:space="720"/>
        </w:sectPr>
      </w:pPr>
    </w:p>
    <w:p w14:paraId="2E0AD9CA" w14:textId="77777777" w:rsidR="00C75312" w:rsidRDefault="00BB293A">
      <w:pPr>
        <w:pStyle w:val="BodyText"/>
        <w:tabs>
          <w:tab w:val="left" w:pos="7203"/>
        </w:tabs>
        <w:spacing w:before="80"/>
        <w:ind w:left="100"/>
      </w:pPr>
      <w:r>
        <w:lastRenderedPageBreak/>
        <w:t xml:space="preserve">al. </w:t>
      </w:r>
      <w:r>
        <w:rPr>
          <w:spacing w:val="13"/>
        </w:rPr>
        <w:t xml:space="preserve"> </w:t>
      </w:r>
      <w:r>
        <w:t xml:space="preserve">(2011) </w:t>
      </w:r>
      <w:r>
        <w:rPr>
          <w:spacing w:val="13"/>
        </w:rPr>
        <w:t xml:space="preserve"> </w:t>
      </w:r>
      <w:r>
        <w:t xml:space="preserve">nonetheless </w:t>
      </w:r>
      <w:r>
        <w:rPr>
          <w:spacing w:val="15"/>
        </w:rPr>
        <w:t xml:space="preserve"> </w:t>
      </w:r>
      <w:r>
        <w:t xml:space="preserve">broke </w:t>
      </w:r>
      <w:r>
        <w:rPr>
          <w:spacing w:val="10"/>
        </w:rPr>
        <w:t xml:space="preserve"> </w:t>
      </w:r>
      <w:r>
        <w:t xml:space="preserve">it </w:t>
      </w:r>
      <w:r>
        <w:rPr>
          <w:spacing w:val="12"/>
        </w:rPr>
        <w:t xml:space="preserve"> </w:t>
      </w:r>
      <w:r>
        <w:t xml:space="preserve">down </w:t>
      </w:r>
      <w:r>
        <w:rPr>
          <w:spacing w:val="11"/>
        </w:rPr>
        <w:t xml:space="preserve"> </w:t>
      </w:r>
      <w:r>
        <w:t xml:space="preserve">using </w:t>
      </w:r>
      <w:r>
        <w:rPr>
          <w:spacing w:val="12"/>
        </w:rPr>
        <w:t xml:space="preserve"> </w:t>
      </w:r>
      <w:r>
        <w:t xml:space="preserve">planned </w:t>
      </w:r>
      <w:r>
        <w:rPr>
          <w:spacing w:val="16"/>
        </w:rPr>
        <w:t xml:space="preserve"> </w:t>
      </w:r>
      <w:r>
        <w:t>comparisons.</w:t>
      </w:r>
      <w:r>
        <w:tab/>
        <w:t xml:space="preserve">These </w:t>
      </w:r>
      <w:r>
        <w:rPr>
          <w:spacing w:val="12"/>
        </w:rPr>
        <w:t xml:space="preserve"> </w:t>
      </w:r>
      <w:r>
        <w:t>comparisons</w:t>
      </w:r>
    </w:p>
    <w:p w14:paraId="7151F292" w14:textId="77777777" w:rsidR="00C75312" w:rsidRDefault="00C75312">
      <w:pPr>
        <w:pStyle w:val="BodyText"/>
        <w:rPr>
          <w:sz w:val="22"/>
        </w:rPr>
      </w:pPr>
    </w:p>
    <w:p w14:paraId="6FD3C339" w14:textId="77777777" w:rsidR="00C75312" w:rsidRDefault="00BB293A">
      <w:pPr>
        <w:pStyle w:val="BodyText"/>
        <w:spacing w:line="140" w:lineRule="exact"/>
        <w:ind w:left="100"/>
        <w:rPr>
          <w:rFonts w:ascii="Cambria Math"/>
          <w:sz w:val="17"/>
        </w:rPr>
      </w:pPr>
      <w:r>
        <w:t>suggested</w:t>
      </w:r>
      <w:r>
        <w:rPr>
          <w:spacing w:val="11"/>
        </w:rPr>
        <w:t xml:space="preserve"> </w:t>
      </w:r>
      <w:r>
        <w:t>that</w:t>
      </w:r>
      <w:r>
        <w:rPr>
          <w:spacing w:val="11"/>
        </w:rPr>
        <w:t xml:space="preserve"> </w:t>
      </w:r>
      <w:r>
        <w:t>the</w:t>
      </w:r>
      <w:r>
        <w:rPr>
          <w:spacing w:val="10"/>
        </w:rPr>
        <w:t xml:space="preserve"> </w:t>
      </w:r>
      <w:r>
        <w:t>ASD</w:t>
      </w:r>
      <w:r>
        <w:rPr>
          <w:spacing w:val="11"/>
        </w:rPr>
        <w:t xml:space="preserve"> </w:t>
      </w:r>
      <w:r>
        <w:t>group</w:t>
      </w:r>
      <w:r>
        <w:rPr>
          <w:spacing w:val="6"/>
        </w:rPr>
        <w:t xml:space="preserve"> </w:t>
      </w:r>
      <w:r>
        <w:t>was</w:t>
      </w:r>
      <w:r>
        <w:rPr>
          <w:spacing w:val="9"/>
        </w:rPr>
        <w:t xml:space="preserve"> </w:t>
      </w:r>
      <w:r>
        <w:t>less</w:t>
      </w:r>
      <w:r>
        <w:rPr>
          <w:spacing w:val="9"/>
        </w:rPr>
        <w:t xml:space="preserve"> </w:t>
      </w:r>
      <w:r>
        <w:t>accurate</w:t>
      </w:r>
      <w:r>
        <w:rPr>
          <w:spacing w:val="10"/>
        </w:rPr>
        <w:t xml:space="preserve"> </w:t>
      </w:r>
      <w:r>
        <w:t>(</w:t>
      </w:r>
      <w:r>
        <w:rPr>
          <w:rFonts w:ascii="Cambria Math"/>
        </w:rPr>
        <w:t>!</w:t>
      </w:r>
      <w:r>
        <w:rPr>
          <w:rFonts w:ascii="Cambria Math"/>
          <w:position w:val="9"/>
          <w:sz w:val="17"/>
        </w:rPr>
        <w:t xml:space="preserve"># </w:t>
      </w:r>
      <w:r>
        <w:rPr>
          <w:rFonts w:ascii="Cambria Math"/>
          <w:spacing w:val="10"/>
          <w:position w:val="9"/>
          <w:sz w:val="17"/>
        </w:rPr>
        <w:t xml:space="preserve"> </w:t>
      </w:r>
      <w:r>
        <w:t>=</w:t>
      </w:r>
      <w:r>
        <w:rPr>
          <w:spacing w:val="11"/>
        </w:rPr>
        <w:t xml:space="preserve"> </w:t>
      </w:r>
      <w:r>
        <w:t>.11,</w:t>
      </w:r>
      <w:r>
        <w:rPr>
          <w:spacing w:val="8"/>
        </w:rPr>
        <w:t xml:space="preserve"> </w:t>
      </w:r>
      <w:r>
        <w:rPr>
          <w:i/>
        </w:rPr>
        <w:t>p</w:t>
      </w:r>
      <w:r>
        <w:rPr>
          <w:i/>
          <w:spacing w:val="11"/>
        </w:rPr>
        <w:t xml:space="preserve"> </w:t>
      </w:r>
      <w:r>
        <w:t>&lt;</w:t>
      </w:r>
      <w:r>
        <w:rPr>
          <w:spacing w:val="5"/>
        </w:rPr>
        <w:t xml:space="preserve"> </w:t>
      </w:r>
      <w:r>
        <w:t>.05)</w:t>
      </w:r>
      <w:r>
        <w:rPr>
          <w:spacing w:val="12"/>
        </w:rPr>
        <w:t xml:space="preserve"> </w:t>
      </w:r>
      <w:r>
        <w:t>and</w:t>
      </w:r>
      <w:r>
        <w:rPr>
          <w:spacing w:val="6"/>
        </w:rPr>
        <w:t xml:space="preserve"> </w:t>
      </w:r>
      <w:r>
        <w:t>responded</w:t>
      </w:r>
      <w:r>
        <w:rPr>
          <w:spacing w:val="12"/>
        </w:rPr>
        <w:t xml:space="preserve"> </w:t>
      </w:r>
      <w:r>
        <w:t>slower</w:t>
      </w:r>
      <w:r>
        <w:rPr>
          <w:spacing w:val="12"/>
        </w:rPr>
        <w:t xml:space="preserve"> </w:t>
      </w:r>
      <w:r>
        <w:t>(</w:t>
      </w:r>
      <w:r>
        <w:rPr>
          <w:rFonts w:ascii="Cambria Math"/>
        </w:rPr>
        <w:t>!</w:t>
      </w:r>
      <w:r>
        <w:rPr>
          <w:rFonts w:ascii="Cambria Math"/>
          <w:position w:val="9"/>
          <w:sz w:val="17"/>
        </w:rPr>
        <w:t>#</w:t>
      </w:r>
    </w:p>
    <w:p w14:paraId="29F54909" w14:textId="77777777" w:rsidR="00C75312" w:rsidRDefault="00BB293A">
      <w:pPr>
        <w:tabs>
          <w:tab w:val="left" w:pos="9003"/>
        </w:tabs>
        <w:spacing w:line="198" w:lineRule="exact"/>
        <w:ind w:left="4996"/>
        <w:rPr>
          <w:rFonts w:ascii="Cambria Math"/>
          <w:sz w:val="17"/>
        </w:rPr>
      </w:pPr>
      <w:r>
        <w:rPr>
          <w:rFonts w:ascii="Cambria Math"/>
          <w:w w:val="160"/>
          <w:sz w:val="17"/>
        </w:rPr>
        <w:t>"</w:t>
      </w:r>
      <w:r>
        <w:rPr>
          <w:rFonts w:ascii="Cambria Math"/>
          <w:w w:val="160"/>
          <w:sz w:val="17"/>
        </w:rPr>
        <w:tab/>
        <w:t>"</w:t>
      </w:r>
    </w:p>
    <w:p w14:paraId="41FFA454" w14:textId="77777777" w:rsidR="00C75312" w:rsidRDefault="00C75312">
      <w:pPr>
        <w:pStyle w:val="BodyText"/>
        <w:spacing w:before="3"/>
        <w:rPr>
          <w:rFonts w:ascii="Cambria Math"/>
          <w:sz w:val="16"/>
        </w:rPr>
      </w:pPr>
    </w:p>
    <w:p w14:paraId="074FFDFD" w14:textId="77777777" w:rsidR="00C75312" w:rsidRDefault="00BB293A">
      <w:pPr>
        <w:pStyle w:val="BodyText"/>
        <w:spacing w:before="90" w:line="480" w:lineRule="auto"/>
        <w:ind w:left="100" w:right="107"/>
        <w:jc w:val="both"/>
      </w:pPr>
      <w:r>
        <w:t xml:space="preserve">= .42, </w:t>
      </w:r>
      <w:r>
        <w:rPr>
          <w:i/>
        </w:rPr>
        <w:t xml:space="preserve">p </w:t>
      </w:r>
      <w:r>
        <w:t>&lt; .01) than the NT group only in the PM task, whereas no between-group differences were</w:t>
      </w:r>
      <w:r>
        <w:rPr>
          <w:spacing w:val="-12"/>
        </w:rPr>
        <w:t xml:space="preserve"> </w:t>
      </w:r>
      <w:r>
        <w:t>evident</w:t>
      </w:r>
      <w:r>
        <w:rPr>
          <w:spacing w:val="-9"/>
        </w:rPr>
        <w:t xml:space="preserve"> </w:t>
      </w:r>
      <w:r>
        <w:t>in</w:t>
      </w:r>
      <w:r>
        <w:rPr>
          <w:spacing w:val="-14"/>
        </w:rPr>
        <w:t xml:space="preserve"> </w:t>
      </w:r>
      <w:r>
        <w:t>the</w:t>
      </w:r>
      <w:r>
        <w:rPr>
          <w:spacing w:val="-12"/>
        </w:rPr>
        <w:t xml:space="preserve"> </w:t>
      </w:r>
      <w:r>
        <w:t>Go/No-Go</w:t>
      </w:r>
      <w:r>
        <w:rPr>
          <w:spacing w:val="-10"/>
        </w:rPr>
        <w:t xml:space="preserve"> </w:t>
      </w:r>
      <w:r>
        <w:t>task</w:t>
      </w:r>
      <w:r>
        <w:rPr>
          <w:spacing w:val="-14"/>
        </w:rPr>
        <w:t xml:space="preserve"> </w:t>
      </w:r>
      <w:r>
        <w:t>(no</w:t>
      </w:r>
      <w:r>
        <w:rPr>
          <w:spacing w:val="-11"/>
        </w:rPr>
        <w:t xml:space="preserve"> </w:t>
      </w:r>
      <w:r>
        <w:t>effect</w:t>
      </w:r>
      <w:r>
        <w:rPr>
          <w:spacing w:val="-9"/>
        </w:rPr>
        <w:t xml:space="preserve"> </w:t>
      </w:r>
      <w:r>
        <w:t>sizes</w:t>
      </w:r>
      <w:r>
        <w:rPr>
          <w:spacing w:val="-17"/>
        </w:rPr>
        <w:t xml:space="preserve"> </w:t>
      </w:r>
      <w:r>
        <w:t>reported).</w:t>
      </w:r>
      <w:r>
        <w:rPr>
          <w:spacing w:val="33"/>
        </w:rPr>
        <w:t xml:space="preserve"> </w:t>
      </w:r>
      <w:r>
        <w:t>Therefore,</w:t>
      </w:r>
      <w:r>
        <w:rPr>
          <w:spacing w:val="-12"/>
        </w:rPr>
        <w:t xml:space="preserve"> </w:t>
      </w:r>
      <w:r>
        <w:t>the</w:t>
      </w:r>
      <w:r>
        <w:rPr>
          <w:spacing w:val="-12"/>
        </w:rPr>
        <w:t xml:space="preserve"> </w:t>
      </w:r>
      <w:r>
        <w:t>authors</w:t>
      </w:r>
      <w:r>
        <w:rPr>
          <w:spacing w:val="-12"/>
        </w:rPr>
        <w:t xml:space="preserve"> </w:t>
      </w:r>
      <w:r>
        <w:t>concluded that individuals with ASD have a deficit in event-based PM, but are less affected in their response</w:t>
      </w:r>
      <w:r>
        <w:rPr>
          <w:spacing w:val="-12"/>
        </w:rPr>
        <w:t xml:space="preserve"> </w:t>
      </w:r>
      <w:r>
        <w:t>inhibition.</w:t>
      </w:r>
      <w:r>
        <w:rPr>
          <w:spacing w:val="43"/>
        </w:rPr>
        <w:t xml:space="preserve"> </w:t>
      </w:r>
      <w:r>
        <w:t>However,</w:t>
      </w:r>
      <w:r>
        <w:rPr>
          <w:spacing w:val="-7"/>
        </w:rPr>
        <w:t xml:space="preserve"> </w:t>
      </w:r>
      <w:r>
        <w:t>there</w:t>
      </w:r>
      <w:r>
        <w:rPr>
          <w:spacing w:val="-12"/>
        </w:rPr>
        <w:t xml:space="preserve"> </w:t>
      </w:r>
      <w:r>
        <w:t>are</w:t>
      </w:r>
      <w:r>
        <w:rPr>
          <w:spacing w:val="-11"/>
        </w:rPr>
        <w:t xml:space="preserve"> </w:t>
      </w:r>
      <w:r>
        <w:t>some</w:t>
      </w:r>
      <w:r>
        <w:rPr>
          <w:spacing w:val="-11"/>
        </w:rPr>
        <w:t xml:space="preserve"> </w:t>
      </w:r>
      <w:r>
        <w:t>methodological</w:t>
      </w:r>
      <w:r>
        <w:rPr>
          <w:spacing w:val="-10"/>
        </w:rPr>
        <w:t xml:space="preserve"> </w:t>
      </w:r>
      <w:r>
        <w:t>issues</w:t>
      </w:r>
      <w:r>
        <w:rPr>
          <w:spacing w:val="-12"/>
        </w:rPr>
        <w:t xml:space="preserve"> </w:t>
      </w:r>
      <w:r>
        <w:t>that</w:t>
      </w:r>
      <w:r>
        <w:rPr>
          <w:spacing w:val="-10"/>
        </w:rPr>
        <w:t xml:space="preserve"> </w:t>
      </w:r>
      <w:r>
        <w:t>need</w:t>
      </w:r>
      <w:r>
        <w:rPr>
          <w:spacing w:val="-10"/>
        </w:rPr>
        <w:t xml:space="preserve"> </w:t>
      </w:r>
      <w:r>
        <w:t>to</w:t>
      </w:r>
      <w:r>
        <w:rPr>
          <w:spacing w:val="-10"/>
        </w:rPr>
        <w:t xml:space="preserve"> </w:t>
      </w:r>
      <w:r>
        <w:t>be</w:t>
      </w:r>
      <w:r>
        <w:rPr>
          <w:spacing w:val="-12"/>
        </w:rPr>
        <w:t xml:space="preserve"> </w:t>
      </w:r>
      <w:r>
        <w:t>addressed. First, breaking down non-significant interaction effects is problematic both statistically and conceptually,</w:t>
      </w:r>
      <w:r>
        <w:rPr>
          <w:spacing w:val="-8"/>
        </w:rPr>
        <w:t xml:space="preserve"> </w:t>
      </w:r>
      <w:r>
        <w:t>and</w:t>
      </w:r>
      <w:r>
        <w:rPr>
          <w:spacing w:val="-10"/>
        </w:rPr>
        <w:t xml:space="preserve"> </w:t>
      </w:r>
      <w:r>
        <w:t>may</w:t>
      </w:r>
      <w:r>
        <w:rPr>
          <w:spacing w:val="-10"/>
        </w:rPr>
        <w:t xml:space="preserve"> </w:t>
      </w:r>
      <w:r>
        <w:t>lead</w:t>
      </w:r>
      <w:r>
        <w:rPr>
          <w:spacing w:val="-10"/>
        </w:rPr>
        <w:t xml:space="preserve"> </w:t>
      </w:r>
      <w:r>
        <w:t>to</w:t>
      </w:r>
      <w:r>
        <w:rPr>
          <w:spacing w:val="-14"/>
        </w:rPr>
        <w:t xml:space="preserve"> </w:t>
      </w:r>
      <w:r>
        <w:t>erroneous</w:t>
      </w:r>
      <w:r>
        <w:rPr>
          <w:spacing w:val="-12"/>
        </w:rPr>
        <w:t xml:space="preserve"> </w:t>
      </w:r>
      <w:r>
        <w:t>conclusions</w:t>
      </w:r>
      <w:r>
        <w:rPr>
          <w:spacing w:val="-12"/>
        </w:rPr>
        <w:t xml:space="preserve"> </w:t>
      </w:r>
      <w:r>
        <w:t>being</w:t>
      </w:r>
      <w:r>
        <w:rPr>
          <w:spacing w:val="-11"/>
        </w:rPr>
        <w:t xml:space="preserve"> </w:t>
      </w:r>
      <w:r>
        <w:t>drawn</w:t>
      </w:r>
      <w:r>
        <w:rPr>
          <w:spacing w:val="-10"/>
        </w:rPr>
        <w:t xml:space="preserve"> </w:t>
      </w:r>
      <w:r>
        <w:t>(see</w:t>
      </w:r>
      <w:r>
        <w:rPr>
          <w:spacing w:val="-11"/>
        </w:rPr>
        <w:t xml:space="preserve"> </w:t>
      </w:r>
      <w:r>
        <w:t>Gelman</w:t>
      </w:r>
      <w:r>
        <w:rPr>
          <w:spacing w:val="-10"/>
        </w:rPr>
        <w:t xml:space="preserve"> </w:t>
      </w:r>
      <w:r>
        <w:t>&amp;</w:t>
      </w:r>
      <w:r>
        <w:rPr>
          <w:spacing w:val="-9"/>
        </w:rPr>
        <w:t xml:space="preserve"> </w:t>
      </w:r>
      <w:r>
        <w:t>Stern,</w:t>
      </w:r>
      <w:r>
        <w:rPr>
          <w:spacing w:val="-12"/>
        </w:rPr>
        <w:t xml:space="preserve"> </w:t>
      </w:r>
      <w:r>
        <w:t>2006). Second,</w:t>
      </w:r>
      <w:r>
        <w:rPr>
          <w:spacing w:val="-8"/>
        </w:rPr>
        <w:t xml:space="preserve"> </w:t>
      </w:r>
      <w:r>
        <w:t>groups</w:t>
      </w:r>
      <w:r>
        <w:rPr>
          <w:spacing w:val="-12"/>
        </w:rPr>
        <w:t xml:space="preserve"> </w:t>
      </w:r>
      <w:r>
        <w:t>were</w:t>
      </w:r>
      <w:r>
        <w:rPr>
          <w:spacing w:val="-11"/>
        </w:rPr>
        <w:t xml:space="preserve"> </w:t>
      </w:r>
      <w:r>
        <w:t>clearly</w:t>
      </w:r>
      <w:r>
        <w:rPr>
          <w:spacing w:val="-13"/>
        </w:rPr>
        <w:t xml:space="preserve"> </w:t>
      </w:r>
      <w:r>
        <w:t>not</w:t>
      </w:r>
      <w:r>
        <w:rPr>
          <w:spacing w:val="-9"/>
        </w:rPr>
        <w:t xml:space="preserve"> </w:t>
      </w:r>
      <w:r>
        <w:t>equated</w:t>
      </w:r>
      <w:r>
        <w:rPr>
          <w:spacing w:val="-10"/>
        </w:rPr>
        <w:t xml:space="preserve"> </w:t>
      </w:r>
      <w:r>
        <w:t>for</w:t>
      </w:r>
      <w:r>
        <w:rPr>
          <w:spacing w:val="-9"/>
        </w:rPr>
        <w:t xml:space="preserve"> </w:t>
      </w:r>
      <w:r>
        <w:t>ongoing</w:t>
      </w:r>
      <w:r>
        <w:rPr>
          <w:spacing w:val="-10"/>
        </w:rPr>
        <w:t xml:space="preserve"> </w:t>
      </w:r>
      <w:r>
        <w:t>task</w:t>
      </w:r>
      <w:r>
        <w:rPr>
          <w:spacing w:val="-10"/>
        </w:rPr>
        <w:t xml:space="preserve"> </w:t>
      </w:r>
      <w:r>
        <w:t>performance</w:t>
      </w:r>
      <w:r>
        <w:rPr>
          <w:spacing w:val="-11"/>
        </w:rPr>
        <w:t xml:space="preserve"> </w:t>
      </w:r>
      <w:r>
        <w:t>and</w:t>
      </w:r>
      <w:r>
        <w:rPr>
          <w:spacing w:val="-10"/>
        </w:rPr>
        <w:t xml:space="preserve"> </w:t>
      </w:r>
      <w:r>
        <w:t>the</w:t>
      </w:r>
      <w:r>
        <w:rPr>
          <w:spacing w:val="-14"/>
        </w:rPr>
        <w:t xml:space="preserve"> </w:t>
      </w:r>
      <w:r>
        <w:t>difficulties</w:t>
      </w:r>
      <w:r>
        <w:rPr>
          <w:spacing w:val="-12"/>
        </w:rPr>
        <w:t xml:space="preserve"> </w:t>
      </w:r>
      <w:r>
        <w:t>with this</w:t>
      </w:r>
      <w:r>
        <w:rPr>
          <w:spacing w:val="-12"/>
        </w:rPr>
        <w:t xml:space="preserve"> </w:t>
      </w:r>
      <w:r>
        <w:t>aspect</w:t>
      </w:r>
      <w:r>
        <w:rPr>
          <w:spacing w:val="-8"/>
        </w:rPr>
        <w:t xml:space="preserve"> </w:t>
      </w:r>
      <w:r>
        <w:t>of</w:t>
      </w:r>
      <w:r>
        <w:rPr>
          <w:spacing w:val="-8"/>
        </w:rPr>
        <w:t xml:space="preserve"> </w:t>
      </w:r>
      <w:r>
        <w:t>the</w:t>
      </w:r>
      <w:r>
        <w:rPr>
          <w:spacing w:val="-10"/>
        </w:rPr>
        <w:t xml:space="preserve"> </w:t>
      </w:r>
      <w:r>
        <w:t>experiment</w:t>
      </w:r>
      <w:r>
        <w:rPr>
          <w:spacing w:val="-9"/>
        </w:rPr>
        <w:t xml:space="preserve"> </w:t>
      </w:r>
      <w:r>
        <w:t>for</w:t>
      </w:r>
      <w:r>
        <w:rPr>
          <w:spacing w:val="-8"/>
        </w:rPr>
        <w:t xml:space="preserve"> </w:t>
      </w:r>
      <w:r>
        <w:t>participants</w:t>
      </w:r>
      <w:r>
        <w:rPr>
          <w:spacing w:val="-11"/>
        </w:rPr>
        <w:t xml:space="preserve"> </w:t>
      </w:r>
      <w:r>
        <w:t>with</w:t>
      </w:r>
      <w:r>
        <w:rPr>
          <w:spacing w:val="-9"/>
        </w:rPr>
        <w:t xml:space="preserve"> </w:t>
      </w:r>
      <w:r>
        <w:t>ASD</w:t>
      </w:r>
      <w:r>
        <w:rPr>
          <w:spacing w:val="-10"/>
        </w:rPr>
        <w:t xml:space="preserve"> </w:t>
      </w:r>
      <w:r>
        <w:t>could</w:t>
      </w:r>
      <w:r>
        <w:rPr>
          <w:spacing w:val="-9"/>
        </w:rPr>
        <w:t xml:space="preserve"> </w:t>
      </w:r>
      <w:r>
        <w:t>account</w:t>
      </w:r>
      <w:r>
        <w:rPr>
          <w:spacing w:val="-9"/>
        </w:rPr>
        <w:t xml:space="preserve"> </w:t>
      </w:r>
      <w:r>
        <w:t>for</w:t>
      </w:r>
      <w:r>
        <w:rPr>
          <w:spacing w:val="-8"/>
        </w:rPr>
        <w:t xml:space="preserve"> </w:t>
      </w:r>
      <w:r>
        <w:t>their</w:t>
      </w:r>
      <w:r>
        <w:rPr>
          <w:spacing w:val="-7"/>
        </w:rPr>
        <w:t xml:space="preserve"> </w:t>
      </w:r>
      <w:r>
        <w:t>difficulties</w:t>
      </w:r>
      <w:r>
        <w:rPr>
          <w:spacing w:val="-12"/>
        </w:rPr>
        <w:t xml:space="preserve"> </w:t>
      </w:r>
      <w:r>
        <w:t xml:space="preserve">with the secondary tasks (i.e., PM and response inhibition). Finally, although </w:t>
      </w:r>
      <w:proofErr w:type="spellStart"/>
      <w:r>
        <w:t>Brandimonte</w:t>
      </w:r>
      <w:proofErr w:type="spellEnd"/>
      <w:r>
        <w:t xml:space="preserve"> et al. (2011)</w:t>
      </w:r>
      <w:r>
        <w:rPr>
          <w:spacing w:val="-3"/>
        </w:rPr>
        <w:t xml:space="preserve"> </w:t>
      </w:r>
      <w:r>
        <w:t>matched</w:t>
      </w:r>
      <w:r>
        <w:rPr>
          <w:spacing w:val="-5"/>
        </w:rPr>
        <w:t xml:space="preserve"> </w:t>
      </w:r>
      <w:r>
        <w:t>the</w:t>
      </w:r>
      <w:r>
        <w:rPr>
          <w:spacing w:val="-6"/>
        </w:rPr>
        <w:t xml:space="preserve"> </w:t>
      </w:r>
      <w:r>
        <w:t>participant</w:t>
      </w:r>
      <w:r>
        <w:rPr>
          <w:spacing w:val="-3"/>
        </w:rPr>
        <w:t xml:space="preserve"> </w:t>
      </w:r>
      <w:r>
        <w:t>groups</w:t>
      </w:r>
      <w:r>
        <w:rPr>
          <w:spacing w:val="-7"/>
        </w:rPr>
        <w:t xml:space="preserve"> </w:t>
      </w:r>
      <w:r>
        <w:t>for</w:t>
      </w:r>
      <w:r>
        <w:rPr>
          <w:spacing w:val="-3"/>
        </w:rPr>
        <w:t xml:space="preserve"> </w:t>
      </w:r>
      <w:r>
        <w:t>age</w:t>
      </w:r>
      <w:r>
        <w:rPr>
          <w:spacing w:val="-6"/>
        </w:rPr>
        <w:t xml:space="preserve"> </w:t>
      </w:r>
      <w:r>
        <w:t>and</w:t>
      </w:r>
      <w:r>
        <w:rPr>
          <w:spacing w:val="-9"/>
        </w:rPr>
        <w:t xml:space="preserve"> </w:t>
      </w:r>
      <w:r>
        <w:t>FSIQ</w:t>
      </w:r>
      <w:r>
        <w:rPr>
          <w:spacing w:val="-5"/>
        </w:rPr>
        <w:t xml:space="preserve"> </w:t>
      </w:r>
      <w:r>
        <w:t>overall,</w:t>
      </w:r>
      <w:r>
        <w:rPr>
          <w:spacing w:val="-2"/>
        </w:rPr>
        <w:t xml:space="preserve"> </w:t>
      </w:r>
      <w:r>
        <w:t>it</w:t>
      </w:r>
      <w:r>
        <w:rPr>
          <w:spacing w:val="-8"/>
        </w:rPr>
        <w:t xml:space="preserve"> </w:t>
      </w:r>
      <w:r>
        <w:t>is</w:t>
      </w:r>
      <w:r>
        <w:rPr>
          <w:spacing w:val="-7"/>
        </w:rPr>
        <w:t xml:space="preserve"> </w:t>
      </w:r>
      <w:r>
        <w:t>not</w:t>
      </w:r>
      <w:r>
        <w:rPr>
          <w:spacing w:val="-4"/>
        </w:rPr>
        <w:t xml:space="preserve"> </w:t>
      </w:r>
      <w:r>
        <w:t>clear</w:t>
      </w:r>
      <w:r>
        <w:rPr>
          <w:spacing w:val="-2"/>
        </w:rPr>
        <w:t xml:space="preserve"> </w:t>
      </w:r>
      <w:r>
        <w:t>that</w:t>
      </w:r>
      <w:r>
        <w:rPr>
          <w:spacing w:val="-4"/>
        </w:rPr>
        <w:t xml:space="preserve"> </w:t>
      </w:r>
      <w:r>
        <w:t>this</w:t>
      </w:r>
      <w:r>
        <w:rPr>
          <w:spacing w:val="-7"/>
        </w:rPr>
        <w:t xml:space="preserve"> </w:t>
      </w:r>
      <w:r>
        <w:t>was</w:t>
      </w:r>
      <w:r>
        <w:rPr>
          <w:spacing w:val="-7"/>
        </w:rPr>
        <w:t xml:space="preserve"> </w:t>
      </w:r>
      <w:r>
        <w:t>the case</w:t>
      </w:r>
      <w:r>
        <w:rPr>
          <w:spacing w:val="-7"/>
        </w:rPr>
        <w:t xml:space="preserve"> </w:t>
      </w:r>
      <w:r>
        <w:t>for</w:t>
      </w:r>
      <w:r>
        <w:rPr>
          <w:spacing w:val="-3"/>
        </w:rPr>
        <w:t xml:space="preserve"> </w:t>
      </w:r>
      <w:r>
        <w:rPr>
          <w:i/>
        </w:rPr>
        <w:t>each</w:t>
      </w:r>
      <w:r>
        <w:rPr>
          <w:i/>
          <w:spacing w:val="-5"/>
        </w:rPr>
        <w:t xml:space="preserve"> </w:t>
      </w:r>
      <w:r>
        <w:t>of</w:t>
      </w:r>
      <w:r>
        <w:rPr>
          <w:spacing w:val="-4"/>
        </w:rPr>
        <w:t xml:space="preserve"> </w:t>
      </w:r>
      <w:r>
        <w:t>the</w:t>
      </w:r>
      <w:r>
        <w:rPr>
          <w:spacing w:val="-11"/>
        </w:rPr>
        <w:t xml:space="preserve"> </w:t>
      </w:r>
      <w:r>
        <w:t>between-subjects</w:t>
      </w:r>
      <w:r>
        <w:rPr>
          <w:spacing w:val="-7"/>
        </w:rPr>
        <w:t xml:space="preserve"> </w:t>
      </w:r>
      <w:r>
        <w:t>experimental</w:t>
      </w:r>
      <w:r>
        <w:rPr>
          <w:spacing w:val="-4"/>
        </w:rPr>
        <w:t xml:space="preserve"> </w:t>
      </w:r>
      <w:r>
        <w:t>conditions</w:t>
      </w:r>
      <w:r>
        <w:rPr>
          <w:spacing w:val="-7"/>
        </w:rPr>
        <w:t xml:space="preserve"> </w:t>
      </w:r>
      <w:r>
        <w:t>(i.e.,</w:t>
      </w:r>
      <w:r>
        <w:rPr>
          <w:spacing w:val="-8"/>
        </w:rPr>
        <w:t xml:space="preserve"> </w:t>
      </w:r>
      <w:r>
        <w:t>PM,</w:t>
      </w:r>
      <w:r>
        <w:rPr>
          <w:spacing w:val="-2"/>
        </w:rPr>
        <w:t xml:space="preserve"> </w:t>
      </w:r>
      <w:r>
        <w:t>inhibitory</w:t>
      </w:r>
      <w:r>
        <w:rPr>
          <w:spacing w:val="-10"/>
        </w:rPr>
        <w:t xml:space="preserve"> </w:t>
      </w:r>
      <w:r>
        <w:t>control</w:t>
      </w:r>
      <w:r>
        <w:rPr>
          <w:spacing w:val="-4"/>
        </w:rPr>
        <w:t xml:space="preserve"> </w:t>
      </w:r>
      <w:r>
        <w:t>and the ongoing-task-only conditions). It is quite possible (but not reported in the paper) that diagnostic groups for each between-group condition were not comparable on these baseline variables, which could have generated artificial group differences in PM</w:t>
      </w:r>
      <w:r>
        <w:rPr>
          <w:spacing w:val="-6"/>
        </w:rPr>
        <w:t xml:space="preserve"> </w:t>
      </w:r>
      <w:r>
        <w:t>performance.</w:t>
      </w:r>
    </w:p>
    <w:p w14:paraId="22CF93BA" w14:textId="77777777" w:rsidR="00C75312" w:rsidRDefault="00BB293A">
      <w:pPr>
        <w:pStyle w:val="BodyText"/>
        <w:spacing w:before="116" w:line="480" w:lineRule="auto"/>
        <w:ind w:left="100" w:right="104" w:firstLine="720"/>
        <w:jc w:val="both"/>
      </w:pPr>
      <w:r>
        <w:t>Third and most recently, Sheppard et al. (2016) investigated the effect of autism symptom severity on event-based PM in 28 children with ASD and 26 NT controls. Severity of autism symptoms in the ASD group was assessed with the Child Autism Rating Scale (</w:t>
      </w:r>
      <w:proofErr w:type="spellStart"/>
      <w:r>
        <w:t>Schopler</w:t>
      </w:r>
      <w:proofErr w:type="spellEnd"/>
      <w:r>
        <w:t>,</w:t>
      </w:r>
      <w:r>
        <w:rPr>
          <w:spacing w:val="-13"/>
        </w:rPr>
        <w:t xml:space="preserve"> </w:t>
      </w:r>
      <w:r>
        <w:t>Reichler,</w:t>
      </w:r>
      <w:r>
        <w:rPr>
          <w:spacing w:val="-7"/>
        </w:rPr>
        <w:t xml:space="preserve"> </w:t>
      </w:r>
      <w:r>
        <w:t>DeVellis,</w:t>
      </w:r>
      <w:r>
        <w:rPr>
          <w:spacing w:val="-13"/>
        </w:rPr>
        <w:t xml:space="preserve"> </w:t>
      </w:r>
      <w:r>
        <w:t>&amp;</w:t>
      </w:r>
      <w:r>
        <w:rPr>
          <w:spacing w:val="-9"/>
        </w:rPr>
        <w:t xml:space="preserve"> </w:t>
      </w:r>
      <w:r>
        <w:t>Daly,</w:t>
      </w:r>
      <w:r>
        <w:rPr>
          <w:spacing w:val="-8"/>
        </w:rPr>
        <w:t xml:space="preserve"> </w:t>
      </w:r>
      <w:r>
        <w:t>1980).</w:t>
      </w:r>
      <w:r>
        <w:rPr>
          <w:spacing w:val="38"/>
        </w:rPr>
        <w:t xml:space="preserve"> </w:t>
      </w:r>
      <w:r>
        <w:t>Scores</w:t>
      </w:r>
      <w:r>
        <w:rPr>
          <w:spacing w:val="-12"/>
        </w:rPr>
        <w:t xml:space="preserve"> </w:t>
      </w:r>
      <w:r>
        <w:t>were</w:t>
      </w:r>
      <w:r>
        <w:rPr>
          <w:spacing w:val="-12"/>
        </w:rPr>
        <w:t xml:space="preserve"> </w:t>
      </w:r>
      <w:r>
        <w:t>used</w:t>
      </w:r>
      <w:r>
        <w:rPr>
          <w:spacing w:val="-10"/>
        </w:rPr>
        <w:t xml:space="preserve"> </w:t>
      </w:r>
      <w:r>
        <w:t>to</w:t>
      </w:r>
      <w:r>
        <w:rPr>
          <w:spacing w:val="-11"/>
        </w:rPr>
        <w:t xml:space="preserve"> </w:t>
      </w:r>
      <w:r>
        <w:t>divide</w:t>
      </w:r>
      <w:r>
        <w:rPr>
          <w:spacing w:val="-11"/>
        </w:rPr>
        <w:t xml:space="preserve"> </w:t>
      </w:r>
      <w:r>
        <w:t>the</w:t>
      </w:r>
      <w:r>
        <w:rPr>
          <w:spacing w:val="-15"/>
        </w:rPr>
        <w:t xml:space="preserve"> </w:t>
      </w:r>
      <w:r>
        <w:t>ASD</w:t>
      </w:r>
      <w:r>
        <w:rPr>
          <w:spacing w:val="-11"/>
        </w:rPr>
        <w:t xml:space="preserve"> </w:t>
      </w:r>
      <w:r>
        <w:t>sample</w:t>
      </w:r>
      <w:r>
        <w:rPr>
          <w:spacing w:val="-11"/>
        </w:rPr>
        <w:t xml:space="preserve"> </w:t>
      </w:r>
      <w:r>
        <w:t>into “severe ASD” and “mild ASD” groups (</w:t>
      </w:r>
      <w:r>
        <w:rPr>
          <w:i/>
        </w:rPr>
        <w:t xml:space="preserve">n </w:t>
      </w:r>
      <w:r>
        <w:t>= 14 each). In a game-like procedure, participants interacted</w:t>
      </w:r>
      <w:r>
        <w:rPr>
          <w:spacing w:val="-1"/>
        </w:rPr>
        <w:t xml:space="preserve"> </w:t>
      </w:r>
      <w:r>
        <w:t>with</w:t>
      </w:r>
      <w:r>
        <w:rPr>
          <w:spacing w:val="-5"/>
        </w:rPr>
        <w:t xml:space="preserve"> </w:t>
      </w:r>
      <w:r>
        <w:t>a</w:t>
      </w:r>
      <w:r>
        <w:rPr>
          <w:spacing w:val="-7"/>
        </w:rPr>
        <w:t xml:space="preserve"> </w:t>
      </w:r>
      <w:r>
        <w:t>hand-puppet wolf</w:t>
      </w:r>
      <w:r>
        <w:rPr>
          <w:spacing w:val="-3"/>
        </w:rPr>
        <w:t xml:space="preserve"> </w:t>
      </w:r>
      <w:r>
        <w:t>(Wally,</w:t>
      </w:r>
      <w:r>
        <w:rPr>
          <w:spacing w:val="-3"/>
        </w:rPr>
        <w:t xml:space="preserve"> </w:t>
      </w:r>
      <w:r>
        <w:t>acted</w:t>
      </w:r>
      <w:r>
        <w:rPr>
          <w:spacing w:val="-5"/>
        </w:rPr>
        <w:t xml:space="preserve"> </w:t>
      </w:r>
      <w:r>
        <w:t>out</w:t>
      </w:r>
      <w:r>
        <w:rPr>
          <w:spacing w:val="-1"/>
        </w:rPr>
        <w:t xml:space="preserve"> </w:t>
      </w:r>
      <w:r>
        <w:t>by</w:t>
      </w:r>
      <w:r>
        <w:rPr>
          <w:spacing w:val="-5"/>
        </w:rPr>
        <w:t xml:space="preserve"> </w:t>
      </w:r>
      <w:r>
        <w:t>the</w:t>
      </w:r>
      <w:r>
        <w:rPr>
          <w:spacing w:val="-6"/>
        </w:rPr>
        <w:t xml:space="preserve"> </w:t>
      </w:r>
      <w:r>
        <w:t>experimenter)</w:t>
      </w:r>
      <w:r>
        <w:rPr>
          <w:spacing w:val="1"/>
        </w:rPr>
        <w:t xml:space="preserve"> </w:t>
      </w:r>
      <w:r>
        <w:t>playing</w:t>
      </w:r>
      <w:r>
        <w:rPr>
          <w:spacing w:val="-5"/>
        </w:rPr>
        <w:t xml:space="preserve"> </w:t>
      </w:r>
      <w:r>
        <w:t>a</w:t>
      </w:r>
      <w:r>
        <w:rPr>
          <w:spacing w:val="-6"/>
        </w:rPr>
        <w:t xml:space="preserve"> </w:t>
      </w:r>
      <w:r>
        <w:t xml:space="preserve">distractor task game alternating with the completion </w:t>
      </w:r>
      <w:r>
        <w:rPr>
          <w:spacing w:val="-3"/>
        </w:rPr>
        <w:t xml:space="preserve">of </w:t>
      </w:r>
      <w:r>
        <w:t>three different PM tasks, and a retrospective memory task. Thus, there was no ongoing task as such. The PM tasks required the child to remember to a) clap when they heard music being played (</w:t>
      </w:r>
      <w:r>
        <w:t xml:space="preserve">two trials, </w:t>
      </w:r>
      <w:r>
        <w:rPr>
          <w:i/>
        </w:rPr>
        <w:t>PM</w:t>
      </w:r>
      <w:r>
        <w:rPr>
          <w:i/>
          <w:spacing w:val="4"/>
        </w:rPr>
        <w:t xml:space="preserve"> </w:t>
      </w:r>
      <w:r>
        <w:rPr>
          <w:i/>
        </w:rPr>
        <w:t>clapping task</w:t>
      </w:r>
      <w:r>
        <w:t>); b)</w:t>
      </w:r>
    </w:p>
    <w:p w14:paraId="1062FE9F" w14:textId="77777777" w:rsidR="00C75312" w:rsidRDefault="00C75312">
      <w:pPr>
        <w:spacing w:line="480" w:lineRule="auto"/>
        <w:jc w:val="both"/>
        <w:sectPr w:rsidR="00C75312">
          <w:pgSz w:w="11900" w:h="16840"/>
          <w:pgMar w:top="1360" w:right="1320" w:bottom="280" w:left="1340" w:header="715" w:footer="0" w:gutter="0"/>
          <w:cols w:space="720"/>
        </w:sectPr>
      </w:pPr>
    </w:p>
    <w:p w14:paraId="40CEC825" w14:textId="77777777" w:rsidR="00C75312" w:rsidRDefault="00BB293A">
      <w:pPr>
        <w:pStyle w:val="BodyText"/>
        <w:spacing w:before="80" w:line="477" w:lineRule="auto"/>
        <w:ind w:left="100" w:right="108"/>
        <w:jc w:val="both"/>
      </w:pPr>
      <w:r>
        <w:lastRenderedPageBreak/>
        <w:pict w14:anchorId="20150A54">
          <v:shape id="_x0000_s2795" type="#_x0000_t202" style="position:absolute;left:0;text-align:left;margin-left:462.25pt;margin-top:175.45pt;width:5.3pt;height:9.85pt;z-index:-260629504;mso-position-horizontal-relative:page" filled="f" stroked="f">
            <v:textbox inset="0,0,0,0">
              <w:txbxContent>
                <w:p w14:paraId="48020EAA"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 xml:space="preserve">remove a toy food item out of Wally’s view because he could not eat them (two trials, </w:t>
      </w:r>
      <w:r>
        <w:rPr>
          <w:i/>
        </w:rPr>
        <w:t>PM feeding</w:t>
      </w:r>
      <w:r>
        <w:rPr>
          <w:i/>
          <w:spacing w:val="-14"/>
        </w:rPr>
        <w:t xml:space="preserve"> </w:t>
      </w:r>
      <w:r>
        <w:rPr>
          <w:i/>
        </w:rPr>
        <w:t>task</w:t>
      </w:r>
      <w:r>
        <w:t>);</w:t>
      </w:r>
      <w:r>
        <w:rPr>
          <w:spacing w:val="-14"/>
        </w:rPr>
        <w:t xml:space="preserve"> </w:t>
      </w:r>
      <w:r>
        <w:t>and</w:t>
      </w:r>
      <w:r>
        <w:rPr>
          <w:spacing w:val="-14"/>
        </w:rPr>
        <w:t xml:space="preserve"> </w:t>
      </w:r>
      <w:r>
        <w:t>c)</w:t>
      </w:r>
      <w:r>
        <w:rPr>
          <w:spacing w:val="-13"/>
        </w:rPr>
        <w:t xml:space="preserve"> </w:t>
      </w:r>
      <w:r>
        <w:t>collect</w:t>
      </w:r>
      <w:r>
        <w:rPr>
          <w:spacing w:val="-14"/>
        </w:rPr>
        <w:t xml:space="preserve"> </w:t>
      </w:r>
      <w:r>
        <w:t>their</w:t>
      </w:r>
      <w:r>
        <w:rPr>
          <w:spacing w:val="-13"/>
        </w:rPr>
        <w:t xml:space="preserve"> </w:t>
      </w:r>
      <w:r>
        <w:t>reward</w:t>
      </w:r>
      <w:r>
        <w:rPr>
          <w:spacing w:val="-14"/>
        </w:rPr>
        <w:t xml:space="preserve"> </w:t>
      </w:r>
      <w:r>
        <w:t>at</w:t>
      </w:r>
      <w:r>
        <w:rPr>
          <w:spacing w:val="-14"/>
        </w:rPr>
        <w:t xml:space="preserve"> </w:t>
      </w:r>
      <w:r>
        <w:t>the</w:t>
      </w:r>
      <w:r>
        <w:rPr>
          <w:spacing w:val="-15"/>
        </w:rPr>
        <w:t xml:space="preserve"> </w:t>
      </w:r>
      <w:r>
        <w:t>end</w:t>
      </w:r>
      <w:r>
        <w:rPr>
          <w:spacing w:val="-19"/>
        </w:rPr>
        <w:t xml:space="preserve"> </w:t>
      </w:r>
      <w:r>
        <w:t>of</w:t>
      </w:r>
      <w:r>
        <w:rPr>
          <w:spacing w:val="-12"/>
        </w:rPr>
        <w:t xml:space="preserve"> </w:t>
      </w:r>
      <w:r>
        <w:t>the</w:t>
      </w:r>
      <w:r>
        <w:rPr>
          <w:spacing w:val="-15"/>
        </w:rPr>
        <w:t xml:space="preserve"> </w:t>
      </w:r>
      <w:r>
        <w:t>session</w:t>
      </w:r>
      <w:r>
        <w:rPr>
          <w:spacing w:val="-14"/>
        </w:rPr>
        <w:t xml:space="preserve"> </w:t>
      </w:r>
      <w:r>
        <w:t>(</w:t>
      </w:r>
      <w:proofErr w:type="spellStart"/>
      <w:r>
        <w:t>signalled</w:t>
      </w:r>
      <w:proofErr w:type="spellEnd"/>
      <w:r>
        <w:rPr>
          <w:spacing w:val="-14"/>
        </w:rPr>
        <w:t xml:space="preserve"> </w:t>
      </w:r>
      <w:r>
        <w:t>by</w:t>
      </w:r>
      <w:r>
        <w:rPr>
          <w:spacing w:val="-14"/>
        </w:rPr>
        <w:t xml:space="preserve"> </w:t>
      </w:r>
      <w:r>
        <w:t>the</w:t>
      </w:r>
      <w:r>
        <w:rPr>
          <w:spacing w:val="-15"/>
        </w:rPr>
        <w:t xml:space="preserve"> </w:t>
      </w:r>
      <w:r>
        <w:t xml:space="preserve">experimenter saying “The games are now finished, time to go back to class.”, </w:t>
      </w:r>
      <w:r>
        <w:rPr>
          <w:i/>
        </w:rPr>
        <w:t>PM reward task</w:t>
      </w:r>
      <w:r>
        <w:t xml:space="preserve">). For the PM clapping and the PM reward tasks, participants were prompted once </w:t>
      </w:r>
      <w:r>
        <w:rPr>
          <w:i/>
        </w:rPr>
        <w:t xml:space="preserve">at the end of </w:t>
      </w:r>
      <w:r>
        <w:t>each trial if they</w:t>
      </w:r>
      <w:r>
        <w:rPr>
          <w:spacing w:val="-6"/>
        </w:rPr>
        <w:t xml:space="preserve"> </w:t>
      </w:r>
      <w:r>
        <w:t>did</w:t>
      </w:r>
      <w:r>
        <w:rPr>
          <w:spacing w:val="-5"/>
        </w:rPr>
        <w:t xml:space="preserve"> </w:t>
      </w:r>
      <w:r>
        <w:t>not</w:t>
      </w:r>
      <w:r>
        <w:rPr>
          <w:spacing w:val="-4"/>
        </w:rPr>
        <w:t xml:space="preserve"> </w:t>
      </w:r>
      <w:r>
        <w:t>spontaneously</w:t>
      </w:r>
      <w:r>
        <w:rPr>
          <w:spacing w:val="-5"/>
        </w:rPr>
        <w:t xml:space="preserve"> </w:t>
      </w:r>
      <w:r>
        <w:t>remember</w:t>
      </w:r>
      <w:r>
        <w:rPr>
          <w:spacing w:val="-3"/>
        </w:rPr>
        <w:t xml:space="preserve"> </w:t>
      </w:r>
      <w:r>
        <w:t>the</w:t>
      </w:r>
      <w:r>
        <w:rPr>
          <w:spacing w:val="-6"/>
        </w:rPr>
        <w:t xml:space="preserve"> </w:t>
      </w:r>
      <w:r>
        <w:t>PM</w:t>
      </w:r>
      <w:r>
        <w:rPr>
          <w:spacing w:val="-7"/>
        </w:rPr>
        <w:t xml:space="preserve"> </w:t>
      </w:r>
      <w:r>
        <w:t>activity</w:t>
      </w:r>
      <w:r>
        <w:rPr>
          <w:spacing w:val="-5"/>
        </w:rPr>
        <w:t xml:space="preserve"> </w:t>
      </w:r>
      <w:r>
        <w:t>(children</w:t>
      </w:r>
      <w:r>
        <w:rPr>
          <w:spacing w:val="-5"/>
        </w:rPr>
        <w:t xml:space="preserve"> </w:t>
      </w:r>
      <w:r>
        <w:t>were</w:t>
      </w:r>
      <w:r>
        <w:rPr>
          <w:spacing w:val="-6"/>
        </w:rPr>
        <w:t xml:space="preserve"> </w:t>
      </w:r>
      <w:r>
        <w:t>asked:</w:t>
      </w:r>
      <w:r>
        <w:rPr>
          <w:spacing w:val="-4"/>
        </w:rPr>
        <w:t xml:space="preserve"> </w:t>
      </w:r>
      <w:r>
        <w:t>“Can</w:t>
      </w:r>
      <w:r>
        <w:rPr>
          <w:spacing w:val="-5"/>
        </w:rPr>
        <w:t xml:space="preserve"> </w:t>
      </w:r>
      <w:r>
        <w:t>you</w:t>
      </w:r>
      <w:r>
        <w:rPr>
          <w:spacing w:val="-5"/>
        </w:rPr>
        <w:t xml:space="preserve"> </w:t>
      </w:r>
      <w:r>
        <w:t>hear</w:t>
      </w:r>
      <w:r>
        <w:rPr>
          <w:spacing w:val="-4"/>
        </w:rPr>
        <w:t xml:space="preserve"> </w:t>
      </w:r>
      <w:r>
        <w:t xml:space="preserve">the music?” for the PM clapping task, and “Have you forgotten anything?” for the PM reward task). </w:t>
      </w:r>
      <w:r>
        <w:rPr>
          <w:spacing w:val="28"/>
        </w:rPr>
        <w:t xml:space="preserve"> </w:t>
      </w:r>
      <w:r>
        <w:t>Collapsed</w:t>
      </w:r>
      <w:r>
        <w:rPr>
          <w:spacing w:val="14"/>
        </w:rPr>
        <w:t xml:space="preserve"> </w:t>
      </w:r>
      <w:r>
        <w:t>across</w:t>
      </w:r>
      <w:r>
        <w:rPr>
          <w:spacing w:val="10"/>
        </w:rPr>
        <w:t xml:space="preserve"> </w:t>
      </w:r>
      <w:r>
        <w:t>all</w:t>
      </w:r>
      <w:r>
        <w:rPr>
          <w:spacing w:val="14"/>
        </w:rPr>
        <w:t xml:space="preserve"> </w:t>
      </w:r>
      <w:r>
        <w:t>three</w:t>
      </w:r>
      <w:r>
        <w:rPr>
          <w:spacing w:val="12"/>
        </w:rPr>
        <w:t xml:space="preserve"> </w:t>
      </w:r>
      <w:r>
        <w:t>PM</w:t>
      </w:r>
      <w:r>
        <w:rPr>
          <w:spacing w:val="11"/>
        </w:rPr>
        <w:t xml:space="preserve"> </w:t>
      </w:r>
      <w:r>
        <w:t>tasks,</w:t>
      </w:r>
      <w:r>
        <w:rPr>
          <w:spacing w:val="15"/>
        </w:rPr>
        <w:t xml:space="preserve"> </w:t>
      </w:r>
      <w:r>
        <w:t>a</w:t>
      </w:r>
      <w:r>
        <w:rPr>
          <w:spacing w:val="13"/>
        </w:rPr>
        <w:t xml:space="preserve"> </w:t>
      </w:r>
      <w:r>
        <w:t>significant</w:t>
      </w:r>
      <w:r>
        <w:rPr>
          <w:spacing w:val="13"/>
        </w:rPr>
        <w:t xml:space="preserve"> </w:t>
      </w:r>
      <w:r>
        <w:t>main</w:t>
      </w:r>
      <w:r>
        <w:rPr>
          <w:spacing w:val="14"/>
        </w:rPr>
        <w:t xml:space="preserve"> </w:t>
      </w:r>
      <w:r>
        <w:t>effect</w:t>
      </w:r>
      <w:r>
        <w:rPr>
          <w:spacing w:val="13"/>
        </w:rPr>
        <w:t xml:space="preserve"> </w:t>
      </w:r>
      <w:r>
        <w:t>of</w:t>
      </w:r>
      <w:r>
        <w:rPr>
          <w:spacing w:val="15"/>
        </w:rPr>
        <w:t xml:space="preserve"> </w:t>
      </w:r>
      <w:r>
        <w:t>group</w:t>
      </w:r>
      <w:r>
        <w:rPr>
          <w:spacing w:val="13"/>
        </w:rPr>
        <w:t xml:space="preserve"> </w:t>
      </w:r>
      <w:r>
        <w:t>(</w:t>
      </w:r>
      <w:r>
        <w:rPr>
          <w:rFonts w:ascii="Cambria Math" w:hAnsi="Cambria Math"/>
        </w:rPr>
        <w:t>!</w:t>
      </w:r>
      <w:r>
        <w:rPr>
          <w:rFonts w:ascii="Cambria Math" w:hAnsi="Cambria Math"/>
          <w:position w:val="9"/>
          <w:sz w:val="17"/>
        </w:rPr>
        <w:t xml:space="preserve"># </w:t>
      </w:r>
      <w:r>
        <w:rPr>
          <w:rFonts w:ascii="Cambria Math" w:hAnsi="Cambria Math"/>
          <w:spacing w:val="17"/>
          <w:position w:val="9"/>
          <w:sz w:val="17"/>
        </w:rPr>
        <w:t xml:space="preserve"> </w:t>
      </w:r>
      <w:r>
        <w:t>=</w:t>
      </w:r>
      <w:r>
        <w:rPr>
          <w:spacing w:val="12"/>
        </w:rPr>
        <w:t xml:space="preserve"> </w:t>
      </w:r>
      <w:r>
        <w:t>.13)</w:t>
      </w:r>
      <w:r>
        <w:rPr>
          <w:spacing w:val="15"/>
        </w:rPr>
        <w:t xml:space="preserve"> </w:t>
      </w:r>
      <w:r>
        <w:t>was</w:t>
      </w:r>
    </w:p>
    <w:p w14:paraId="57E0F7A0" w14:textId="77777777" w:rsidR="00C75312" w:rsidRDefault="00BB293A">
      <w:pPr>
        <w:pStyle w:val="BodyText"/>
        <w:spacing w:before="28" w:line="468" w:lineRule="auto"/>
        <w:ind w:left="100" w:right="108"/>
        <w:jc w:val="both"/>
      </w:pPr>
      <w:r>
        <w:pict w14:anchorId="623A07A3">
          <v:shape id="_x0000_s2794" type="#_x0000_t202" style="position:absolute;left:0;text-align:left;margin-left:290.4pt;margin-top:62.2pt;width:5.3pt;height:9.85pt;z-index:-260628480;mso-position-horizontal-relative:page" filled="f" stroked="f">
            <v:textbox inset="0,0,0,0">
              <w:txbxContent>
                <w:p w14:paraId="27D38A13"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found. Post-hoc tests revealed that this was driven by the significant difference between the severe ASD and the NT group (</w:t>
      </w:r>
      <w:r>
        <w:rPr>
          <w:i/>
        </w:rPr>
        <w:t xml:space="preserve">d </w:t>
      </w:r>
      <w:r>
        <w:t>= 1.39). When examining the results separately, a similar pattern was found for the PM feeding task (</w:t>
      </w:r>
      <w:r>
        <w:rPr>
          <w:rFonts w:ascii="Cambria Math"/>
        </w:rPr>
        <w:t>!</w:t>
      </w:r>
      <w:r>
        <w:rPr>
          <w:rFonts w:ascii="Cambria Math"/>
          <w:position w:val="9"/>
          <w:sz w:val="17"/>
        </w:rPr>
        <w:t xml:space="preserve">#   </w:t>
      </w:r>
      <w:r>
        <w:t xml:space="preserve">= .14).   Further, although there were no </w:t>
      </w:r>
      <w:r>
        <w:rPr>
          <w:spacing w:val="6"/>
        </w:rPr>
        <w:t xml:space="preserve"> </w:t>
      </w:r>
      <w:r>
        <w:t>group</w:t>
      </w:r>
    </w:p>
    <w:p w14:paraId="6C889A33" w14:textId="77777777" w:rsidR="00C75312" w:rsidRDefault="00BB293A">
      <w:pPr>
        <w:pStyle w:val="BodyText"/>
        <w:spacing w:before="46" w:line="480" w:lineRule="auto"/>
        <w:ind w:left="100" w:right="108"/>
        <w:jc w:val="both"/>
      </w:pPr>
      <w:r>
        <w:t xml:space="preserve">differences on the first trial of the PM clapping task (similar performance without prompting, as well as similar performance improvement for all groups after being prompted), both ASD groups performed significantly worse than the </w:t>
      </w:r>
      <w:r>
        <w:rPr>
          <w:spacing w:val="-3"/>
        </w:rPr>
        <w:t xml:space="preserve">NT </w:t>
      </w:r>
      <w:r>
        <w:t>group (who significantly improved their performance</w:t>
      </w:r>
      <w:r>
        <w:rPr>
          <w:spacing w:val="-11"/>
        </w:rPr>
        <w:t xml:space="preserve"> </w:t>
      </w:r>
      <w:r>
        <w:t>from</w:t>
      </w:r>
      <w:r>
        <w:rPr>
          <w:spacing w:val="-9"/>
        </w:rPr>
        <w:t xml:space="preserve"> </w:t>
      </w:r>
      <w:r>
        <w:t>the</w:t>
      </w:r>
      <w:r>
        <w:rPr>
          <w:spacing w:val="-11"/>
        </w:rPr>
        <w:t xml:space="preserve"> </w:t>
      </w:r>
      <w:r>
        <w:t>first</w:t>
      </w:r>
      <w:r>
        <w:rPr>
          <w:spacing w:val="-9"/>
        </w:rPr>
        <w:t xml:space="preserve"> </w:t>
      </w:r>
      <w:r>
        <w:t>to</w:t>
      </w:r>
      <w:r>
        <w:rPr>
          <w:spacing w:val="-10"/>
        </w:rPr>
        <w:t xml:space="preserve"> </w:t>
      </w:r>
      <w:r>
        <w:t>the</w:t>
      </w:r>
      <w:r>
        <w:rPr>
          <w:spacing w:val="-6"/>
        </w:rPr>
        <w:t xml:space="preserve"> </w:t>
      </w:r>
      <w:r>
        <w:t>second</w:t>
      </w:r>
      <w:r>
        <w:rPr>
          <w:spacing w:val="-10"/>
        </w:rPr>
        <w:t xml:space="preserve"> </w:t>
      </w:r>
      <w:r>
        <w:t>unprompted</w:t>
      </w:r>
      <w:r>
        <w:rPr>
          <w:spacing w:val="-5"/>
        </w:rPr>
        <w:t xml:space="preserve"> </w:t>
      </w:r>
      <w:r>
        <w:t>trial)</w:t>
      </w:r>
      <w:r>
        <w:rPr>
          <w:spacing w:val="-8"/>
        </w:rPr>
        <w:t xml:space="preserve"> </w:t>
      </w:r>
      <w:r>
        <w:t>on</w:t>
      </w:r>
      <w:r>
        <w:rPr>
          <w:spacing w:val="-10"/>
        </w:rPr>
        <w:t xml:space="preserve"> </w:t>
      </w:r>
      <w:r>
        <w:t>the</w:t>
      </w:r>
      <w:r>
        <w:rPr>
          <w:spacing w:val="-6"/>
        </w:rPr>
        <w:t xml:space="preserve"> </w:t>
      </w:r>
      <w:r>
        <w:t>second</w:t>
      </w:r>
      <w:r>
        <w:rPr>
          <w:spacing w:val="-10"/>
        </w:rPr>
        <w:t xml:space="preserve"> </w:t>
      </w:r>
      <w:r>
        <w:t>unprompted</w:t>
      </w:r>
      <w:r>
        <w:rPr>
          <w:spacing w:val="-9"/>
        </w:rPr>
        <w:t xml:space="preserve"> </w:t>
      </w:r>
      <w:r>
        <w:t>trial.</w:t>
      </w:r>
      <w:r>
        <w:rPr>
          <w:spacing w:val="44"/>
        </w:rPr>
        <w:t xml:space="preserve"> </w:t>
      </w:r>
      <w:r>
        <w:t>No significant group differences emerged for the PM reward task. The authors concluded that severely autistic children can succeed on certain event-based PM tasks if task characteristics are adjusted to their needs (i.e., rewarding circumstances, specific PM cues). Further they suggested that, although children with ASD benefitted from prompts in the individual trials of the PM clapping task, this did not positively affect their performance from the first two the second trial in contrast to the NT group. Th</w:t>
      </w:r>
      <w:r>
        <w:t>e authors suggested this could be explained by information processing deficits in ASD when the ability to connect and integrate information across tasks is required (Olu-Lafe, Liederman, &amp; Tager-</w:t>
      </w:r>
      <w:proofErr w:type="spellStart"/>
      <w:r>
        <w:t>Flusberg</w:t>
      </w:r>
      <w:proofErr w:type="spellEnd"/>
      <w:r>
        <w:t>,</w:t>
      </w:r>
      <w:r>
        <w:rPr>
          <w:spacing w:val="5"/>
        </w:rPr>
        <w:t xml:space="preserve"> </w:t>
      </w:r>
      <w:r>
        <w:t>2014).</w:t>
      </w:r>
    </w:p>
    <w:p w14:paraId="4F909801" w14:textId="77777777" w:rsidR="00C75312" w:rsidRDefault="00BB293A">
      <w:pPr>
        <w:pStyle w:val="BodyText"/>
        <w:spacing w:before="121" w:line="480" w:lineRule="auto"/>
        <w:ind w:left="100" w:right="110" w:firstLine="720"/>
        <w:jc w:val="both"/>
      </w:pPr>
      <w:r>
        <w:t xml:space="preserve">Although Sheppard et al.’s (2016) study is interesting, it suffers from a major methodological issue in terms of matching procedure. Groups were not matched for age or gender, and no </w:t>
      </w:r>
      <w:proofErr w:type="spellStart"/>
      <w:r>
        <w:t>standardised</w:t>
      </w:r>
      <w:proofErr w:type="spellEnd"/>
      <w:r>
        <w:t xml:space="preserve"> measure was employed to equate groups for</w:t>
      </w:r>
      <w:r>
        <w:rPr>
          <w:spacing w:val="57"/>
        </w:rPr>
        <w:t xml:space="preserve"> </w:t>
      </w:r>
      <w:r>
        <w:t>cognitive ability.</w:t>
      </w:r>
    </w:p>
    <w:p w14:paraId="79243367" w14:textId="77777777" w:rsidR="00C75312" w:rsidRDefault="00C75312">
      <w:pPr>
        <w:spacing w:line="480" w:lineRule="auto"/>
        <w:jc w:val="both"/>
        <w:sectPr w:rsidR="00C75312">
          <w:pgSz w:w="11900" w:h="16840"/>
          <w:pgMar w:top="1360" w:right="1320" w:bottom="280" w:left="1340" w:header="715" w:footer="0" w:gutter="0"/>
          <w:cols w:space="720"/>
        </w:sectPr>
      </w:pPr>
    </w:p>
    <w:p w14:paraId="7CD4FCD6" w14:textId="77777777" w:rsidR="00C75312" w:rsidRDefault="00BB293A">
      <w:pPr>
        <w:pStyle w:val="BodyText"/>
        <w:spacing w:before="80" w:line="480" w:lineRule="auto"/>
        <w:ind w:left="100" w:right="108"/>
        <w:jc w:val="both"/>
      </w:pPr>
      <w:r>
        <w:lastRenderedPageBreak/>
        <w:t>Instead groups were matched only for national curriculum point scores for reading, writing, and number skills. The authors argue that “the demands of standard IQ tests such as WASI (Wechsler Abbreviated Scale of Intelligence, Wechsler, 1999) or even BPVS (British Picture Vocabulary Test, Dunn, Dunn, Styles, &amp; Sewell, 2009) make this type of matching unsuitable for children with severe ASD” (pp. 6-7). However, it is counterintuitive that, if a child is not capable–because of their severe social-communication</w:t>
      </w:r>
      <w:r>
        <w:t xml:space="preserve"> deficits–of completing standard IQ tests, they could complete an experimental task as complex as the task(s) used in this study (some of which were inherently social).</w:t>
      </w:r>
    </w:p>
    <w:p w14:paraId="11F498DA" w14:textId="77777777" w:rsidR="00C75312" w:rsidRDefault="00BB293A">
      <w:pPr>
        <w:pStyle w:val="BodyText"/>
        <w:spacing w:before="120" w:line="480" w:lineRule="auto"/>
        <w:ind w:left="100" w:right="104" w:firstLine="720"/>
        <w:jc w:val="both"/>
      </w:pPr>
      <w:r>
        <w:t xml:space="preserve">Fourth and finally, </w:t>
      </w:r>
      <w:proofErr w:type="spellStart"/>
      <w:r>
        <w:t>Altgassen</w:t>
      </w:r>
      <w:proofErr w:type="spellEnd"/>
      <w:r>
        <w:t xml:space="preserve"> and Koch (2014) studied the contribution of inhibitory control demands on event-based PM performance in 22 adults with ASD and 22 age- and nonverbal ability-matched NT adults. For this purpose, they used a </w:t>
      </w:r>
      <w:r>
        <w:rPr>
          <w:i/>
        </w:rPr>
        <w:t xml:space="preserve">triple task </w:t>
      </w:r>
      <w:r>
        <w:t xml:space="preserve">within-subject design. Participants completed two experimental conditions in counter-balanced order. The ongoing task involved a word </w:t>
      </w:r>
      <w:proofErr w:type="spellStart"/>
      <w:r>
        <w:t>categorisation</w:t>
      </w:r>
      <w:proofErr w:type="spellEnd"/>
      <w:r>
        <w:t xml:space="preserve"> paradigm (deciding which of two words belongs to the same category as a third word). The </w:t>
      </w:r>
      <w:proofErr w:type="spellStart"/>
      <w:r>
        <w:t>colour</w:t>
      </w:r>
      <w:proofErr w:type="spellEnd"/>
      <w:r>
        <w:t xml:space="preserve"> of all three words changed randomly eve</w:t>
      </w:r>
      <w:r>
        <w:t xml:space="preserve">ry trial. The PM instruction was </w:t>
      </w:r>
      <w:r>
        <w:rPr>
          <w:spacing w:val="-3"/>
        </w:rPr>
        <w:t xml:space="preserve">to </w:t>
      </w:r>
      <w:r>
        <w:t>press a pre-specified key whenever all three words were printed</w:t>
      </w:r>
      <w:r>
        <w:rPr>
          <w:spacing w:val="-11"/>
        </w:rPr>
        <w:t xml:space="preserve"> </w:t>
      </w:r>
      <w:r>
        <w:t>in</w:t>
      </w:r>
      <w:r>
        <w:rPr>
          <w:spacing w:val="-15"/>
        </w:rPr>
        <w:t xml:space="preserve"> </w:t>
      </w:r>
      <w:r>
        <w:t>blue</w:t>
      </w:r>
      <w:r>
        <w:rPr>
          <w:spacing w:val="-15"/>
        </w:rPr>
        <w:t xml:space="preserve"> </w:t>
      </w:r>
      <w:r>
        <w:t>font.</w:t>
      </w:r>
      <w:r>
        <w:rPr>
          <w:spacing w:val="33"/>
        </w:rPr>
        <w:t xml:space="preserve"> </w:t>
      </w:r>
      <w:r>
        <w:t>Simultaneously,</w:t>
      </w:r>
      <w:r>
        <w:rPr>
          <w:spacing w:val="-13"/>
        </w:rPr>
        <w:t xml:space="preserve"> </w:t>
      </w:r>
      <w:r>
        <w:t>inhibitory</w:t>
      </w:r>
      <w:r>
        <w:rPr>
          <w:spacing w:val="-14"/>
        </w:rPr>
        <w:t xml:space="preserve"> </w:t>
      </w:r>
      <w:r>
        <w:t>load</w:t>
      </w:r>
      <w:r>
        <w:rPr>
          <w:spacing w:val="-11"/>
        </w:rPr>
        <w:t xml:space="preserve"> </w:t>
      </w:r>
      <w:r>
        <w:t>was</w:t>
      </w:r>
      <w:r>
        <w:rPr>
          <w:spacing w:val="-13"/>
        </w:rPr>
        <w:t xml:space="preserve"> </w:t>
      </w:r>
      <w:r>
        <w:t>manipulated</w:t>
      </w:r>
      <w:r>
        <w:rPr>
          <w:spacing w:val="-14"/>
        </w:rPr>
        <w:t xml:space="preserve"> </w:t>
      </w:r>
      <w:r>
        <w:t>using</w:t>
      </w:r>
      <w:r>
        <w:rPr>
          <w:spacing w:val="-15"/>
        </w:rPr>
        <w:t xml:space="preserve"> </w:t>
      </w:r>
      <w:r>
        <w:t>an</w:t>
      </w:r>
      <w:r>
        <w:rPr>
          <w:spacing w:val="-10"/>
        </w:rPr>
        <w:t xml:space="preserve"> </w:t>
      </w:r>
      <w:r>
        <w:t>auditory</w:t>
      </w:r>
      <w:r>
        <w:rPr>
          <w:spacing w:val="-15"/>
        </w:rPr>
        <w:t xml:space="preserve"> </w:t>
      </w:r>
      <w:r>
        <w:t>mental arithmetic task. In a “low inhibitory load” condition, participants were presented with a sequence of numbers via headphones and were required to add five to each number and state the resulting sum. In a “high inhibitory load” condition, the procedure was the same but participants had to withhold saying the sum aloud when i</w:t>
      </w:r>
      <w:r>
        <w:t xml:space="preserve">t </w:t>
      </w:r>
      <w:proofErr w:type="spellStart"/>
      <w:r>
        <w:t>equalled</w:t>
      </w:r>
      <w:proofErr w:type="spellEnd"/>
      <w:r>
        <w:t xml:space="preserve"> eight or 15. Contrary to the hypothesis of the authors, there were no between-group differences in PM in either condition</w:t>
      </w:r>
      <w:r>
        <w:rPr>
          <w:spacing w:val="-10"/>
        </w:rPr>
        <w:t xml:space="preserve"> </w:t>
      </w:r>
      <w:r>
        <w:t>(i.e.,</w:t>
      </w:r>
      <w:r>
        <w:rPr>
          <w:spacing w:val="-12"/>
        </w:rPr>
        <w:t xml:space="preserve"> </w:t>
      </w:r>
      <w:r>
        <w:t>regardless</w:t>
      </w:r>
      <w:r>
        <w:rPr>
          <w:spacing w:val="-12"/>
        </w:rPr>
        <w:t xml:space="preserve"> </w:t>
      </w:r>
      <w:r>
        <w:t>of</w:t>
      </w:r>
      <w:r>
        <w:rPr>
          <w:spacing w:val="-8"/>
        </w:rPr>
        <w:t xml:space="preserve"> </w:t>
      </w:r>
      <w:r>
        <w:t>inhibitory</w:t>
      </w:r>
      <w:r>
        <w:rPr>
          <w:spacing w:val="-14"/>
        </w:rPr>
        <w:t xml:space="preserve"> </w:t>
      </w:r>
      <w:r>
        <w:t>load),</w:t>
      </w:r>
      <w:r>
        <w:rPr>
          <w:spacing w:val="-7"/>
        </w:rPr>
        <w:t xml:space="preserve"> </w:t>
      </w:r>
      <w:r>
        <w:t>or</w:t>
      </w:r>
      <w:r>
        <w:rPr>
          <w:spacing w:val="-13"/>
        </w:rPr>
        <w:t xml:space="preserve"> </w:t>
      </w:r>
      <w:r>
        <w:t>in</w:t>
      </w:r>
      <w:r>
        <w:rPr>
          <w:spacing w:val="-10"/>
        </w:rPr>
        <w:t xml:space="preserve"> </w:t>
      </w:r>
      <w:r>
        <w:t>the</w:t>
      </w:r>
      <w:r>
        <w:rPr>
          <w:spacing w:val="-11"/>
        </w:rPr>
        <w:t xml:space="preserve"> </w:t>
      </w:r>
      <w:r>
        <w:t>extent</w:t>
      </w:r>
      <w:r>
        <w:rPr>
          <w:spacing w:val="-9"/>
        </w:rPr>
        <w:t xml:space="preserve"> </w:t>
      </w:r>
      <w:r>
        <w:t>to</w:t>
      </w:r>
      <w:r>
        <w:rPr>
          <w:spacing w:val="-10"/>
        </w:rPr>
        <w:t xml:space="preserve"> </w:t>
      </w:r>
      <w:r>
        <w:t>which</w:t>
      </w:r>
      <w:r>
        <w:rPr>
          <w:spacing w:val="-10"/>
        </w:rPr>
        <w:t xml:space="preserve"> </w:t>
      </w:r>
      <w:r>
        <w:t>responses</w:t>
      </w:r>
      <w:r>
        <w:rPr>
          <w:spacing w:val="-12"/>
        </w:rPr>
        <w:t xml:space="preserve"> </w:t>
      </w:r>
      <w:r>
        <w:t>were</w:t>
      </w:r>
      <w:r>
        <w:rPr>
          <w:spacing w:val="-11"/>
        </w:rPr>
        <w:t xml:space="preserve"> </w:t>
      </w:r>
      <w:r>
        <w:t>correctly withheld in the high-inhibitory control condition. These findings are striking and suggest that event-based</w:t>
      </w:r>
      <w:r>
        <w:rPr>
          <w:spacing w:val="-11"/>
        </w:rPr>
        <w:t xml:space="preserve"> </w:t>
      </w:r>
      <w:r>
        <w:t>PM</w:t>
      </w:r>
      <w:r>
        <w:rPr>
          <w:spacing w:val="-12"/>
        </w:rPr>
        <w:t xml:space="preserve"> </w:t>
      </w:r>
      <w:r>
        <w:t>is</w:t>
      </w:r>
      <w:r>
        <w:rPr>
          <w:spacing w:val="-12"/>
        </w:rPr>
        <w:t xml:space="preserve"> </w:t>
      </w:r>
      <w:r>
        <w:t>not</w:t>
      </w:r>
      <w:r>
        <w:rPr>
          <w:spacing w:val="-9"/>
        </w:rPr>
        <w:t xml:space="preserve"> </w:t>
      </w:r>
      <w:r>
        <w:t>impaired</w:t>
      </w:r>
      <w:r>
        <w:rPr>
          <w:spacing w:val="-10"/>
        </w:rPr>
        <w:t xml:space="preserve"> </w:t>
      </w:r>
      <w:r>
        <w:t>in</w:t>
      </w:r>
      <w:r>
        <w:rPr>
          <w:spacing w:val="-10"/>
        </w:rPr>
        <w:t xml:space="preserve"> </w:t>
      </w:r>
      <w:r>
        <w:t>ASD</w:t>
      </w:r>
      <w:r>
        <w:rPr>
          <w:spacing w:val="-10"/>
        </w:rPr>
        <w:t xml:space="preserve"> </w:t>
      </w:r>
      <w:r>
        <w:t>even</w:t>
      </w:r>
      <w:r>
        <w:rPr>
          <w:spacing w:val="-10"/>
        </w:rPr>
        <w:t xml:space="preserve"> </w:t>
      </w:r>
      <w:r>
        <w:t>when</w:t>
      </w:r>
      <w:r>
        <w:rPr>
          <w:spacing w:val="-14"/>
        </w:rPr>
        <w:t xml:space="preserve"> </w:t>
      </w:r>
      <w:r>
        <w:t>demands</w:t>
      </w:r>
      <w:r>
        <w:rPr>
          <w:spacing w:val="-12"/>
        </w:rPr>
        <w:t xml:space="preserve"> </w:t>
      </w:r>
      <w:r>
        <w:t>on</w:t>
      </w:r>
      <w:r>
        <w:rPr>
          <w:spacing w:val="-10"/>
        </w:rPr>
        <w:t xml:space="preserve"> </w:t>
      </w:r>
      <w:r>
        <w:t>executive</w:t>
      </w:r>
      <w:r>
        <w:rPr>
          <w:spacing w:val="-11"/>
        </w:rPr>
        <w:t xml:space="preserve"> </w:t>
      </w:r>
      <w:r>
        <w:t>resources</w:t>
      </w:r>
      <w:r>
        <w:rPr>
          <w:spacing w:val="-12"/>
        </w:rPr>
        <w:t xml:space="preserve"> </w:t>
      </w:r>
      <w:r>
        <w:t>associated with successful performance are high. However, in</w:t>
      </w:r>
      <w:r>
        <w:rPr>
          <w:spacing w:val="4"/>
        </w:rPr>
        <w:t xml:space="preserve"> </w:t>
      </w:r>
      <w:r>
        <w:rPr>
          <w:i/>
        </w:rPr>
        <w:t xml:space="preserve">both </w:t>
      </w:r>
      <w:r>
        <w:t>inhibitory load conditions,</w:t>
      </w:r>
    </w:p>
    <w:p w14:paraId="6F98A774" w14:textId="77777777" w:rsidR="00C75312" w:rsidRDefault="00C75312">
      <w:pPr>
        <w:spacing w:line="480" w:lineRule="auto"/>
        <w:jc w:val="both"/>
        <w:sectPr w:rsidR="00C75312">
          <w:pgSz w:w="11900" w:h="16840"/>
          <w:pgMar w:top="1360" w:right="1320" w:bottom="280" w:left="1340" w:header="715" w:footer="0" w:gutter="0"/>
          <w:cols w:space="720"/>
        </w:sectPr>
      </w:pPr>
    </w:p>
    <w:p w14:paraId="4E5CF930" w14:textId="77777777" w:rsidR="00C75312" w:rsidRDefault="00BB293A">
      <w:pPr>
        <w:pStyle w:val="BodyText"/>
        <w:spacing w:before="80" w:line="460" w:lineRule="auto"/>
        <w:ind w:left="100" w:right="108"/>
        <w:jc w:val="both"/>
      </w:pPr>
      <w:r>
        <w:lastRenderedPageBreak/>
        <w:pict w14:anchorId="6743F139">
          <v:shape id="_x0000_s2793" type="#_x0000_t202" style="position:absolute;left:0;text-align:left;margin-left:291.35pt;margin-top:37.45pt;width:5.3pt;height:9.85pt;z-index:-260627456;mso-position-horizontal-relative:page" filled="f" stroked="f">
            <v:textbox inset="0,0,0,0">
              <w:txbxContent>
                <w:p w14:paraId="2B3CBA77"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 xml:space="preserve">performance on the ongoing </w:t>
      </w:r>
      <w:proofErr w:type="spellStart"/>
      <w:r>
        <w:rPr>
          <w:i/>
        </w:rPr>
        <w:t>categorisation</w:t>
      </w:r>
      <w:proofErr w:type="spellEnd"/>
      <w:r>
        <w:rPr>
          <w:i/>
        </w:rPr>
        <w:t xml:space="preserve"> </w:t>
      </w:r>
      <w:r>
        <w:t>task itself was significantly superior in the comparison group than in the ASD group (</w:t>
      </w:r>
      <w:r>
        <w:rPr>
          <w:rFonts w:ascii="Cambria Math"/>
        </w:rPr>
        <w:t>!</w:t>
      </w:r>
      <w:r>
        <w:rPr>
          <w:rFonts w:ascii="Cambria Math"/>
          <w:position w:val="9"/>
          <w:sz w:val="17"/>
        </w:rPr>
        <w:t xml:space="preserve"># </w:t>
      </w:r>
      <w:r>
        <w:t>= .18). As such, it remains a possibility that</w:t>
      </w:r>
    </w:p>
    <w:p w14:paraId="5FD07D94" w14:textId="77777777" w:rsidR="00C75312" w:rsidRDefault="00BB293A">
      <w:pPr>
        <w:pStyle w:val="BodyText"/>
        <w:spacing w:before="53" w:line="480" w:lineRule="auto"/>
        <w:ind w:left="100" w:right="107"/>
        <w:jc w:val="both"/>
      </w:pPr>
      <w:r>
        <w:t xml:space="preserve">participants with ASD were allocating relatively more </w:t>
      </w:r>
      <w:r>
        <w:rPr>
          <w:spacing w:val="-3"/>
        </w:rPr>
        <w:t xml:space="preserve">of </w:t>
      </w:r>
      <w:r>
        <w:t xml:space="preserve">their cognitive resources to completion of the PM task and the ongoing </w:t>
      </w:r>
      <w:r>
        <w:rPr>
          <w:i/>
        </w:rPr>
        <w:t xml:space="preserve">inhibition </w:t>
      </w:r>
      <w:r>
        <w:t>task than were comparison participants. Therefore,</w:t>
      </w:r>
      <w:r>
        <w:rPr>
          <w:spacing w:val="-18"/>
        </w:rPr>
        <w:t xml:space="preserve"> </w:t>
      </w:r>
      <w:r>
        <w:t>it</w:t>
      </w:r>
      <w:r>
        <w:rPr>
          <w:spacing w:val="-18"/>
        </w:rPr>
        <w:t xml:space="preserve"> </w:t>
      </w:r>
      <w:r>
        <w:t>may</w:t>
      </w:r>
      <w:r>
        <w:rPr>
          <w:spacing w:val="-15"/>
        </w:rPr>
        <w:t xml:space="preserve"> </w:t>
      </w:r>
      <w:r>
        <w:t>be</w:t>
      </w:r>
      <w:r>
        <w:rPr>
          <w:spacing w:val="-15"/>
        </w:rPr>
        <w:t xml:space="preserve"> </w:t>
      </w:r>
      <w:r>
        <w:t>that</w:t>
      </w:r>
      <w:r>
        <w:rPr>
          <w:spacing w:val="-19"/>
        </w:rPr>
        <w:t xml:space="preserve"> </w:t>
      </w:r>
      <w:r>
        <w:t>participants</w:t>
      </w:r>
      <w:r>
        <w:rPr>
          <w:spacing w:val="-17"/>
        </w:rPr>
        <w:t xml:space="preserve"> </w:t>
      </w:r>
      <w:r>
        <w:t>with</w:t>
      </w:r>
      <w:r>
        <w:rPr>
          <w:spacing w:val="-19"/>
        </w:rPr>
        <w:t xml:space="preserve"> </w:t>
      </w:r>
      <w:r>
        <w:t>ASD</w:t>
      </w:r>
      <w:r>
        <w:rPr>
          <w:spacing w:val="-15"/>
        </w:rPr>
        <w:t xml:space="preserve"> </w:t>
      </w:r>
      <w:r>
        <w:t>were</w:t>
      </w:r>
      <w:r>
        <w:rPr>
          <w:spacing w:val="-15"/>
        </w:rPr>
        <w:t xml:space="preserve"> </w:t>
      </w:r>
      <w:r>
        <w:t>using</w:t>
      </w:r>
      <w:r>
        <w:rPr>
          <w:spacing w:val="-14"/>
        </w:rPr>
        <w:t xml:space="preserve"> </w:t>
      </w:r>
      <w:r>
        <w:t>alternative,</w:t>
      </w:r>
      <w:r>
        <w:rPr>
          <w:spacing w:val="-12"/>
        </w:rPr>
        <w:t xml:space="preserve"> </w:t>
      </w:r>
      <w:r>
        <w:t>compensatory</w:t>
      </w:r>
      <w:r>
        <w:rPr>
          <w:spacing w:val="-14"/>
        </w:rPr>
        <w:t xml:space="preserve"> </w:t>
      </w:r>
      <w:r>
        <w:t xml:space="preserve">strategies to succeed on the PM component of the task at the expense of performance on the ongoing activity. Problems with multimodal integration (Baum, Stevenson, &amp; Wallace, 2015) in this particular triple-task design might have led individuals with ASD to focus more on one </w:t>
      </w:r>
      <w:r>
        <w:rPr>
          <w:spacing w:val="-3"/>
        </w:rPr>
        <w:t xml:space="preserve">of </w:t>
      </w:r>
      <w:r>
        <w:t>the three tasks. That i</w:t>
      </w:r>
      <w:r>
        <w:t xml:space="preserve">s, </w:t>
      </w:r>
      <w:r>
        <w:rPr>
          <w:spacing w:val="-3"/>
        </w:rPr>
        <w:t xml:space="preserve">it </w:t>
      </w:r>
      <w:r>
        <w:t xml:space="preserve">might be that when attentional demands of the environment are high, people with ASD may need to </w:t>
      </w:r>
      <w:proofErr w:type="spellStart"/>
      <w:r>
        <w:t>prioritise</w:t>
      </w:r>
      <w:proofErr w:type="spellEnd"/>
      <w:r>
        <w:t xml:space="preserve"> carrying out the planned PM action </w:t>
      </w:r>
      <w:r>
        <w:rPr>
          <w:i/>
        </w:rPr>
        <w:t xml:space="preserve">at the expense of </w:t>
      </w:r>
      <w:r>
        <w:t xml:space="preserve">other activities to an extent that NT individuals do not. Either way, the fact that participants with ASD in </w:t>
      </w:r>
      <w:proofErr w:type="spellStart"/>
      <w:r>
        <w:t>Altgassen</w:t>
      </w:r>
      <w:proofErr w:type="spellEnd"/>
      <w:r>
        <w:t xml:space="preserve"> and Koch’s study performed comparably to NT individuals on a PM task</w:t>
      </w:r>
      <w:r>
        <w:rPr>
          <w:spacing w:val="-7"/>
        </w:rPr>
        <w:t xml:space="preserve"> </w:t>
      </w:r>
      <w:r>
        <w:t>that</w:t>
      </w:r>
      <w:r>
        <w:rPr>
          <w:spacing w:val="-5"/>
        </w:rPr>
        <w:t xml:space="preserve"> </w:t>
      </w:r>
      <w:r>
        <w:t>had</w:t>
      </w:r>
      <w:r>
        <w:rPr>
          <w:spacing w:val="-6"/>
        </w:rPr>
        <w:t xml:space="preserve"> </w:t>
      </w:r>
      <w:r>
        <w:t>very</w:t>
      </w:r>
      <w:r>
        <w:rPr>
          <w:spacing w:val="-6"/>
        </w:rPr>
        <w:t xml:space="preserve"> </w:t>
      </w:r>
      <w:r>
        <w:t>high</w:t>
      </w:r>
      <w:r>
        <w:rPr>
          <w:spacing w:val="-10"/>
        </w:rPr>
        <w:t xml:space="preserve"> </w:t>
      </w:r>
      <w:r>
        <w:t>executive</w:t>
      </w:r>
      <w:r>
        <w:rPr>
          <w:spacing w:val="-7"/>
        </w:rPr>
        <w:t xml:space="preserve"> </w:t>
      </w:r>
      <w:r>
        <w:t>demands</w:t>
      </w:r>
      <w:r>
        <w:rPr>
          <w:spacing w:val="-8"/>
        </w:rPr>
        <w:t xml:space="preserve"> </w:t>
      </w:r>
      <w:r>
        <w:t>suggests</w:t>
      </w:r>
      <w:r>
        <w:rPr>
          <w:spacing w:val="-3"/>
        </w:rPr>
        <w:t xml:space="preserve"> </w:t>
      </w:r>
      <w:r>
        <w:t>that</w:t>
      </w:r>
      <w:r>
        <w:rPr>
          <w:spacing w:val="-6"/>
        </w:rPr>
        <w:t xml:space="preserve"> </w:t>
      </w:r>
      <w:r>
        <w:t>this</w:t>
      </w:r>
      <w:r>
        <w:rPr>
          <w:spacing w:val="-7"/>
        </w:rPr>
        <w:t xml:space="preserve"> </w:t>
      </w:r>
      <w:r>
        <w:t>ability</w:t>
      </w:r>
      <w:r>
        <w:rPr>
          <w:spacing w:val="-11"/>
        </w:rPr>
        <w:t xml:space="preserve"> </w:t>
      </w:r>
      <w:r>
        <w:t>cannot</w:t>
      </w:r>
      <w:r>
        <w:rPr>
          <w:spacing w:val="-5"/>
        </w:rPr>
        <w:t xml:space="preserve"> </w:t>
      </w:r>
      <w:r>
        <w:t>be</w:t>
      </w:r>
      <w:r>
        <w:rPr>
          <w:spacing w:val="-12"/>
        </w:rPr>
        <w:t xml:space="preserve"> </w:t>
      </w:r>
      <w:r>
        <w:t>grossly</w:t>
      </w:r>
      <w:r>
        <w:rPr>
          <w:spacing w:val="-6"/>
        </w:rPr>
        <w:t xml:space="preserve"> </w:t>
      </w:r>
      <w:r>
        <w:t>impaired in adults with this</w:t>
      </w:r>
      <w:r>
        <w:rPr>
          <w:spacing w:val="3"/>
        </w:rPr>
        <w:t xml:space="preserve"> </w:t>
      </w:r>
      <w:r>
        <w:t>disorder.</w:t>
      </w:r>
    </w:p>
    <w:p w14:paraId="5C6E7A1E" w14:textId="77777777" w:rsidR="00C75312" w:rsidRDefault="00BB293A">
      <w:pPr>
        <w:pStyle w:val="BodyText"/>
        <w:spacing w:before="116" w:line="480" w:lineRule="auto"/>
        <w:ind w:left="100" w:right="109" w:firstLine="720"/>
        <w:jc w:val="both"/>
      </w:pPr>
      <w:r>
        <w:t xml:space="preserve">Overall, with the exception of study of </w:t>
      </w:r>
      <w:proofErr w:type="spellStart"/>
      <w:r>
        <w:t>Altgassen</w:t>
      </w:r>
      <w:proofErr w:type="spellEnd"/>
      <w:r>
        <w:t xml:space="preserve"> and Koch (2014), the studies discussed above, suggest that event-based PM is impaired in ASD contrary to the initial landmark studies reviewed. However, based on the critical analysis of the studies’ methodology, such a conclusion should be drawn tentatively at best. Below a final set of studies exploring PM in ASD in more naturalistic settings will be discussed.</w:t>
      </w:r>
    </w:p>
    <w:p w14:paraId="154FCB8F" w14:textId="77777777" w:rsidR="00C75312" w:rsidRDefault="00BB293A">
      <w:pPr>
        <w:pStyle w:val="BodyText"/>
        <w:spacing w:before="120" w:line="480" w:lineRule="auto"/>
        <w:ind w:left="100" w:right="108" w:firstLine="720"/>
        <w:jc w:val="both"/>
      </w:pPr>
      <w:r>
        <w:rPr>
          <w:b/>
        </w:rPr>
        <w:t>“Real-life/naturalistic”</w:t>
      </w:r>
      <w:r>
        <w:rPr>
          <w:b/>
          <w:spacing w:val="-14"/>
        </w:rPr>
        <w:t xml:space="preserve"> </w:t>
      </w:r>
      <w:r>
        <w:rPr>
          <w:b/>
        </w:rPr>
        <w:t>studies</w:t>
      </w:r>
      <w:r>
        <w:rPr>
          <w:b/>
          <w:spacing w:val="-12"/>
        </w:rPr>
        <w:t xml:space="preserve"> </w:t>
      </w:r>
      <w:r>
        <w:rPr>
          <w:b/>
        </w:rPr>
        <w:t>of</w:t>
      </w:r>
      <w:r>
        <w:rPr>
          <w:b/>
          <w:spacing w:val="-13"/>
        </w:rPr>
        <w:t xml:space="preserve"> </w:t>
      </w:r>
      <w:r>
        <w:rPr>
          <w:b/>
        </w:rPr>
        <w:t>time-</w:t>
      </w:r>
      <w:r>
        <w:rPr>
          <w:b/>
          <w:spacing w:val="-8"/>
        </w:rPr>
        <w:t xml:space="preserve"> </w:t>
      </w:r>
      <w:r>
        <w:rPr>
          <w:b/>
        </w:rPr>
        <w:t>and</w:t>
      </w:r>
      <w:r>
        <w:rPr>
          <w:b/>
          <w:spacing w:val="-9"/>
        </w:rPr>
        <w:t xml:space="preserve"> </w:t>
      </w:r>
      <w:r>
        <w:rPr>
          <w:b/>
        </w:rPr>
        <w:t>event-based</w:t>
      </w:r>
      <w:r>
        <w:rPr>
          <w:b/>
          <w:spacing w:val="-9"/>
        </w:rPr>
        <w:t xml:space="preserve"> </w:t>
      </w:r>
      <w:r>
        <w:rPr>
          <w:b/>
        </w:rPr>
        <w:t>PM.</w:t>
      </w:r>
      <w:r>
        <w:rPr>
          <w:b/>
          <w:spacing w:val="39"/>
        </w:rPr>
        <w:t xml:space="preserve"> </w:t>
      </w:r>
      <w:r>
        <w:t>To</w:t>
      </w:r>
      <w:r>
        <w:rPr>
          <w:spacing w:val="-13"/>
        </w:rPr>
        <w:t xml:space="preserve"> </w:t>
      </w:r>
      <w:r>
        <w:t>explore</w:t>
      </w:r>
      <w:r>
        <w:rPr>
          <w:spacing w:val="-11"/>
        </w:rPr>
        <w:t xml:space="preserve"> </w:t>
      </w:r>
      <w:r>
        <w:t>both</w:t>
      </w:r>
      <w:r>
        <w:rPr>
          <w:spacing w:val="-10"/>
        </w:rPr>
        <w:t xml:space="preserve"> </w:t>
      </w:r>
      <w:r>
        <w:t xml:space="preserve">time- and event-based PM in a naturalistic setting </w:t>
      </w:r>
      <w:proofErr w:type="spellStart"/>
      <w:r>
        <w:t>Altgassen</w:t>
      </w:r>
      <w:proofErr w:type="spellEnd"/>
      <w:r>
        <w:t xml:space="preserve"> et al. (2012) tested 25 adults with ASD and 25 NT participants matched for chronological age and intellectual abilities. The ongoing task consisted of preparing breakfast (using props) for four people following a simple set of rules. Two time-based (taking the tea bag out of the tea after three minutes; putting butter on the table six minutes before guests arrive) and two event-based (preparing tea</w:t>
      </w:r>
      <w:r>
        <w:rPr>
          <w:spacing w:val="2"/>
        </w:rPr>
        <w:t xml:space="preserve"> </w:t>
      </w:r>
      <w:r>
        <w:t>immediately</w:t>
      </w:r>
    </w:p>
    <w:p w14:paraId="3140EDB0" w14:textId="77777777" w:rsidR="00C75312" w:rsidRDefault="00C75312">
      <w:pPr>
        <w:spacing w:line="480" w:lineRule="auto"/>
        <w:jc w:val="both"/>
        <w:sectPr w:rsidR="00C75312">
          <w:pgSz w:w="11900" w:h="16840"/>
          <w:pgMar w:top="1360" w:right="1320" w:bottom="280" w:left="1340" w:header="715" w:footer="0" w:gutter="0"/>
          <w:cols w:space="720"/>
        </w:sectPr>
      </w:pPr>
    </w:p>
    <w:p w14:paraId="22EB5062" w14:textId="77777777" w:rsidR="00C75312" w:rsidRDefault="00BB293A">
      <w:pPr>
        <w:pStyle w:val="BodyText"/>
        <w:spacing w:before="80" w:line="480" w:lineRule="auto"/>
        <w:ind w:left="100" w:right="108"/>
        <w:jc w:val="both"/>
      </w:pPr>
      <w:r>
        <w:lastRenderedPageBreak/>
        <w:t xml:space="preserve">after kettle went off, which was indicated by the kettle changing </w:t>
      </w:r>
      <w:proofErr w:type="spellStart"/>
      <w:r>
        <w:t>colour</w:t>
      </w:r>
      <w:proofErr w:type="spellEnd"/>
      <w:r>
        <w:t>; turning off the egg cooker</w:t>
      </w:r>
      <w:r>
        <w:rPr>
          <w:spacing w:val="-12"/>
        </w:rPr>
        <w:t xml:space="preserve"> </w:t>
      </w:r>
      <w:r>
        <w:t>when</w:t>
      </w:r>
      <w:r>
        <w:rPr>
          <w:spacing w:val="-13"/>
        </w:rPr>
        <w:t xml:space="preserve"> </w:t>
      </w:r>
      <w:r>
        <w:t>it</w:t>
      </w:r>
      <w:r>
        <w:rPr>
          <w:spacing w:val="-13"/>
        </w:rPr>
        <w:t xml:space="preserve"> </w:t>
      </w:r>
      <w:r>
        <w:t>beeped)</w:t>
      </w:r>
      <w:r>
        <w:rPr>
          <w:spacing w:val="-12"/>
        </w:rPr>
        <w:t xml:space="preserve"> </w:t>
      </w:r>
      <w:r>
        <w:t>PM</w:t>
      </w:r>
      <w:r>
        <w:rPr>
          <w:spacing w:val="-16"/>
        </w:rPr>
        <w:t xml:space="preserve"> </w:t>
      </w:r>
      <w:r>
        <w:t>components</w:t>
      </w:r>
      <w:r>
        <w:rPr>
          <w:spacing w:val="-16"/>
        </w:rPr>
        <w:t xml:space="preserve"> </w:t>
      </w:r>
      <w:r>
        <w:t>were</w:t>
      </w:r>
      <w:r>
        <w:rPr>
          <w:spacing w:val="-14"/>
        </w:rPr>
        <w:t xml:space="preserve"> </w:t>
      </w:r>
      <w:r>
        <w:t>embedded</w:t>
      </w:r>
      <w:r>
        <w:rPr>
          <w:spacing w:val="-13"/>
        </w:rPr>
        <w:t xml:space="preserve"> </w:t>
      </w:r>
      <w:r>
        <w:t>the</w:t>
      </w:r>
      <w:r>
        <w:rPr>
          <w:spacing w:val="-13"/>
        </w:rPr>
        <w:t xml:space="preserve"> </w:t>
      </w:r>
      <w:r>
        <w:t>breakfast</w:t>
      </w:r>
      <w:r>
        <w:rPr>
          <w:spacing w:val="-13"/>
        </w:rPr>
        <w:t xml:space="preserve"> </w:t>
      </w:r>
      <w:r>
        <w:t>preparation</w:t>
      </w:r>
      <w:r>
        <w:rPr>
          <w:spacing w:val="-13"/>
        </w:rPr>
        <w:t xml:space="preserve"> </w:t>
      </w:r>
      <w:r>
        <w:t>routine.</w:t>
      </w:r>
      <w:r>
        <w:rPr>
          <w:spacing w:val="36"/>
        </w:rPr>
        <w:t xml:space="preserve"> </w:t>
      </w:r>
      <w:r>
        <w:t>The aim of this complex paradigm was to mirror real life PM demands. In addition, participants also completed a standard measure of event-based PM (Red Pencil Test; Salthouse, Berish, &amp; Siedlecki, 2004), in which participants were asked to repeat the words ‘red pencil’ whenever the experimenter said ‘red pencil’ throughout the experimental session (which happened twice). Based on previous research, the authors predicted that only time-based PM would be diminished in the ASD group. In fact, however, particip</w:t>
      </w:r>
      <w:r>
        <w:t>ants with ASD showed diminished performance (i.e., more failures to complete the PM action) across all PM tasks. In relation</w:t>
      </w:r>
      <w:r>
        <w:rPr>
          <w:spacing w:val="-36"/>
        </w:rPr>
        <w:t xml:space="preserve"> </w:t>
      </w:r>
      <w:r>
        <w:t xml:space="preserve">to the time-based PM components of the breakfast task, the ASD group also monitored the time less often than the </w:t>
      </w:r>
      <w:r>
        <w:rPr>
          <w:spacing w:val="-3"/>
        </w:rPr>
        <w:t>NT</w:t>
      </w:r>
      <w:r>
        <w:rPr>
          <w:spacing w:val="8"/>
        </w:rPr>
        <w:t xml:space="preserve"> </w:t>
      </w:r>
      <w:r>
        <w:t>group.</w:t>
      </w:r>
    </w:p>
    <w:p w14:paraId="3877721B" w14:textId="77777777" w:rsidR="00C75312" w:rsidRDefault="00BB293A">
      <w:pPr>
        <w:pStyle w:val="BodyText"/>
        <w:spacing w:before="120" w:line="480" w:lineRule="auto"/>
        <w:ind w:left="100" w:right="104" w:firstLine="720"/>
        <w:jc w:val="both"/>
      </w:pPr>
      <w:r>
        <w:t xml:space="preserve">The authors concluded that all aspects of PM ability are impaired </w:t>
      </w:r>
      <w:r>
        <w:rPr>
          <w:i/>
        </w:rPr>
        <w:t xml:space="preserve">under real-life conditions </w:t>
      </w:r>
      <w:r>
        <w:t>in individuals with ASD. Although this conclusion may well be accurate, whether or</w:t>
      </w:r>
      <w:r>
        <w:rPr>
          <w:spacing w:val="-3"/>
        </w:rPr>
        <w:t xml:space="preserve"> </w:t>
      </w:r>
      <w:r>
        <w:t>not</w:t>
      </w:r>
      <w:r>
        <w:rPr>
          <w:spacing w:val="-8"/>
        </w:rPr>
        <w:t xml:space="preserve"> </w:t>
      </w:r>
      <w:r>
        <w:t>one</w:t>
      </w:r>
      <w:r>
        <w:rPr>
          <w:spacing w:val="-10"/>
        </w:rPr>
        <w:t xml:space="preserve"> </w:t>
      </w:r>
      <w:r>
        <w:t>can</w:t>
      </w:r>
      <w:r>
        <w:rPr>
          <w:spacing w:val="-4"/>
        </w:rPr>
        <w:t xml:space="preserve"> </w:t>
      </w:r>
      <w:r>
        <w:t>be</w:t>
      </w:r>
      <w:r>
        <w:rPr>
          <w:spacing w:val="-11"/>
        </w:rPr>
        <w:t xml:space="preserve"> </w:t>
      </w:r>
      <w:r>
        <w:t>certain</w:t>
      </w:r>
      <w:r>
        <w:rPr>
          <w:spacing w:val="-9"/>
        </w:rPr>
        <w:t xml:space="preserve"> </w:t>
      </w:r>
      <w:r>
        <w:t>of</w:t>
      </w:r>
      <w:r>
        <w:rPr>
          <w:spacing w:val="-7"/>
        </w:rPr>
        <w:t xml:space="preserve"> </w:t>
      </w:r>
      <w:r>
        <w:t>this</w:t>
      </w:r>
      <w:r>
        <w:rPr>
          <w:spacing w:val="-11"/>
        </w:rPr>
        <w:t xml:space="preserve"> </w:t>
      </w:r>
      <w:r>
        <w:t>from</w:t>
      </w:r>
      <w:r>
        <w:rPr>
          <w:spacing w:val="-8"/>
        </w:rPr>
        <w:t xml:space="preserve"> </w:t>
      </w:r>
      <w:r>
        <w:t>the</w:t>
      </w:r>
      <w:r>
        <w:rPr>
          <w:spacing w:val="-10"/>
        </w:rPr>
        <w:t xml:space="preserve"> </w:t>
      </w:r>
      <w:r>
        <w:t>data</w:t>
      </w:r>
      <w:r>
        <w:rPr>
          <w:spacing w:val="-6"/>
        </w:rPr>
        <w:t xml:space="preserve"> </w:t>
      </w:r>
      <w:r>
        <w:t>in</w:t>
      </w:r>
      <w:r>
        <w:rPr>
          <w:spacing w:val="-9"/>
        </w:rPr>
        <w:t xml:space="preserve"> </w:t>
      </w:r>
      <w:r>
        <w:t>this</w:t>
      </w:r>
      <w:r>
        <w:rPr>
          <w:spacing w:val="-6"/>
        </w:rPr>
        <w:t xml:space="preserve"> </w:t>
      </w:r>
      <w:r>
        <w:t>study</w:t>
      </w:r>
      <w:r>
        <w:rPr>
          <w:spacing w:val="-4"/>
        </w:rPr>
        <w:t xml:space="preserve"> </w:t>
      </w:r>
      <w:r>
        <w:t>is</w:t>
      </w:r>
      <w:r>
        <w:rPr>
          <w:spacing w:val="-7"/>
        </w:rPr>
        <w:t xml:space="preserve"> </w:t>
      </w:r>
      <w:proofErr w:type="spellStart"/>
      <w:r>
        <w:t>debateable</w:t>
      </w:r>
      <w:proofErr w:type="spellEnd"/>
      <w:r>
        <w:t>.</w:t>
      </w:r>
      <w:r>
        <w:rPr>
          <w:spacing w:val="46"/>
        </w:rPr>
        <w:t xml:space="preserve"> </w:t>
      </w:r>
      <w:r>
        <w:t>As</w:t>
      </w:r>
      <w:r>
        <w:rPr>
          <w:spacing w:val="-6"/>
        </w:rPr>
        <w:t xml:space="preserve"> </w:t>
      </w:r>
      <w:r>
        <w:t>the</w:t>
      </w:r>
      <w:r>
        <w:rPr>
          <w:spacing w:val="-10"/>
        </w:rPr>
        <w:t xml:space="preserve"> </w:t>
      </w:r>
      <w:r>
        <w:t>study</w:t>
      </w:r>
      <w:r>
        <w:rPr>
          <w:spacing w:val="-5"/>
        </w:rPr>
        <w:t xml:space="preserve"> </w:t>
      </w:r>
      <w:r>
        <w:t>required participants to carry out both time- and event-based PM tasks within the same ongoing task (breakfast preparation), difficulties with time-based PM could have potentially carried over to the</w:t>
      </w:r>
      <w:r>
        <w:rPr>
          <w:spacing w:val="-15"/>
        </w:rPr>
        <w:t xml:space="preserve"> </w:t>
      </w:r>
      <w:r>
        <w:t>event-based</w:t>
      </w:r>
      <w:r>
        <w:rPr>
          <w:spacing w:val="-13"/>
        </w:rPr>
        <w:t xml:space="preserve"> </w:t>
      </w:r>
      <w:r>
        <w:t>PM</w:t>
      </w:r>
      <w:r>
        <w:rPr>
          <w:spacing w:val="-16"/>
        </w:rPr>
        <w:t xml:space="preserve"> </w:t>
      </w:r>
      <w:r>
        <w:t>performance</w:t>
      </w:r>
      <w:r>
        <w:rPr>
          <w:spacing w:val="-14"/>
        </w:rPr>
        <w:t xml:space="preserve"> </w:t>
      </w:r>
      <w:r>
        <w:t>in</w:t>
      </w:r>
      <w:r>
        <w:rPr>
          <w:spacing w:val="-13"/>
        </w:rPr>
        <w:t xml:space="preserve"> </w:t>
      </w:r>
      <w:r>
        <w:t>the</w:t>
      </w:r>
      <w:r>
        <w:rPr>
          <w:spacing w:val="-15"/>
        </w:rPr>
        <w:t xml:space="preserve"> </w:t>
      </w:r>
      <w:r>
        <w:t>ASD</w:t>
      </w:r>
      <w:r>
        <w:rPr>
          <w:spacing w:val="-14"/>
        </w:rPr>
        <w:t xml:space="preserve"> </w:t>
      </w:r>
      <w:r>
        <w:t>group.</w:t>
      </w:r>
      <w:r>
        <w:rPr>
          <w:spacing w:val="31"/>
        </w:rPr>
        <w:t xml:space="preserve"> </w:t>
      </w:r>
      <w:r>
        <w:t>Thus,</w:t>
      </w:r>
      <w:r>
        <w:rPr>
          <w:spacing w:val="-11"/>
        </w:rPr>
        <w:t xml:space="preserve"> </w:t>
      </w:r>
      <w:r>
        <w:t>it</w:t>
      </w:r>
      <w:r>
        <w:rPr>
          <w:spacing w:val="-14"/>
        </w:rPr>
        <w:t xml:space="preserve"> </w:t>
      </w:r>
      <w:r>
        <w:t>may</w:t>
      </w:r>
      <w:r>
        <w:rPr>
          <w:spacing w:val="-13"/>
        </w:rPr>
        <w:t xml:space="preserve"> </w:t>
      </w:r>
      <w:r>
        <w:t>well</w:t>
      </w:r>
      <w:r>
        <w:rPr>
          <w:spacing w:val="-13"/>
        </w:rPr>
        <w:t xml:space="preserve"> </w:t>
      </w:r>
      <w:r>
        <w:t>be</w:t>
      </w:r>
      <w:r>
        <w:rPr>
          <w:spacing w:val="-14"/>
        </w:rPr>
        <w:t xml:space="preserve"> </w:t>
      </w:r>
      <w:r>
        <w:t>that</w:t>
      </w:r>
      <w:r>
        <w:rPr>
          <w:spacing w:val="-13"/>
        </w:rPr>
        <w:t xml:space="preserve"> </w:t>
      </w:r>
      <w:r>
        <w:t>ASD</w:t>
      </w:r>
      <w:r>
        <w:rPr>
          <w:spacing w:val="-15"/>
        </w:rPr>
        <w:t xml:space="preserve"> </w:t>
      </w:r>
      <w:r>
        <w:t xml:space="preserve">participants might not have been impaired in event-based PM in a real-life setting </w:t>
      </w:r>
      <w:r>
        <w:rPr>
          <w:spacing w:val="-3"/>
        </w:rPr>
        <w:t xml:space="preserve">if </w:t>
      </w:r>
      <w:r>
        <w:t>they were not simultaneously</w:t>
      </w:r>
      <w:r>
        <w:rPr>
          <w:spacing w:val="-12"/>
        </w:rPr>
        <w:t xml:space="preserve"> </w:t>
      </w:r>
      <w:r>
        <w:t>having</w:t>
      </w:r>
      <w:r>
        <w:rPr>
          <w:spacing w:val="-11"/>
        </w:rPr>
        <w:t xml:space="preserve"> </w:t>
      </w:r>
      <w:r>
        <w:t>to</w:t>
      </w:r>
      <w:r>
        <w:rPr>
          <w:spacing w:val="-11"/>
        </w:rPr>
        <w:t xml:space="preserve"> </w:t>
      </w:r>
      <w:r>
        <w:t>carry</w:t>
      </w:r>
      <w:r>
        <w:rPr>
          <w:spacing w:val="-14"/>
        </w:rPr>
        <w:t xml:space="preserve"> </w:t>
      </w:r>
      <w:r>
        <w:t>out</w:t>
      </w:r>
      <w:r>
        <w:rPr>
          <w:spacing w:val="-10"/>
        </w:rPr>
        <w:t xml:space="preserve"> </w:t>
      </w:r>
      <w:r>
        <w:t>time-based</w:t>
      </w:r>
      <w:r>
        <w:rPr>
          <w:spacing w:val="-11"/>
        </w:rPr>
        <w:t xml:space="preserve"> </w:t>
      </w:r>
      <w:r>
        <w:t>PM.</w:t>
      </w:r>
      <w:r>
        <w:rPr>
          <w:spacing w:val="41"/>
        </w:rPr>
        <w:t xml:space="preserve"> </w:t>
      </w:r>
      <w:r>
        <w:t>Moreover,</w:t>
      </w:r>
      <w:r>
        <w:rPr>
          <w:spacing w:val="-13"/>
        </w:rPr>
        <w:t xml:space="preserve"> </w:t>
      </w:r>
      <w:r>
        <w:t>the</w:t>
      </w:r>
      <w:r>
        <w:rPr>
          <w:spacing w:val="-12"/>
        </w:rPr>
        <w:t xml:space="preserve"> </w:t>
      </w:r>
      <w:r>
        <w:t>ongoing</w:t>
      </w:r>
      <w:r>
        <w:rPr>
          <w:spacing w:val="-14"/>
        </w:rPr>
        <w:t xml:space="preserve"> </w:t>
      </w:r>
      <w:r>
        <w:t>task</w:t>
      </w:r>
      <w:r>
        <w:rPr>
          <w:spacing w:val="-11"/>
        </w:rPr>
        <w:t xml:space="preserve"> </w:t>
      </w:r>
      <w:r>
        <w:t>itself</w:t>
      </w:r>
      <w:r>
        <w:rPr>
          <w:spacing w:val="-10"/>
        </w:rPr>
        <w:t xml:space="preserve"> </w:t>
      </w:r>
      <w:r>
        <w:t>appeared to be significantly more challenging for the ASD group than for the comparison group, as indicated by significantly worse overall ongoing task completion, as well as significantly less rule adherence and less efficient performance throughout the experiment among ASD participants. Finally, it is highl</w:t>
      </w:r>
      <w:r>
        <w:t>y problematic that memory for the PM instruction was not checked</w:t>
      </w:r>
      <w:r>
        <w:rPr>
          <w:spacing w:val="29"/>
        </w:rPr>
        <w:t xml:space="preserve"> </w:t>
      </w:r>
      <w:r>
        <w:t>after</w:t>
      </w:r>
      <w:r>
        <w:rPr>
          <w:spacing w:val="31"/>
        </w:rPr>
        <w:t xml:space="preserve"> </w:t>
      </w:r>
      <w:r>
        <w:t>task</w:t>
      </w:r>
      <w:r>
        <w:rPr>
          <w:spacing w:val="29"/>
        </w:rPr>
        <w:t xml:space="preserve"> </w:t>
      </w:r>
      <w:r>
        <w:t>completion.</w:t>
      </w:r>
      <w:r>
        <w:rPr>
          <w:spacing w:val="1"/>
        </w:rPr>
        <w:t xml:space="preserve"> </w:t>
      </w:r>
      <w:r>
        <w:t>This</w:t>
      </w:r>
      <w:r>
        <w:rPr>
          <w:spacing w:val="28"/>
        </w:rPr>
        <w:t xml:space="preserve"> </w:t>
      </w:r>
      <w:r>
        <w:t>is</w:t>
      </w:r>
      <w:r>
        <w:rPr>
          <w:spacing w:val="27"/>
        </w:rPr>
        <w:t xml:space="preserve"> </w:t>
      </w:r>
      <w:r>
        <w:t>crucial,</w:t>
      </w:r>
      <w:r>
        <w:rPr>
          <w:spacing w:val="32"/>
        </w:rPr>
        <w:t xml:space="preserve"> </w:t>
      </w:r>
      <w:r>
        <w:t>because</w:t>
      </w:r>
      <w:r>
        <w:rPr>
          <w:spacing w:val="29"/>
        </w:rPr>
        <w:t xml:space="preserve"> </w:t>
      </w:r>
      <w:r>
        <w:t>there</w:t>
      </w:r>
      <w:r>
        <w:rPr>
          <w:spacing w:val="28"/>
        </w:rPr>
        <w:t xml:space="preserve"> </w:t>
      </w:r>
      <w:r>
        <w:t>was</w:t>
      </w:r>
      <w:r>
        <w:rPr>
          <w:spacing w:val="28"/>
        </w:rPr>
        <w:t xml:space="preserve"> </w:t>
      </w:r>
      <w:r>
        <w:t>a</w:t>
      </w:r>
      <w:r>
        <w:rPr>
          <w:spacing w:val="28"/>
        </w:rPr>
        <w:t xml:space="preserve"> </w:t>
      </w:r>
      <w:r>
        <w:t>minimum</w:t>
      </w:r>
      <w:r>
        <w:rPr>
          <w:spacing w:val="30"/>
        </w:rPr>
        <w:t xml:space="preserve"> </w:t>
      </w:r>
      <w:r>
        <w:t>delay</w:t>
      </w:r>
      <w:r>
        <w:rPr>
          <w:spacing w:val="29"/>
        </w:rPr>
        <w:t xml:space="preserve"> </w:t>
      </w:r>
      <w:r>
        <w:t>of</w:t>
      </w:r>
      <w:r>
        <w:rPr>
          <w:spacing w:val="31"/>
        </w:rPr>
        <w:t xml:space="preserve"> </w:t>
      </w:r>
      <w:r>
        <w:t>15</w:t>
      </w:r>
    </w:p>
    <w:p w14:paraId="5961399E" w14:textId="77777777" w:rsidR="00C75312" w:rsidRDefault="00C75312">
      <w:pPr>
        <w:spacing w:line="480" w:lineRule="auto"/>
        <w:jc w:val="both"/>
        <w:sectPr w:rsidR="00C75312">
          <w:pgSz w:w="11900" w:h="16840"/>
          <w:pgMar w:top="1360" w:right="1320" w:bottom="280" w:left="1340" w:header="715" w:footer="0" w:gutter="0"/>
          <w:cols w:space="720"/>
        </w:sectPr>
      </w:pPr>
    </w:p>
    <w:p w14:paraId="01EC4B01" w14:textId="77777777" w:rsidR="00C75312" w:rsidRDefault="00BB293A">
      <w:pPr>
        <w:pStyle w:val="BodyText"/>
        <w:spacing w:before="80" w:line="480" w:lineRule="auto"/>
        <w:ind w:left="100" w:right="111"/>
        <w:jc w:val="both"/>
      </w:pPr>
      <w:r>
        <w:lastRenderedPageBreak/>
        <w:t>minutes between encoding the PM instruction and the beginning of the experimental task, which might have promoted forgetting of the task rules.</w:t>
      </w:r>
    </w:p>
    <w:p w14:paraId="6106085A" w14:textId="77777777" w:rsidR="00C75312" w:rsidRDefault="00BB293A">
      <w:pPr>
        <w:pStyle w:val="BodyText"/>
        <w:spacing w:before="120" w:line="480" w:lineRule="auto"/>
        <w:ind w:left="100" w:right="107" w:firstLine="720"/>
        <w:jc w:val="both"/>
      </w:pPr>
      <w:r>
        <w:t>Two</w:t>
      </w:r>
      <w:r>
        <w:rPr>
          <w:spacing w:val="-10"/>
        </w:rPr>
        <w:t xml:space="preserve"> </w:t>
      </w:r>
      <w:r>
        <w:t>other</w:t>
      </w:r>
      <w:r>
        <w:rPr>
          <w:spacing w:val="-8"/>
        </w:rPr>
        <w:t xml:space="preserve"> </w:t>
      </w:r>
      <w:r>
        <w:t>studies</w:t>
      </w:r>
      <w:r>
        <w:rPr>
          <w:spacing w:val="-11"/>
        </w:rPr>
        <w:t xml:space="preserve"> </w:t>
      </w:r>
      <w:r>
        <w:t>aimed</w:t>
      </w:r>
      <w:r>
        <w:rPr>
          <w:spacing w:val="-10"/>
        </w:rPr>
        <w:t xml:space="preserve"> </w:t>
      </w:r>
      <w:r>
        <w:t>to</w:t>
      </w:r>
      <w:r>
        <w:rPr>
          <w:spacing w:val="-10"/>
        </w:rPr>
        <w:t xml:space="preserve"> </w:t>
      </w:r>
      <w:r>
        <w:t>explore</w:t>
      </w:r>
      <w:r>
        <w:rPr>
          <w:spacing w:val="-10"/>
        </w:rPr>
        <w:t xml:space="preserve"> </w:t>
      </w:r>
      <w:r>
        <w:t>PM</w:t>
      </w:r>
      <w:r>
        <w:rPr>
          <w:spacing w:val="-12"/>
        </w:rPr>
        <w:t xml:space="preserve"> </w:t>
      </w:r>
      <w:r>
        <w:t>in</w:t>
      </w:r>
      <w:r>
        <w:rPr>
          <w:spacing w:val="-9"/>
        </w:rPr>
        <w:t xml:space="preserve"> </w:t>
      </w:r>
      <w:r>
        <w:t>ASD</w:t>
      </w:r>
      <w:r>
        <w:rPr>
          <w:spacing w:val="-10"/>
        </w:rPr>
        <w:t xml:space="preserve"> </w:t>
      </w:r>
      <w:r>
        <w:t>in</w:t>
      </w:r>
      <w:r>
        <w:rPr>
          <w:spacing w:val="-10"/>
        </w:rPr>
        <w:t xml:space="preserve"> </w:t>
      </w:r>
      <w:r>
        <w:t>a</w:t>
      </w:r>
      <w:r>
        <w:rPr>
          <w:spacing w:val="-10"/>
        </w:rPr>
        <w:t xml:space="preserve"> </w:t>
      </w:r>
      <w:r>
        <w:t>more</w:t>
      </w:r>
      <w:r>
        <w:rPr>
          <w:spacing w:val="-11"/>
        </w:rPr>
        <w:t xml:space="preserve"> </w:t>
      </w:r>
      <w:r>
        <w:t>“real-life”</w:t>
      </w:r>
      <w:r>
        <w:rPr>
          <w:spacing w:val="-10"/>
        </w:rPr>
        <w:t xml:space="preserve"> </w:t>
      </w:r>
      <w:r>
        <w:t>setting.</w:t>
      </w:r>
      <w:r>
        <w:rPr>
          <w:spacing w:val="44"/>
        </w:rPr>
        <w:t xml:space="preserve"> </w:t>
      </w:r>
      <w:r>
        <w:t>Both</w:t>
      </w:r>
      <w:r>
        <w:rPr>
          <w:spacing w:val="-9"/>
        </w:rPr>
        <w:t xml:space="preserve"> </w:t>
      </w:r>
      <w:r>
        <w:t>used the</w:t>
      </w:r>
      <w:r>
        <w:rPr>
          <w:spacing w:val="-11"/>
        </w:rPr>
        <w:t xml:space="preserve"> </w:t>
      </w:r>
      <w:r>
        <w:t>Virtual</w:t>
      </w:r>
      <w:r>
        <w:rPr>
          <w:spacing w:val="-8"/>
        </w:rPr>
        <w:t xml:space="preserve"> </w:t>
      </w:r>
      <w:r>
        <w:t>Week</w:t>
      </w:r>
      <w:r>
        <w:rPr>
          <w:spacing w:val="-9"/>
        </w:rPr>
        <w:t xml:space="preserve"> </w:t>
      </w:r>
      <w:r>
        <w:t>paradigm</w:t>
      </w:r>
      <w:r>
        <w:rPr>
          <w:spacing w:val="-14"/>
        </w:rPr>
        <w:t xml:space="preserve"> </w:t>
      </w:r>
      <w:r>
        <w:t>(see</w:t>
      </w:r>
      <w:r>
        <w:rPr>
          <w:spacing w:val="-10"/>
        </w:rPr>
        <w:t xml:space="preserve"> </w:t>
      </w:r>
      <w:r>
        <w:t>Rendell</w:t>
      </w:r>
      <w:r>
        <w:rPr>
          <w:spacing w:val="-8"/>
        </w:rPr>
        <w:t xml:space="preserve"> </w:t>
      </w:r>
      <w:r>
        <w:t>and</w:t>
      </w:r>
      <w:r>
        <w:rPr>
          <w:spacing w:val="-9"/>
        </w:rPr>
        <w:t xml:space="preserve"> </w:t>
      </w:r>
      <w:r>
        <w:t>Henry,</w:t>
      </w:r>
      <w:r>
        <w:rPr>
          <w:spacing w:val="-7"/>
        </w:rPr>
        <w:t xml:space="preserve"> </w:t>
      </w:r>
      <w:r>
        <w:t>2009</w:t>
      </w:r>
      <w:r>
        <w:rPr>
          <w:spacing w:val="-13"/>
        </w:rPr>
        <w:t xml:space="preserve"> </w:t>
      </w:r>
      <w:r>
        <w:t>for</w:t>
      </w:r>
      <w:r>
        <w:rPr>
          <w:spacing w:val="-12"/>
        </w:rPr>
        <w:t xml:space="preserve"> </w:t>
      </w:r>
      <w:r>
        <w:t>full</w:t>
      </w:r>
      <w:r>
        <w:rPr>
          <w:spacing w:val="-8"/>
        </w:rPr>
        <w:t xml:space="preserve"> </w:t>
      </w:r>
      <w:r>
        <w:t>details</w:t>
      </w:r>
      <w:r>
        <w:rPr>
          <w:spacing w:val="-12"/>
        </w:rPr>
        <w:t xml:space="preserve"> </w:t>
      </w:r>
      <w:r>
        <w:rPr>
          <w:spacing w:val="-3"/>
        </w:rPr>
        <w:t>of</w:t>
      </w:r>
      <w:r>
        <w:rPr>
          <w:spacing w:val="-7"/>
        </w:rPr>
        <w:t xml:space="preserve"> </w:t>
      </w:r>
      <w:r>
        <w:t>the</w:t>
      </w:r>
      <w:r>
        <w:rPr>
          <w:spacing w:val="-10"/>
        </w:rPr>
        <w:t xml:space="preserve"> </w:t>
      </w:r>
      <w:r>
        <w:t>paradigm).</w:t>
      </w:r>
      <w:r>
        <w:rPr>
          <w:spacing w:val="35"/>
        </w:rPr>
        <w:t xml:space="preserve"> </w:t>
      </w:r>
      <w:r>
        <w:t xml:space="preserve">The Virtual Week is a </w:t>
      </w:r>
      <w:proofErr w:type="spellStart"/>
      <w:r>
        <w:t>computerised</w:t>
      </w:r>
      <w:proofErr w:type="spellEnd"/>
      <w:r>
        <w:t xml:space="preserve"> single player board game that simulates five to seven days of a week. Depending on the version of the task, the day and time of the virtual day are either always</w:t>
      </w:r>
      <w:r>
        <w:rPr>
          <w:spacing w:val="-12"/>
        </w:rPr>
        <w:t xml:space="preserve"> </w:t>
      </w:r>
      <w:r>
        <w:t>visible,</w:t>
      </w:r>
      <w:r>
        <w:rPr>
          <w:spacing w:val="-7"/>
        </w:rPr>
        <w:t xml:space="preserve"> </w:t>
      </w:r>
      <w:r>
        <w:t>or</w:t>
      </w:r>
      <w:r>
        <w:rPr>
          <w:spacing w:val="-8"/>
        </w:rPr>
        <w:t xml:space="preserve"> </w:t>
      </w:r>
      <w:r>
        <w:t>appear</w:t>
      </w:r>
      <w:r>
        <w:rPr>
          <w:spacing w:val="-8"/>
        </w:rPr>
        <w:t xml:space="preserve"> </w:t>
      </w:r>
      <w:r>
        <w:t>only</w:t>
      </w:r>
      <w:r>
        <w:rPr>
          <w:spacing w:val="-14"/>
        </w:rPr>
        <w:t xml:space="preserve"> </w:t>
      </w:r>
      <w:r>
        <w:t>after</w:t>
      </w:r>
      <w:r>
        <w:rPr>
          <w:spacing w:val="-8"/>
        </w:rPr>
        <w:t xml:space="preserve"> </w:t>
      </w:r>
      <w:r>
        <w:t>a</w:t>
      </w:r>
      <w:r>
        <w:rPr>
          <w:spacing w:val="-15"/>
        </w:rPr>
        <w:t xml:space="preserve"> </w:t>
      </w:r>
      <w:r>
        <w:t>particular</w:t>
      </w:r>
      <w:r>
        <w:rPr>
          <w:spacing w:val="-8"/>
        </w:rPr>
        <w:t xml:space="preserve"> </w:t>
      </w:r>
      <w:r>
        <w:t>keyboard</w:t>
      </w:r>
      <w:r>
        <w:rPr>
          <w:spacing w:val="-10"/>
        </w:rPr>
        <w:t xml:space="preserve"> </w:t>
      </w:r>
      <w:r>
        <w:t>key</w:t>
      </w:r>
      <w:r>
        <w:rPr>
          <w:spacing w:val="-10"/>
        </w:rPr>
        <w:t xml:space="preserve"> </w:t>
      </w:r>
      <w:r>
        <w:t>is</w:t>
      </w:r>
      <w:r>
        <w:rPr>
          <w:spacing w:val="-12"/>
        </w:rPr>
        <w:t xml:space="preserve"> </w:t>
      </w:r>
      <w:r>
        <w:t>pressed</w:t>
      </w:r>
      <w:r>
        <w:rPr>
          <w:spacing w:val="-10"/>
        </w:rPr>
        <w:t xml:space="preserve"> </w:t>
      </w:r>
      <w:r>
        <w:t>by</w:t>
      </w:r>
      <w:r>
        <w:rPr>
          <w:spacing w:val="-10"/>
        </w:rPr>
        <w:t xml:space="preserve"> </w:t>
      </w:r>
      <w:r>
        <w:t>the</w:t>
      </w:r>
      <w:r>
        <w:rPr>
          <w:spacing w:val="-11"/>
        </w:rPr>
        <w:t xml:space="preserve"> </w:t>
      </w:r>
      <w:r>
        <w:t>participant.</w:t>
      </w:r>
      <w:r>
        <w:rPr>
          <w:spacing w:val="40"/>
        </w:rPr>
        <w:t xml:space="preserve"> </w:t>
      </w:r>
      <w:r>
        <w:t>The player rolls a die and moves a token around a board of 121 squares that represents one virtual day. On each virtual day, the player will pass 10 squares, which require them to pick up an action card. Each action card poses a</w:t>
      </w:r>
      <w:r>
        <w:t xml:space="preserve"> question about an activity for that time </w:t>
      </w:r>
      <w:r>
        <w:rPr>
          <w:spacing w:val="-3"/>
        </w:rPr>
        <w:t xml:space="preserve">of </w:t>
      </w:r>
      <w:r>
        <w:t>the day that the</w:t>
      </w:r>
      <w:r>
        <w:rPr>
          <w:spacing w:val="-12"/>
        </w:rPr>
        <w:t xml:space="preserve"> </w:t>
      </w:r>
      <w:r>
        <w:t>participant</w:t>
      </w:r>
      <w:r>
        <w:rPr>
          <w:spacing w:val="-14"/>
        </w:rPr>
        <w:t xml:space="preserve"> </w:t>
      </w:r>
      <w:r>
        <w:t>has</w:t>
      </w:r>
      <w:r>
        <w:rPr>
          <w:spacing w:val="-12"/>
        </w:rPr>
        <w:t xml:space="preserve"> </w:t>
      </w:r>
      <w:r>
        <w:t>to</w:t>
      </w:r>
      <w:r>
        <w:rPr>
          <w:spacing w:val="-14"/>
        </w:rPr>
        <w:t xml:space="preserve"> </w:t>
      </w:r>
      <w:r>
        <w:t>make</w:t>
      </w:r>
      <w:r>
        <w:rPr>
          <w:spacing w:val="-11"/>
        </w:rPr>
        <w:t xml:space="preserve"> </w:t>
      </w:r>
      <w:r>
        <w:t>a</w:t>
      </w:r>
      <w:r>
        <w:rPr>
          <w:spacing w:val="-11"/>
        </w:rPr>
        <w:t xml:space="preserve"> </w:t>
      </w:r>
      <w:r>
        <w:t>decision</w:t>
      </w:r>
      <w:r>
        <w:rPr>
          <w:spacing w:val="-11"/>
        </w:rPr>
        <w:t xml:space="preserve"> </w:t>
      </w:r>
      <w:r>
        <w:t>about</w:t>
      </w:r>
      <w:r>
        <w:rPr>
          <w:spacing w:val="-14"/>
        </w:rPr>
        <w:t xml:space="preserve"> </w:t>
      </w:r>
      <w:r>
        <w:t>(e.g.,</w:t>
      </w:r>
      <w:r>
        <w:rPr>
          <w:spacing w:val="-7"/>
        </w:rPr>
        <w:t xml:space="preserve"> </w:t>
      </w:r>
      <w:r>
        <w:t>choosing</w:t>
      </w:r>
      <w:r>
        <w:rPr>
          <w:spacing w:val="-10"/>
        </w:rPr>
        <w:t xml:space="preserve"> </w:t>
      </w:r>
      <w:r>
        <w:t>between</w:t>
      </w:r>
      <w:r>
        <w:rPr>
          <w:spacing w:val="-11"/>
        </w:rPr>
        <w:t xml:space="preserve"> </w:t>
      </w:r>
      <w:r>
        <w:t>three</w:t>
      </w:r>
      <w:r>
        <w:rPr>
          <w:spacing w:val="-11"/>
        </w:rPr>
        <w:t xml:space="preserve"> </w:t>
      </w:r>
      <w:r>
        <w:t>options</w:t>
      </w:r>
      <w:r>
        <w:rPr>
          <w:spacing w:val="-12"/>
        </w:rPr>
        <w:t xml:space="preserve"> </w:t>
      </w:r>
      <w:r>
        <w:t>for</w:t>
      </w:r>
      <w:r>
        <w:rPr>
          <w:spacing w:val="-13"/>
        </w:rPr>
        <w:t xml:space="preserve"> </w:t>
      </w:r>
      <w:r>
        <w:t>that</w:t>
      </w:r>
      <w:r>
        <w:rPr>
          <w:spacing w:val="-14"/>
        </w:rPr>
        <w:t xml:space="preserve"> </w:t>
      </w:r>
      <w:r>
        <w:t>day’s breakfast). Importantly, each choice determines whether the player has to roll a specific, an odd, or any number with their die on their next move to be allowed to continue moving their token around the board (which is revealed to them after selecting an activity option). Participants are unable to move on and have to repeat rolling the die until they have rolled the specific die number required. Hence the demands of rolling the die, moving the token around the board and making decisions about the act</w:t>
      </w:r>
      <w:r>
        <w:t xml:space="preserve">ivities to participate in, serve as the ongoing activity. Due to this board game nature </w:t>
      </w:r>
      <w:r>
        <w:rPr>
          <w:spacing w:val="-3"/>
        </w:rPr>
        <w:t xml:space="preserve">of </w:t>
      </w:r>
      <w:r>
        <w:t>the task, the Virtual Week does not provide a measure of ongoing task performance per se, unlike more laboratory PM tasks. Additionally, each</w:t>
      </w:r>
      <w:r>
        <w:rPr>
          <w:spacing w:val="-10"/>
        </w:rPr>
        <w:t xml:space="preserve"> </w:t>
      </w:r>
      <w:r>
        <w:t>day,</w:t>
      </w:r>
      <w:r>
        <w:rPr>
          <w:spacing w:val="-6"/>
        </w:rPr>
        <w:t xml:space="preserve"> </w:t>
      </w:r>
      <w:r>
        <w:t>a</w:t>
      </w:r>
      <w:r>
        <w:rPr>
          <w:spacing w:val="-10"/>
        </w:rPr>
        <w:t xml:space="preserve"> </w:t>
      </w:r>
      <w:r>
        <w:t>total</w:t>
      </w:r>
      <w:r>
        <w:rPr>
          <w:spacing w:val="-8"/>
        </w:rPr>
        <w:t xml:space="preserve"> </w:t>
      </w:r>
      <w:r>
        <w:t>of</w:t>
      </w:r>
      <w:r>
        <w:rPr>
          <w:spacing w:val="-7"/>
        </w:rPr>
        <w:t xml:space="preserve"> </w:t>
      </w:r>
      <w:r>
        <w:t>four</w:t>
      </w:r>
      <w:r>
        <w:rPr>
          <w:spacing w:val="-7"/>
        </w:rPr>
        <w:t xml:space="preserve"> </w:t>
      </w:r>
      <w:r>
        <w:t>time-</w:t>
      </w:r>
      <w:r>
        <w:rPr>
          <w:spacing w:val="-12"/>
        </w:rPr>
        <w:t xml:space="preserve"> </w:t>
      </w:r>
      <w:r>
        <w:t>and</w:t>
      </w:r>
      <w:r>
        <w:rPr>
          <w:spacing w:val="-9"/>
        </w:rPr>
        <w:t xml:space="preserve"> </w:t>
      </w:r>
      <w:r>
        <w:t>four</w:t>
      </w:r>
      <w:r>
        <w:rPr>
          <w:spacing w:val="-7"/>
        </w:rPr>
        <w:t xml:space="preserve"> </w:t>
      </w:r>
      <w:r>
        <w:t>event-based</w:t>
      </w:r>
      <w:r>
        <w:rPr>
          <w:spacing w:val="-4"/>
        </w:rPr>
        <w:t xml:space="preserve"> </w:t>
      </w:r>
      <w:r>
        <w:t>PM</w:t>
      </w:r>
      <w:r>
        <w:rPr>
          <w:spacing w:val="-11"/>
        </w:rPr>
        <w:t xml:space="preserve"> </w:t>
      </w:r>
      <w:r>
        <w:t>tasks</w:t>
      </w:r>
      <w:r>
        <w:rPr>
          <w:spacing w:val="-11"/>
        </w:rPr>
        <w:t xml:space="preserve"> </w:t>
      </w:r>
      <w:r>
        <w:t>have</w:t>
      </w:r>
      <w:r>
        <w:rPr>
          <w:spacing w:val="-10"/>
        </w:rPr>
        <w:t xml:space="preserve"> </w:t>
      </w:r>
      <w:r>
        <w:t>to</w:t>
      </w:r>
      <w:r>
        <w:rPr>
          <w:spacing w:val="-9"/>
        </w:rPr>
        <w:t xml:space="preserve"> </w:t>
      </w:r>
      <w:r>
        <w:t>be</w:t>
      </w:r>
      <w:r>
        <w:rPr>
          <w:spacing w:val="-10"/>
        </w:rPr>
        <w:t xml:space="preserve"> </w:t>
      </w:r>
      <w:r>
        <w:t>carried</w:t>
      </w:r>
      <w:r>
        <w:rPr>
          <w:spacing w:val="-9"/>
        </w:rPr>
        <w:t xml:space="preserve"> </w:t>
      </w:r>
      <w:r>
        <w:t>out,</w:t>
      </w:r>
      <w:r>
        <w:rPr>
          <w:spacing w:val="-6"/>
        </w:rPr>
        <w:t xml:space="preserve"> </w:t>
      </w:r>
      <w:r>
        <w:t>in</w:t>
      </w:r>
      <w:r>
        <w:rPr>
          <w:spacing w:val="-9"/>
        </w:rPr>
        <w:t xml:space="preserve"> </w:t>
      </w:r>
      <w:r>
        <w:t>addition to the 10 activity-related decisions that are inherent to the game. The event-based PM tasks have to be carried when a particular event occurs (as indicated by the action cards; e.g., ta</w:t>
      </w:r>
      <w:r>
        <w:t>ke medication at breakfast would be triggered by the breakfast card). The time-based PM tasks have to be carried out at a set time of the virtual day (e.g., phone the plumber at 5pm). Some PM</w:t>
      </w:r>
      <w:r>
        <w:rPr>
          <w:spacing w:val="6"/>
        </w:rPr>
        <w:t xml:space="preserve"> </w:t>
      </w:r>
      <w:r>
        <w:t>tasks</w:t>
      </w:r>
      <w:r>
        <w:rPr>
          <w:spacing w:val="7"/>
        </w:rPr>
        <w:t xml:space="preserve"> </w:t>
      </w:r>
      <w:r>
        <w:t>require</w:t>
      </w:r>
      <w:r>
        <w:rPr>
          <w:spacing w:val="9"/>
        </w:rPr>
        <w:t xml:space="preserve"> </w:t>
      </w:r>
      <w:r>
        <w:t>execution</w:t>
      </w:r>
      <w:r>
        <w:rPr>
          <w:spacing w:val="10"/>
        </w:rPr>
        <w:t xml:space="preserve"> </w:t>
      </w:r>
      <w:r>
        <w:t>on</w:t>
      </w:r>
      <w:r>
        <w:rPr>
          <w:spacing w:val="10"/>
        </w:rPr>
        <w:t xml:space="preserve"> </w:t>
      </w:r>
      <w:r>
        <w:t>a</w:t>
      </w:r>
      <w:r>
        <w:rPr>
          <w:spacing w:val="4"/>
        </w:rPr>
        <w:t xml:space="preserve"> </w:t>
      </w:r>
      <w:r>
        <w:t>regular</w:t>
      </w:r>
      <w:r>
        <w:rPr>
          <w:spacing w:val="10"/>
        </w:rPr>
        <w:t xml:space="preserve"> </w:t>
      </w:r>
      <w:r>
        <w:t>basis</w:t>
      </w:r>
      <w:r>
        <w:rPr>
          <w:spacing w:val="7"/>
        </w:rPr>
        <w:t xml:space="preserve"> </w:t>
      </w:r>
      <w:r>
        <w:t>whereas</w:t>
      </w:r>
      <w:r>
        <w:rPr>
          <w:spacing w:val="7"/>
        </w:rPr>
        <w:t xml:space="preserve"> </w:t>
      </w:r>
      <w:r>
        <w:t>others</w:t>
      </w:r>
      <w:r>
        <w:rPr>
          <w:spacing w:val="7"/>
        </w:rPr>
        <w:t xml:space="preserve"> </w:t>
      </w:r>
      <w:r>
        <w:t>are</w:t>
      </w:r>
      <w:r>
        <w:rPr>
          <w:spacing w:val="9"/>
        </w:rPr>
        <w:t xml:space="preserve"> </w:t>
      </w:r>
      <w:r>
        <w:t>irregular.</w:t>
      </w:r>
      <w:r>
        <w:rPr>
          <w:spacing w:val="17"/>
        </w:rPr>
        <w:t xml:space="preserve"> </w:t>
      </w:r>
      <w:r>
        <w:t>The</w:t>
      </w:r>
      <w:r>
        <w:rPr>
          <w:spacing w:val="4"/>
        </w:rPr>
        <w:t xml:space="preserve"> </w:t>
      </w:r>
      <w:r>
        <w:t>regular</w:t>
      </w:r>
      <w:r>
        <w:rPr>
          <w:spacing w:val="5"/>
        </w:rPr>
        <w:t xml:space="preserve"> </w:t>
      </w:r>
      <w:r>
        <w:t>ones</w:t>
      </w:r>
    </w:p>
    <w:p w14:paraId="3F7B5E3B" w14:textId="77777777" w:rsidR="00C75312" w:rsidRDefault="00C75312">
      <w:pPr>
        <w:spacing w:line="480" w:lineRule="auto"/>
        <w:jc w:val="both"/>
        <w:sectPr w:rsidR="00C75312">
          <w:pgSz w:w="11900" w:h="16840"/>
          <w:pgMar w:top="1360" w:right="1320" w:bottom="280" w:left="1340" w:header="715" w:footer="0" w:gutter="0"/>
          <w:cols w:space="720"/>
        </w:sectPr>
      </w:pPr>
    </w:p>
    <w:p w14:paraId="7ADADFBC" w14:textId="77777777" w:rsidR="00C75312" w:rsidRDefault="00BB293A">
      <w:pPr>
        <w:pStyle w:val="BodyText"/>
        <w:spacing w:before="80" w:line="480" w:lineRule="auto"/>
        <w:ind w:left="100" w:right="109"/>
        <w:jc w:val="both"/>
      </w:pPr>
      <w:r>
        <w:lastRenderedPageBreak/>
        <w:t>are</w:t>
      </w:r>
      <w:r>
        <w:rPr>
          <w:spacing w:val="-12"/>
        </w:rPr>
        <w:t xml:space="preserve"> </w:t>
      </w:r>
      <w:r>
        <w:t>the</w:t>
      </w:r>
      <w:r>
        <w:rPr>
          <w:spacing w:val="-12"/>
        </w:rPr>
        <w:t xml:space="preserve"> </w:t>
      </w:r>
      <w:r>
        <w:t>same</w:t>
      </w:r>
      <w:r>
        <w:rPr>
          <w:spacing w:val="-12"/>
        </w:rPr>
        <w:t xml:space="preserve"> </w:t>
      </w:r>
      <w:r>
        <w:t>on</w:t>
      </w:r>
      <w:r>
        <w:rPr>
          <w:spacing w:val="-14"/>
        </w:rPr>
        <w:t xml:space="preserve"> </w:t>
      </w:r>
      <w:r>
        <w:t>each</w:t>
      </w:r>
      <w:r>
        <w:rPr>
          <w:spacing w:val="-11"/>
        </w:rPr>
        <w:t xml:space="preserve"> </w:t>
      </w:r>
      <w:r>
        <w:t>day</w:t>
      </w:r>
      <w:r>
        <w:rPr>
          <w:spacing w:val="-15"/>
        </w:rPr>
        <w:t xml:space="preserve"> </w:t>
      </w:r>
      <w:r>
        <w:t>of</w:t>
      </w:r>
      <w:r>
        <w:rPr>
          <w:spacing w:val="-14"/>
        </w:rPr>
        <w:t xml:space="preserve"> </w:t>
      </w:r>
      <w:r>
        <w:t>the</w:t>
      </w:r>
      <w:r>
        <w:rPr>
          <w:spacing w:val="-11"/>
        </w:rPr>
        <w:t xml:space="preserve"> </w:t>
      </w:r>
      <w:r>
        <w:t>Virtual</w:t>
      </w:r>
      <w:r>
        <w:rPr>
          <w:spacing w:val="-15"/>
        </w:rPr>
        <w:t xml:space="preserve"> </w:t>
      </w:r>
      <w:r>
        <w:t>Week</w:t>
      </w:r>
      <w:r>
        <w:rPr>
          <w:spacing w:val="-11"/>
        </w:rPr>
        <w:t xml:space="preserve"> </w:t>
      </w:r>
      <w:r>
        <w:t>(two</w:t>
      </w:r>
      <w:r>
        <w:rPr>
          <w:spacing w:val="-15"/>
        </w:rPr>
        <w:t xml:space="preserve"> </w:t>
      </w:r>
      <w:r>
        <w:t>time-based,</w:t>
      </w:r>
      <w:r>
        <w:rPr>
          <w:spacing w:val="-8"/>
        </w:rPr>
        <w:t xml:space="preserve"> </w:t>
      </w:r>
      <w:r>
        <w:t>two</w:t>
      </w:r>
      <w:r>
        <w:rPr>
          <w:spacing w:val="-10"/>
        </w:rPr>
        <w:t xml:space="preserve"> </w:t>
      </w:r>
      <w:r>
        <w:t>event-based).</w:t>
      </w:r>
      <w:r>
        <w:rPr>
          <w:spacing w:val="37"/>
        </w:rPr>
        <w:t xml:space="preserve"> </w:t>
      </w:r>
      <w:r>
        <w:t>The</w:t>
      </w:r>
      <w:r>
        <w:rPr>
          <w:spacing w:val="-12"/>
        </w:rPr>
        <w:t xml:space="preserve"> </w:t>
      </w:r>
      <w:r>
        <w:t xml:space="preserve">irregular ones are one-off tasks that are instructed at the beginning of, </w:t>
      </w:r>
      <w:r>
        <w:rPr>
          <w:spacing w:val="-3"/>
        </w:rPr>
        <w:t xml:space="preserve">or </w:t>
      </w:r>
      <w:r>
        <w:t xml:space="preserve">during, a new virtual day (two time-based, two event-based). Thus, the retrospective memory load for the irregular PM tasks is higher compared to the regular ones. At the appropriate moment to execute a PM task, the participant has to press a “perform task” button to bring up a list </w:t>
      </w:r>
      <w:r>
        <w:rPr>
          <w:spacing w:val="-3"/>
        </w:rPr>
        <w:t xml:space="preserve">of </w:t>
      </w:r>
      <w:r>
        <w:t>possible tasks, and then choose the correct</w:t>
      </w:r>
      <w:r>
        <w:rPr>
          <w:spacing w:val="3"/>
        </w:rPr>
        <w:t xml:space="preserve"> </w:t>
      </w:r>
      <w:r>
        <w:t>one.</w:t>
      </w:r>
    </w:p>
    <w:p w14:paraId="39C63B7D" w14:textId="77777777" w:rsidR="00C75312" w:rsidRDefault="00BB293A">
      <w:pPr>
        <w:pStyle w:val="BodyText"/>
        <w:spacing w:before="120" w:line="480" w:lineRule="auto"/>
        <w:ind w:left="100" w:right="104" w:firstLine="720"/>
        <w:jc w:val="both"/>
      </w:pPr>
      <w:r>
        <w:t xml:space="preserve">One of the two studies which have used this Virtual Week paradigm with individuals with ASD was that of Henry et al. (2014). This study explored how differential levels of task absorption (i.e., the level of engagement in the ongoing task) affected PM in 30 children with ASD and 30 NT children matched for age and IQ. Tasks in the Virtual Week were adjusted to reflect children’s everyday life. Further, to reduce/eliminate time-monitoring demands, the time of each virtual day was always present in the </w:t>
      </w:r>
      <w:proofErr w:type="spellStart"/>
      <w:r>
        <w:t>centre</w:t>
      </w:r>
      <w:proofErr w:type="spellEnd"/>
      <w:r>
        <w:t xml:space="preserve"> of the screen. Participants</w:t>
      </w:r>
      <w:r>
        <w:rPr>
          <w:spacing w:val="-36"/>
        </w:rPr>
        <w:t xml:space="preserve"> </w:t>
      </w:r>
      <w:r>
        <w:t xml:space="preserve">completed the Virtual Week game under two conditions (each lasting three virtual days) in counterbalanced order. In the </w:t>
      </w:r>
      <w:r>
        <w:rPr>
          <w:i/>
        </w:rPr>
        <w:t xml:space="preserve">high task absorption </w:t>
      </w:r>
      <w:r>
        <w:t xml:space="preserve">condition, participants could only continue moving their token around the board </w:t>
      </w:r>
      <w:r>
        <w:rPr>
          <w:spacing w:val="-3"/>
        </w:rPr>
        <w:t xml:space="preserve">if </w:t>
      </w:r>
      <w:r>
        <w:t xml:space="preserve">they rolled a specific number after an event card (see description above), whereas in the </w:t>
      </w:r>
      <w:r>
        <w:rPr>
          <w:i/>
        </w:rPr>
        <w:t xml:space="preserve">low absorption condition, </w:t>
      </w:r>
      <w:r>
        <w:t xml:space="preserve">the outcome </w:t>
      </w:r>
      <w:r>
        <w:rPr>
          <w:spacing w:val="-3"/>
        </w:rPr>
        <w:t xml:space="preserve">of </w:t>
      </w:r>
      <w:r>
        <w:t>the next die roll was not restricted. The authors predicted that high task absorption may lead to greater PM impairment in</w:t>
      </w:r>
      <w:r>
        <w:t xml:space="preserve"> the ASD group. A 2 (Group: ASD/NT) × 2 (Task absorption: low/high) x 2 (Type of PM task: event-based/time-based) × 2 (Regularity: regular/irregular)</w:t>
      </w:r>
      <w:r>
        <w:rPr>
          <w:spacing w:val="-41"/>
        </w:rPr>
        <w:t xml:space="preserve"> </w:t>
      </w:r>
      <w:r>
        <w:rPr>
          <w:spacing w:val="-3"/>
        </w:rPr>
        <w:t xml:space="preserve">mixed </w:t>
      </w:r>
      <w:r>
        <w:t>ANOVA was conducted to explore effects on PM performance.  Most importantly, a significant  Group</w:t>
      </w:r>
    </w:p>
    <w:p w14:paraId="04E4FE8F" w14:textId="77777777" w:rsidR="00C75312" w:rsidRDefault="00BB293A">
      <w:pPr>
        <w:pStyle w:val="BodyText"/>
        <w:spacing w:line="283" w:lineRule="exact"/>
        <w:ind w:left="100"/>
        <w:jc w:val="both"/>
      </w:pPr>
      <w:r>
        <w:pict w14:anchorId="3489FEF6">
          <v:shape id="_x0000_s2792" type="#_x0000_t202" style="position:absolute;left:0;text-align:left;margin-left:190.1pt;margin-top:5.9pt;width:5.3pt;height:9.85pt;z-index:-260626432;mso-position-horizontal-relative:page" filled="f" stroked="f">
            <v:textbox inset="0,0,0,0">
              <w:txbxContent>
                <w:p w14:paraId="0FD630BC"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w:t>
      </w:r>
      <w:r>
        <w:rPr>
          <w:spacing w:val="7"/>
        </w:rPr>
        <w:t xml:space="preserve"> </w:t>
      </w:r>
      <w:r>
        <w:t>PM</w:t>
      </w:r>
      <w:r>
        <w:rPr>
          <w:spacing w:val="7"/>
        </w:rPr>
        <w:t xml:space="preserve"> </w:t>
      </w:r>
      <w:r>
        <w:t>task</w:t>
      </w:r>
      <w:r>
        <w:rPr>
          <w:spacing w:val="9"/>
        </w:rPr>
        <w:t xml:space="preserve"> </w:t>
      </w:r>
      <w:r>
        <w:t>interaction</w:t>
      </w:r>
      <w:r>
        <w:rPr>
          <w:spacing w:val="8"/>
        </w:rPr>
        <w:t xml:space="preserve"> </w:t>
      </w:r>
      <w:r>
        <w:t>(</w:t>
      </w:r>
      <w:r>
        <w:rPr>
          <w:rFonts w:ascii="Cambria Math" w:hAnsi="Cambria Math"/>
        </w:rPr>
        <w:t>!</w:t>
      </w:r>
      <w:r>
        <w:rPr>
          <w:rFonts w:ascii="Cambria Math" w:hAnsi="Cambria Math"/>
          <w:position w:val="9"/>
          <w:sz w:val="17"/>
        </w:rPr>
        <w:t xml:space="preserve"># </w:t>
      </w:r>
      <w:r>
        <w:rPr>
          <w:rFonts w:ascii="Cambria Math" w:hAnsi="Cambria Math"/>
          <w:spacing w:val="12"/>
          <w:position w:val="9"/>
          <w:sz w:val="17"/>
        </w:rPr>
        <w:t xml:space="preserve"> </w:t>
      </w:r>
      <w:r>
        <w:t>=</w:t>
      </w:r>
      <w:r>
        <w:rPr>
          <w:spacing w:val="8"/>
        </w:rPr>
        <w:t xml:space="preserve"> </w:t>
      </w:r>
      <w:r>
        <w:t>.21)</w:t>
      </w:r>
      <w:r>
        <w:rPr>
          <w:spacing w:val="10"/>
        </w:rPr>
        <w:t xml:space="preserve"> </w:t>
      </w:r>
      <w:r>
        <w:t>was</w:t>
      </w:r>
      <w:r>
        <w:rPr>
          <w:spacing w:val="6"/>
        </w:rPr>
        <w:t xml:space="preserve"> </w:t>
      </w:r>
      <w:r>
        <w:t>found</w:t>
      </w:r>
      <w:r>
        <w:rPr>
          <w:spacing w:val="4"/>
        </w:rPr>
        <w:t xml:space="preserve"> </w:t>
      </w:r>
      <w:r>
        <w:t>indicating</w:t>
      </w:r>
      <w:r>
        <w:rPr>
          <w:spacing w:val="9"/>
        </w:rPr>
        <w:t xml:space="preserve"> </w:t>
      </w:r>
      <w:r>
        <w:t>that</w:t>
      </w:r>
      <w:r>
        <w:rPr>
          <w:spacing w:val="8"/>
        </w:rPr>
        <w:t xml:space="preserve"> </w:t>
      </w:r>
      <w:r>
        <w:t>the</w:t>
      </w:r>
      <w:r>
        <w:rPr>
          <w:spacing w:val="8"/>
        </w:rPr>
        <w:t xml:space="preserve"> </w:t>
      </w:r>
      <w:r>
        <w:t>ASD</w:t>
      </w:r>
      <w:r>
        <w:rPr>
          <w:spacing w:val="8"/>
        </w:rPr>
        <w:t xml:space="preserve"> </w:t>
      </w:r>
      <w:r>
        <w:t>group</w:t>
      </w:r>
      <w:r>
        <w:rPr>
          <w:spacing w:val="8"/>
        </w:rPr>
        <w:t xml:space="preserve"> </w:t>
      </w:r>
      <w:r>
        <w:t>was</w:t>
      </w:r>
      <w:r>
        <w:rPr>
          <w:spacing w:val="7"/>
        </w:rPr>
        <w:t xml:space="preserve"> </w:t>
      </w:r>
      <w:r>
        <w:t>only</w:t>
      </w:r>
      <w:r>
        <w:rPr>
          <w:spacing w:val="9"/>
        </w:rPr>
        <w:t xml:space="preserve"> </w:t>
      </w:r>
      <w:r>
        <w:t>impaired</w:t>
      </w:r>
    </w:p>
    <w:p w14:paraId="600666C0" w14:textId="77777777" w:rsidR="00C75312" w:rsidRDefault="00C75312">
      <w:pPr>
        <w:pStyle w:val="BodyText"/>
        <w:spacing w:before="9"/>
        <w:rPr>
          <w:sz w:val="26"/>
        </w:rPr>
      </w:pPr>
    </w:p>
    <w:p w14:paraId="70A0B36E" w14:textId="77777777" w:rsidR="00C75312" w:rsidRDefault="00BB293A">
      <w:pPr>
        <w:pStyle w:val="BodyText"/>
        <w:spacing w:line="472" w:lineRule="auto"/>
        <w:ind w:left="100" w:right="104"/>
        <w:jc w:val="both"/>
      </w:pPr>
      <w:r>
        <w:pict w14:anchorId="2D06E262">
          <v:shape id="_x0000_s2791" type="#_x0000_t202" style="position:absolute;left:0;text-align:left;margin-left:359.05pt;margin-top:88.65pt;width:5.3pt;height:9.85pt;z-index:-260625408;mso-position-horizontal-relative:page" filled="f" stroked="f">
            <v:textbox inset="0,0,0,0">
              <w:txbxContent>
                <w:p w14:paraId="6A06F89E"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 xml:space="preserve">in time-based but not event-based PM, which ties in with the consistent pattern found by the landmark (tightly controlled) studies </w:t>
      </w:r>
      <w:proofErr w:type="spellStart"/>
      <w:r>
        <w:t>summarised</w:t>
      </w:r>
      <w:proofErr w:type="spellEnd"/>
      <w:r>
        <w:t xml:space="preserve"> above. Contrary to author predictions, high task absorption did not affect the ASD group </w:t>
      </w:r>
      <w:r>
        <w:rPr>
          <w:spacing w:val="-3"/>
        </w:rPr>
        <w:t xml:space="preserve">to </w:t>
      </w:r>
      <w:r>
        <w:t>a greater extent. Further, the Group × Regularity  interaction approached  significance  (</w:t>
      </w:r>
      <w:r>
        <w:rPr>
          <w:i/>
        </w:rPr>
        <w:t xml:space="preserve">p </w:t>
      </w:r>
      <w:r>
        <w:t xml:space="preserve">= .06, </w:t>
      </w:r>
      <w:r>
        <w:rPr>
          <w:rFonts w:ascii="Cambria Math" w:hAnsi="Cambria Math"/>
          <w:w w:val="110"/>
        </w:rPr>
        <w:t>!</w:t>
      </w:r>
      <w:r>
        <w:rPr>
          <w:rFonts w:ascii="Cambria Math" w:hAnsi="Cambria Math"/>
          <w:w w:val="110"/>
          <w:position w:val="9"/>
          <w:sz w:val="17"/>
        </w:rPr>
        <w:t xml:space="preserve">#   </w:t>
      </w:r>
      <w:r>
        <w:t>=  .06).   The authors  broke</w:t>
      </w:r>
      <w:r>
        <w:rPr>
          <w:spacing w:val="7"/>
        </w:rPr>
        <w:t xml:space="preserve"> </w:t>
      </w:r>
      <w:r>
        <w:t>this</w:t>
      </w:r>
    </w:p>
    <w:p w14:paraId="60108170" w14:textId="77777777" w:rsidR="00C75312" w:rsidRDefault="00C75312">
      <w:pPr>
        <w:spacing w:line="472" w:lineRule="auto"/>
        <w:jc w:val="both"/>
        <w:sectPr w:rsidR="00C75312">
          <w:pgSz w:w="11900" w:h="16840"/>
          <w:pgMar w:top="1360" w:right="1320" w:bottom="280" w:left="1340" w:header="715" w:footer="0" w:gutter="0"/>
          <w:cols w:space="720"/>
        </w:sectPr>
      </w:pPr>
    </w:p>
    <w:p w14:paraId="744296E7" w14:textId="77777777" w:rsidR="00C75312" w:rsidRDefault="00BB293A">
      <w:pPr>
        <w:pStyle w:val="BodyText"/>
        <w:spacing w:before="80" w:line="460" w:lineRule="auto"/>
        <w:ind w:left="100"/>
      </w:pPr>
      <w:r>
        <w:lastRenderedPageBreak/>
        <w:pict w14:anchorId="7C279A39">
          <v:shape id="_x0000_s2790" type="#_x0000_t202" style="position:absolute;left:0;text-align:left;margin-left:506.65pt;margin-top:37.45pt;width:5.3pt;height:9.85pt;z-index:-260624384;mso-position-horizontal-relative:page" filled="f" stroked="f">
            <v:textbox inset="0,0,0,0">
              <w:txbxContent>
                <w:p w14:paraId="53B00DE5"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marginally non-significant interaction down using post-hoc t-tests. These t-tests showed no performance</w:t>
      </w:r>
      <w:r>
        <w:rPr>
          <w:spacing w:val="16"/>
        </w:rPr>
        <w:t xml:space="preserve"> </w:t>
      </w:r>
      <w:r>
        <w:t>difference</w:t>
      </w:r>
      <w:r>
        <w:rPr>
          <w:spacing w:val="16"/>
        </w:rPr>
        <w:t xml:space="preserve"> </w:t>
      </w:r>
      <w:r>
        <w:t>between</w:t>
      </w:r>
      <w:r>
        <w:rPr>
          <w:spacing w:val="14"/>
        </w:rPr>
        <w:t xml:space="preserve"> </w:t>
      </w:r>
      <w:r>
        <w:t>regular</w:t>
      </w:r>
      <w:r>
        <w:rPr>
          <w:spacing w:val="14"/>
        </w:rPr>
        <w:t xml:space="preserve"> </w:t>
      </w:r>
      <w:r>
        <w:t>and</w:t>
      </w:r>
      <w:r>
        <w:rPr>
          <w:spacing w:val="17"/>
        </w:rPr>
        <w:t xml:space="preserve"> </w:t>
      </w:r>
      <w:r>
        <w:t>irregular</w:t>
      </w:r>
      <w:r>
        <w:rPr>
          <w:spacing w:val="20"/>
        </w:rPr>
        <w:t xml:space="preserve"> </w:t>
      </w:r>
      <w:r>
        <w:t>PM</w:t>
      </w:r>
      <w:r>
        <w:rPr>
          <w:spacing w:val="10"/>
        </w:rPr>
        <w:t xml:space="preserve"> </w:t>
      </w:r>
      <w:r>
        <w:t>tasks</w:t>
      </w:r>
      <w:r>
        <w:rPr>
          <w:spacing w:val="16"/>
        </w:rPr>
        <w:t xml:space="preserve"> </w:t>
      </w:r>
      <w:r>
        <w:t>within</w:t>
      </w:r>
      <w:r>
        <w:rPr>
          <w:spacing w:val="17"/>
        </w:rPr>
        <w:t xml:space="preserve"> </w:t>
      </w:r>
      <w:r>
        <w:t>the</w:t>
      </w:r>
      <w:r>
        <w:rPr>
          <w:spacing w:val="12"/>
        </w:rPr>
        <w:t xml:space="preserve"> </w:t>
      </w:r>
      <w:r>
        <w:t>ASD</w:t>
      </w:r>
      <w:r>
        <w:rPr>
          <w:spacing w:val="18"/>
        </w:rPr>
        <w:t xml:space="preserve"> </w:t>
      </w:r>
      <w:r>
        <w:t>group</w:t>
      </w:r>
      <w:r>
        <w:rPr>
          <w:spacing w:val="13"/>
        </w:rPr>
        <w:t xml:space="preserve"> </w:t>
      </w:r>
      <w:r>
        <w:t>(</w:t>
      </w:r>
      <w:r>
        <w:rPr>
          <w:rFonts w:ascii="Cambria Math"/>
        </w:rPr>
        <w:t>!</w:t>
      </w:r>
      <w:r>
        <w:rPr>
          <w:rFonts w:ascii="Cambria Math"/>
          <w:position w:val="9"/>
          <w:sz w:val="17"/>
        </w:rPr>
        <w:t xml:space="preserve"># </w:t>
      </w:r>
      <w:r>
        <w:rPr>
          <w:rFonts w:ascii="Cambria Math"/>
          <w:spacing w:val="21"/>
          <w:position w:val="9"/>
          <w:sz w:val="17"/>
        </w:rPr>
        <w:t xml:space="preserve"> </w:t>
      </w:r>
      <w:r>
        <w:t>=</w:t>
      </w:r>
    </w:p>
    <w:p w14:paraId="39A4075E" w14:textId="77777777" w:rsidR="00C75312" w:rsidRDefault="00BB293A">
      <w:pPr>
        <w:pStyle w:val="BodyText"/>
        <w:spacing w:before="30"/>
        <w:ind w:left="100"/>
      </w:pPr>
      <w:r>
        <w:pict w14:anchorId="165467A2">
          <v:shape id="_x0000_s2789" type="#_x0000_t202" style="position:absolute;left:0;text-align:left;margin-left:482.9pt;margin-top:8.5pt;width:5.3pt;height:9.85pt;z-index:-260623360;mso-position-horizontal-relative:page" filled="f" stroked="f">
            <v:textbox inset="0,0,0,0">
              <w:txbxContent>
                <w:p w14:paraId="5F43031C"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.02), whereas NT individuals performed slightly better on regular PM tasks (</w:t>
      </w:r>
      <w:r>
        <w:rPr>
          <w:i/>
        </w:rPr>
        <w:t xml:space="preserve">p </w:t>
      </w:r>
      <w:r>
        <w:t xml:space="preserve">= .04, </w:t>
      </w:r>
      <w:r>
        <w:rPr>
          <w:rFonts w:ascii="Cambria Math"/>
          <w:w w:val="110"/>
        </w:rPr>
        <w:t>!</w:t>
      </w:r>
      <w:r>
        <w:rPr>
          <w:rFonts w:ascii="Cambria Math"/>
          <w:w w:val="110"/>
          <w:position w:val="9"/>
          <w:sz w:val="17"/>
        </w:rPr>
        <w:t xml:space="preserve"># </w:t>
      </w:r>
      <w:r>
        <w:t>=</w:t>
      </w:r>
      <w:r>
        <w:rPr>
          <w:spacing w:val="-30"/>
        </w:rPr>
        <w:t xml:space="preserve"> </w:t>
      </w:r>
      <w:r>
        <w:t>.07).</w:t>
      </w:r>
    </w:p>
    <w:p w14:paraId="64BB66E8" w14:textId="77777777" w:rsidR="00C75312" w:rsidRDefault="00BB293A">
      <w:pPr>
        <w:pStyle w:val="BodyText"/>
        <w:spacing w:before="25" w:line="560" w:lineRule="atLeast"/>
        <w:ind w:left="100"/>
      </w:pPr>
      <w:r>
        <w:t>However, in comparison to the NT group, participants with ASD were still less accurate on both</w:t>
      </w:r>
      <w:r>
        <w:rPr>
          <w:spacing w:val="16"/>
        </w:rPr>
        <w:t xml:space="preserve"> </w:t>
      </w:r>
      <w:r>
        <w:t>regular</w:t>
      </w:r>
      <w:r>
        <w:rPr>
          <w:spacing w:val="13"/>
        </w:rPr>
        <w:t xml:space="preserve"> </w:t>
      </w:r>
      <w:r>
        <w:t>(</w:t>
      </w:r>
      <w:r>
        <w:rPr>
          <w:rFonts w:ascii="Cambria Math"/>
        </w:rPr>
        <w:t>!</w:t>
      </w:r>
      <w:r>
        <w:rPr>
          <w:rFonts w:ascii="Cambria Math"/>
          <w:position w:val="9"/>
          <w:sz w:val="17"/>
        </w:rPr>
        <w:t xml:space="preserve"># </w:t>
      </w:r>
      <w:r>
        <w:rPr>
          <w:rFonts w:ascii="Cambria Math"/>
          <w:spacing w:val="21"/>
          <w:position w:val="9"/>
          <w:sz w:val="17"/>
        </w:rPr>
        <w:t xml:space="preserve"> </w:t>
      </w:r>
      <w:r>
        <w:t>=</w:t>
      </w:r>
      <w:r>
        <w:rPr>
          <w:spacing w:val="16"/>
        </w:rPr>
        <w:t xml:space="preserve"> </w:t>
      </w:r>
      <w:r>
        <w:t>.21)</w:t>
      </w:r>
      <w:r>
        <w:rPr>
          <w:spacing w:val="13"/>
        </w:rPr>
        <w:t xml:space="preserve"> </w:t>
      </w:r>
      <w:r>
        <w:t>and</w:t>
      </w:r>
      <w:r>
        <w:rPr>
          <w:spacing w:val="17"/>
        </w:rPr>
        <w:t xml:space="preserve"> </w:t>
      </w:r>
      <w:r>
        <w:t>irregular</w:t>
      </w:r>
      <w:r>
        <w:rPr>
          <w:spacing w:val="18"/>
        </w:rPr>
        <w:t xml:space="preserve"> </w:t>
      </w:r>
      <w:r>
        <w:t>(</w:t>
      </w:r>
      <w:r>
        <w:rPr>
          <w:rFonts w:ascii="Cambria Math"/>
        </w:rPr>
        <w:t>!</w:t>
      </w:r>
      <w:r>
        <w:rPr>
          <w:rFonts w:ascii="Cambria Math"/>
          <w:position w:val="9"/>
          <w:sz w:val="17"/>
        </w:rPr>
        <w:t xml:space="preserve"># </w:t>
      </w:r>
      <w:r>
        <w:rPr>
          <w:rFonts w:ascii="Cambria Math"/>
          <w:spacing w:val="21"/>
          <w:position w:val="9"/>
          <w:sz w:val="17"/>
        </w:rPr>
        <w:t xml:space="preserve"> </w:t>
      </w:r>
      <w:r>
        <w:t>=</w:t>
      </w:r>
      <w:r>
        <w:rPr>
          <w:spacing w:val="10"/>
        </w:rPr>
        <w:t xml:space="preserve"> </w:t>
      </w:r>
      <w:r>
        <w:t>.16)</w:t>
      </w:r>
      <w:r>
        <w:rPr>
          <w:spacing w:val="13"/>
        </w:rPr>
        <w:t xml:space="preserve"> </w:t>
      </w:r>
      <w:r>
        <w:t>PM</w:t>
      </w:r>
      <w:r>
        <w:rPr>
          <w:spacing w:val="14"/>
        </w:rPr>
        <w:t xml:space="preserve"> </w:t>
      </w:r>
      <w:r>
        <w:t xml:space="preserve">tasks. </w:t>
      </w:r>
      <w:r>
        <w:rPr>
          <w:spacing w:val="36"/>
        </w:rPr>
        <w:t xml:space="preserve"> </w:t>
      </w:r>
      <w:r>
        <w:t>Therefore,</w:t>
      </w:r>
      <w:r>
        <w:rPr>
          <w:spacing w:val="13"/>
        </w:rPr>
        <w:t xml:space="preserve"> </w:t>
      </w:r>
      <w:r>
        <w:t>authors</w:t>
      </w:r>
      <w:r>
        <w:rPr>
          <w:spacing w:val="14"/>
        </w:rPr>
        <w:t xml:space="preserve"> </w:t>
      </w:r>
      <w:r>
        <w:t>concluded</w:t>
      </w:r>
      <w:r>
        <w:rPr>
          <w:spacing w:val="17"/>
        </w:rPr>
        <w:t xml:space="preserve"> </w:t>
      </w:r>
      <w:r>
        <w:t>that</w:t>
      </w:r>
    </w:p>
    <w:p w14:paraId="0467B03F" w14:textId="77777777" w:rsidR="00C75312" w:rsidRDefault="00BB293A">
      <w:pPr>
        <w:tabs>
          <w:tab w:val="left" w:pos="3915"/>
        </w:tabs>
        <w:spacing w:line="31" w:lineRule="exact"/>
        <w:ind w:left="1549"/>
        <w:rPr>
          <w:rFonts w:ascii="Cambria Math"/>
          <w:sz w:val="17"/>
        </w:rPr>
      </w:pPr>
      <w:r>
        <w:rPr>
          <w:rFonts w:ascii="Cambria Math"/>
          <w:w w:val="160"/>
          <w:sz w:val="17"/>
        </w:rPr>
        <w:t>"</w:t>
      </w:r>
      <w:r>
        <w:rPr>
          <w:rFonts w:ascii="Cambria Math"/>
          <w:w w:val="160"/>
          <w:sz w:val="17"/>
        </w:rPr>
        <w:tab/>
        <w:t>"</w:t>
      </w:r>
    </w:p>
    <w:p w14:paraId="18E10BD3" w14:textId="77777777" w:rsidR="00C75312" w:rsidRDefault="00C75312">
      <w:pPr>
        <w:pStyle w:val="BodyText"/>
        <w:spacing w:before="3"/>
        <w:rPr>
          <w:rFonts w:ascii="Cambria Math"/>
          <w:sz w:val="16"/>
        </w:rPr>
      </w:pPr>
    </w:p>
    <w:p w14:paraId="0C8F5434" w14:textId="77777777" w:rsidR="00C75312" w:rsidRDefault="00BB293A">
      <w:pPr>
        <w:pStyle w:val="BodyText"/>
        <w:spacing w:before="90" w:line="480" w:lineRule="auto"/>
        <w:ind w:left="100" w:right="114"/>
        <w:jc w:val="both"/>
      </w:pPr>
      <w:r>
        <w:t>PM difficulties in children with ASD are not a result of retrospective memory processes. Instead,</w:t>
      </w:r>
      <w:r>
        <w:rPr>
          <w:spacing w:val="-8"/>
        </w:rPr>
        <w:t xml:space="preserve"> </w:t>
      </w:r>
      <w:r>
        <w:t>they</w:t>
      </w:r>
      <w:r>
        <w:rPr>
          <w:spacing w:val="-10"/>
        </w:rPr>
        <w:t xml:space="preserve"> </w:t>
      </w:r>
      <w:r>
        <w:t>suggested</w:t>
      </w:r>
      <w:r>
        <w:rPr>
          <w:spacing w:val="-11"/>
        </w:rPr>
        <w:t xml:space="preserve"> </w:t>
      </w:r>
      <w:r>
        <w:t>that</w:t>
      </w:r>
      <w:r>
        <w:rPr>
          <w:spacing w:val="-9"/>
        </w:rPr>
        <w:t xml:space="preserve"> </w:t>
      </w:r>
      <w:r>
        <w:t>a</w:t>
      </w:r>
      <w:r>
        <w:rPr>
          <w:spacing w:val="-11"/>
        </w:rPr>
        <w:t xml:space="preserve"> </w:t>
      </w:r>
      <w:r>
        <w:t>monitoring</w:t>
      </w:r>
      <w:r>
        <w:rPr>
          <w:spacing w:val="-11"/>
        </w:rPr>
        <w:t xml:space="preserve"> </w:t>
      </w:r>
      <w:r>
        <w:t>deficit</w:t>
      </w:r>
      <w:r>
        <w:rPr>
          <w:spacing w:val="-9"/>
        </w:rPr>
        <w:t xml:space="preserve"> </w:t>
      </w:r>
      <w:r>
        <w:t>might</w:t>
      </w:r>
      <w:r>
        <w:rPr>
          <w:spacing w:val="-10"/>
        </w:rPr>
        <w:t xml:space="preserve"> </w:t>
      </w:r>
      <w:r>
        <w:t>underlie</w:t>
      </w:r>
      <w:r>
        <w:rPr>
          <w:spacing w:val="-11"/>
        </w:rPr>
        <w:t xml:space="preserve"> </w:t>
      </w:r>
      <w:r>
        <w:t>their</w:t>
      </w:r>
      <w:r>
        <w:rPr>
          <w:spacing w:val="-8"/>
        </w:rPr>
        <w:t xml:space="preserve"> </w:t>
      </w:r>
      <w:r>
        <w:t>PM</w:t>
      </w:r>
      <w:r>
        <w:rPr>
          <w:spacing w:val="-13"/>
        </w:rPr>
        <w:t xml:space="preserve"> </w:t>
      </w:r>
      <w:r>
        <w:t>deficits</w:t>
      </w:r>
      <w:r>
        <w:rPr>
          <w:spacing w:val="-12"/>
        </w:rPr>
        <w:t xml:space="preserve"> </w:t>
      </w:r>
      <w:r>
        <w:t>as</w:t>
      </w:r>
      <w:r>
        <w:rPr>
          <w:spacing w:val="-12"/>
        </w:rPr>
        <w:t xml:space="preserve"> </w:t>
      </w:r>
      <w:r>
        <w:t>time-based PM requires more self-initiated monitoring</w:t>
      </w:r>
      <w:r>
        <w:rPr>
          <w:spacing w:val="-7"/>
        </w:rPr>
        <w:t xml:space="preserve"> </w:t>
      </w:r>
      <w:r>
        <w:t>processes.</w:t>
      </w:r>
    </w:p>
    <w:p w14:paraId="719E0B5B" w14:textId="77777777" w:rsidR="00C75312" w:rsidRDefault="00BB293A">
      <w:pPr>
        <w:pStyle w:val="BodyText"/>
        <w:spacing w:before="120" w:line="480" w:lineRule="auto"/>
        <w:ind w:left="100" w:right="104" w:firstLine="720"/>
        <w:jc w:val="both"/>
      </w:pPr>
      <w:r>
        <w:t>Another</w:t>
      </w:r>
      <w:r>
        <w:rPr>
          <w:spacing w:val="-10"/>
        </w:rPr>
        <w:t xml:space="preserve"> </w:t>
      </w:r>
      <w:r>
        <w:t>study</w:t>
      </w:r>
      <w:r>
        <w:rPr>
          <w:spacing w:val="-10"/>
        </w:rPr>
        <w:t xml:space="preserve"> </w:t>
      </w:r>
      <w:r>
        <w:t>which</w:t>
      </w:r>
      <w:r>
        <w:rPr>
          <w:spacing w:val="-15"/>
        </w:rPr>
        <w:t xml:space="preserve"> </w:t>
      </w:r>
      <w:r>
        <w:t>used</w:t>
      </w:r>
      <w:r>
        <w:rPr>
          <w:spacing w:val="-11"/>
        </w:rPr>
        <w:t xml:space="preserve"> </w:t>
      </w:r>
      <w:r>
        <w:t>the</w:t>
      </w:r>
      <w:r>
        <w:rPr>
          <w:spacing w:val="-12"/>
        </w:rPr>
        <w:t xml:space="preserve"> </w:t>
      </w:r>
      <w:r>
        <w:t>Virtual</w:t>
      </w:r>
      <w:r>
        <w:rPr>
          <w:spacing w:val="-10"/>
        </w:rPr>
        <w:t xml:space="preserve"> </w:t>
      </w:r>
      <w:r>
        <w:t>Week</w:t>
      </w:r>
      <w:r>
        <w:rPr>
          <w:spacing w:val="-11"/>
        </w:rPr>
        <w:t xml:space="preserve"> </w:t>
      </w:r>
      <w:r>
        <w:t>set-up</w:t>
      </w:r>
      <w:r>
        <w:rPr>
          <w:spacing w:val="-15"/>
        </w:rPr>
        <w:t xml:space="preserve"> </w:t>
      </w:r>
      <w:r>
        <w:t>was</w:t>
      </w:r>
      <w:r>
        <w:rPr>
          <w:spacing w:val="-12"/>
        </w:rPr>
        <w:t xml:space="preserve"> </w:t>
      </w:r>
      <w:r>
        <w:t>that</w:t>
      </w:r>
      <w:r>
        <w:rPr>
          <w:spacing w:val="-10"/>
        </w:rPr>
        <w:t xml:space="preserve"> </w:t>
      </w:r>
      <w:r>
        <w:t>of</w:t>
      </w:r>
      <w:r>
        <w:rPr>
          <w:spacing w:val="-14"/>
        </w:rPr>
        <w:t xml:space="preserve"> </w:t>
      </w:r>
      <w:r>
        <w:t>Kretschmer</w:t>
      </w:r>
      <w:r>
        <w:rPr>
          <w:spacing w:val="-9"/>
        </w:rPr>
        <w:t xml:space="preserve"> </w:t>
      </w:r>
      <w:r>
        <w:t>et</w:t>
      </w:r>
      <w:r>
        <w:rPr>
          <w:spacing w:val="-15"/>
        </w:rPr>
        <w:t xml:space="preserve"> </w:t>
      </w:r>
      <w:r>
        <w:t>al.</w:t>
      </w:r>
      <w:r>
        <w:rPr>
          <w:spacing w:val="-13"/>
        </w:rPr>
        <w:t xml:space="preserve"> </w:t>
      </w:r>
      <w:r>
        <w:t xml:space="preserve">(2014). Rather than focusing on the degree of absorption (which presumably affects retrieval </w:t>
      </w:r>
      <w:r>
        <w:rPr>
          <w:spacing w:val="-3"/>
        </w:rPr>
        <w:t xml:space="preserve">of </w:t>
      </w:r>
      <w:r>
        <w:t xml:space="preserve">the original intention to carry out an action), Kretschmer et al. (2014) used this paradigm to investigate the effects </w:t>
      </w:r>
      <w:r>
        <w:rPr>
          <w:spacing w:val="-3"/>
        </w:rPr>
        <w:t xml:space="preserve">of </w:t>
      </w:r>
      <w:r>
        <w:t xml:space="preserve">different encoding strategies on PM in a sample of 27 adults with ASD and 27 NT adults matched for age, verbal, and non-verbal abilities. The Virtual Week setup and tasks were as described above, but participants had to complete only three virtual days, and needed to press a specific keyboard key </w:t>
      </w:r>
      <w:r>
        <w:rPr>
          <w:spacing w:val="-3"/>
        </w:rPr>
        <w:t xml:space="preserve">to </w:t>
      </w:r>
      <w:r>
        <w:t xml:space="preserve">display the time </w:t>
      </w:r>
      <w:r>
        <w:rPr>
          <w:spacing w:val="-3"/>
        </w:rPr>
        <w:t xml:space="preserve">of </w:t>
      </w:r>
      <w:r>
        <w:t>the day. PM encoding was</w:t>
      </w:r>
      <w:r>
        <w:rPr>
          <w:spacing w:val="-14"/>
        </w:rPr>
        <w:t xml:space="preserve"> </w:t>
      </w:r>
      <w:r>
        <w:t>compared</w:t>
      </w:r>
      <w:r>
        <w:rPr>
          <w:spacing w:val="-11"/>
        </w:rPr>
        <w:t xml:space="preserve"> </w:t>
      </w:r>
      <w:r>
        <w:t>across</w:t>
      </w:r>
      <w:r>
        <w:rPr>
          <w:spacing w:val="-13"/>
        </w:rPr>
        <w:t xml:space="preserve"> </w:t>
      </w:r>
      <w:r>
        <w:t>two</w:t>
      </w:r>
      <w:r>
        <w:rPr>
          <w:spacing w:val="-15"/>
        </w:rPr>
        <w:t xml:space="preserve"> </w:t>
      </w:r>
      <w:r>
        <w:t>between-subject</w:t>
      </w:r>
      <w:r>
        <w:rPr>
          <w:spacing w:val="-10"/>
        </w:rPr>
        <w:t xml:space="preserve"> </w:t>
      </w:r>
      <w:r>
        <w:t>conditions,</w:t>
      </w:r>
      <w:r>
        <w:rPr>
          <w:spacing w:val="-8"/>
        </w:rPr>
        <w:t xml:space="preserve"> </w:t>
      </w:r>
      <w:r>
        <w:t>the</w:t>
      </w:r>
      <w:r>
        <w:rPr>
          <w:spacing w:val="-16"/>
        </w:rPr>
        <w:t xml:space="preserve"> </w:t>
      </w:r>
      <w:r>
        <w:t>first</w:t>
      </w:r>
      <w:r>
        <w:rPr>
          <w:spacing w:val="-10"/>
        </w:rPr>
        <w:t xml:space="preserve"> </w:t>
      </w:r>
      <w:r>
        <w:t>being</w:t>
      </w:r>
      <w:r>
        <w:rPr>
          <w:spacing w:val="-15"/>
        </w:rPr>
        <w:t xml:space="preserve"> </w:t>
      </w:r>
      <w:r>
        <w:t>a</w:t>
      </w:r>
      <w:r>
        <w:rPr>
          <w:spacing w:val="-16"/>
        </w:rPr>
        <w:t xml:space="preserve"> </w:t>
      </w:r>
      <w:r>
        <w:t>‘standard’</w:t>
      </w:r>
      <w:r>
        <w:rPr>
          <w:spacing w:val="-14"/>
        </w:rPr>
        <w:t xml:space="preserve"> </w:t>
      </w:r>
      <w:r>
        <w:t>condition</w:t>
      </w:r>
      <w:r>
        <w:rPr>
          <w:spacing w:val="-15"/>
        </w:rPr>
        <w:t xml:space="preserve"> </w:t>
      </w:r>
      <w:r>
        <w:t>and the second requiring implementation intentions, which is an encoding strate</w:t>
      </w:r>
      <w:r>
        <w:t>gy that requires to form</w:t>
      </w:r>
      <w:r>
        <w:rPr>
          <w:spacing w:val="-15"/>
        </w:rPr>
        <w:t xml:space="preserve"> </w:t>
      </w:r>
      <w:r>
        <w:t>‘if-then’</w:t>
      </w:r>
      <w:r>
        <w:rPr>
          <w:spacing w:val="-8"/>
        </w:rPr>
        <w:t xml:space="preserve"> </w:t>
      </w:r>
      <w:r>
        <w:t>statements;</w:t>
      </w:r>
      <w:r>
        <w:rPr>
          <w:spacing w:val="-9"/>
        </w:rPr>
        <w:t xml:space="preserve"> </w:t>
      </w:r>
      <w:r>
        <w:t>that</w:t>
      </w:r>
      <w:r>
        <w:rPr>
          <w:spacing w:val="-14"/>
        </w:rPr>
        <w:t xml:space="preserve"> </w:t>
      </w:r>
      <w:r>
        <w:t>is,</w:t>
      </w:r>
      <w:r>
        <w:rPr>
          <w:spacing w:val="-8"/>
        </w:rPr>
        <w:t xml:space="preserve"> </w:t>
      </w:r>
      <w:r>
        <w:t>creating</w:t>
      </w:r>
      <w:r>
        <w:rPr>
          <w:spacing w:val="-14"/>
        </w:rPr>
        <w:t xml:space="preserve"> </w:t>
      </w:r>
      <w:r>
        <w:t>a</w:t>
      </w:r>
      <w:r>
        <w:rPr>
          <w:spacing w:val="-11"/>
        </w:rPr>
        <w:t xml:space="preserve"> </w:t>
      </w:r>
      <w:r>
        <w:t>specific</w:t>
      </w:r>
      <w:r>
        <w:rPr>
          <w:spacing w:val="-15"/>
        </w:rPr>
        <w:t xml:space="preserve"> </w:t>
      </w:r>
      <w:r>
        <w:t>situation</w:t>
      </w:r>
      <w:r>
        <w:rPr>
          <w:spacing w:val="-10"/>
        </w:rPr>
        <w:t xml:space="preserve"> </w:t>
      </w:r>
      <w:r>
        <w:t>when,</w:t>
      </w:r>
      <w:r>
        <w:rPr>
          <w:spacing w:val="-12"/>
        </w:rPr>
        <w:t xml:space="preserve"> </w:t>
      </w:r>
      <w:r>
        <w:t>where,</w:t>
      </w:r>
      <w:r>
        <w:rPr>
          <w:spacing w:val="-12"/>
        </w:rPr>
        <w:t xml:space="preserve"> </w:t>
      </w:r>
      <w:r>
        <w:t>and</w:t>
      </w:r>
      <w:r>
        <w:rPr>
          <w:spacing w:val="-11"/>
        </w:rPr>
        <w:t xml:space="preserve"> </w:t>
      </w:r>
      <w:r>
        <w:t>how</w:t>
      </w:r>
      <w:r>
        <w:rPr>
          <w:spacing w:val="-15"/>
        </w:rPr>
        <w:t xml:space="preserve"> </w:t>
      </w:r>
      <w:r>
        <w:t>to</w:t>
      </w:r>
      <w:r>
        <w:rPr>
          <w:spacing w:val="-10"/>
        </w:rPr>
        <w:t xml:space="preserve"> </w:t>
      </w:r>
      <w:r>
        <w:t>perform one’s intention (Gollwitzer, 1999). Implementation intentions have been shown to improve PM in NT studies (Chen et al., 2015) and are thought to support episodic future thinking (</w:t>
      </w:r>
      <w:proofErr w:type="spellStart"/>
      <w:r>
        <w:t>Atance</w:t>
      </w:r>
      <w:proofErr w:type="spellEnd"/>
      <w:r>
        <w:t xml:space="preserve"> &amp; O'Neill, 2001). Hence, this was the first study exploring strategies to enhance PM in ASD. Specifically, in the implementation intention condition, participants had to form such an ‘if-then’ statement for e</w:t>
      </w:r>
      <w:r>
        <w:t>ach irregular PM task instructions of that day after the instructions had</w:t>
      </w:r>
      <w:r>
        <w:rPr>
          <w:spacing w:val="-12"/>
        </w:rPr>
        <w:t xml:space="preserve"> </w:t>
      </w:r>
      <w:r>
        <w:t>been</w:t>
      </w:r>
      <w:r>
        <w:rPr>
          <w:spacing w:val="-12"/>
        </w:rPr>
        <w:t xml:space="preserve"> </w:t>
      </w:r>
      <w:r>
        <w:t>presented</w:t>
      </w:r>
      <w:r>
        <w:rPr>
          <w:spacing w:val="-12"/>
        </w:rPr>
        <w:t xml:space="preserve"> </w:t>
      </w:r>
      <w:r>
        <w:t>on-screen</w:t>
      </w:r>
      <w:r>
        <w:rPr>
          <w:spacing w:val="-11"/>
        </w:rPr>
        <w:t xml:space="preserve"> </w:t>
      </w:r>
      <w:r>
        <w:t>(e.g.,</w:t>
      </w:r>
      <w:r>
        <w:rPr>
          <w:spacing w:val="-9"/>
        </w:rPr>
        <w:t xml:space="preserve"> </w:t>
      </w:r>
      <w:r>
        <w:t>say</w:t>
      </w:r>
      <w:r>
        <w:rPr>
          <w:spacing w:val="-16"/>
        </w:rPr>
        <w:t xml:space="preserve"> </w:t>
      </w:r>
      <w:r>
        <w:t>out-loud,</w:t>
      </w:r>
      <w:r>
        <w:rPr>
          <w:spacing w:val="-9"/>
        </w:rPr>
        <w:t xml:space="preserve"> </w:t>
      </w:r>
      <w:r>
        <w:t>“when</w:t>
      </w:r>
      <w:r>
        <w:rPr>
          <w:spacing w:val="-11"/>
        </w:rPr>
        <w:t xml:space="preserve"> </w:t>
      </w:r>
      <w:r>
        <w:t>it</w:t>
      </w:r>
      <w:r>
        <w:rPr>
          <w:spacing w:val="-16"/>
        </w:rPr>
        <w:t xml:space="preserve"> </w:t>
      </w:r>
      <w:r>
        <w:t>is</w:t>
      </w:r>
      <w:r>
        <w:rPr>
          <w:spacing w:val="-13"/>
        </w:rPr>
        <w:t xml:space="preserve"> </w:t>
      </w:r>
      <w:r>
        <w:t>5pm,</w:t>
      </w:r>
      <w:r>
        <w:rPr>
          <w:spacing w:val="-14"/>
        </w:rPr>
        <w:t xml:space="preserve"> </w:t>
      </w:r>
      <w:r>
        <w:t>then</w:t>
      </w:r>
      <w:r>
        <w:rPr>
          <w:spacing w:val="-15"/>
        </w:rPr>
        <w:t xml:space="preserve"> </w:t>
      </w:r>
      <w:r>
        <w:t>I</w:t>
      </w:r>
      <w:r>
        <w:rPr>
          <w:spacing w:val="-10"/>
        </w:rPr>
        <w:t xml:space="preserve"> </w:t>
      </w:r>
      <w:r>
        <w:t>will</w:t>
      </w:r>
      <w:r>
        <w:rPr>
          <w:spacing w:val="-11"/>
        </w:rPr>
        <w:t xml:space="preserve"> </w:t>
      </w:r>
      <w:r>
        <w:t>press</w:t>
      </w:r>
      <w:r>
        <w:rPr>
          <w:spacing w:val="-14"/>
        </w:rPr>
        <w:t xml:space="preserve"> </w:t>
      </w:r>
      <w:r>
        <w:t>the</w:t>
      </w:r>
      <w:r>
        <w:rPr>
          <w:spacing w:val="-16"/>
        </w:rPr>
        <w:t xml:space="preserve"> </w:t>
      </w:r>
      <w:r>
        <w:t>‘perform task’</w:t>
      </w:r>
      <w:r>
        <w:rPr>
          <w:spacing w:val="20"/>
        </w:rPr>
        <w:t xml:space="preserve"> </w:t>
      </w:r>
      <w:r>
        <w:t>button</w:t>
      </w:r>
      <w:r>
        <w:rPr>
          <w:spacing w:val="19"/>
        </w:rPr>
        <w:t xml:space="preserve"> </w:t>
      </w:r>
      <w:r>
        <w:t>and</w:t>
      </w:r>
      <w:r>
        <w:rPr>
          <w:spacing w:val="19"/>
        </w:rPr>
        <w:t xml:space="preserve"> </w:t>
      </w:r>
      <w:r>
        <w:t>select</w:t>
      </w:r>
      <w:r>
        <w:rPr>
          <w:spacing w:val="19"/>
        </w:rPr>
        <w:t xml:space="preserve"> </w:t>
      </w:r>
      <w:r>
        <w:t>the</w:t>
      </w:r>
      <w:r>
        <w:rPr>
          <w:spacing w:val="18"/>
        </w:rPr>
        <w:t xml:space="preserve"> </w:t>
      </w:r>
      <w:r>
        <w:t>‘phone</w:t>
      </w:r>
      <w:r>
        <w:rPr>
          <w:spacing w:val="18"/>
        </w:rPr>
        <w:t xml:space="preserve"> </w:t>
      </w:r>
      <w:r>
        <w:t>the</w:t>
      </w:r>
      <w:r>
        <w:rPr>
          <w:spacing w:val="18"/>
        </w:rPr>
        <w:t xml:space="preserve"> </w:t>
      </w:r>
      <w:r>
        <w:t>plumber’</w:t>
      </w:r>
      <w:r>
        <w:rPr>
          <w:spacing w:val="20"/>
        </w:rPr>
        <w:t xml:space="preserve"> </w:t>
      </w:r>
      <w:r>
        <w:t>action”;</w:t>
      </w:r>
      <w:r>
        <w:rPr>
          <w:spacing w:val="20"/>
        </w:rPr>
        <w:t xml:space="preserve"> </w:t>
      </w:r>
      <w:r>
        <w:t>Kretschmer</w:t>
      </w:r>
      <w:r>
        <w:rPr>
          <w:spacing w:val="21"/>
        </w:rPr>
        <w:t xml:space="preserve"> </w:t>
      </w:r>
      <w:r>
        <w:t>et</w:t>
      </w:r>
      <w:r>
        <w:rPr>
          <w:spacing w:val="19"/>
        </w:rPr>
        <w:t xml:space="preserve"> </w:t>
      </w:r>
      <w:r>
        <w:t>al.</w:t>
      </w:r>
      <w:r>
        <w:rPr>
          <w:spacing w:val="22"/>
        </w:rPr>
        <w:t xml:space="preserve"> </w:t>
      </w:r>
      <w:r>
        <w:t>(2014),</w:t>
      </w:r>
      <w:r>
        <w:rPr>
          <w:spacing w:val="22"/>
        </w:rPr>
        <w:t xml:space="preserve"> </w:t>
      </w:r>
      <w:r>
        <w:t>p.</w:t>
      </w:r>
      <w:r>
        <w:rPr>
          <w:spacing w:val="21"/>
        </w:rPr>
        <w:t xml:space="preserve"> </w:t>
      </w:r>
      <w:r>
        <w:t>3112).</w:t>
      </w:r>
    </w:p>
    <w:p w14:paraId="5726924D" w14:textId="77777777" w:rsidR="00C75312" w:rsidRDefault="00C75312">
      <w:pPr>
        <w:spacing w:line="480" w:lineRule="auto"/>
        <w:jc w:val="both"/>
        <w:sectPr w:rsidR="00C75312">
          <w:pgSz w:w="11900" w:h="16840"/>
          <w:pgMar w:top="1360" w:right="1320" w:bottom="280" w:left="1340" w:header="715" w:footer="0" w:gutter="0"/>
          <w:cols w:space="720"/>
        </w:sectPr>
      </w:pPr>
    </w:p>
    <w:p w14:paraId="7DC771B4" w14:textId="77777777" w:rsidR="00C75312" w:rsidRDefault="00BB293A">
      <w:pPr>
        <w:pStyle w:val="BodyText"/>
        <w:spacing w:before="80" w:line="480" w:lineRule="auto"/>
        <w:ind w:left="100" w:right="108"/>
        <w:jc w:val="both"/>
      </w:pPr>
      <w:r>
        <w:lastRenderedPageBreak/>
        <w:pict w14:anchorId="3F186D1F">
          <v:shape id="_x0000_s2788" type="#_x0000_t202" style="position:absolute;left:0;text-align:left;margin-left:321.85pt;margin-top:175.45pt;width:5.3pt;height:9.85pt;z-index:-260622336;mso-position-horizontal-relative:page" filled="f" stroked="f">
            <v:textbox inset="0,0,0,0">
              <w:txbxContent>
                <w:p w14:paraId="7AC0F16A"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271F0BBD">
          <v:shape id="_x0000_s2787" type="#_x0000_t202" style="position:absolute;left:0;text-align:left;margin-left:135.85pt;margin-top:205.2pt;width:5.3pt;height:9.85pt;z-index:-260621312;mso-position-horizontal-relative:page" filled="f" stroked="f">
            <v:textbox inset="0,0,0,0">
              <w:txbxContent>
                <w:p w14:paraId="5D2152F4"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6D122474">
          <v:shape id="_x0000_s2786" type="#_x0000_t202" style="position:absolute;left:0;text-align:left;margin-left:108.95pt;margin-top:262.35pt;width:5.3pt;height:9.85pt;z-index:-260620288;mso-position-horizontal-relative:page" filled="f" stroked="f">
            <v:textbox inset="0,0,0,0">
              <w:txbxContent>
                <w:p w14:paraId="3B36E530"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The</w:t>
      </w:r>
      <w:r>
        <w:rPr>
          <w:spacing w:val="-15"/>
        </w:rPr>
        <w:t xml:space="preserve"> </w:t>
      </w:r>
      <w:r>
        <w:t>logic</w:t>
      </w:r>
      <w:r>
        <w:rPr>
          <w:spacing w:val="-15"/>
        </w:rPr>
        <w:t xml:space="preserve"> </w:t>
      </w:r>
      <w:r>
        <w:t>here</w:t>
      </w:r>
      <w:r>
        <w:rPr>
          <w:spacing w:val="-14"/>
        </w:rPr>
        <w:t xml:space="preserve"> </w:t>
      </w:r>
      <w:r>
        <w:t>was</w:t>
      </w:r>
      <w:r>
        <w:rPr>
          <w:spacing w:val="-17"/>
        </w:rPr>
        <w:t xml:space="preserve"> </w:t>
      </w:r>
      <w:r>
        <w:t>that</w:t>
      </w:r>
      <w:r>
        <w:rPr>
          <w:spacing w:val="-18"/>
        </w:rPr>
        <w:t xml:space="preserve"> </w:t>
      </w:r>
      <w:r>
        <w:t>forcing</w:t>
      </w:r>
      <w:r>
        <w:rPr>
          <w:spacing w:val="-14"/>
        </w:rPr>
        <w:t xml:space="preserve"> </w:t>
      </w:r>
      <w:r>
        <w:t>participants</w:t>
      </w:r>
      <w:r>
        <w:rPr>
          <w:spacing w:val="-17"/>
        </w:rPr>
        <w:t xml:space="preserve"> </w:t>
      </w:r>
      <w:r>
        <w:t>with</w:t>
      </w:r>
      <w:r>
        <w:rPr>
          <w:spacing w:val="-13"/>
        </w:rPr>
        <w:t xml:space="preserve"> </w:t>
      </w:r>
      <w:r>
        <w:t>ASD</w:t>
      </w:r>
      <w:r>
        <w:rPr>
          <w:spacing w:val="-15"/>
        </w:rPr>
        <w:t xml:space="preserve"> </w:t>
      </w:r>
      <w:r>
        <w:t>to</w:t>
      </w:r>
      <w:r>
        <w:rPr>
          <w:spacing w:val="-14"/>
        </w:rPr>
        <w:t xml:space="preserve"> </w:t>
      </w:r>
      <w:r>
        <w:t>form</w:t>
      </w:r>
      <w:r>
        <w:rPr>
          <w:spacing w:val="-13"/>
        </w:rPr>
        <w:t xml:space="preserve"> </w:t>
      </w:r>
      <w:r>
        <w:t>implementation</w:t>
      </w:r>
      <w:r>
        <w:rPr>
          <w:spacing w:val="-19"/>
        </w:rPr>
        <w:t xml:space="preserve"> </w:t>
      </w:r>
      <w:r>
        <w:t>intentions</w:t>
      </w:r>
      <w:r>
        <w:rPr>
          <w:spacing w:val="-17"/>
        </w:rPr>
        <w:t xml:space="preserve"> </w:t>
      </w:r>
      <w:r>
        <w:t>would support</w:t>
      </w:r>
      <w:r>
        <w:rPr>
          <w:spacing w:val="-9"/>
        </w:rPr>
        <w:t xml:space="preserve"> </w:t>
      </w:r>
      <w:r>
        <w:t>their</w:t>
      </w:r>
      <w:r>
        <w:rPr>
          <w:spacing w:val="-13"/>
        </w:rPr>
        <w:t xml:space="preserve"> </w:t>
      </w:r>
      <w:r>
        <w:t>PM</w:t>
      </w:r>
      <w:r>
        <w:rPr>
          <w:spacing w:val="-12"/>
        </w:rPr>
        <w:t xml:space="preserve"> </w:t>
      </w:r>
      <w:r>
        <w:t>and,</w:t>
      </w:r>
      <w:r>
        <w:rPr>
          <w:spacing w:val="-7"/>
        </w:rPr>
        <w:t xml:space="preserve"> </w:t>
      </w:r>
      <w:r>
        <w:t>thus,</w:t>
      </w:r>
      <w:r>
        <w:rPr>
          <w:spacing w:val="-12"/>
        </w:rPr>
        <w:t xml:space="preserve"> </w:t>
      </w:r>
      <w:r>
        <w:t>raise</w:t>
      </w:r>
      <w:r>
        <w:rPr>
          <w:spacing w:val="-10"/>
        </w:rPr>
        <w:t xml:space="preserve"> </w:t>
      </w:r>
      <w:r>
        <w:t>their</w:t>
      </w:r>
      <w:r>
        <w:rPr>
          <w:spacing w:val="-13"/>
        </w:rPr>
        <w:t xml:space="preserve"> </w:t>
      </w:r>
      <w:r>
        <w:t>performance</w:t>
      </w:r>
      <w:r>
        <w:rPr>
          <w:spacing w:val="-15"/>
        </w:rPr>
        <w:t xml:space="preserve"> </w:t>
      </w:r>
      <w:r>
        <w:t>level</w:t>
      </w:r>
      <w:r>
        <w:rPr>
          <w:spacing w:val="-9"/>
        </w:rPr>
        <w:t xml:space="preserve"> </w:t>
      </w:r>
      <w:r>
        <w:t>to</w:t>
      </w:r>
      <w:r>
        <w:rPr>
          <w:spacing w:val="-9"/>
        </w:rPr>
        <w:t xml:space="preserve"> </w:t>
      </w:r>
      <w:r>
        <w:t>one</w:t>
      </w:r>
      <w:r>
        <w:rPr>
          <w:spacing w:val="-11"/>
        </w:rPr>
        <w:t xml:space="preserve"> </w:t>
      </w:r>
      <w:r>
        <w:t>commensurate</w:t>
      </w:r>
      <w:r>
        <w:rPr>
          <w:spacing w:val="-11"/>
        </w:rPr>
        <w:t xml:space="preserve"> </w:t>
      </w:r>
      <w:r>
        <w:t>with</w:t>
      </w:r>
      <w:r>
        <w:rPr>
          <w:spacing w:val="-14"/>
        </w:rPr>
        <w:t xml:space="preserve"> </w:t>
      </w:r>
      <w:r>
        <w:t>that</w:t>
      </w:r>
      <w:r>
        <w:rPr>
          <w:spacing w:val="-8"/>
        </w:rPr>
        <w:t xml:space="preserve"> </w:t>
      </w:r>
      <w:r>
        <w:t xml:space="preserve">among NT participants. No additional instructions were given in the standard condition. To </w:t>
      </w:r>
      <w:proofErr w:type="spellStart"/>
      <w:r>
        <w:t>analyse</w:t>
      </w:r>
      <w:proofErr w:type="spellEnd"/>
      <w:r>
        <w:t xml:space="preserve"> experimental</w:t>
      </w:r>
      <w:r>
        <w:rPr>
          <w:spacing w:val="-10"/>
        </w:rPr>
        <w:t xml:space="preserve"> </w:t>
      </w:r>
      <w:r>
        <w:t>task</w:t>
      </w:r>
      <w:r>
        <w:rPr>
          <w:spacing w:val="-10"/>
        </w:rPr>
        <w:t xml:space="preserve"> </w:t>
      </w:r>
      <w:r>
        <w:t>performance,</w:t>
      </w:r>
      <w:r>
        <w:rPr>
          <w:spacing w:val="-7"/>
        </w:rPr>
        <w:t xml:space="preserve"> </w:t>
      </w:r>
      <w:r>
        <w:t>the</w:t>
      </w:r>
      <w:r>
        <w:rPr>
          <w:spacing w:val="-15"/>
        </w:rPr>
        <w:t xml:space="preserve"> </w:t>
      </w:r>
      <w:r>
        <w:t>authors</w:t>
      </w:r>
      <w:r>
        <w:rPr>
          <w:spacing w:val="-17"/>
        </w:rPr>
        <w:t xml:space="preserve"> </w:t>
      </w:r>
      <w:r>
        <w:t>ran</w:t>
      </w:r>
      <w:r>
        <w:rPr>
          <w:spacing w:val="-10"/>
        </w:rPr>
        <w:t xml:space="preserve"> </w:t>
      </w:r>
      <w:r>
        <w:t>a</w:t>
      </w:r>
      <w:r>
        <w:rPr>
          <w:spacing w:val="-14"/>
        </w:rPr>
        <w:t xml:space="preserve"> </w:t>
      </w:r>
      <w:r>
        <w:t>2</w:t>
      </w:r>
      <w:r>
        <w:rPr>
          <w:spacing w:val="-14"/>
        </w:rPr>
        <w:t xml:space="preserve"> </w:t>
      </w:r>
      <w:r>
        <w:t>(Group:</w:t>
      </w:r>
      <w:r>
        <w:rPr>
          <w:spacing w:val="-9"/>
        </w:rPr>
        <w:t xml:space="preserve"> </w:t>
      </w:r>
      <w:r>
        <w:t>ASD/NT)</w:t>
      </w:r>
      <w:r>
        <w:rPr>
          <w:spacing w:val="-13"/>
        </w:rPr>
        <w:t xml:space="preserve"> </w:t>
      </w:r>
      <w:r>
        <w:t>×</w:t>
      </w:r>
      <w:r>
        <w:rPr>
          <w:spacing w:val="-11"/>
        </w:rPr>
        <w:t xml:space="preserve"> </w:t>
      </w:r>
      <w:r>
        <w:t>2</w:t>
      </w:r>
      <w:r>
        <w:rPr>
          <w:spacing w:val="-14"/>
        </w:rPr>
        <w:t xml:space="preserve"> </w:t>
      </w:r>
      <w:r>
        <w:t>(Encoding</w:t>
      </w:r>
      <w:r>
        <w:rPr>
          <w:spacing w:val="-10"/>
        </w:rPr>
        <w:t xml:space="preserve"> </w:t>
      </w:r>
      <w:r>
        <w:t xml:space="preserve">condition: standard/implementation intention) × 2 (Type </w:t>
      </w:r>
      <w:r>
        <w:rPr>
          <w:spacing w:val="-3"/>
        </w:rPr>
        <w:t xml:space="preserve">of </w:t>
      </w:r>
      <w:r>
        <w:t xml:space="preserve">PM task: event-based/time-based) × 2 (Regularity: regular/irregular) mixed ANOVA to </w:t>
      </w:r>
      <w:proofErr w:type="spellStart"/>
      <w:r>
        <w:t>analyse</w:t>
      </w:r>
      <w:proofErr w:type="spellEnd"/>
      <w:r>
        <w:t xml:space="preserve"> PM performance across all three virtual days. They found a main effect of group (</w:t>
      </w:r>
      <w:r>
        <w:rPr>
          <w:rFonts w:ascii="Cambria Math" w:hAnsi="Cambria Math"/>
        </w:rPr>
        <w:t>!</w:t>
      </w:r>
      <w:r>
        <w:rPr>
          <w:rFonts w:ascii="Cambria Math" w:hAnsi="Cambria Math"/>
          <w:position w:val="9"/>
          <w:sz w:val="17"/>
        </w:rPr>
        <w:t xml:space="preserve"># </w:t>
      </w:r>
      <w:r>
        <w:t>= .14), as well as a significant Group × Regularity (</w:t>
      </w:r>
      <w:r>
        <w:rPr>
          <w:rFonts w:ascii="Cambria Math" w:hAnsi="Cambria Math"/>
        </w:rPr>
        <w:t>!</w:t>
      </w:r>
      <w:r>
        <w:rPr>
          <w:rFonts w:ascii="Cambria Math" w:hAnsi="Cambria Math"/>
          <w:position w:val="9"/>
          <w:sz w:val="17"/>
        </w:rPr>
        <w:t xml:space="preserve"># </w:t>
      </w:r>
      <w:r>
        <w:t>= .12) interaction. Interestingly, post-h</w:t>
      </w:r>
      <w:r>
        <w:t>oc test results revealed no within-group differences for NT adults, but ASD participants performed better on regular than irregular</w:t>
      </w:r>
      <w:r>
        <w:rPr>
          <w:spacing w:val="-35"/>
        </w:rPr>
        <w:t xml:space="preserve"> </w:t>
      </w:r>
      <w:r>
        <w:t>PM tasks (</w:t>
      </w:r>
      <w:r>
        <w:rPr>
          <w:rFonts w:ascii="Cambria Math" w:hAnsi="Cambria Math"/>
        </w:rPr>
        <w:t>!</w:t>
      </w:r>
      <w:r>
        <w:rPr>
          <w:rFonts w:ascii="Cambria Math" w:hAnsi="Cambria Math"/>
          <w:position w:val="9"/>
          <w:sz w:val="17"/>
        </w:rPr>
        <w:t xml:space="preserve">#  </w:t>
      </w:r>
      <w:r>
        <w:t>= .17). Because no Group × PM task interaction emerged, the authors concluded</w:t>
      </w:r>
      <w:r>
        <w:rPr>
          <w:spacing w:val="-2"/>
        </w:rPr>
        <w:t xml:space="preserve"> </w:t>
      </w:r>
      <w:r>
        <w:t>that</w:t>
      </w:r>
    </w:p>
    <w:p w14:paraId="67620F82" w14:textId="77777777" w:rsidR="00C75312" w:rsidRDefault="00BB293A">
      <w:pPr>
        <w:pStyle w:val="BodyText"/>
        <w:spacing w:before="22"/>
        <w:ind w:left="100"/>
        <w:jc w:val="both"/>
      </w:pPr>
      <w:r>
        <w:t>individuals</w:t>
      </w:r>
      <w:r>
        <w:rPr>
          <w:spacing w:val="-12"/>
        </w:rPr>
        <w:t xml:space="preserve"> </w:t>
      </w:r>
      <w:r>
        <w:t>with</w:t>
      </w:r>
      <w:r>
        <w:rPr>
          <w:spacing w:val="-11"/>
        </w:rPr>
        <w:t xml:space="preserve"> </w:t>
      </w:r>
      <w:r>
        <w:t>ASD</w:t>
      </w:r>
      <w:r>
        <w:rPr>
          <w:spacing w:val="-10"/>
        </w:rPr>
        <w:t xml:space="preserve"> </w:t>
      </w:r>
      <w:r>
        <w:t>have</w:t>
      </w:r>
      <w:r>
        <w:rPr>
          <w:spacing w:val="-14"/>
        </w:rPr>
        <w:t xml:space="preserve"> </w:t>
      </w:r>
      <w:r>
        <w:t>a</w:t>
      </w:r>
      <w:r>
        <w:rPr>
          <w:spacing w:val="-11"/>
        </w:rPr>
        <w:t xml:space="preserve"> </w:t>
      </w:r>
      <w:r>
        <w:t>general</w:t>
      </w:r>
      <w:r>
        <w:rPr>
          <w:spacing w:val="-9"/>
        </w:rPr>
        <w:t xml:space="preserve"> </w:t>
      </w:r>
      <w:r>
        <w:t>deficit</w:t>
      </w:r>
      <w:r>
        <w:rPr>
          <w:spacing w:val="-10"/>
        </w:rPr>
        <w:t xml:space="preserve"> </w:t>
      </w:r>
      <w:r>
        <w:t>across</w:t>
      </w:r>
      <w:r>
        <w:rPr>
          <w:spacing w:val="-15"/>
        </w:rPr>
        <w:t xml:space="preserve"> </w:t>
      </w:r>
      <w:r>
        <w:rPr>
          <w:i/>
        </w:rPr>
        <w:t>both</w:t>
      </w:r>
      <w:r>
        <w:rPr>
          <w:i/>
          <w:spacing w:val="-10"/>
        </w:rPr>
        <w:t xml:space="preserve"> </w:t>
      </w:r>
      <w:r>
        <w:t>time-</w:t>
      </w:r>
      <w:r>
        <w:rPr>
          <w:spacing w:val="-13"/>
        </w:rPr>
        <w:t xml:space="preserve"> </w:t>
      </w:r>
      <w:r>
        <w:t>and</w:t>
      </w:r>
      <w:r>
        <w:rPr>
          <w:spacing w:val="-10"/>
        </w:rPr>
        <w:t xml:space="preserve"> </w:t>
      </w:r>
      <w:r>
        <w:t>event-based</w:t>
      </w:r>
      <w:r>
        <w:rPr>
          <w:spacing w:val="-10"/>
        </w:rPr>
        <w:t xml:space="preserve"> </w:t>
      </w:r>
      <w:r>
        <w:t>PM.</w:t>
      </w:r>
      <w:r>
        <w:rPr>
          <w:spacing w:val="39"/>
        </w:rPr>
        <w:t xml:space="preserve"> </w:t>
      </w:r>
      <w:r>
        <w:t>The</w:t>
      </w:r>
      <w:r>
        <w:rPr>
          <w:spacing w:val="-11"/>
        </w:rPr>
        <w:t xml:space="preserve"> </w:t>
      </w:r>
      <w:r>
        <w:t>Group</w:t>
      </w:r>
    </w:p>
    <w:p w14:paraId="37F9D7A7" w14:textId="77777777" w:rsidR="00C75312" w:rsidRDefault="00C75312">
      <w:pPr>
        <w:pStyle w:val="BodyText"/>
      </w:pPr>
    </w:p>
    <w:p w14:paraId="06D2EAF4" w14:textId="77777777" w:rsidR="00C75312" w:rsidRDefault="00BB293A">
      <w:pPr>
        <w:pStyle w:val="BodyText"/>
        <w:ind w:left="100"/>
        <w:jc w:val="both"/>
      </w:pPr>
      <w:r>
        <w:t>×</w:t>
      </w:r>
      <w:r>
        <w:rPr>
          <w:spacing w:val="4"/>
        </w:rPr>
        <w:t xml:space="preserve"> </w:t>
      </w:r>
      <w:r>
        <w:t>Encoding</w:t>
      </w:r>
      <w:r>
        <w:rPr>
          <w:spacing w:val="5"/>
        </w:rPr>
        <w:t xml:space="preserve"> </w:t>
      </w:r>
      <w:r>
        <w:t>condition</w:t>
      </w:r>
      <w:r>
        <w:rPr>
          <w:spacing w:val="6"/>
        </w:rPr>
        <w:t xml:space="preserve"> </w:t>
      </w:r>
      <w:r>
        <w:t>interaction</w:t>
      </w:r>
      <w:r>
        <w:rPr>
          <w:spacing w:val="5"/>
        </w:rPr>
        <w:t xml:space="preserve"> </w:t>
      </w:r>
      <w:r>
        <w:t>was</w:t>
      </w:r>
      <w:r>
        <w:rPr>
          <w:spacing w:val="4"/>
        </w:rPr>
        <w:t xml:space="preserve"> </w:t>
      </w:r>
      <w:r>
        <w:t>non-significant</w:t>
      </w:r>
      <w:r>
        <w:rPr>
          <w:spacing w:val="5"/>
        </w:rPr>
        <w:t xml:space="preserve"> </w:t>
      </w:r>
      <w:r>
        <w:t>with</w:t>
      </w:r>
      <w:r>
        <w:rPr>
          <w:spacing w:val="6"/>
        </w:rPr>
        <w:t xml:space="preserve"> </w:t>
      </w:r>
      <w:r>
        <w:t>a</w:t>
      </w:r>
      <w:r>
        <w:rPr>
          <w:spacing w:val="4"/>
        </w:rPr>
        <w:t xml:space="preserve"> </w:t>
      </w:r>
      <w:r>
        <w:t>small</w:t>
      </w:r>
      <w:r>
        <w:rPr>
          <w:spacing w:val="5"/>
        </w:rPr>
        <w:t xml:space="preserve"> </w:t>
      </w:r>
      <w:r>
        <w:t>to</w:t>
      </w:r>
      <w:r>
        <w:rPr>
          <w:spacing w:val="6"/>
        </w:rPr>
        <w:t xml:space="preserve"> </w:t>
      </w:r>
      <w:r>
        <w:t>medium</w:t>
      </w:r>
      <w:r>
        <w:rPr>
          <w:spacing w:val="5"/>
        </w:rPr>
        <w:t xml:space="preserve"> </w:t>
      </w:r>
      <w:r>
        <w:t>effect</w:t>
      </w:r>
      <w:r>
        <w:rPr>
          <w:spacing w:val="6"/>
        </w:rPr>
        <w:t xml:space="preserve"> </w:t>
      </w:r>
      <w:r>
        <w:t>size</w:t>
      </w:r>
      <w:r>
        <w:rPr>
          <w:spacing w:val="4"/>
        </w:rPr>
        <w:t xml:space="preserve"> </w:t>
      </w:r>
      <w:r>
        <w:t>(</w:t>
      </w:r>
      <w:r>
        <w:rPr>
          <w:i/>
        </w:rPr>
        <w:t>p</w:t>
      </w:r>
      <w:r>
        <w:rPr>
          <w:i/>
          <w:spacing w:val="6"/>
        </w:rPr>
        <w:t xml:space="preserve"> </w:t>
      </w:r>
      <w:r>
        <w:t>=</w:t>
      </w:r>
    </w:p>
    <w:p w14:paraId="648C387A" w14:textId="77777777" w:rsidR="00C75312" w:rsidRDefault="00C75312">
      <w:pPr>
        <w:pStyle w:val="BodyText"/>
        <w:rPr>
          <w:sz w:val="22"/>
        </w:rPr>
      </w:pPr>
    </w:p>
    <w:p w14:paraId="725F961B" w14:textId="77777777" w:rsidR="00C75312" w:rsidRDefault="00BB293A">
      <w:pPr>
        <w:pStyle w:val="BodyText"/>
        <w:spacing w:line="482" w:lineRule="auto"/>
        <w:ind w:left="100" w:right="108"/>
        <w:jc w:val="both"/>
        <w:rPr>
          <w:sz w:val="16"/>
        </w:rPr>
      </w:pPr>
      <w:r>
        <w:pict w14:anchorId="6C0D6B53">
          <v:shape id="_x0000_s2785" type="#_x0000_t202" style="position:absolute;left:0;text-align:left;margin-left:99.1pt;margin-top:7pt;width:5.3pt;height:9.85pt;z-index:-260619264;mso-position-horizontal-relative:page" filled="f" stroked="f">
            <v:textbox inset="0,0,0,0">
              <w:txbxContent>
                <w:p w14:paraId="4BBEDADE"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 xml:space="preserve">.08, </w:t>
      </w:r>
      <w:r>
        <w:rPr>
          <w:rFonts w:ascii="Cambria Math"/>
          <w:w w:val="110"/>
        </w:rPr>
        <w:t>!</w:t>
      </w:r>
      <w:r>
        <w:rPr>
          <w:rFonts w:ascii="Cambria Math"/>
          <w:w w:val="110"/>
          <w:position w:val="9"/>
          <w:sz w:val="17"/>
        </w:rPr>
        <w:t xml:space="preserve"># </w:t>
      </w:r>
      <w:r>
        <w:t>= .06). Nonetheless, the authors broke down the interaction effect. Post-hoc between- participant tests revealed that, relative to comparison participants, individuals with ASD showed</w:t>
      </w:r>
      <w:r>
        <w:rPr>
          <w:spacing w:val="-15"/>
        </w:rPr>
        <w:t xml:space="preserve"> </w:t>
      </w:r>
      <w:r>
        <w:t>diminished</w:t>
      </w:r>
      <w:r>
        <w:rPr>
          <w:spacing w:val="-14"/>
        </w:rPr>
        <w:t xml:space="preserve"> </w:t>
      </w:r>
      <w:r>
        <w:t>performance</w:t>
      </w:r>
      <w:r>
        <w:rPr>
          <w:spacing w:val="-16"/>
        </w:rPr>
        <w:t xml:space="preserve"> </w:t>
      </w:r>
      <w:r>
        <w:t>in</w:t>
      </w:r>
      <w:r>
        <w:rPr>
          <w:spacing w:val="-14"/>
        </w:rPr>
        <w:t xml:space="preserve"> </w:t>
      </w:r>
      <w:r>
        <w:t>the</w:t>
      </w:r>
      <w:r>
        <w:rPr>
          <w:spacing w:val="-15"/>
        </w:rPr>
        <w:t xml:space="preserve"> </w:t>
      </w:r>
      <w:r>
        <w:rPr>
          <w:i/>
        </w:rPr>
        <w:t>standard</w:t>
      </w:r>
      <w:r>
        <w:rPr>
          <w:i/>
          <w:spacing w:val="-16"/>
        </w:rPr>
        <w:t xml:space="preserve"> </w:t>
      </w:r>
      <w:r>
        <w:t>condition</w:t>
      </w:r>
      <w:r>
        <w:rPr>
          <w:spacing w:val="-14"/>
        </w:rPr>
        <w:t xml:space="preserve"> </w:t>
      </w:r>
      <w:r>
        <w:t>only;</w:t>
      </w:r>
      <w:r>
        <w:rPr>
          <w:spacing w:val="-15"/>
        </w:rPr>
        <w:t xml:space="preserve"> </w:t>
      </w:r>
      <w:r>
        <w:t>whereas</w:t>
      </w:r>
      <w:r>
        <w:rPr>
          <w:spacing w:val="-17"/>
        </w:rPr>
        <w:t xml:space="preserve"> </w:t>
      </w:r>
      <w:r>
        <w:t>in</w:t>
      </w:r>
      <w:r>
        <w:rPr>
          <w:spacing w:val="-19"/>
        </w:rPr>
        <w:t xml:space="preserve"> </w:t>
      </w:r>
      <w:r>
        <w:t>the</w:t>
      </w:r>
      <w:r>
        <w:rPr>
          <w:spacing w:val="-15"/>
        </w:rPr>
        <w:t xml:space="preserve"> </w:t>
      </w:r>
      <w:r>
        <w:t xml:space="preserve">implementation intentions condition, the between-group differences in performance were non-significant. Based on these results, the authors concluded that implementation intentions might present a strategy to support PM in individuals with ASD. However, a closer inspection of the results suggests that this conclusion is not entirely warranted. Kretschmer (personal communication, October 2016) provided the group means and standard deviations, which indicated that the ASD group only benefitted from employing </w:t>
      </w:r>
      <w:r>
        <w:t xml:space="preserve">implementation intentions for event-based PM </w:t>
      </w:r>
      <w:r>
        <w:rPr>
          <w:position w:val="2"/>
        </w:rPr>
        <w:t>(ASD:</w:t>
      </w:r>
      <w:r>
        <w:rPr>
          <w:spacing w:val="-7"/>
          <w:position w:val="2"/>
        </w:rPr>
        <w:t xml:space="preserve"> </w:t>
      </w:r>
      <w:r>
        <w:rPr>
          <w:i/>
          <w:position w:val="2"/>
        </w:rPr>
        <w:t>M</w:t>
      </w:r>
      <w:proofErr w:type="spellStart"/>
      <w:r>
        <w:rPr>
          <w:sz w:val="16"/>
        </w:rPr>
        <w:t>ImplementationIntentions</w:t>
      </w:r>
      <w:proofErr w:type="spellEnd"/>
      <w:r>
        <w:rPr>
          <w:spacing w:val="-3"/>
          <w:sz w:val="16"/>
        </w:rPr>
        <w:t xml:space="preserve"> </w:t>
      </w:r>
      <w:r>
        <w:rPr>
          <w:position w:val="2"/>
        </w:rPr>
        <w:t>=</w:t>
      </w:r>
      <w:r>
        <w:rPr>
          <w:spacing w:val="-8"/>
          <w:position w:val="2"/>
        </w:rPr>
        <w:t xml:space="preserve"> </w:t>
      </w:r>
      <w:r>
        <w:rPr>
          <w:position w:val="2"/>
        </w:rPr>
        <w:t>.81,</w:t>
      </w:r>
      <w:r>
        <w:rPr>
          <w:spacing w:val="-4"/>
          <w:position w:val="2"/>
        </w:rPr>
        <w:t xml:space="preserve"> </w:t>
      </w:r>
      <w:r>
        <w:rPr>
          <w:i/>
          <w:position w:val="2"/>
        </w:rPr>
        <w:t>SD</w:t>
      </w:r>
      <w:r>
        <w:rPr>
          <w:i/>
          <w:spacing w:val="-12"/>
          <w:position w:val="2"/>
        </w:rPr>
        <w:t xml:space="preserve"> </w:t>
      </w:r>
      <w:r>
        <w:rPr>
          <w:position w:val="2"/>
        </w:rPr>
        <w:t>=</w:t>
      </w:r>
      <w:r>
        <w:rPr>
          <w:spacing w:val="-8"/>
          <w:position w:val="2"/>
        </w:rPr>
        <w:t xml:space="preserve"> </w:t>
      </w:r>
      <w:r>
        <w:rPr>
          <w:position w:val="2"/>
        </w:rPr>
        <w:t>0.22,</w:t>
      </w:r>
      <w:r>
        <w:rPr>
          <w:spacing w:val="-9"/>
          <w:position w:val="2"/>
        </w:rPr>
        <w:t xml:space="preserve"> </w:t>
      </w:r>
      <w:r>
        <w:rPr>
          <w:i/>
          <w:position w:val="2"/>
        </w:rPr>
        <w:t>M</w:t>
      </w:r>
      <w:r>
        <w:rPr>
          <w:sz w:val="16"/>
        </w:rPr>
        <w:t>Standard</w:t>
      </w:r>
      <w:r>
        <w:rPr>
          <w:spacing w:val="-7"/>
          <w:sz w:val="16"/>
        </w:rPr>
        <w:t xml:space="preserve"> </w:t>
      </w:r>
      <w:r>
        <w:rPr>
          <w:position w:val="2"/>
        </w:rPr>
        <w:t>=</w:t>
      </w:r>
      <w:r>
        <w:rPr>
          <w:spacing w:val="-8"/>
          <w:position w:val="2"/>
        </w:rPr>
        <w:t xml:space="preserve"> </w:t>
      </w:r>
      <w:r>
        <w:rPr>
          <w:position w:val="2"/>
        </w:rPr>
        <w:t>.62,</w:t>
      </w:r>
      <w:r>
        <w:rPr>
          <w:spacing w:val="-4"/>
          <w:position w:val="2"/>
        </w:rPr>
        <w:t xml:space="preserve"> </w:t>
      </w:r>
      <w:r>
        <w:rPr>
          <w:i/>
          <w:position w:val="2"/>
        </w:rPr>
        <w:t>SD</w:t>
      </w:r>
      <w:r>
        <w:rPr>
          <w:i/>
          <w:spacing w:val="-12"/>
          <w:position w:val="2"/>
        </w:rPr>
        <w:t xml:space="preserve"> </w:t>
      </w:r>
      <w:r>
        <w:rPr>
          <w:position w:val="2"/>
        </w:rPr>
        <w:t>=</w:t>
      </w:r>
      <w:r>
        <w:rPr>
          <w:spacing w:val="-8"/>
          <w:position w:val="2"/>
        </w:rPr>
        <w:t xml:space="preserve"> </w:t>
      </w:r>
      <w:r>
        <w:rPr>
          <w:position w:val="2"/>
        </w:rPr>
        <w:t>0.33;</w:t>
      </w:r>
      <w:r>
        <w:rPr>
          <w:spacing w:val="-6"/>
          <w:position w:val="2"/>
        </w:rPr>
        <w:t xml:space="preserve"> </w:t>
      </w:r>
      <w:r>
        <w:rPr>
          <w:i/>
          <w:position w:val="2"/>
        </w:rPr>
        <w:t>NT</w:t>
      </w:r>
      <w:r>
        <w:rPr>
          <w:position w:val="2"/>
        </w:rPr>
        <w:t>:</w:t>
      </w:r>
      <w:r>
        <w:rPr>
          <w:spacing w:val="-10"/>
          <w:position w:val="2"/>
        </w:rPr>
        <w:t xml:space="preserve"> </w:t>
      </w:r>
      <w:r>
        <w:rPr>
          <w:position w:val="2"/>
        </w:rPr>
        <w:t>M</w:t>
      </w:r>
      <w:proofErr w:type="spellStart"/>
      <w:r>
        <w:rPr>
          <w:sz w:val="16"/>
        </w:rPr>
        <w:t>ImplementationIntentions</w:t>
      </w:r>
      <w:proofErr w:type="spellEnd"/>
    </w:p>
    <w:p w14:paraId="580E7854" w14:textId="77777777" w:rsidR="00C75312" w:rsidRDefault="00BB293A">
      <w:pPr>
        <w:pStyle w:val="BodyText"/>
        <w:spacing w:line="480" w:lineRule="auto"/>
        <w:ind w:left="100" w:right="110"/>
        <w:jc w:val="both"/>
      </w:pPr>
      <w:r>
        <w:rPr>
          <w:position w:val="2"/>
        </w:rPr>
        <w:t xml:space="preserve">= .84, </w:t>
      </w:r>
      <w:r>
        <w:rPr>
          <w:i/>
          <w:position w:val="2"/>
        </w:rPr>
        <w:t xml:space="preserve">SD </w:t>
      </w:r>
      <w:r>
        <w:rPr>
          <w:position w:val="2"/>
        </w:rPr>
        <w:t xml:space="preserve">= 0.22, </w:t>
      </w:r>
      <w:r>
        <w:rPr>
          <w:i/>
          <w:position w:val="2"/>
        </w:rPr>
        <w:t>M</w:t>
      </w:r>
      <w:r>
        <w:rPr>
          <w:sz w:val="16"/>
        </w:rPr>
        <w:t xml:space="preserve">Standard </w:t>
      </w:r>
      <w:r>
        <w:rPr>
          <w:position w:val="2"/>
        </w:rPr>
        <w:t xml:space="preserve">= .80, SD = 0.29). However, rather than implementation intentions </w:t>
      </w:r>
      <w:r>
        <w:t xml:space="preserve">improving time-based PM performance in ASD, they instead </w:t>
      </w:r>
      <w:r>
        <w:rPr>
          <w:i/>
        </w:rPr>
        <w:t xml:space="preserve">decreased </w:t>
      </w:r>
      <w:r>
        <w:t xml:space="preserve">the performance </w:t>
      </w:r>
      <w:r>
        <w:rPr>
          <w:spacing w:val="-3"/>
        </w:rPr>
        <w:t xml:space="preserve">of </w:t>
      </w:r>
      <w:r>
        <w:t xml:space="preserve">comparison   </w:t>
      </w:r>
      <w:r>
        <w:rPr>
          <w:spacing w:val="11"/>
        </w:rPr>
        <w:t xml:space="preserve"> </w:t>
      </w:r>
      <w:r>
        <w:t xml:space="preserve">participants   </w:t>
      </w:r>
      <w:r>
        <w:rPr>
          <w:spacing w:val="10"/>
        </w:rPr>
        <w:t xml:space="preserve"> </w:t>
      </w:r>
      <w:r>
        <w:t xml:space="preserve">relative   </w:t>
      </w:r>
      <w:r>
        <w:rPr>
          <w:spacing w:val="10"/>
        </w:rPr>
        <w:t xml:space="preserve"> </w:t>
      </w:r>
      <w:r>
        <w:t xml:space="preserve">to   </w:t>
      </w:r>
      <w:r>
        <w:rPr>
          <w:spacing w:val="12"/>
        </w:rPr>
        <w:t xml:space="preserve"> </w:t>
      </w:r>
      <w:r>
        <w:t xml:space="preserve">the   </w:t>
      </w:r>
      <w:r>
        <w:rPr>
          <w:spacing w:val="11"/>
        </w:rPr>
        <w:t xml:space="preserve"> </w:t>
      </w:r>
      <w:r>
        <w:t xml:space="preserve">standard   </w:t>
      </w:r>
      <w:r>
        <w:rPr>
          <w:spacing w:val="11"/>
        </w:rPr>
        <w:t xml:space="preserve"> </w:t>
      </w:r>
      <w:r>
        <w:t xml:space="preserve">condition   </w:t>
      </w:r>
      <w:r>
        <w:rPr>
          <w:spacing w:val="12"/>
        </w:rPr>
        <w:t xml:space="preserve"> </w:t>
      </w:r>
      <w:r>
        <w:t xml:space="preserve">performance   </w:t>
      </w:r>
      <w:r>
        <w:rPr>
          <w:spacing w:val="11"/>
        </w:rPr>
        <w:t xml:space="preserve"> </w:t>
      </w:r>
      <w:r>
        <w:t>(ASD:</w:t>
      </w:r>
    </w:p>
    <w:p w14:paraId="3E2B055C" w14:textId="77777777" w:rsidR="00C75312" w:rsidRDefault="00C75312">
      <w:pPr>
        <w:spacing w:line="480" w:lineRule="auto"/>
        <w:jc w:val="both"/>
        <w:sectPr w:rsidR="00C75312">
          <w:pgSz w:w="11900" w:h="16840"/>
          <w:pgMar w:top="1360" w:right="1320" w:bottom="280" w:left="1340" w:header="715" w:footer="0" w:gutter="0"/>
          <w:cols w:space="720"/>
        </w:sectPr>
      </w:pPr>
    </w:p>
    <w:p w14:paraId="137961E8" w14:textId="77777777" w:rsidR="00C75312" w:rsidRDefault="00BB293A">
      <w:pPr>
        <w:pStyle w:val="BodyText"/>
        <w:spacing w:before="79" w:line="475" w:lineRule="auto"/>
        <w:ind w:left="100" w:right="107"/>
        <w:jc w:val="both"/>
      </w:pPr>
      <w:r>
        <w:lastRenderedPageBreak/>
        <w:pict w14:anchorId="59DB52A6">
          <v:shape id="_x0000_s2784" type="#_x0000_t202" style="position:absolute;left:0;text-align:left;margin-left:158.65pt;margin-top:124.8pt;width:5.3pt;height:9.85pt;z-index:-260618240;mso-position-horizontal-relative:page" filled="f" stroked="f">
            <v:textbox inset="0,0,0,0">
              <w:txbxContent>
                <w:p w14:paraId="5C0DDB54"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sidRPr="002C3022">
        <w:rPr>
          <w:i/>
          <w:position w:val="2"/>
          <w:lang w:val="fr-FR"/>
        </w:rPr>
        <w:t>M</w:t>
      </w:r>
      <w:r w:rsidRPr="002C3022">
        <w:rPr>
          <w:sz w:val="16"/>
          <w:lang w:val="fr-FR"/>
        </w:rPr>
        <w:t xml:space="preserve">ImplementationIntentions </w:t>
      </w:r>
      <w:r w:rsidRPr="002C3022">
        <w:rPr>
          <w:position w:val="2"/>
          <w:lang w:val="fr-FR"/>
        </w:rPr>
        <w:t xml:space="preserve">= .53, </w:t>
      </w:r>
      <w:r w:rsidRPr="002C3022">
        <w:rPr>
          <w:i/>
          <w:position w:val="2"/>
          <w:lang w:val="fr-FR"/>
        </w:rPr>
        <w:t xml:space="preserve">SD </w:t>
      </w:r>
      <w:r w:rsidRPr="002C3022">
        <w:rPr>
          <w:position w:val="2"/>
          <w:lang w:val="fr-FR"/>
        </w:rPr>
        <w:t xml:space="preserve">= 0.32, </w:t>
      </w:r>
      <w:r w:rsidRPr="002C3022">
        <w:rPr>
          <w:i/>
          <w:position w:val="2"/>
          <w:lang w:val="fr-FR"/>
        </w:rPr>
        <w:t>M</w:t>
      </w:r>
      <w:r w:rsidRPr="002C3022">
        <w:rPr>
          <w:sz w:val="16"/>
          <w:lang w:val="fr-FR"/>
        </w:rPr>
        <w:t xml:space="preserve">Standard </w:t>
      </w:r>
      <w:r w:rsidRPr="002C3022">
        <w:rPr>
          <w:position w:val="2"/>
          <w:lang w:val="fr-FR"/>
        </w:rPr>
        <w:t xml:space="preserve">= .49, </w:t>
      </w:r>
      <w:r w:rsidRPr="002C3022">
        <w:rPr>
          <w:i/>
          <w:position w:val="2"/>
          <w:lang w:val="fr-FR"/>
        </w:rPr>
        <w:t xml:space="preserve">SD </w:t>
      </w:r>
      <w:r w:rsidRPr="002C3022">
        <w:rPr>
          <w:position w:val="2"/>
          <w:lang w:val="fr-FR"/>
        </w:rPr>
        <w:t xml:space="preserve">= 0.32; NT: </w:t>
      </w:r>
      <w:r w:rsidRPr="002C3022">
        <w:rPr>
          <w:i/>
          <w:position w:val="2"/>
          <w:lang w:val="fr-FR"/>
        </w:rPr>
        <w:t>M</w:t>
      </w:r>
      <w:r w:rsidRPr="002C3022">
        <w:rPr>
          <w:sz w:val="16"/>
          <w:lang w:val="fr-FR"/>
        </w:rPr>
        <w:t xml:space="preserve">ImplementationIntentions </w:t>
      </w:r>
      <w:r w:rsidRPr="002C3022">
        <w:rPr>
          <w:position w:val="2"/>
          <w:lang w:val="fr-FR"/>
        </w:rPr>
        <w:t xml:space="preserve">= .58, </w:t>
      </w:r>
      <w:r w:rsidRPr="002C3022">
        <w:rPr>
          <w:i/>
          <w:position w:val="2"/>
          <w:lang w:val="fr-FR"/>
        </w:rPr>
        <w:t xml:space="preserve">SD </w:t>
      </w:r>
      <w:r w:rsidRPr="002C3022">
        <w:rPr>
          <w:position w:val="2"/>
          <w:lang w:val="fr-FR"/>
        </w:rPr>
        <w:t xml:space="preserve">= 0.25, </w:t>
      </w:r>
      <w:r w:rsidRPr="002C3022">
        <w:rPr>
          <w:i/>
          <w:position w:val="2"/>
          <w:lang w:val="fr-FR"/>
        </w:rPr>
        <w:t>M</w:t>
      </w:r>
      <w:r w:rsidRPr="002C3022">
        <w:rPr>
          <w:sz w:val="16"/>
          <w:lang w:val="fr-FR"/>
        </w:rPr>
        <w:t xml:space="preserve">Standard </w:t>
      </w:r>
      <w:r w:rsidRPr="002C3022">
        <w:rPr>
          <w:position w:val="2"/>
          <w:lang w:val="fr-FR"/>
        </w:rPr>
        <w:t xml:space="preserve">= .79, </w:t>
      </w:r>
      <w:r w:rsidRPr="002C3022">
        <w:rPr>
          <w:i/>
          <w:position w:val="2"/>
          <w:lang w:val="fr-FR"/>
        </w:rPr>
        <w:t xml:space="preserve">SD </w:t>
      </w:r>
      <w:r w:rsidRPr="002C3022">
        <w:rPr>
          <w:position w:val="2"/>
          <w:lang w:val="fr-FR"/>
        </w:rPr>
        <w:t>= 0.24)</w:t>
      </w:r>
      <w:r w:rsidRPr="002C3022">
        <w:rPr>
          <w:position w:val="2"/>
          <w:sz w:val="28"/>
          <w:lang w:val="fr-FR"/>
        </w:rPr>
        <w:t xml:space="preserve">. </w:t>
      </w:r>
      <w:r>
        <w:rPr>
          <w:position w:val="2"/>
          <w:sz w:val="28"/>
        </w:rPr>
        <w:t>F</w:t>
      </w:r>
      <w:r>
        <w:rPr>
          <w:position w:val="2"/>
        </w:rPr>
        <w:t xml:space="preserve">urther, in contrast to Henry et al. (2014), the authors </w:t>
      </w:r>
      <w:r>
        <w:t>concluded</w:t>
      </w:r>
      <w:r>
        <w:rPr>
          <w:spacing w:val="-11"/>
        </w:rPr>
        <w:t xml:space="preserve"> </w:t>
      </w:r>
      <w:r>
        <w:t>that</w:t>
      </w:r>
      <w:r>
        <w:rPr>
          <w:spacing w:val="-10"/>
        </w:rPr>
        <w:t xml:space="preserve"> </w:t>
      </w:r>
      <w:r>
        <w:t>retrospective</w:t>
      </w:r>
      <w:r>
        <w:rPr>
          <w:spacing w:val="-11"/>
        </w:rPr>
        <w:t xml:space="preserve"> </w:t>
      </w:r>
      <w:r>
        <w:t>memory</w:t>
      </w:r>
      <w:r>
        <w:rPr>
          <w:spacing w:val="-11"/>
        </w:rPr>
        <w:t xml:space="preserve"> </w:t>
      </w:r>
      <w:r>
        <w:t>demands</w:t>
      </w:r>
      <w:r>
        <w:rPr>
          <w:spacing w:val="-12"/>
        </w:rPr>
        <w:t xml:space="preserve"> </w:t>
      </w:r>
      <w:r>
        <w:t>are</w:t>
      </w:r>
      <w:r>
        <w:rPr>
          <w:spacing w:val="-15"/>
        </w:rPr>
        <w:t xml:space="preserve"> </w:t>
      </w:r>
      <w:r>
        <w:t>important</w:t>
      </w:r>
      <w:r>
        <w:rPr>
          <w:spacing w:val="-10"/>
        </w:rPr>
        <w:t xml:space="preserve"> </w:t>
      </w:r>
      <w:r>
        <w:t>to</w:t>
      </w:r>
      <w:r>
        <w:rPr>
          <w:spacing w:val="-14"/>
        </w:rPr>
        <w:t xml:space="preserve"> </w:t>
      </w:r>
      <w:r>
        <w:t>understand</w:t>
      </w:r>
      <w:r>
        <w:rPr>
          <w:spacing w:val="-11"/>
        </w:rPr>
        <w:t xml:space="preserve"> </w:t>
      </w:r>
      <w:r>
        <w:t>PM</w:t>
      </w:r>
      <w:r>
        <w:rPr>
          <w:spacing w:val="-12"/>
        </w:rPr>
        <w:t xml:space="preserve"> </w:t>
      </w:r>
      <w:r>
        <w:t>deficits</w:t>
      </w:r>
      <w:r>
        <w:rPr>
          <w:spacing w:val="-13"/>
        </w:rPr>
        <w:t xml:space="preserve"> </w:t>
      </w:r>
      <w:r>
        <w:t>in</w:t>
      </w:r>
      <w:r>
        <w:rPr>
          <w:spacing w:val="-10"/>
        </w:rPr>
        <w:t xml:space="preserve"> </w:t>
      </w:r>
      <w:r>
        <w:t>ASD as participants only showed significant impairments in the irregular (one-off non-routine) PM tasks</w:t>
      </w:r>
      <w:r>
        <w:rPr>
          <w:spacing w:val="19"/>
        </w:rPr>
        <w:t xml:space="preserve"> </w:t>
      </w:r>
      <w:r>
        <w:t>(</w:t>
      </w:r>
      <w:r>
        <w:rPr>
          <w:i/>
        </w:rPr>
        <w:t>p</w:t>
      </w:r>
      <w:r>
        <w:rPr>
          <w:i/>
          <w:spacing w:val="22"/>
        </w:rPr>
        <w:t xml:space="preserve"> </w:t>
      </w:r>
      <w:r>
        <w:t>&lt;</w:t>
      </w:r>
      <w:r>
        <w:rPr>
          <w:spacing w:val="16"/>
        </w:rPr>
        <w:t xml:space="preserve"> </w:t>
      </w:r>
      <w:r>
        <w:t>.001,</w:t>
      </w:r>
      <w:r>
        <w:rPr>
          <w:spacing w:val="14"/>
        </w:rPr>
        <w:t xml:space="preserve"> </w:t>
      </w:r>
      <w:r>
        <w:rPr>
          <w:rFonts w:ascii="Cambria Math"/>
          <w:w w:val="110"/>
        </w:rPr>
        <w:t>!</w:t>
      </w:r>
      <w:r>
        <w:rPr>
          <w:rFonts w:ascii="Cambria Math"/>
          <w:w w:val="110"/>
          <w:position w:val="9"/>
          <w:sz w:val="17"/>
        </w:rPr>
        <w:t>#</w:t>
      </w:r>
      <w:r>
        <w:rPr>
          <w:rFonts w:ascii="Cambria Math"/>
          <w:spacing w:val="18"/>
          <w:w w:val="110"/>
          <w:position w:val="9"/>
          <w:sz w:val="17"/>
        </w:rPr>
        <w:t xml:space="preserve"> </w:t>
      </w:r>
      <w:r>
        <w:t>=</w:t>
      </w:r>
      <w:r>
        <w:rPr>
          <w:spacing w:val="16"/>
        </w:rPr>
        <w:t xml:space="preserve"> </w:t>
      </w:r>
      <w:r>
        <w:t>.27),</w:t>
      </w:r>
      <w:r>
        <w:rPr>
          <w:spacing w:val="20"/>
        </w:rPr>
        <w:t xml:space="preserve"> </w:t>
      </w:r>
      <w:r>
        <w:t>which</w:t>
      </w:r>
      <w:r>
        <w:rPr>
          <w:spacing w:val="22"/>
        </w:rPr>
        <w:t xml:space="preserve"> </w:t>
      </w:r>
      <w:r>
        <w:t>place</w:t>
      </w:r>
      <w:r>
        <w:rPr>
          <w:spacing w:val="20"/>
        </w:rPr>
        <w:t xml:space="preserve"> </w:t>
      </w:r>
      <w:r>
        <w:t>particularly</w:t>
      </w:r>
      <w:r>
        <w:rPr>
          <w:spacing w:val="13"/>
        </w:rPr>
        <w:t xml:space="preserve"> </w:t>
      </w:r>
      <w:r>
        <w:t>high</w:t>
      </w:r>
      <w:r>
        <w:rPr>
          <w:spacing w:val="22"/>
        </w:rPr>
        <w:t xml:space="preserve"> </w:t>
      </w:r>
      <w:r>
        <w:t>demands</w:t>
      </w:r>
      <w:r>
        <w:rPr>
          <w:spacing w:val="20"/>
        </w:rPr>
        <w:t xml:space="preserve"> </w:t>
      </w:r>
      <w:r>
        <w:t>on</w:t>
      </w:r>
      <w:r>
        <w:rPr>
          <w:spacing w:val="16"/>
        </w:rPr>
        <w:t xml:space="preserve"> </w:t>
      </w:r>
      <w:r>
        <w:t>retrospective</w:t>
      </w:r>
      <w:r>
        <w:rPr>
          <w:spacing w:val="21"/>
        </w:rPr>
        <w:t xml:space="preserve"> </w:t>
      </w:r>
      <w:r>
        <w:t>memory.</w:t>
      </w:r>
    </w:p>
    <w:p w14:paraId="32ADBFB3" w14:textId="77777777" w:rsidR="00C75312" w:rsidRDefault="00BB293A">
      <w:pPr>
        <w:pStyle w:val="BodyText"/>
        <w:spacing w:before="35" w:line="480" w:lineRule="auto"/>
        <w:ind w:left="100" w:right="107"/>
        <w:jc w:val="both"/>
      </w:pPr>
      <w:r>
        <w:t>Unfortunately, the authors could not check whether participants actually remembered the irregular</w:t>
      </w:r>
      <w:r>
        <w:rPr>
          <w:spacing w:val="-13"/>
        </w:rPr>
        <w:t xml:space="preserve"> </w:t>
      </w:r>
      <w:r>
        <w:t>PM</w:t>
      </w:r>
      <w:r>
        <w:rPr>
          <w:spacing w:val="-12"/>
        </w:rPr>
        <w:t xml:space="preserve"> </w:t>
      </w:r>
      <w:r>
        <w:t>task</w:t>
      </w:r>
      <w:r>
        <w:rPr>
          <w:spacing w:val="-9"/>
        </w:rPr>
        <w:t xml:space="preserve"> </w:t>
      </w:r>
      <w:r>
        <w:t>instructions</w:t>
      </w:r>
      <w:r>
        <w:rPr>
          <w:spacing w:val="-12"/>
        </w:rPr>
        <w:t xml:space="preserve"> </w:t>
      </w:r>
      <w:r>
        <w:t>after</w:t>
      </w:r>
      <w:r>
        <w:rPr>
          <w:spacing w:val="-12"/>
        </w:rPr>
        <w:t xml:space="preserve"> </w:t>
      </w:r>
      <w:r>
        <w:t>each</w:t>
      </w:r>
      <w:r>
        <w:rPr>
          <w:spacing w:val="-10"/>
        </w:rPr>
        <w:t xml:space="preserve"> </w:t>
      </w:r>
      <w:r>
        <w:t>virtual</w:t>
      </w:r>
      <w:r>
        <w:rPr>
          <w:spacing w:val="-9"/>
        </w:rPr>
        <w:t xml:space="preserve"> </w:t>
      </w:r>
      <w:r>
        <w:t>day;</w:t>
      </w:r>
      <w:r>
        <w:rPr>
          <w:spacing w:val="-8"/>
        </w:rPr>
        <w:t xml:space="preserve"> </w:t>
      </w:r>
      <w:r>
        <w:t>although</w:t>
      </w:r>
      <w:r>
        <w:rPr>
          <w:spacing w:val="-10"/>
        </w:rPr>
        <w:t xml:space="preserve"> </w:t>
      </w:r>
      <w:r>
        <w:t>participants</w:t>
      </w:r>
      <w:r>
        <w:rPr>
          <w:spacing w:val="-11"/>
        </w:rPr>
        <w:t xml:space="preserve"> </w:t>
      </w:r>
      <w:r>
        <w:t>had</w:t>
      </w:r>
      <w:r>
        <w:rPr>
          <w:spacing w:val="-14"/>
        </w:rPr>
        <w:t xml:space="preserve"> </w:t>
      </w:r>
      <w:r>
        <w:t>to</w:t>
      </w:r>
      <w:r>
        <w:rPr>
          <w:spacing w:val="-13"/>
        </w:rPr>
        <w:t xml:space="preserve"> </w:t>
      </w:r>
      <w:r>
        <w:t>repeat</w:t>
      </w:r>
      <w:r>
        <w:rPr>
          <w:spacing w:val="-9"/>
        </w:rPr>
        <w:t xml:space="preserve"> </w:t>
      </w:r>
      <w:r>
        <w:t>the</w:t>
      </w:r>
      <w:r>
        <w:rPr>
          <w:spacing w:val="-11"/>
        </w:rPr>
        <w:t xml:space="preserve"> </w:t>
      </w:r>
      <w:r>
        <w:t>PM instruction three times aloud at the stage of encoding (which was supposed to ensure later remembering), there is no way of knowing whether the instruction was stored for the duration of the Virtual Week task. As such, retrospective memory limitations in ASD might explain entirely the group difference in the number of times irregular PM tasks were</w:t>
      </w:r>
      <w:r>
        <w:rPr>
          <w:spacing w:val="-13"/>
        </w:rPr>
        <w:t xml:space="preserve"> </w:t>
      </w:r>
      <w:r>
        <w:t>completed.</w:t>
      </w:r>
    </w:p>
    <w:p w14:paraId="4E9FF544" w14:textId="77777777" w:rsidR="00C75312" w:rsidRDefault="00BB293A">
      <w:pPr>
        <w:pStyle w:val="BodyText"/>
        <w:spacing w:before="120" w:line="480" w:lineRule="auto"/>
        <w:ind w:left="100" w:right="109" w:firstLine="720"/>
        <w:jc w:val="both"/>
      </w:pPr>
      <w:r>
        <w:t>The Virtual Week is an interesting approach to study PM in ASD. The game format makes it easily accessible and it attempts to mirror everyday PM demands in several respects. However,</w:t>
      </w:r>
      <w:r>
        <w:rPr>
          <w:spacing w:val="-12"/>
        </w:rPr>
        <w:t xml:space="preserve"> </w:t>
      </w:r>
      <w:r>
        <w:t>the</w:t>
      </w:r>
      <w:r>
        <w:rPr>
          <w:spacing w:val="-14"/>
        </w:rPr>
        <w:t xml:space="preserve"> </w:t>
      </w:r>
      <w:r>
        <w:t>PM</w:t>
      </w:r>
      <w:r>
        <w:rPr>
          <w:spacing w:val="-16"/>
        </w:rPr>
        <w:t xml:space="preserve"> </w:t>
      </w:r>
      <w:r>
        <w:t>demands</w:t>
      </w:r>
      <w:r>
        <w:rPr>
          <w:spacing w:val="-16"/>
        </w:rPr>
        <w:t xml:space="preserve"> </w:t>
      </w:r>
      <w:r>
        <w:t>of</w:t>
      </w:r>
      <w:r>
        <w:rPr>
          <w:spacing w:val="-12"/>
        </w:rPr>
        <w:t xml:space="preserve"> </w:t>
      </w:r>
      <w:r>
        <w:t>the</w:t>
      </w:r>
      <w:r>
        <w:rPr>
          <w:spacing w:val="-19"/>
        </w:rPr>
        <w:t xml:space="preserve"> </w:t>
      </w:r>
      <w:r>
        <w:t>task</w:t>
      </w:r>
      <w:r>
        <w:rPr>
          <w:spacing w:val="-14"/>
        </w:rPr>
        <w:t xml:space="preserve"> </w:t>
      </w:r>
      <w:r>
        <w:t>are</w:t>
      </w:r>
      <w:r>
        <w:rPr>
          <w:spacing w:val="-14"/>
        </w:rPr>
        <w:t xml:space="preserve"> </w:t>
      </w:r>
      <w:r>
        <w:t>arguably</w:t>
      </w:r>
      <w:r>
        <w:rPr>
          <w:spacing w:val="-18"/>
        </w:rPr>
        <w:t xml:space="preserve"> </w:t>
      </w:r>
      <w:r>
        <w:t>much</w:t>
      </w:r>
      <w:r>
        <w:rPr>
          <w:spacing w:val="-13"/>
        </w:rPr>
        <w:t xml:space="preserve"> </w:t>
      </w:r>
      <w:r>
        <w:t>greater</w:t>
      </w:r>
      <w:r>
        <w:rPr>
          <w:spacing w:val="-12"/>
        </w:rPr>
        <w:t xml:space="preserve"> </w:t>
      </w:r>
      <w:r>
        <w:t>than</w:t>
      </w:r>
      <w:r>
        <w:rPr>
          <w:spacing w:val="-13"/>
        </w:rPr>
        <w:t xml:space="preserve"> </w:t>
      </w:r>
      <w:r>
        <w:t>(and</w:t>
      </w:r>
      <w:r>
        <w:rPr>
          <w:spacing w:val="-18"/>
        </w:rPr>
        <w:t xml:space="preserve"> </w:t>
      </w:r>
      <w:r>
        <w:t>of</w:t>
      </w:r>
      <w:r>
        <w:rPr>
          <w:spacing w:val="-13"/>
        </w:rPr>
        <w:t xml:space="preserve"> </w:t>
      </w:r>
      <w:r>
        <w:t>a</w:t>
      </w:r>
      <w:r>
        <w:rPr>
          <w:spacing w:val="-14"/>
        </w:rPr>
        <w:t xml:space="preserve"> </w:t>
      </w:r>
      <w:r>
        <w:t>different</w:t>
      </w:r>
      <w:r>
        <w:rPr>
          <w:spacing w:val="-18"/>
        </w:rPr>
        <w:t xml:space="preserve"> </w:t>
      </w:r>
      <w:r>
        <w:t xml:space="preserve">quality to) those in real life; participants have to remember </w:t>
      </w:r>
      <w:r>
        <w:rPr>
          <w:i/>
        </w:rPr>
        <w:t xml:space="preserve">24 </w:t>
      </w:r>
      <w:r>
        <w:t xml:space="preserve">PM tasks (requiring the execution of </w:t>
      </w:r>
      <w:r>
        <w:rPr>
          <w:i/>
        </w:rPr>
        <w:t xml:space="preserve">both </w:t>
      </w:r>
      <w:r>
        <w:t xml:space="preserve">time- and event-based tasks and changing retrospective memory load) during a short period of time and without the use </w:t>
      </w:r>
      <w:r>
        <w:rPr>
          <w:spacing w:val="-3"/>
        </w:rPr>
        <w:t xml:space="preserve">of </w:t>
      </w:r>
      <w:r>
        <w:t xml:space="preserve">any external reminders. Further, in the version used for both studies on ASD, the Virtual Week version did not offer the possibility to check whether participants actually remembered their PM tasks for each virtual day, which would have </w:t>
      </w:r>
      <w:r>
        <w:t xml:space="preserve">been particularly important for irregular PM tasks. However, Henry et al. (2014) pointed out that this feature is now part </w:t>
      </w:r>
      <w:r>
        <w:rPr>
          <w:spacing w:val="-3"/>
        </w:rPr>
        <w:t xml:space="preserve">of </w:t>
      </w:r>
      <w:r>
        <w:t>the newest version of Virtual</w:t>
      </w:r>
      <w:r>
        <w:rPr>
          <w:spacing w:val="4"/>
        </w:rPr>
        <w:t xml:space="preserve"> </w:t>
      </w:r>
      <w:r>
        <w:t>Week.</w:t>
      </w:r>
    </w:p>
    <w:p w14:paraId="6991173B" w14:textId="77777777" w:rsidR="00C75312" w:rsidRDefault="00BB293A">
      <w:pPr>
        <w:pStyle w:val="BodyText"/>
        <w:spacing w:before="121" w:line="480" w:lineRule="auto"/>
        <w:ind w:left="100" w:right="108" w:firstLine="720"/>
        <w:jc w:val="both"/>
      </w:pPr>
      <w:r>
        <w:t>The results of the two studies that employed the Virtual Week studies differ in one major</w:t>
      </w:r>
      <w:r>
        <w:rPr>
          <w:spacing w:val="-9"/>
        </w:rPr>
        <w:t xml:space="preserve"> </w:t>
      </w:r>
      <w:r>
        <w:t>respect.</w:t>
      </w:r>
      <w:r>
        <w:rPr>
          <w:spacing w:val="37"/>
        </w:rPr>
        <w:t xml:space="preserve"> </w:t>
      </w:r>
      <w:r>
        <w:t>Henry</w:t>
      </w:r>
      <w:r>
        <w:rPr>
          <w:spacing w:val="-15"/>
        </w:rPr>
        <w:t xml:space="preserve"> </w:t>
      </w:r>
      <w:r>
        <w:t>et</w:t>
      </w:r>
      <w:r>
        <w:rPr>
          <w:spacing w:val="-9"/>
        </w:rPr>
        <w:t xml:space="preserve"> </w:t>
      </w:r>
      <w:r>
        <w:t>al.</w:t>
      </w:r>
      <w:r>
        <w:rPr>
          <w:spacing w:val="-13"/>
        </w:rPr>
        <w:t xml:space="preserve"> </w:t>
      </w:r>
      <w:r>
        <w:t>(2014)</w:t>
      </w:r>
      <w:r>
        <w:rPr>
          <w:spacing w:val="-14"/>
        </w:rPr>
        <w:t xml:space="preserve"> </w:t>
      </w:r>
      <w:r>
        <w:t>found</w:t>
      </w:r>
      <w:r>
        <w:rPr>
          <w:spacing w:val="-11"/>
        </w:rPr>
        <w:t xml:space="preserve"> </w:t>
      </w:r>
      <w:r>
        <w:t>only</w:t>
      </w:r>
      <w:r>
        <w:rPr>
          <w:spacing w:val="-10"/>
        </w:rPr>
        <w:t xml:space="preserve"> </w:t>
      </w:r>
      <w:r>
        <w:t>time-based</w:t>
      </w:r>
      <w:r>
        <w:rPr>
          <w:spacing w:val="-11"/>
        </w:rPr>
        <w:t xml:space="preserve"> </w:t>
      </w:r>
      <w:r>
        <w:t>PM</w:t>
      </w:r>
      <w:r>
        <w:rPr>
          <w:spacing w:val="-13"/>
        </w:rPr>
        <w:t xml:space="preserve"> </w:t>
      </w:r>
      <w:r>
        <w:t>to</w:t>
      </w:r>
      <w:r>
        <w:rPr>
          <w:spacing w:val="-11"/>
        </w:rPr>
        <w:t xml:space="preserve"> </w:t>
      </w:r>
      <w:r>
        <w:t>be</w:t>
      </w:r>
      <w:r>
        <w:rPr>
          <w:spacing w:val="-11"/>
        </w:rPr>
        <w:t xml:space="preserve"> </w:t>
      </w:r>
      <w:r>
        <w:t>diminished</w:t>
      </w:r>
      <w:r>
        <w:rPr>
          <w:spacing w:val="-11"/>
        </w:rPr>
        <w:t xml:space="preserve"> </w:t>
      </w:r>
      <w:r>
        <w:t>in</w:t>
      </w:r>
      <w:r>
        <w:rPr>
          <w:spacing w:val="-11"/>
        </w:rPr>
        <w:t xml:space="preserve"> </w:t>
      </w:r>
      <w:r>
        <w:rPr>
          <w:i/>
        </w:rPr>
        <w:t>children</w:t>
      </w:r>
      <w:r>
        <w:rPr>
          <w:i/>
          <w:spacing w:val="-11"/>
        </w:rPr>
        <w:t xml:space="preserve"> </w:t>
      </w:r>
      <w:r>
        <w:t>with ASD, which is in line Williams et al.’s findings (2013, 2014). In contrast, Kretschmer et al. (2014)</w:t>
      </w:r>
      <w:r>
        <w:rPr>
          <w:spacing w:val="6"/>
        </w:rPr>
        <w:t xml:space="preserve"> </w:t>
      </w:r>
      <w:r>
        <w:t>observed</w:t>
      </w:r>
      <w:r>
        <w:rPr>
          <w:spacing w:val="11"/>
        </w:rPr>
        <w:t xml:space="preserve"> </w:t>
      </w:r>
      <w:r>
        <w:t>impairments</w:t>
      </w:r>
      <w:r>
        <w:rPr>
          <w:spacing w:val="3"/>
        </w:rPr>
        <w:t xml:space="preserve"> </w:t>
      </w:r>
      <w:r>
        <w:t>of</w:t>
      </w:r>
      <w:r>
        <w:rPr>
          <w:spacing w:val="7"/>
        </w:rPr>
        <w:t xml:space="preserve"> </w:t>
      </w:r>
      <w:r>
        <w:t>both</w:t>
      </w:r>
      <w:r>
        <w:rPr>
          <w:spacing w:val="5"/>
        </w:rPr>
        <w:t xml:space="preserve"> </w:t>
      </w:r>
      <w:r>
        <w:t>time-</w:t>
      </w:r>
      <w:r>
        <w:rPr>
          <w:spacing w:val="7"/>
        </w:rPr>
        <w:t xml:space="preserve"> </w:t>
      </w:r>
      <w:r>
        <w:rPr>
          <w:i/>
        </w:rPr>
        <w:t>and</w:t>
      </w:r>
      <w:r>
        <w:rPr>
          <w:i/>
          <w:spacing w:val="5"/>
        </w:rPr>
        <w:t xml:space="preserve"> </w:t>
      </w:r>
      <w:r>
        <w:t>event-based</w:t>
      </w:r>
      <w:r>
        <w:rPr>
          <w:spacing w:val="11"/>
        </w:rPr>
        <w:t xml:space="preserve"> </w:t>
      </w:r>
      <w:r>
        <w:t>PM</w:t>
      </w:r>
      <w:r>
        <w:rPr>
          <w:spacing w:val="7"/>
        </w:rPr>
        <w:t xml:space="preserve"> </w:t>
      </w:r>
      <w:r>
        <w:t>in</w:t>
      </w:r>
      <w:r>
        <w:rPr>
          <w:spacing w:val="6"/>
        </w:rPr>
        <w:t xml:space="preserve"> </w:t>
      </w:r>
      <w:r>
        <w:rPr>
          <w:i/>
        </w:rPr>
        <w:t>adults</w:t>
      </w:r>
      <w:r>
        <w:t>.</w:t>
      </w:r>
      <w:r>
        <w:rPr>
          <w:spacing w:val="13"/>
        </w:rPr>
        <w:t xml:space="preserve"> </w:t>
      </w:r>
      <w:r>
        <w:t>This</w:t>
      </w:r>
      <w:r>
        <w:rPr>
          <w:spacing w:val="4"/>
        </w:rPr>
        <w:t xml:space="preserve"> </w:t>
      </w:r>
      <w:r>
        <w:t>is</w:t>
      </w:r>
      <w:r>
        <w:rPr>
          <w:spacing w:val="7"/>
        </w:rPr>
        <w:t xml:space="preserve"> </w:t>
      </w:r>
      <w:r>
        <w:t>surprising</w:t>
      </w:r>
    </w:p>
    <w:p w14:paraId="7E3510FD" w14:textId="77777777" w:rsidR="00C75312" w:rsidRDefault="00C75312">
      <w:pPr>
        <w:spacing w:line="480" w:lineRule="auto"/>
        <w:jc w:val="both"/>
        <w:sectPr w:rsidR="00C75312">
          <w:pgSz w:w="11900" w:h="16840"/>
          <w:pgMar w:top="1360" w:right="1320" w:bottom="280" w:left="1340" w:header="715" w:footer="0" w:gutter="0"/>
          <w:cols w:space="720"/>
        </w:sectPr>
      </w:pPr>
    </w:p>
    <w:p w14:paraId="54D9C2F4" w14:textId="77777777" w:rsidR="00C75312" w:rsidRDefault="00BB293A">
      <w:pPr>
        <w:pStyle w:val="BodyText"/>
        <w:spacing w:before="80" w:line="480" w:lineRule="auto"/>
        <w:ind w:left="100" w:right="109"/>
        <w:jc w:val="both"/>
      </w:pPr>
      <w:r>
        <w:lastRenderedPageBreak/>
        <w:t xml:space="preserve">and requires further exploration. Kretschmer et al. (2014) employed a version </w:t>
      </w:r>
      <w:r>
        <w:rPr>
          <w:spacing w:val="-3"/>
        </w:rPr>
        <w:t xml:space="preserve">of </w:t>
      </w:r>
      <w:r>
        <w:t>the Virtual Week that was equivalent to Henry et al.’s (2014) high-absorption condition. A possible explanation for the differing pattern of results could be the aforementioned retrospective memory difficulties in the ASD group. Kretschmer et al. (2014) found that the ASD group performed worse on the irregular PM tasks that posed the highest retrospective memory demand.</w:t>
      </w:r>
      <w:r>
        <w:rPr>
          <w:spacing w:val="43"/>
        </w:rPr>
        <w:t xml:space="preserve"> </w:t>
      </w:r>
      <w:r>
        <w:t>This</w:t>
      </w:r>
      <w:r>
        <w:rPr>
          <w:spacing w:val="-12"/>
        </w:rPr>
        <w:t xml:space="preserve"> </w:t>
      </w:r>
      <w:r>
        <w:t>result</w:t>
      </w:r>
      <w:r>
        <w:rPr>
          <w:spacing w:val="-10"/>
        </w:rPr>
        <w:t xml:space="preserve"> </w:t>
      </w:r>
      <w:r>
        <w:t>may</w:t>
      </w:r>
      <w:r>
        <w:rPr>
          <w:spacing w:val="-10"/>
        </w:rPr>
        <w:t xml:space="preserve"> </w:t>
      </w:r>
      <w:r>
        <w:t>reflect</w:t>
      </w:r>
      <w:r>
        <w:rPr>
          <w:spacing w:val="-9"/>
        </w:rPr>
        <w:t xml:space="preserve"> </w:t>
      </w:r>
      <w:r>
        <w:t>the</w:t>
      </w:r>
      <w:r>
        <w:rPr>
          <w:spacing w:val="-12"/>
        </w:rPr>
        <w:t xml:space="preserve"> </w:t>
      </w:r>
      <w:r>
        <w:t>viable</w:t>
      </w:r>
      <w:r>
        <w:rPr>
          <w:spacing w:val="-11"/>
        </w:rPr>
        <w:t xml:space="preserve"> </w:t>
      </w:r>
      <w:r>
        <w:t>possibility</w:t>
      </w:r>
      <w:r>
        <w:rPr>
          <w:spacing w:val="-10"/>
        </w:rPr>
        <w:t xml:space="preserve"> </w:t>
      </w:r>
      <w:r>
        <w:t>that</w:t>
      </w:r>
      <w:r>
        <w:rPr>
          <w:spacing w:val="-9"/>
        </w:rPr>
        <w:t xml:space="preserve"> </w:t>
      </w:r>
      <w:r>
        <w:t>participants</w:t>
      </w:r>
      <w:r>
        <w:rPr>
          <w:spacing w:val="-13"/>
        </w:rPr>
        <w:t xml:space="preserve"> </w:t>
      </w:r>
      <w:r>
        <w:t>with</w:t>
      </w:r>
      <w:r>
        <w:rPr>
          <w:spacing w:val="-14"/>
        </w:rPr>
        <w:t xml:space="preserve"> </w:t>
      </w:r>
      <w:r>
        <w:t>ASD</w:t>
      </w:r>
      <w:r>
        <w:rPr>
          <w:spacing w:val="-10"/>
        </w:rPr>
        <w:t xml:space="preserve"> </w:t>
      </w:r>
      <w:r>
        <w:t>simply</w:t>
      </w:r>
      <w:r>
        <w:rPr>
          <w:spacing w:val="-14"/>
        </w:rPr>
        <w:t xml:space="preserve"> </w:t>
      </w:r>
      <w:r>
        <w:t>forgot the PM instruction more frequently. In general, the</w:t>
      </w:r>
      <w:r>
        <w:t xml:space="preserve"> possibility that event-based PM deficits in ASD</w:t>
      </w:r>
      <w:r>
        <w:rPr>
          <w:spacing w:val="-5"/>
        </w:rPr>
        <w:t xml:space="preserve"> </w:t>
      </w:r>
      <w:r>
        <w:t>are</w:t>
      </w:r>
      <w:r>
        <w:rPr>
          <w:spacing w:val="-5"/>
        </w:rPr>
        <w:t xml:space="preserve"> </w:t>
      </w:r>
      <w:r>
        <w:t>observed</w:t>
      </w:r>
      <w:r>
        <w:rPr>
          <w:spacing w:val="-4"/>
        </w:rPr>
        <w:t xml:space="preserve"> </w:t>
      </w:r>
      <w:r>
        <w:t>only</w:t>
      </w:r>
      <w:r>
        <w:rPr>
          <w:spacing w:val="-4"/>
        </w:rPr>
        <w:t xml:space="preserve"> </w:t>
      </w:r>
      <w:r>
        <w:t>when</w:t>
      </w:r>
      <w:r>
        <w:rPr>
          <w:spacing w:val="-4"/>
        </w:rPr>
        <w:t xml:space="preserve"> </w:t>
      </w:r>
      <w:r>
        <w:t>demands</w:t>
      </w:r>
      <w:r>
        <w:rPr>
          <w:spacing w:val="-7"/>
        </w:rPr>
        <w:t xml:space="preserve"> </w:t>
      </w:r>
      <w:r>
        <w:t>on</w:t>
      </w:r>
      <w:r>
        <w:rPr>
          <w:spacing w:val="-4"/>
        </w:rPr>
        <w:t xml:space="preserve"> </w:t>
      </w:r>
      <w:r>
        <w:t>retrospective</w:t>
      </w:r>
      <w:r>
        <w:rPr>
          <w:spacing w:val="-5"/>
        </w:rPr>
        <w:t xml:space="preserve"> </w:t>
      </w:r>
      <w:r>
        <w:t>memory</w:t>
      </w:r>
      <w:r>
        <w:rPr>
          <w:spacing w:val="-4"/>
        </w:rPr>
        <w:t xml:space="preserve"> </w:t>
      </w:r>
      <w:r>
        <w:t>are</w:t>
      </w:r>
      <w:r>
        <w:rPr>
          <w:spacing w:val="-5"/>
        </w:rPr>
        <w:t xml:space="preserve"> </w:t>
      </w:r>
      <w:r>
        <w:t>high</w:t>
      </w:r>
      <w:r>
        <w:rPr>
          <w:spacing w:val="-9"/>
        </w:rPr>
        <w:t xml:space="preserve"> </w:t>
      </w:r>
      <w:r>
        <w:t>is</w:t>
      </w:r>
      <w:r>
        <w:rPr>
          <w:spacing w:val="-7"/>
        </w:rPr>
        <w:t xml:space="preserve"> </w:t>
      </w:r>
      <w:r>
        <w:t>brought</w:t>
      </w:r>
      <w:r>
        <w:rPr>
          <w:spacing w:val="-3"/>
        </w:rPr>
        <w:t xml:space="preserve"> </w:t>
      </w:r>
      <w:r>
        <w:t>into</w:t>
      </w:r>
      <w:r>
        <w:rPr>
          <w:spacing w:val="-9"/>
        </w:rPr>
        <w:t xml:space="preserve"> </w:t>
      </w:r>
      <w:r>
        <w:t>focus by the findings from a very large study of “everyday memory” by Jones et al.</w:t>
      </w:r>
      <w:r>
        <w:rPr>
          <w:spacing w:val="-11"/>
        </w:rPr>
        <w:t xml:space="preserve"> </w:t>
      </w:r>
      <w:r>
        <w:t>(2011).</w:t>
      </w:r>
    </w:p>
    <w:p w14:paraId="4118ED06" w14:textId="77777777" w:rsidR="00C75312" w:rsidRDefault="00BB293A">
      <w:pPr>
        <w:pStyle w:val="BodyText"/>
        <w:spacing w:before="120" w:line="480" w:lineRule="auto"/>
        <w:ind w:left="100" w:right="103" w:firstLine="720"/>
        <w:jc w:val="both"/>
      </w:pPr>
      <w:r>
        <w:t xml:space="preserve">Jones et al. (2011) investigated everyday memory in 94 adolescents with ASD and 55 age-, and IQ-matched (verbal, performance, and full scale) NT peers. Jones et al. used the </w:t>
      </w:r>
      <w:proofErr w:type="spellStart"/>
      <w:r>
        <w:t>Rivermead</w:t>
      </w:r>
      <w:proofErr w:type="spellEnd"/>
      <w:r>
        <w:rPr>
          <w:spacing w:val="-6"/>
        </w:rPr>
        <w:t xml:space="preserve"> </w:t>
      </w:r>
      <w:proofErr w:type="spellStart"/>
      <w:r>
        <w:t>Behavioural</w:t>
      </w:r>
      <w:proofErr w:type="spellEnd"/>
      <w:r>
        <w:rPr>
          <w:spacing w:val="-5"/>
        </w:rPr>
        <w:t xml:space="preserve"> </w:t>
      </w:r>
      <w:r>
        <w:t>Memory</w:t>
      </w:r>
      <w:r>
        <w:rPr>
          <w:spacing w:val="-6"/>
        </w:rPr>
        <w:t xml:space="preserve"> </w:t>
      </w:r>
      <w:r>
        <w:t>Test</w:t>
      </w:r>
      <w:r>
        <w:rPr>
          <w:spacing w:val="-5"/>
        </w:rPr>
        <w:t xml:space="preserve"> </w:t>
      </w:r>
      <w:r>
        <w:t>(Wilson</w:t>
      </w:r>
      <w:r>
        <w:rPr>
          <w:spacing w:val="-6"/>
        </w:rPr>
        <w:t xml:space="preserve"> </w:t>
      </w:r>
      <w:r>
        <w:t>&amp;</w:t>
      </w:r>
      <w:r>
        <w:rPr>
          <w:spacing w:val="-10"/>
        </w:rPr>
        <w:t xml:space="preserve"> </w:t>
      </w:r>
      <w:r>
        <w:t>Baddeley,</w:t>
      </w:r>
      <w:r>
        <w:rPr>
          <w:spacing w:val="-3"/>
        </w:rPr>
        <w:t xml:space="preserve"> </w:t>
      </w:r>
      <w:r>
        <w:t>1991)</w:t>
      </w:r>
      <w:r>
        <w:rPr>
          <w:spacing w:val="-4"/>
        </w:rPr>
        <w:t xml:space="preserve"> </w:t>
      </w:r>
      <w:r>
        <w:t>to</w:t>
      </w:r>
      <w:r>
        <w:rPr>
          <w:spacing w:val="-6"/>
        </w:rPr>
        <w:t xml:space="preserve"> </w:t>
      </w:r>
      <w:r>
        <w:t>assess</w:t>
      </w:r>
      <w:r>
        <w:rPr>
          <w:spacing w:val="-8"/>
        </w:rPr>
        <w:t xml:space="preserve"> </w:t>
      </w:r>
      <w:r>
        <w:t>everyday</w:t>
      </w:r>
      <w:r>
        <w:rPr>
          <w:spacing w:val="-6"/>
        </w:rPr>
        <w:t xml:space="preserve"> </w:t>
      </w:r>
      <w:r>
        <w:t xml:space="preserve">memory across multiple subtests, three of which tested event-based PM. These sub-tests involved a) reminding the experimenter about the location of a pen upon the occurrence </w:t>
      </w:r>
      <w:r>
        <w:rPr>
          <w:spacing w:val="-3"/>
        </w:rPr>
        <w:t xml:space="preserve">of </w:t>
      </w:r>
      <w:r>
        <w:t>a particular verbal</w:t>
      </w:r>
      <w:r>
        <w:rPr>
          <w:spacing w:val="-5"/>
        </w:rPr>
        <w:t xml:space="preserve"> </w:t>
      </w:r>
      <w:r>
        <w:t>cue;</w:t>
      </w:r>
      <w:r>
        <w:rPr>
          <w:spacing w:val="-10"/>
        </w:rPr>
        <w:t xml:space="preserve"> </w:t>
      </w:r>
      <w:r>
        <w:t>b)</w:t>
      </w:r>
      <w:r>
        <w:rPr>
          <w:spacing w:val="-8"/>
        </w:rPr>
        <w:t xml:space="preserve"> </w:t>
      </w:r>
      <w:r>
        <w:t>asking</w:t>
      </w:r>
      <w:r>
        <w:rPr>
          <w:spacing w:val="-6"/>
        </w:rPr>
        <w:t xml:space="preserve"> </w:t>
      </w:r>
      <w:r>
        <w:t>the</w:t>
      </w:r>
      <w:r>
        <w:rPr>
          <w:spacing w:val="-11"/>
        </w:rPr>
        <w:t xml:space="preserve"> </w:t>
      </w:r>
      <w:r>
        <w:t>experimenter</w:t>
      </w:r>
      <w:r>
        <w:rPr>
          <w:spacing w:val="-4"/>
        </w:rPr>
        <w:t xml:space="preserve"> </w:t>
      </w:r>
      <w:r>
        <w:t>a</w:t>
      </w:r>
      <w:r>
        <w:rPr>
          <w:spacing w:val="-11"/>
        </w:rPr>
        <w:t xml:space="preserve"> </w:t>
      </w:r>
      <w:r>
        <w:t>question</w:t>
      </w:r>
      <w:r>
        <w:rPr>
          <w:spacing w:val="-6"/>
        </w:rPr>
        <w:t xml:space="preserve"> </w:t>
      </w:r>
      <w:r>
        <w:t>when</w:t>
      </w:r>
      <w:r>
        <w:rPr>
          <w:spacing w:val="-6"/>
        </w:rPr>
        <w:t xml:space="preserve"> </w:t>
      </w:r>
      <w:r>
        <w:t>an</w:t>
      </w:r>
      <w:r>
        <w:rPr>
          <w:spacing w:val="-5"/>
        </w:rPr>
        <w:t xml:space="preserve"> </w:t>
      </w:r>
      <w:r>
        <w:t>alarm</w:t>
      </w:r>
      <w:r>
        <w:rPr>
          <w:spacing w:val="-5"/>
        </w:rPr>
        <w:t xml:space="preserve"> </w:t>
      </w:r>
      <w:r>
        <w:t>went</w:t>
      </w:r>
      <w:r>
        <w:rPr>
          <w:spacing w:val="-9"/>
        </w:rPr>
        <w:t xml:space="preserve"> </w:t>
      </w:r>
      <w:r>
        <w:t>off;</w:t>
      </w:r>
      <w:r>
        <w:rPr>
          <w:spacing w:val="-10"/>
        </w:rPr>
        <w:t xml:space="preserve"> </w:t>
      </w:r>
      <w:r>
        <w:t>and</w:t>
      </w:r>
      <w:r>
        <w:rPr>
          <w:spacing w:val="-6"/>
        </w:rPr>
        <w:t xml:space="preserve"> </w:t>
      </w:r>
      <w:r>
        <w:rPr>
          <w:spacing w:val="-3"/>
        </w:rPr>
        <w:t>c)</w:t>
      </w:r>
      <w:r>
        <w:rPr>
          <w:spacing w:val="-8"/>
        </w:rPr>
        <w:t xml:space="preserve"> </w:t>
      </w:r>
      <w:r>
        <w:t>remembering to pick up an envelope before walking a route as demonstrated by the experimenter. The ASD group achieved a significantly lower PM composite score (across the three subtests) than the comparison</w:t>
      </w:r>
      <w:r>
        <w:rPr>
          <w:spacing w:val="-14"/>
        </w:rPr>
        <w:t xml:space="preserve"> </w:t>
      </w:r>
      <w:r>
        <w:t>group,</w:t>
      </w:r>
      <w:r>
        <w:rPr>
          <w:spacing w:val="-17"/>
        </w:rPr>
        <w:t xml:space="preserve"> </w:t>
      </w:r>
      <w:r>
        <w:t>indicating</w:t>
      </w:r>
      <w:r>
        <w:rPr>
          <w:spacing w:val="-14"/>
        </w:rPr>
        <w:t xml:space="preserve"> </w:t>
      </w:r>
      <w:r>
        <w:t>significant</w:t>
      </w:r>
      <w:r>
        <w:rPr>
          <w:spacing w:val="-18"/>
        </w:rPr>
        <w:t xml:space="preserve"> </w:t>
      </w:r>
      <w:r>
        <w:t>even</w:t>
      </w:r>
      <w:r>
        <w:t>t-based</w:t>
      </w:r>
      <w:r>
        <w:rPr>
          <w:spacing w:val="-14"/>
        </w:rPr>
        <w:t xml:space="preserve"> </w:t>
      </w:r>
      <w:r>
        <w:t>PM</w:t>
      </w:r>
      <w:r>
        <w:rPr>
          <w:spacing w:val="-17"/>
        </w:rPr>
        <w:t xml:space="preserve"> </w:t>
      </w:r>
      <w:r>
        <w:t>impairments</w:t>
      </w:r>
      <w:r>
        <w:rPr>
          <w:spacing w:val="-17"/>
        </w:rPr>
        <w:t xml:space="preserve"> </w:t>
      </w:r>
      <w:r>
        <w:t>in</w:t>
      </w:r>
      <w:r>
        <w:rPr>
          <w:spacing w:val="-18"/>
        </w:rPr>
        <w:t xml:space="preserve"> </w:t>
      </w:r>
      <w:r>
        <w:t>this</w:t>
      </w:r>
      <w:r>
        <w:rPr>
          <w:spacing w:val="-17"/>
        </w:rPr>
        <w:t xml:space="preserve"> </w:t>
      </w:r>
      <w:r>
        <w:t>very</w:t>
      </w:r>
      <w:r>
        <w:rPr>
          <w:spacing w:val="-19"/>
        </w:rPr>
        <w:t xml:space="preserve"> </w:t>
      </w:r>
      <w:r>
        <w:t>large</w:t>
      </w:r>
      <w:r>
        <w:rPr>
          <w:spacing w:val="-14"/>
        </w:rPr>
        <w:t xml:space="preserve"> </w:t>
      </w:r>
      <w:r>
        <w:t>sample of</w:t>
      </w:r>
      <w:r>
        <w:rPr>
          <w:spacing w:val="-14"/>
        </w:rPr>
        <w:t xml:space="preserve"> </w:t>
      </w:r>
      <w:r>
        <w:t>ASD</w:t>
      </w:r>
      <w:r>
        <w:rPr>
          <w:spacing w:val="-15"/>
        </w:rPr>
        <w:t xml:space="preserve"> </w:t>
      </w:r>
      <w:r>
        <w:t>participants.</w:t>
      </w:r>
      <w:r>
        <w:rPr>
          <w:spacing w:val="29"/>
        </w:rPr>
        <w:t xml:space="preserve"> </w:t>
      </w:r>
      <w:r>
        <w:t>However,</w:t>
      </w:r>
      <w:r>
        <w:rPr>
          <w:spacing w:val="-17"/>
        </w:rPr>
        <w:t xml:space="preserve"> </w:t>
      </w:r>
      <w:r>
        <w:t>Williams</w:t>
      </w:r>
      <w:r>
        <w:rPr>
          <w:spacing w:val="-17"/>
        </w:rPr>
        <w:t xml:space="preserve"> </w:t>
      </w:r>
      <w:r>
        <w:t>et</w:t>
      </w:r>
      <w:r>
        <w:rPr>
          <w:spacing w:val="-15"/>
        </w:rPr>
        <w:t xml:space="preserve"> </w:t>
      </w:r>
      <w:r>
        <w:t>al.</w:t>
      </w:r>
      <w:r>
        <w:rPr>
          <w:spacing w:val="-17"/>
        </w:rPr>
        <w:t xml:space="preserve"> </w:t>
      </w:r>
      <w:r>
        <w:t>(2013)</w:t>
      </w:r>
      <w:r>
        <w:rPr>
          <w:spacing w:val="-13"/>
        </w:rPr>
        <w:t xml:space="preserve"> </w:t>
      </w:r>
      <w:r>
        <w:t>noted</w:t>
      </w:r>
      <w:r>
        <w:rPr>
          <w:spacing w:val="-14"/>
        </w:rPr>
        <w:t xml:space="preserve"> </w:t>
      </w:r>
      <w:r>
        <w:t>that</w:t>
      </w:r>
      <w:r>
        <w:rPr>
          <w:spacing w:val="-14"/>
        </w:rPr>
        <w:t xml:space="preserve"> </w:t>
      </w:r>
      <w:r>
        <w:t>Jones</w:t>
      </w:r>
      <w:r>
        <w:rPr>
          <w:spacing w:val="-17"/>
        </w:rPr>
        <w:t xml:space="preserve"> </w:t>
      </w:r>
      <w:r>
        <w:t>et</w:t>
      </w:r>
      <w:r>
        <w:rPr>
          <w:spacing w:val="-15"/>
        </w:rPr>
        <w:t xml:space="preserve"> </w:t>
      </w:r>
      <w:r>
        <w:t>al.’s</w:t>
      </w:r>
      <w:r>
        <w:rPr>
          <w:spacing w:val="-17"/>
        </w:rPr>
        <w:t xml:space="preserve"> </w:t>
      </w:r>
      <w:r>
        <w:t>analysis</w:t>
      </w:r>
      <w:r>
        <w:rPr>
          <w:spacing w:val="-17"/>
        </w:rPr>
        <w:t xml:space="preserve"> </w:t>
      </w:r>
      <w:r>
        <w:t xml:space="preserve">included participants who had failed to remember the PM </w:t>
      </w:r>
      <w:r>
        <w:rPr>
          <w:spacing w:val="-3"/>
        </w:rPr>
        <w:t xml:space="preserve">task </w:t>
      </w:r>
      <w:r>
        <w:t>instruction at all. When the data from Jones et al. (2011) were re-</w:t>
      </w:r>
      <w:proofErr w:type="spellStart"/>
      <w:r>
        <w:t>analysed</w:t>
      </w:r>
      <w:proofErr w:type="spellEnd"/>
      <w:r>
        <w:t xml:space="preserve"> excluding participants who completely failed to recall</w:t>
      </w:r>
      <w:r>
        <w:rPr>
          <w:spacing w:val="-30"/>
        </w:rPr>
        <w:t xml:space="preserve"> </w:t>
      </w:r>
      <w:r>
        <w:t xml:space="preserve">the PM instruction, there was no hint </w:t>
      </w:r>
      <w:r>
        <w:rPr>
          <w:spacing w:val="-3"/>
        </w:rPr>
        <w:t xml:space="preserve">of </w:t>
      </w:r>
      <w:r>
        <w:t xml:space="preserve">any between-group differences in PM task performance (Williams et al., 2013, </w:t>
      </w:r>
      <w:r>
        <w:rPr>
          <w:spacing w:val="-3"/>
        </w:rPr>
        <w:t xml:space="preserve">p. </w:t>
      </w:r>
      <w:r>
        <w:t xml:space="preserve">1564). This re-analysis underscores the importance </w:t>
      </w:r>
      <w:r>
        <w:rPr>
          <w:spacing w:val="-3"/>
        </w:rPr>
        <w:t xml:space="preserve">of </w:t>
      </w:r>
      <w:r>
        <w:t>controlling</w:t>
      </w:r>
      <w:r>
        <w:rPr>
          <w:spacing w:val="-43"/>
        </w:rPr>
        <w:t xml:space="preserve"> </w:t>
      </w:r>
      <w:r>
        <w:t>for retrospective memory demands when drawing conclusions about PM ability in</w:t>
      </w:r>
      <w:r>
        <w:rPr>
          <w:spacing w:val="-4"/>
        </w:rPr>
        <w:t xml:space="preserve"> </w:t>
      </w:r>
      <w:r>
        <w:t>ASD.</w:t>
      </w:r>
    </w:p>
    <w:p w14:paraId="7449C59C" w14:textId="77777777" w:rsidR="00C75312" w:rsidRDefault="00C75312">
      <w:pPr>
        <w:spacing w:line="480" w:lineRule="auto"/>
        <w:jc w:val="both"/>
        <w:sectPr w:rsidR="00C75312">
          <w:pgSz w:w="11900" w:h="16840"/>
          <w:pgMar w:top="1360" w:right="1320" w:bottom="280" w:left="1340" w:header="715" w:footer="0" w:gutter="0"/>
          <w:cols w:space="720"/>
        </w:sectPr>
      </w:pPr>
    </w:p>
    <w:p w14:paraId="4D2EE7FC" w14:textId="77777777" w:rsidR="00C75312" w:rsidRDefault="00BB293A">
      <w:pPr>
        <w:pStyle w:val="Heading1"/>
        <w:spacing w:before="80"/>
        <w:ind w:left="100"/>
      </w:pPr>
      <w:r>
        <w:lastRenderedPageBreak/>
        <w:t>Discussion</w:t>
      </w:r>
    </w:p>
    <w:p w14:paraId="1B868132" w14:textId="77777777" w:rsidR="00C75312" w:rsidRDefault="00C75312">
      <w:pPr>
        <w:pStyle w:val="BodyText"/>
        <w:spacing w:before="11"/>
        <w:rPr>
          <w:b/>
          <w:sz w:val="23"/>
        </w:rPr>
      </w:pPr>
    </w:p>
    <w:p w14:paraId="12171C0E" w14:textId="77777777" w:rsidR="00C75312" w:rsidRDefault="00BB293A">
      <w:pPr>
        <w:pStyle w:val="BodyText"/>
        <w:spacing w:line="480" w:lineRule="auto"/>
        <w:ind w:left="100" w:right="107" w:firstLine="720"/>
        <w:jc w:val="both"/>
      </w:pPr>
      <w:r>
        <w:rPr>
          <w:b/>
        </w:rPr>
        <w:t xml:space="preserve">Why is time-based PM impaired </w:t>
      </w:r>
      <w:r>
        <w:rPr>
          <w:b/>
          <w:spacing w:val="-3"/>
        </w:rPr>
        <w:t xml:space="preserve">in </w:t>
      </w:r>
      <w:r>
        <w:rPr>
          <w:b/>
        </w:rPr>
        <w:t xml:space="preserve">ASD? </w:t>
      </w:r>
      <w:r>
        <w:t>The evidence from the meta-analysis presented in Part 1, as well as the review of the evidence in Part 2, strongly suggest that time- based PM in ASD is impaired. Of course, the challenge remains to explore the underlying reasons for this impairment. Several studies have explored the underlying cognitive correlates of time-based PM in ASD (see Table 4</w:t>
      </w:r>
      <w:r>
        <w:rPr>
          <w:position w:val="8"/>
          <w:sz w:val="16"/>
        </w:rPr>
        <w:t>2</w:t>
      </w:r>
      <w:r>
        <w:t>). Although these correlation analyses offer some indication</w:t>
      </w:r>
      <w:r>
        <w:rPr>
          <w:spacing w:val="-10"/>
        </w:rPr>
        <w:t xml:space="preserve"> </w:t>
      </w:r>
      <w:r>
        <w:t>about</w:t>
      </w:r>
      <w:r>
        <w:rPr>
          <w:spacing w:val="-9"/>
        </w:rPr>
        <w:t xml:space="preserve"> </w:t>
      </w:r>
      <w:r>
        <w:t>the</w:t>
      </w:r>
      <w:r>
        <w:rPr>
          <w:spacing w:val="-15"/>
        </w:rPr>
        <w:t xml:space="preserve"> </w:t>
      </w:r>
      <w:r>
        <w:t>underlying</w:t>
      </w:r>
      <w:r>
        <w:rPr>
          <w:spacing w:val="-13"/>
        </w:rPr>
        <w:t xml:space="preserve"> </w:t>
      </w:r>
      <w:r>
        <w:t>cause</w:t>
      </w:r>
      <w:r>
        <w:rPr>
          <w:spacing w:val="-11"/>
        </w:rPr>
        <w:t xml:space="preserve"> </w:t>
      </w:r>
      <w:r>
        <w:t>of</w:t>
      </w:r>
      <w:r>
        <w:rPr>
          <w:spacing w:val="-8"/>
        </w:rPr>
        <w:t xml:space="preserve"> </w:t>
      </w:r>
      <w:r>
        <w:t>time-based</w:t>
      </w:r>
      <w:r>
        <w:rPr>
          <w:spacing w:val="-10"/>
        </w:rPr>
        <w:t xml:space="preserve"> </w:t>
      </w:r>
      <w:r>
        <w:t>PM</w:t>
      </w:r>
      <w:r>
        <w:rPr>
          <w:spacing w:val="-11"/>
        </w:rPr>
        <w:t xml:space="preserve"> </w:t>
      </w:r>
      <w:r>
        <w:t>impairments</w:t>
      </w:r>
      <w:r>
        <w:rPr>
          <w:spacing w:val="-17"/>
        </w:rPr>
        <w:t xml:space="preserve"> </w:t>
      </w:r>
      <w:r>
        <w:t>in</w:t>
      </w:r>
      <w:r>
        <w:rPr>
          <w:spacing w:val="-10"/>
        </w:rPr>
        <w:t xml:space="preserve"> </w:t>
      </w:r>
      <w:r>
        <w:t>ASD,</w:t>
      </w:r>
      <w:r>
        <w:rPr>
          <w:spacing w:val="-7"/>
        </w:rPr>
        <w:t xml:space="preserve"> </w:t>
      </w:r>
      <w:r>
        <w:t>they</w:t>
      </w:r>
      <w:r>
        <w:rPr>
          <w:spacing w:val="-13"/>
        </w:rPr>
        <w:t xml:space="preserve"> </w:t>
      </w:r>
      <w:r>
        <w:t>are</w:t>
      </w:r>
      <w:r>
        <w:rPr>
          <w:spacing w:val="-15"/>
        </w:rPr>
        <w:t xml:space="preserve"> </w:t>
      </w:r>
      <w:r>
        <w:t>far</w:t>
      </w:r>
      <w:r>
        <w:rPr>
          <w:spacing w:val="-12"/>
        </w:rPr>
        <w:t xml:space="preserve"> </w:t>
      </w:r>
      <w:r>
        <w:t>from conclus</w:t>
      </w:r>
      <w:r>
        <w:t>ive. In general, time-based PM performance appears to be related to executive functioning processes in ASD. Given that time-based PM requires self-initiated (rather than cued)</w:t>
      </w:r>
      <w:r>
        <w:rPr>
          <w:spacing w:val="-4"/>
        </w:rPr>
        <w:t xml:space="preserve"> </w:t>
      </w:r>
      <w:r>
        <w:t>retrieval</w:t>
      </w:r>
      <w:r>
        <w:rPr>
          <w:spacing w:val="-4"/>
        </w:rPr>
        <w:t xml:space="preserve"> </w:t>
      </w:r>
      <w:r>
        <w:rPr>
          <w:spacing w:val="-3"/>
        </w:rPr>
        <w:t xml:space="preserve">of </w:t>
      </w:r>
      <w:r>
        <w:t>intentions,</w:t>
      </w:r>
      <w:r>
        <w:rPr>
          <w:spacing w:val="-7"/>
        </w:rPr>
        <w:t xml:space="preserve"> </w:t>
      </w:r>
      <w:r>
        <w:t>it</w:t>
      </w:r>
      <w:r>
        <w:rPr>
          <w:spacing w:val="-4"/>
        </w:rPr>
        <w:t xml:space="preserve"> </w:t>
      </w:r>
      <w:r>
        <w:t>is</w:t>
      </w:r>
      <w:r>
        <w:rPr>
          <w:spacing w:val="-7"/>
        </w:rPr>
        <w:t xml:space="preserve"> </w:t>
      </w:r>
      <w:r>
        <w:t>unsurprising</w:t>
      </w:r>
      <w:r>
        <w:rPr>
          <w:spacing w:val="-5"/>
        </w:rPr>
        <w:t xml:space="preserve"> </w:t>
      </w:r>
      <w:r>
        <w:t>that</w:t>
      </w:r>
      <w:r>
        <w:rPr>
          <w:spacing w:val="-9"/>
        </w:rPr>
        <w:t xml:space="preserve"> </w:t>
      </w:r>
      <w:r>
        <w:t>executive</w:t>
      </w:r>
      <w:r>
        <w:rPr>
          <w:spacing w:val="-6"/>
        </w:rPr>
        <w:t xml:space="preserve"> </w:t>
      </w:r>
      <w:r>
        <w:t>processes</w:t>
      </w:r>
      <w:r>
        <w:rPr>
          <w:spacing w:val="-7"/>
        </w:rPr>
        <w:t xml:space="preserve"> </w:t>
      </w:r>
      <w:r>
        <w:t>might</w:t>
      </w:r>
      <w:r>
        <w:rPr>
          <w:spacing w:val="-4"/>
        </w:rPr>
        <w:t xml:space="preserve"> </w:t>
      </w:r>
      <w:r>
        <w:t>be</w:t>
      </w:r>
      <w:r>
        <w:rPr>
          <w:spacing w:val="-6"/>
        </w:rPr>
        <w:t xml:space="preserve"> </w:t>
      </w:r>
      <w:r>
        <w:t>related</w:t>
      </w:r>
      <w:r>
        <w:rPr>
          <w:spacing w:val="-5"/>
        </w:rPr>
        <w:t xml:space="preserve"> </w:t>
      </w:r>
      <w:r>
        <w:t>to</w:t>
      </w:r>
      <w:r>
        <w:rPr>
          <w:spacing w:val="-10"/>
        </w:rPr>
        <w:t xml:space="preserve"> </w:t>
      </w:r>
      <w:r>
        <w:t>task performance, since self-initiated retrieval of information from memory is considered to place a high demand on executive functioning (e.g., McDaniel &amp; Einstein, 2007). It may be, therefore, that well-established difficulties with aspects of executive functioning in ASD underpin time-based PM deficits in</w:t>
      </w:r>
      <w:r>
        <w:rPr>
          <w:spacing w:val="4"/>
        </w:rPr>
        <w:t xml:space="preserve"> </w:t>
      </w:r>
      <w:r>
        <w:t>ASD.</w:t>
      </w:r>
    </w:p>
    <w:p w14:paraId="1B9C041A" w14:textId="77777777" w:rsidR="00C75312" w:rsidRDefault="00BB293A">
      <w:pPr>
        <w:pStyle w:val="BodyText"/>
        <w:spacing w:before="115" w:line="480" w:lineRule="auto"/>
        <w:ind w:left="100" w:right="104" w:firstLine="720"/>
        <w:jc w:val="both"/>
      </w:pPr>
      <w:r>
        <w:t xml:space="preserve">An alternative possibility is that difficulties with representing mental states (i.e., mindreading/theory </w:t>
      </w:r>
      <w:r>
        <w:rPr>
          <w:spacing w:val="-3"/>
        </w:rPr>
        <w:t xml:space="preserve">of </w:t>
      </w:r>
      <w:r>
        <w:t xml:space="preserve">mind) in ASD make it particularly difficult for people with ASD to introspect/retrieve their own intentions (e.g., Williams &amp; </w:t>
      </w:r>
      <w:proofErr w:type="spellStart"/>
      <w:r>
        <w:t>Happé</w:t>
      </w:r>
      <w:proofErr w:type="spellEnd"/>
      <w:r>
        <w:t xml:space="preserve">, 2010) . Given the link between PM and theory of mind in NT individuals (e.g., Ford, Driscoll, Shum, &amp; Macaulay, 2012), this could explain time-based PM deficits in ASD. Indeed, the association found by Williams et al. (2013) between time-based PM and theory </w:t>
      </w:r>
      <w:r>
        <w:rPr>
          <w:spacing w:val="-3"/>
        </w:rPr>
        <w:t xml:space="preserve">of </w:t>
      </w:r>
      <w:r>
        <w:t>mind supports this possibility. The idea is that theory of mind is relevant for mental self-projection, i.e., the a</w:t>
      </w:r>
      <w:r>
        <w:t>bility to shift one’s perspective from the immediate present to alternative perspectives (Buckner &amp;</w:t>
      </w:r>
      <w:r>
        <w:rPr>
          <w:spacing w:val="59"/>
        </w:rPr>
        <w:t xml:space="preserve"> </w:t>
      </w:r>
      <w:r>
        <w:t>Carroll,</w:t>
      </w:r>
    </w:p>
    <w:p w14:paraId="4B562A11" w14:textId="77777777" w:rsidR="00C75312" w:rsidRDefault="00BB293A">
      <w:pPr>
        <w:pStyle w:val="BodyText"/>
        <w:spacing w:before="5"/>
        <w:rPr>
          <w:sz w:val="14"/>
        </w:rPr>
      </w:pPr>
      <w:r>
        <w:pict w14:anchorId="4DFEA21D">
          <v:shape id="_x0000_s2783" style="position:absolute;margin-left:1in;margin-top:10.55pt;width:2in;height:.1pt;z-index:-251631616;mso-wrap-distance-left:0;mso-wrap-distance-right:0;mso-position-horizontal-relative:page" coordorigin="1440,211" coordsize="2880,0" path="m1440,211r2880,e" filled="f" strokeweight=".48pt">
            <v:path arrowok="t"/>
            <w10:wrap type="topAndBottom" anchorx="page"/>
          </v:shape>
        </w:pict>
      </w:r>
    </w:p>
    <w:p w14:paraId="4398B919" w14:textId="77777777" w:rsidR="00C75312" w:rsidRDefault="00BB293A">
      <w:pPr>
        <w:spacing w:before="62" w:line="480" w:lineRule="auto"/>
        <w:ind w:left="100" w:right="102"/>
        <w:jc w:val="both"/>
        <w:rPr>
          <w:sz w:val="20"/>
        </w:rPr>
      </w:pPr>
      <w:r>
        <w:rPr>
          <w:position w:val="7"/>
          <w:sz w:val="13"/>
        </w:rPr>
        <w:t xml:space="preserve">2 </w:t>
      </w:r>
      <w:r>
        <w:rPr>
          <w:sz w:val="20"/>
        </w:rPr>
        <w:t>Table 4 also outlines the cognitive correlates of event-based PM. However, given that a number of the studies included had methodological drawbacks, even where significant relationships with potential cognitive underpinnings were found, these need to be interpreted with caution.</w:t>
      </w:r>
    </w:p>
    <w:p w14:paraId="5501D5A3" w14:textId="77777777" w:rsidR="00C75312" w:rsidRDefault="00C75312">
      <w:pPr>
        <w:spacing w:line="480" w:lineRule="auto"/>
        <w:jc w:val="both"/>
        <w:rPr>
          <w:sz w:val="20"/>
        </w:rPr>
        <w:sectPr w:rsidR="00C75312">
          <w:pgSz w:w="11900" w:h="16840"/>
          <w:pgMar w:top="1360" w:right="1320" w:bottom="280" w:left="1340" w:header="715" w:footer="0" w:gutter="0"/>
          <w:cols w:space="720"/>
        </w:sectPr>
      </w:pPr>
    </w:p>
    <w:p w14:paraId="426DBB16" w14:textId="77777777" w:rsidR="00C75312" w:rsidRDefault="00BB293A">
      <w:pPr>
        <w:pStyle w:val="BodyText"/>
        <w:spacing w:before="80" w:line="480" w:lineRule="auto"/>
        <w:ind w:left="100" w:right="108"/>
        <w:jc w:val="both"/>
      </w:pPr>
      <w:r>
        <w:lastRenderedPageBreak/>
        <w:t>2007), which overlaps with episodic future thinking processes. Hence, NT individuals might not only think more frequently about their delayed intentions but also, if they do, mentally simulate their execution, strengthening relevant context associations for later PM retrieval. Therefore, if individuals with ASD have difficulties with theory of mind and with generating future episodic representations as a result of diminished self-projection ability (see Lind, Williams, Bowler, &amp; Peel, 2014, for relevant evi</w:t>
      </w:r>
      <w:r>
        <w:t>dence), this would be expected to contribute to poor time-based PM performance (see Williams et al., 2013, for a discussion of this possibility).</w:t>
      </w:r>
    </w:p>
    <w:p w14:paraId="06AF11EA" w14:textId="77777777" w:rsidR="00C75312" w:rsidRDefault="00BB293A">
      <w:pPr>
        <w:pStyle w:val="BodyText"/>
        <w:spacing w:before="120" w:line="480" w:lineRule="auto"/>
        <w:ind w:left="100" w:right="104" w:firstLine="720"/>
        <w:jc w:val="both"/>
      </w:pPr>
      <w:r>
        <w:t>One</w:t>
      </w:r>
      <w:r>
        <w:rPr>
          <w:spacing w:val="-6"/>
        </w:rPr>
        <w:t xml:space="preserve"> </w:t>
      </w:r>
      <w:r>
        <w:t>final</w:t>
      </w:r>
      <w:r>
        <w:rPr>
          <w:spacing w:val="-4"/>
        </w:rPr>
        <w:t xml:space="preserve"> </w:t>
      </w:r>
      <w:r>
        <w:t>possibility</w:t>
      </w:r>
      <w:r>
        <w:rPr>
          <w:spacing w:val="-10"/>
        </w:rPr>
        <w:t xml:space="preserve"> </w:t>
      </w:r>
      <w:r>
        <w:t>to</w:t>
      </w:r>
      <w:r>
        <w:rPr>
          <w:spacing w:val="-10"/>
        </w:rPr>
        <w:t xml:space="preserve"> </w:t>
      </w:r>
      <w:r>
        <w:t>consider</w:t>
      </w:r>
      <w:r>
        <w:rPr>
          <w:spacing w:val="-3"/>
        </w:rPr>
        <w:t xml:space="preserve"> </w:t>
      </w:r>
      <w:r>
        <w:t>is</w:t>
      </w:r>
      <w:r>
        <w:rPr>
          <w:spacing w:val="-7"/>
        </w:rPr>
        <w:t xml:space="preserve"> </w:t>
      </w:r>
      <w:r>
        <w:t>that</w:t>
      </w:r>
      <w:r>
        <w:rPr>
          <w:spacing w:val="-9"/>
        </w:rPr>
        <w:t xml:space="preserve"> </w:t>
      </w:r>
      <w:r>
        <w:t>time-based</w:t>
      </w:r>
      <w:r>
        <w:rPr>
          <w:spacing w:val="-4"/>
        </w:rPr>
        <w:t xml:space="preserve"> </w:t>
      </w:r>
      <w:r>
        <w:t>PM</w:t>
      </w:r>
      <w:r>
        <w:rPr>
          <w:spacing w:val="-7"/>
        </w:rPr>
        <w:t xml:space="preserve"> </w:t>
      </w:r>
      <w:r>
        <w:t>deficits</w:t>
      </w:r>
      <w:r>
        <w:rPr>
          <w:spacing w:val="-7"/>
        </w:rPr>
        <w:t xml:space="preserve"> </w:t>
      </w:r>
      <w:r>
        <w:t>in</w:t>
      </w:r>
      <w:r>
        <w:rPr>
          <w:spacing w:val="-10"/>
        </w:rPr>
        <w:t xml:space="preserve"> </w:t>
      </w:r>
      <w:r>
        <w:t>ASD</w:t>
      </w:r>
      <w:r>
        <w:rPr>
          <w:spacing w:val="-10"/>
        </w:rPr>
        <w:t xml:space="preserve"> </w:t>
      </w:r>
      <w:r>
        <w:t>may</w:t>
      </w:r>
      <w:r>
        <w:rPr>
          <w:spacing w:val="-5"/>
        </w:rPr>
        <w:t xml:space="preserve"> </w:t>
      </w:r>
      <w:r>
        <w:t>result</w:t>
      </w:r>
      <w:r>
        <w:rPr>
          <w:spacing w:val="-8"/>
        </w:rPr>
        <w:t xml:space="preserve"> </w:t>
      </w:r>
      <w:r>
        <w:t>from difficulties with time perception. There is mixed evidence with regards to time estimation abilities</w:t>
      </w:r>
      <w:r>
        <w:rPr>
          <w:spacing w:val="-8"/>
        </w:rPr>
        <w:t xml:space="preserve"> </w:t>
      </w:r>
      <w:r>
        <w:t>in</w:t>
      </w:r>
      <w:r>
        <w:rPr>
          <w:spacing w:val="-6"/>
        </w:rPr>
        <w:t xml:space="preserve"> </w:t>
      </w:r>
      <w:r>
        <w:t>ASD</w:t>
      </w:r>
      <w:r>
        <w:rPr>
          <w:spacing w:val="-5"/>
        </w:rPr>
        <w:t xml:space="preserve"> </w:t>
      </w:r>
      <w:r>
        <w:t>when</w:t>
      </w:r>
      <w:r>
        <w:rPr>
          <w:spacing w:val="-11"/>
        </w:rPr>
        <w:t xml:space="preserve"> </w:t>
      </w:r>
      <w:r>
        <w:t>comparing</w:t>
      </w:r>
      <w:r>
        <w:rPr>
          <w:spacing w:val="-10"/>
        </w:rPr>
        <w:t xml:space="preserve"> </w:t>
      </w:r>
      <w:r>
        <w:t>studies</w:t>
      </w:r>
      <w:r>
        <w:rPr>
          <w:spacing w:val="-8"/>
        </w:rPr>
        <w:t xml:space="preserve"> </w:t>
      </w:r>
      <w:r>
        <w:t>using</w:t>
      </w:r>
      <w:r>
        <w:rPr>
          <w:spacing w:val="-5"/>
        </w:rPr>
        <w:t xml:space="preserve"> </w:t>
      </w:r>
      <w:r>
        <w:t>different</w:t>
      </w:r>
      <w:r>
        <w:rPr>
          <w:spacing w:val="-5"/>
        </w:rPr>
        <w:t xml:space="preserve"> </w:t>
      </w:r>
      <w:r>
        <w:t>or</w:t>
      </w:r>
      <w:r>
        <w:rPr>
          <w:spacing w:val="-8"/>
        </w:rPr>
        <w:t xml:space="preserve"> </w:t>
      </w:r>
      <w:r>
        <w:t>even</w:t>
      </w:r>
      <w:r>
        <w:rPr>
          <w:spacing w:val="-11"/>
        </w:rPr>
        <w:t xml:space="preserve"> </w:t>
      </w:r>
      <w:r>
        <w:t>the</w:t>
      </w:r>
      <w:r>
        <w:rPr>
          <w:spacing w:val="-6"/>
        </w:rPr>
        <w:t xml:space="preserve"> </w:t>
      </w:r>
      <w:r>
        <w:t>same</w:t>
      </w:r>
      <w:r>
        <w:rPr>
          <w:spacing w:val="-7"/>
        </w:rPr>
        <w:t xml:space="preserve"> </w:t>
      </w:r>
      <w:r>
        <w:t>kind</w:t>
      </w:r>
      <w:r>
        <w:rPr>
          <w:spacing w:val="-10"/>
        </w:rPr>
        <w:t xml:space="preserve"> </w:t>
      </w:r>
      <w:r>
        <w:t>of</w:t>
      </w:r>
      <w:r>
        <w:rPr>
          <w:spacing w:val="-9"/>
        </w:rPr>
        <w:t xml:space="preserve"> </w:t>
      </w:r>
      <w:r>
        <w:t>tasks.</w:t>
      </w:r>
      <w:r>
        <w:rPr>
          <w:spacing w:val="43"/>
        </w:rPr>
        <w:t xml:space="preserve"> </w:t>
      </w:r>
      <w:r>
        <w:t xml:space="preserve">These performance difference also seem to depend on the length of the intervals or durations used in different studies. Shah, Hall, </w:t>
      </w:r>
      <w:proofErr w:type="spellStart"/>
      <w:r>
        <w:t>Catmur</w:t>
      </w:r>
      <w:proofErr w:type="spellEnd"/>
      <w:r>
        <w:t xml:space="preserve">, and Bird (2016) asked adult participants to estimate the length of three intervals (19, 37, and 49 seconds) and found no group difference in accuracy between ASD and </w:t>
      </w:r>
      <w:r>
        <w:rPr>
          <w:spacing w:val="-3"/>
        </w:rPr>
        <w:t xml:space="preserve">NT </w:t>
      </w:r>
      <w:r>
        <w:t xml:space="preserve">control group. In another study with children and adolescents, Wallace and </w:t>
      </w:r>
      <w:proofErr w:type="spellStart"/>
      <w:r>
        <w:t>Happé</w:t>
      </w:r>
      <w:proofErr w:type="spellEnd"/>
      <w:r>
        <w:t xml:space="preserve"> (2008) explored time estimation, time production, as well as time reproduction abilities for durations ranging between two</w:t>
      </w:r>
      <w:r>
        <w:t xml:space="preserve"> to 45 seconds. The group comparison revealed similar performance for time estimation and production and even a trend for superior time reproduction performance in the ASD group compared to the </w:t>
      </w:r>
      <w:r>
        <w:rPr>
          <w:spacing w:val="-3"/>
        </w:rPr>
        <w:t xml:space="preserve">NT </w:t>
      </w:r>
      <w:r>
        <w:t xml:space="preserve">group. Importantly, Wallace and </w:t>
      </w:r>
      <w:proofErr w:type="spellStart"/>
      <w:r>
        <w:t>Happé</w:t>
      </w:r>
      <w:proofErr w:type="spellEnd"/>
      <w:r>
        <w:t xml:space="preserve"> (2008) found similar patterns of performance in both groups; i.e. a trend to overestimate duration decreased with longer durations in the time estimation tasks whereas participants more consistently underestimated time regardless of the length of the interval in the time (re-)</w:t>
      </w:r>
      <w:r>
        <w:t xml:space="preserve">production task. Furthermore, Gil, </w:t>
      </w:r>
      <w:proofErr w:type="spellStart"/>
      <w:r>
        <w:t>Chambres</w:t>
      </w:r>
      <w:proofErr w:type="spellEnd"/>
      <w:r>
        <w:t xml:space="preserve">, </w:t>
      </w:r>
      <w:proofErr w:type="spellStart"/>
      <w:r>
        <w:t>Hyvert</w:t>
      </w:r>
      <w:proofErr w:type="spellEnd"/>
      <w:r>
        <w:t xml:space="preserve">, </w:t>
      </w:r>
      <w:proofErr w:type="spellStart"/>
      <w:r>
        <w:t>Fanget</w:t>
      </w:r>
      <w:proofErr w:type="spellEnd"/>
      <w:r>
        <w:t>, and Droit-Volet (2012)</w:t>
      </w:r>
      <w:r>
        <w:rPr>
          <w:spacing w:val="-13"/>
        </w:rPr>
        <w:t xml:space="preserve"> </w:t>
      </w:r>
      <w:r>
        <w:t>found</w:t>
      </w:r>
      <w:r>
        <w:rPr>
          <w:spacing w:val="-10"/>
        </w:rPr>
        <w:t xml:space="preserve"> </w:t>
      </w:r>
      <w:r>
        <w:t>no</w:t>
      </w:r>
      <w:r>
        <w:rPr>
          <w:spacing w:val="-13"/>
        </w:rPr>
        <w:t xml:space="preserve"> </w:t>
      </w:r>
      <w:r>
        <w:t>sign</w:t>
      </w:r>
      <w:r>
        <w:rPr>
          <w:spacing w:val="-10"/>
        </w:rPr>
        <w:t xml:space="preserve"> </w:t>
      </w:r>
      <w:r>
        <w:t>of</w:t>
      </w:r>
      <w:r>
        <w:rPr>
          <w:spacing w:val="-12"/>
        </w:rPr>
        <w:t xml:space="preserve"> </w:t>
      </w:r>
      <w:r>
        <w:t>impairments</w:t>
      </w:r>
      <w:r>
        <w:rPr>
          <w:spacing w:val="-12"/>
        </w:rPr>
        <w:t xml:space="preserve"> </w:t>
      </w:r>
      <w:r>
        <w:t>in</w:t>
      </w:r>
      <w:r>
        <w:rPr>
          <w:spacing w:val="-14"/>
        </w:rPr>
        <w:t xml:space="preserve"> </w:t>
      </w:r>
      <w:r>
        <w:t>a</w:t>
      </w:r>
      <w:r>
        <w:rPr>
          <w:spacing w:val="-10"/>
        </w:rPr>
        <w:t xml:space="preserve"> </w:t>
      </w:r>
      <w:r>
        <w:t>temporal</w:t>
      </w:r>
      <w:r>
        <w:rPr>
          <w:spacing w:val="-14"/>
        </w:rPr>
        <w:t xml:space="preserve"> </w:t>
      </w:r>
      <w:r>
        <w:t>bisection</w:t>
      </w:r>
      <w:r>
        <w:rPr>
          <w:spacing w:val="-9"/>
        </w:rPr>
        <w:t xml:space="preserve"> </w:t>
      </w:r>
      <w:r>
        <w:t>task</w:t>
      </w:r>
      <w:r>
        <w:rPr>
          <w:spacing w:val="-10"/>
        </w:rPr>
        <w:t xml:space="preserve"> </w:t>
      </w:r>
      <w:r>
        <w:t>which</w:t>
      </w:r>
      <w:r>
        <w:rPr>
          <w:spacing w:val="-10"/>
        </w:rPr>
        <w:t xml:space="preserve"> </w:t>
      </w:r>
      <w:r>
        <w:t>covered</w:t>
      </w:r>
      <w:r>
        <w:rPr>
          <w:spacing w:val="-9"/>
        </w:rPr>
        <w:t xml:space="preserve"> </w:t>
      </w:r>
      <w:r>
        <w:t>both</w:t>
      </w:r>
      <w:r>
        <w:rPr>
          <w:spacing w:val="-10"/>
        </w:rPr>
        <w:t xml:space="preserve"> </w:t>
      </w:r>
      <w:r>
        <w:t>short</w:t>
      </w:r>
      <w:r>
        <w:rPr>
          <w:spacing w:val="-13"/>
        </w:rPr>
        <w:t xml:space="preserve"> </w:t>
      </w:r>
      <w:r>
        <w:t>(0.5 and</w:t>
      </w:r>
      <w:r>
        <w:rPr>
          <w:spacing w:val="-6"/>
        </w:rPr>
        <w:t xml:space="preserve"> </w:t>
      </w:r>
      <w:r>
        <w:t>1</w:t>
      </w:r>
      <w:r>
        <w:rPr>
          <w:spacing w:val="-5"/>
        </w:rPr>
        <w:t xml:space="preserve"> </w:t>
      </w:r>
      <w:r>
        <w:t>second,</w:t>
      </w:r>
      <w:r>
        <w:rPr>
          <w:spacing w:val="-3"/>
        </w:rPr>
        <w:t xml:space="preserve"> </w:t>
      </w:r>
      <w:r>
        <w:t>1.25</w:t>
      </w:r>
      <w:r>
        <w:rPr>
          <w:spacing w:val="-5"/>
        </w:rPr>
        <w:t xml:space="preserve"> </w:t>
      </w:r>
      <w:r>
        <w:t>and</w:t>
      </w:r>
      <w:r>
        <w:rPr>
          <w:spacing w:val="-5"/>
        </w:rPr>
        <w:t xml:space="preserve"> </w:t>
      </w:r>
      <w:r>
        <w:t>2.5</w:t>
      </w:r>
      <w:r>
        <w:rPr>
          <w:spacing w:val="-10"/>
        </w:rPr>
        <w:t xml:space="preserve"> </w:t>
      </w:r>
      <w:r>
        <w:t>seconds)</w:t>
      </w:r>
      <w:r>
        <w:rPr>
          <w:spacing w:val="-4"/>
        </w:rPr>
        <w:t xml:space="preserve"> </w:t>
      </w:r>
      <w:r>
        <w:t>and</w:t>
      </w:r>
      <w:r>
        <w:rPr>
          <w:spacing w:val="-5"/>
        </w:rPr>
        <w:t xml:space="preserve"> </w:t>
      </w:r>
      <w:r>
        <w:t>long</w:t>
      </w:r>
      <w:r>
        <w:rPr>
          <w:spacing w:val="-5"/>
        </w:rPr>
        <w:t xml:space="preserve"> </w:t>
      </w:r>
      <w:r>
        <w:t>(3.12</w:t>
      </w:r>
      <w:r>
        <w:rPr>
          <w:spacing w:val="-11"/>
        </w:rPr>
        <w:t xml:space="preserve"> </w:t>
      </w:r>
      <w:r>
        <w:t>and</w:t>
      </w:r>
      <w:r>
        <w:rPr>
          <w:spacing w:val="-5"/>
        </w:rPr>
        <w:t xml:space="preserve"> </w:t>
      </w:r>
      <w:r>
        <w:t>6.25,</w:t>
      </w:r>
      <w:r>
        <w:rPr>
          <w:spacing w:val="-2"/>
        </w:rPr>
        <w:t xml:space="preserve"> </w:t>
      </w:r>
      <w:r>
        <w:t>7.81</w:t>
      </w:r>
      <w:r>
        <w:rPr>
          <w:spacing w:val="-6"/>
        </w:rPr>
        <w:t xml:space="preserve"> </w:t>
      </w:r>
      <w:r>
        <w:t>and</w:t>
      </w:r>
      <w:r>
        <w:rPr>
          <w:spacing w:val="-10"/>
        </w:rPr>
        <w:t xml:space="preserve"> </w:t>
      </w:r>
      <w:r>
        <w:t>16.62</w:t>
      </w:r>
      <w:r>
        <w:rPr>
          <w:spacing w:val="-10"/>
        </w:rPr>
        <w:t xml:space="preserve"> </w:t>
      </w:r>
      <w:r>
        <w:t>seconds)</w:t>
      </w:r>
      <w:r>
        <w:rPr>
          <w:spacing w:val="-3"/>
        </w:rPr>
        <w:t xml:space="preserve"> </w:t>
      </w:r>
      <w:r>
        <w:t>duration</w:t>
      </w:r>
    </w:p>
    <w:p w14:paraId="054EE619" w14:textId="77777777" w:rsidR="00C75312" w:rsidRDefault="00C75312">
      <w:pPr>
        <w:spacing w:line="480" w:lineRule="auto"/>
        <w:jc w:val="both"/>
        <w:sectPr w:rsidR="00C75312">
          <w:pgSz w:w="11900" w:h="16840"/>
          <w:pgMar w:top="1360" w:right="1320" w:bottom="280" w:left="1340" w:header="715" w:footer="0" w:gutter="0"/>
          <w:cols w:space="720"/>
        </w:sectPr>
      </w:pPr>
    </w:p>
    <w:p w14:paraId="3EDE0760" w14:textId="77777777" w:rsidR="00C75312" w:rsidRDefault="00BB293A">
      <w:pPr>
        <w:pStyle w:val="BodyText"/>
        <w:spacing w:before="80" w:line="480" w:lineRule="auto"/>
        <w:ind w:left="100" w:right="111"/>
        <w:jc w:val="both"/>
      </w:pPr>
      <w:r>
        <w:lastRenderedPageBreak/>
        <w:t>pairs. However, other studies using temporal bisection tasks (Allman, DeLeon, &amp; Wearden, 2011) or time reproduction (J. S. Martin, Poirier, &amp; Bowler, 2010; Szelag, Kowalska, Galkowski,</w:t>
      </w:r>
      <w:r>
        <w:rPr>
          <w:spacing w:val="-8"/>
        </w:rPr>
        <w:t xml:space="preserve"> </w:t>
      </w:r>
      <w:r>
        <w:t>&amp;</w:t>
      </w:r>
      <w:r>
        <w:rPr>
          <w:spacing w:val="-9"/>
        </w:rPr>
        <w:t xml:space="preserve"> </w:t>
      </w:r>
      <w:r>
        <w:t>Pöppel,</w:t>
      </w:r>
      <w:r>
        <w:rPr>
          <w:spacing w:val="-13"/>
        </w:rPr>
        <w:t xml:space="preserve"> </w:t>
      </w:r>
      <w:r>
        <w:t>2004)</w:t>
      </w:r>
      <w:r>
        <w:rPr>
          <w:spacing w:val="-13"/>
        </w:rPr>
        <w:t xml:space="preserve"> </w:t>
      </w:r>
      <w:r>
        <w:t>found</w:t>
      </w:r>
      <w:r>
        <w:rPr>
          <w:spacing w:val="-10"/>
        </w:rPr>
        <w:t xml:space="preserve"> </w:t>
      </w:r>
      <w:r>
        <w:t>poorer</w:t>
      </w:r>
      <w:r>
        <w:rPr>
          <w:spacing w:val="-9"/>
        </w:rPr>
        <w:t xml:space="preserve"> </w:t>
      </w:r>
      <w:r>
        <w:t>performance</w:t>
      </w:r>
      <w:r>
        <w:rPr>
          <w:spacing w:val="-11"/>
        </w:rPr>
        <w:t xml:space="preserve"> </w:t>
      </w:r>
      <w:r>
        <w:t>in</w:t>
      </w:r>
      <w:r>
        <w:rPr>
          <w:spacing w:val="-11"/>
        </w:rPr>
        <w:t xml:space="preserve"> </w:t>
      </w:r>
      <w:r>
        <w:t>ASD</w:t>
      </w:r>
      <w:r>
        <w:rPr>
          <w:spacing w:val="-10"/>
        </w:rPr>
        <w:t xml:space="preserve"> </w:t>
      </w:r>
      <w:r>
        <w:t>using</w:t>
      </w:r>
      <w:r>
        <w:rPr>
          <w:spacing w:val="-11"/>
        </w:rPr>
        <w:t xml:space="preserve"> </w:t>
      </w:r>
      <w:r>
        <w:t>short</w:t>
      </w:r>
      <w:r>
        <w:rPr>
          <w:spacing w:val="-9"/>
        </w:rPr>
        <w:t xml:space="preserve"> </w:t>
      </w:r>
      <w:r>
        <w:t>durations</w:t>
      </w:r>
      <w:r>
        <w:rPr>
          <w:spacing w:val="-17"/>
        </w:rPr>
        <w:t xml:space="preserve"> </w:t>
      </w:r>
      <w:r>
        <w:t>(between</w:t>
      </w:r>
    </w:p>
    <w:p w14:paraId="66CDD3DA" w14:textId="77777777" w:rsidR="00C75312" w:rsidRDefault="00BB293A">
      <w:pPr>
        <w:pStyle w:val="ListParagraph"/>
        <w:numPr>
          <w:ilvl w:val="0"/>
          <w:numId w:val="4"/>
        </w:numPr>
        <w:tabs>
          <w:tab w:val="left" w:pos="369"/>
        </w:tabs>
        <w:spacing w:line="480" w:lineRule="auto"/>
        <w:ind w:right="104" w:firstLine="0"/>
        <w:jc w:val="both"/>
        <w:rPr>
          <w:sz w:val="24"/>
        </w:rPr>
      </w:pPr>
      <w:r>
        <w:rPr>
          <w:sz w:val="24"/>
        </w:rPr>
        <w:t>to 8 seconds). These studies concluded that individuals with ASD had problems discriminating between “longer” durations and underestimate durations in the time reproduction tasks. Altogether, this suggests that individuals with ASD may experience difficulties with time estimation, especially when it comes to fine-grained discrimination of short durations, however, timing abilities in ASD seem to be intact for longer durations.</w:t>
      </w:r>
      <w:r>
        <w:rPr>
          <w:spacing w:val="29"/>
          <w:sz w:val="24"/>
        </w:rPr>
        <w:t xml:space="preserve"> </w:t>
      </w:r>
      <w:r>
        <w:rPr>
          <w:sz w:val="24"/>
        </w:rPr>
        <w:t xml:space="preserve">With regards to time-based PM, this suggests that overall time-estimation should not greatly affect performance in ASD. However, given the above evidence, it may be that timeliness of time- based PM responses in the range of seconds may </w:t>
      </w:r>
      <w:r>
        <w:rPr>
          <w:spacing w:val="-3"/>
          <w:sz w:val="24"/>
        </w:rPr>
        <w:t xml:space="preserve">be </w:t>
      </w:r>
      <w:r>
        <w:rPr>
          <w:sz w:val="24"/>
        </w:rPr>
        <w:t>worse in</w:t>
      </w:r>
      <w:r>
        <w:rPr>
          <w:spacing w:val="13"/>
          <w:sz w:val="24"/>
        </w:rPr>
        <w:t xml:space="preserve"> </w:t>
      </w:r>
      <w:r>
        <w:rPr>
          <w:sz w:val="24"/>
        </w:rPr>
        <w:t>ASD.</w:t>
      </w:r>
    </w:p>
    <w:p w14:paraId="01453435" w14:textId="77777777" w:rsidR="00C75312" w:rsidRDefault="00BB293A">
      <w:pPr>
        <w:pStyle w:val="BodyText"/>
        <w:spacing w:before="120" w:line="480" w:lineRule="auto"/>
        <w:ind w:left="100" w:right="106" w:firstLine="720"/>
        <w:jc w:val="both"/>
      </w:pPr>
      <w:r>
        <w:t xml:space="preserve">Data from studies </w:t>
      </w:r>
      <w:r>
        <w:rPr>
          <w:spacing w:val="-3"/>
        </w:rPr>
        <w:t xml:space="preserve">of </w:t>
      </w:r>
      <w:r>
        <w:t xml:space="preserve">time-based PM are also informative. In five out </w:t>
      </w:r>
      <w:r>
        <w:rPr>
          <w:spacing w:val="-3"/>
        </w:rPr>
        <w:t xml:space="preserve">of </w:t>
      </w:r>
      <w:r>
        <w:t>the aforementioned six studies of time-based PM, participants had to monitor the elapsed time during</w:t>
      </w:r>
      <w:r>
        <w:rPr>
          <w:spacing w:val="-10"/>
        </w:rPr>
        <w:t xml:space="preserve"> </w:t>
      </w:r>
      <w:r>
        <w:t>the</w:t>
      </w:r>
      <w:r>
        <w:rPr>
          <w:spacing w:val="-10"/>
        </w:rPr>
        <w:t xml:space="preserve"> </w:t>
      </w:r>
      <w:r>
        <w:t>experiment</w:t>
      </w:r>
      <w:r>
        <w:rPr>
          <w:spacing w:val="-8"/>
        </w:rPr>
        <w:t xml:space="preserve"> </w:t>
      </w:r>
      <w:r>
        <w:t>(by</w:t>
      </w:r>
      <w:r>
        <w:rPr>
          <w:spacing w:val="-9"/>
        </w:rPr>
        <w:t xml:space="preserve"> </w:t>
      </w:r>
      <w:r>
        <w:t>pressing</w:t>
      </w:r>
      <w:r>
        <w:rPr>
          <w:spacing w:val="-9"/>
        </w:rPr>
        <w:t xml:space="preserve"> </w:t>
      </w:r>
      <w:r>
        <w:t>a</w:t>
      </w:r>
      <w:r>
        <w:rPr>
          <w:spacing w:val="-10"/>
        </w:rPr>
        <w:t xml:space="preserve"> </w:t>
      </w:r>
      <w:r>
        <w:t>keyboard</w:t>
      </w:r>
      <w:r>
        <w:rPr>
          <w:spacing w:val="-9"/>
        </w:rPr>
        <w:t xml:space="preserve"> </w:t>
      </w:r>
      <w:r>
        <w:t>key</w:t>
      </w:r>
      <w:r>
        <w:rPr>
          <w:spacing w:val="-13"/>
        </w:rPr>
        <w:t xml:space="preserve"> </w:t>
      </w:r>
      <w:r>
        <w:t>to</w:t>
      </w:r>
      <w:r>
        <w:rPr>
          <w:spacing w:val="-9"/>
        </w:rPr>
        <w:t xml:space="preserve"> </w:t>
      </w:r>
      <w:r>
        <w:t>bring</w:t>
      </w:r>
      <w:r>
        <w:rPr>
          <w:spacing w:val="-9"/>
        </w:rPr>
        <w:t xml:space="preserve"> </w:t>
      </w:r>
      <w:r>
        <w:t>up</w:t>
      </w:r>
      <w:r>
        <w:rPr>
          <w:spacing w:val="-9"/>
        </w:rPr>
        <w:t xml:space="preserve"> </w:t>
      </w:r>
      <w:r>
        <w:t>a</w:t>
      </w:r>
      <w:r>
        <w:rPr>
          <w:spacing w:val="-14"/>
        </w:rPr>
        <w:t xml:space="preserve"> </w:t>
      </w:r>
      <w:r>
        <w:t>clock),</w:t>
      </w:r>
      <w:r>
        <w:rPr>
          <w:spacing w:val="-11"/>
        </w:rPr>
        <w:t xml:space="preserve"> </w:t>
      </w:r>
      <w:r>
        <w:t>which</w:t>
      </w:r>
      <w:r>
        <w:rPr>
          <w:spacing w:val="-9"/>
        </w:rPr>
        <w:t xml:space="preserve"> </w:t>
      </w:r>
      <w:r>
        <w:t>depends</w:t>
      </w:r>
      <w:r>
        <w:rPr>
          <w:spacing w:val="-11"/>
        </w:rPr>
        <w:t xml:space="preserve"> </w:t>
      </w:r>
      <w:r>
        <w:t>on</w:t>
      </w:r>
      <w:r>
        <w:rPr>
          <w:spacing w:val="-9"/>
        </w:rPr>
        <w:t xml:space="preserve"> </w:t>
      </w:r>
      <w:r>
        <w:t xml:space="preserve">time perception. Two </w:t>
      </w:r>
      <w:r>
        <w:rPr>
          <w:spacing w:val="-3"/>
        </w:rPr>
        <w:t xml:space="preserve">of </w:t>
      </w:r>
      <w:r>
        <w:t>these studies did not find any indication of between-group differences in time</w:t>
      </w:r>
      <w:r>
        <w:rPr>
          <w:spacing w:val="-11"/>
        </w:rPr>
        <w:t xml:space="preserve"> </w:t>
      </w:r>
      <w:r>
        <w:t>monitoring</w:t>
      </w:r>
      <w:r>
        <w:rPr>
          <w:spacing w:val="-10"/>
        </w:rPr>
        <w:t xml:space="preserve"> </w:t>
      </w:r>
      <w:r>
        <w:t>despite</w:t>
      </w:r>
      <w:r>
        <w:rPr>
          <w:spacing w:val="-11"/>
        </w:rPr>
        <w:t xml:space="preserve"> </w:t>
      </w:r>
      <w:r>
        <w:t>finding</w:t>
      </w:r>
      <w:r>
        <w:rPr>
          <w:spacing w:val="-10"/>
        </w:rPr>
        <w:t xml:space="preserve"> </w:t>
      </w:r>
      <w:r>
        <w:t>significant</w:t>
      </w:r>
      <w:r>
        <w:rPr>
          <w:spacing w:val="-9"/>
        </w:rPr>
        <w:t xml:space="preserve"> </w:t>
      </w:r>
      <w:r>
        <w:t>time-based</w:t>
      </w:r>
      <w:r>
        <w:rPr>
          <w:spacing w:val="-10"/>
        </w:rPr>
        <w:t xml:space="preserve"> </w:t>
      </w:r>
      <w:r>
        <w:t>PM</w:t>
      </w:r>
      <w:r>
        <w:rPr>
          <w:spacing w:val="-12"/>
        </w:rPr>
        <w:t xml:space="preserve"> </w:t>
      </w:r>
      <w:r>
        <w:t>impairments</w:t>
      </w:r>
      <w:r>
        <w:rPr>
          <w:spacing w:val="-12"/>
        </w:rPr>
        <w:t xml:space="preserve"> </w:t>
      </w:r>
      <w:r>
        <w:t>(Williams</w:t>
      </w:r>
      <w:r>
        <w:rPr>
          <w:spacing w:val="-12"/>
        </w:rPr>
        <w:t xml:space="preserve"> </w:t>
      </w:r>
      <w:r>
        <w:t>et</w:t>
      </w:r>
      <w:r>
        <w:rPr>
          <w:spacing w:val="-9"/>
        </w:rPr>
        <w:t xml:space="preserve"> </w:t>
      </w:r>
      <w:r>
        <w:t>al.,</w:t>
      </w:r>
      <w:r>
        <w:rPr>
          <w:spacing w:val="-7"/>
        </w:rPr>
        <w:t xml:space="preserve"> </w:t>
      </w:r>
      <w:r>
        <w:t>2013; 2014), whereas two reported significantly fewer clock-checks in ASD (</w:t>
      </w:r>
      <w:proofErr w:type="spellStart"/>
      <w:r>
        <w:t>Altgassen</w:t>
      </w:r>
      <w:proofErr w:type="spellEnd"/>
      <w:r>
        <w:t xml:space="preserve"> et al., 2009, 2012). However, in the studies by </w:t>
      </w:r>
      <w:proofErr w:type="spellStart"/>
      <w:r>
        <w:t>Altgassen</w:t>
      </w:r>
      <w:proofErr w:type="spellEnd"/>
      <w:r>
        <w:t xml:space="preserve"> et al. memory for task instructions was not assessed, meaning that between-group differences in time-monitoring might be attributable to a failure to recall that the time even needed to </w:t>
      </w:r>
      <w:r>
        <w:rPr>
          <w:spacing w:val="-3"/>
        </w:rPr>
        <w:t xml:space="preserve">be </w:t>
      </w:r>
      <w:r>
        <w:t xml:space="preserve">checked. Overall, </w:t>
      </w:r>
      <w:r>
        <w:t>the existing evidence regarding time perception in ASD does not provide strong support for the hypothesis that impaired time monitoring is the major cause of time-based PM problems in ASD, although future research should consider this</w:t>
      </w:r>
      <w:r>
        <w:rPr>
          <w:spacing w:val="2"/>
        </w:rPr>
        <w:t xml:space="preserve"> </w:t>
      </w:r>
      <w:r>
        <w:t>explicitly.</w:t>
      </w:r>
    </w:p>
    <w:p w14:paraId="56F078D8" w14:textId="77777777" w:rsidR="00C75312" w:rsidRDefault="00BB293A">
      <w:pPr>
        <w:pStyle w:val="BodyText"/>
        <w:spacing w:before="121" w:line="480" w:lineRule="auto"/>
        <w:ind w:left="100" w:right="110" w:firstLine="720"/>
        <w:jc w:val="both"/>
      </w:pPr>
      <w:r>
        <w:t xml:space="preserve">Taken together, it is clear that there are multiple potential causes of the evident time- based PM impairment in ASD. Although studies </w:t>
      </w:r>
      <w:r>
        <w:rPr>
          <w:spacing w:val="-3"/>
        </w:rPr>
        <w:t xml:space="preserve">of </w:t>
      </w:r>
      <w:r>
        <w:t>the cognitive correlates of this</w:t>
      </w:r>
      <w:r>
        <w:rPr>
          <w:spacing w:val="-41"/>
        </w:rPr>
        <w:t xml:space="preserve"> </w:t>
      </w:r>
      <w:r>
        <w:t>impairment</w:t>
      </w:r>
    </w:p>
    <w:p w14:paraId="6258DB06" w14:textId="77777777" w:rsidR="00C75312" w:rsidRDefault="00C75312">
      <w:pPr>
        <w:spacing w:line="480" w:lineRule="auto"/>
        <w:jc w:val="both"/>
        <w:sectPr w:rsidR="00C75312">
          <w:pgSz w:w="11900" w:h="16840"/>
          <w:pgMar w:top="1360" w:right="1320" w:bottom="280" w:left="1340" w:header="715" w:footer="0" w:gutter="0"/>
          <w:cols w:space="720"/>
        </w:sectPr>
      </w:pPr>
    </w:p>
    <w:p w14:paraId="05D75158" w14:textId="77777777" w:rsidR="00C75312" w:rsidRDefault="00BB293A">
      <w:pPr>
        <w:pStyle w:val="BodyText"/>
        <w:spacing w:before="80" w:line="480" w:lineRule="auto"/>
        <w:ind w:left="100" w:right="108"/>
        <w:jc w:val="both"/>
      </w:pPr>
      <w:r>
        <w:lastRenderedPageBreak/>
        <w:t>are</w:t>
      </w:r>
      <w:r>
        <w:rPr>
          <w:spacing w:val="-1"/>
        </w:rPr>
        <w:t xml:space="preserve"> </w:t>
      </w:r>
      <w:r>
        <w:t>potentially</w:t>
      </w:r>
      <w:r>
        <w:rPr>
          <w:spacing w:val="-5"/>
        </w:rPr>
        <w:t xml:space="preserve"> </w:t>
      </w:r>
      <w:r>
        <w:t>informative,</w:t>
      </w:r>
      <w:r>
        <w:rPr>
          <w:spacing w:val="-2"/>
        </w:rPr>
        <w:t xml:space="preserve"> </w:t>
      </w:r>
      <w:r>
        <w:t>Table</w:t>
      </w:r>
      <w:r>
        <w:rPr>
          <w:spacing w:val="-6"/>
        </w:rPr>
        <w:t xml:space="preserve"> </w:t>
      </w:r>
      <w:r>
        <w:t>4</w:t>
      </w:r>
      <w:r>
        <w:rPr>
          <w:spacing w:val="-5"/>
        </w:rPr>
        <w:t xml:space="preserve"> </w:t>
      </w:r>
      <w:r>
        <w:t>illustrates</w:t>
      </w:r>
      <w:r>
        <w:rPr>
          <w:spacing w:val="-7"/>
        </w:rPr>
        <w:t xml:space="preserve"> </w:t>
      </w:r>
      <w:r>
        <w:t>the</w:t>
      </w:r>
      <w:r>
        <w:rPr>
          <w:spacing w:val="-1"/>
        </w:rPr>
        <w:t xml:space="preserve"> </w:t>
      </w:r>
      <w:r>
        <w:t>“patchwork”</w:t>
      </w:r>
      <w:r>
        <w:rPr>
          <w:spacing w:val="-1"/>
        </w:rPr>
        <w:t xml:space="preserve"> </w:t>
      </w:r>
      <w:r>
        <w:t>nature</w:t>
      </w:r>
      <w:r>
        <w:rPr>
          <w:spacing w:val="-6"/>
        </w:rPr>
        <w:t xml:space="preserve"> </w:t>
      </w:r>
      <w:r>
        <w:t>of</w:t>
      </w:r>
      <w:r>
        <w:rPr>
          <w:spacing w:val="-3"/>
        </w:rPr>
        <w:t xml:space="preserve"> </w:t>
      </w:r>
      <w:r>
        <w:t>results,</w:t>
      </w:r>
      <w:r>
        <w:rPr>
          <w:spacing w:val="-2"/>
        </w:rPr>
        <w:t xml:space="preserve"> </w:t>
      </w:r>
      <w:r>
        <w:t>as</w:t>
      </w:r>
      <w:r>
        <w:rPr>
          <w:spacing w:val="-2"/>
        </w:rPr>
        <w:t xml:space="preserve"> </w:t>
      </w:r>
      <w:r>
        <w:t>well</w:t>
      </w:r>
      <w:r>
        <w:rPr>
          <w:spacing w:val="-4"/>
        </w:rPr>
        <w:t xml:space="preserve"> </w:t>
      </w:r>
      <w:r>
        <w:t>as</w:t>
      </w:r>
      <w:r>
        <w:rPr>
          <w:spacing w:val="-2"/>
        </w:rPr>
        <w:t xml:space="preserve"> </w:t>
      </w:r>
      <w:r>
        <w:t xml:space="preserve">the fact that almost no correlate has been studied systematically across studies. Future studies might consider </w:t>
      </w:r>
      <w:proofErr w:type="spellStart"/>
      <w:r>
        <w:t>focussing</w:t>
      </w:r>
      <w:proofErr w:type="spellEnd"/>
      <w:r>
        <w:t xml:space="preserve"> on the key candidate underlying causes of this PM impairment and conduct systematic investigations of</w:t>
      </w:r>
      <w:r>
        <w:rPr>
          <w:spacing w:val="6"/>
        </w:rPr>
        <w:t xml:space="preserve"> </w:t>
      </w:r>
      <w:r>
        <w:t>those.</w:t>
      </w:r>
    </w:p>
    <w:p w14:paraId="3058607B" w14:textId="77777777" w:rsidR="00C75312" w:rsidRDefault="00BB293A">
      <w:pPr>
        <w:pStyle w:val="BodyText"/>
        <w:spacing w:before="120" w:line="480" w:lineRule="auto"/>
        <w:ind w:left="100" w:right="107" w:firstLine="720"/>
        <w:jc w:val="both"/>
      </w:pPr>
      <w:r>
        <w:rPr>
          <w:b/>
        </w:rPr>
        <w:t>Is</w:t>
      </w:r>
      <w:r>
        <w:rPr>
          <w:b/>
          <w:spacing w:val="-13"/>
        </w:rPr>
        <w:t xml:space="preserve"> </w:t>
      </w:r>
      <w:r>
        <w:rPr>
          <w:b/>
        </w:rPr>
        <w:t>event-based</w:t>
      </w:r>
      <w:r>
        <w:rPr>
          <w:b/>
          <w:spacing w:val="-13"/>
        </w:rPr>
        <w:t xml:space="preserve"> </w:t>
      </w:r>
      <w:r>
        <w:rPr>
          <w:b/>
        </w:rPr>
        <w:t>PM</w:t>
      </w:r>
      <w:r>
        <w:rPr>
          <w:b/>
          <w:spacing w:val="-15"/>
        </w:rPr>
        <w:t xml:space="preserve"> </w:t>
      </w:r>
      <w:r>
        <w:rPr>
          <w:b/>
        </w:rPr>
        <w:t>really</w:t>
      </w:r>
      <w:r>
        <w:rPr>
          <w:b/>
          <w:spacing w:val="-11"/>
        </w:rPr>
        <w:t xml:space="preserve"> </w:t>
      </w:r>
      <w:r>
        <w:rPr>
          <w:b/>
        </w:rPr>
        <w:t>impaired</w:t>
      </w:r>
      <w:r>
        <w:rPr>
          <w:b/>
          <w:spacing w:val="-14"/>
        </w:rPr>
        <w:t xml:space="preserve"> </w:t>
      </w:r>
      <w:r>
        <w:rPr>
          <w:b/>
        </w:rPr>
        <w:t>in</w:t>
      </w:r>
      <w:r>
        <w:rPr>
          <w:b/>
          <w:spacing w:val="-13"/>
        </w:rPr>
        <w:t xml:space="preserve"> </w:t>
      </w:r>
      <w:r>
        <w:rPr>
          <w:b/>
        </w:rPr>
        <w:t>ASD?</w:t>
      </w:r>
      <w:r>
        <w:rPr>
          <w:b/>
          <w:spacing w:val="32"/>
        </w:rPr>
        <w:t xml:space="preserve"> </w:t>
      </w:r>
      <w:r>
        <w:t>Although</w:t>
      </w:r>
      <w:r>
        <w:rPr>
          <w:spacing w:val="-11"/>
        </w:rPr>
        <w:t xml:space="preserve"> </w:t>
      </w:r>
      <w:r>
        <w:t>the</w:t>
      </w:r>
      <w:r>
        <w:rPr>
          <w:spacing w:val="-14"/>
        </w:rPr>
        <w:t xml:space="preserve"> </w:t>
      </w:r>
      <w:r>
        <w:t>conclusions</w:t>
      </w:r>
      <w:r>
        <w:rPr>
          <w:spacing w:val="-12"/>
        </w:rPr>
        <w:t xml:space="preserve"> </w:t>
      </w:r>
      <w:r>
        <w:t>drawn</w:t>
      </w:r>
      <w:r>
        <w:rPr>
          <w:spacing w:val="-14"/>
        </w:rPr>
        <w:t xml:space="preserve"> </w:t>
      </w:r>
      <w:r>
        <w:t>in</w:t>
      </w:r>
      <w:r>
        <w:rPr>
          <w:spacing w:val="-14"/>
        </w:rPr>
        <w:t xml:space="preserve"> </w:t>
      </w:r>
      <w:r>
        <w:t>parts 1 and 2 of this chapter were remarkably consistent in suggesting a large impairment of time- based PM in ASD, this consistency was not evident with regard to event-based PM.</w:t>
      </w:r>
      <w:r>
        <w:rPr>
          <w:spacing w:val="6"/>
        </w:rPr>
        <w:t xml:space="preserve"> </w:t>
      </w:r>
      <w:r>
        <w:t xml:space="preserve">Although the meta-analysis presented in Part 1 provided evidence </w:t>
      </w:r>
      <w:r>
        <w:rPr>
          <w:spacing w:val="-3"/>
        </w:rPr>
        <w:t xml:space="preserve">of </w:t>
      </w:r>
      <w:r>
        <w:t xml:space="preserve">a subtle (statistically small) impairment of event-based PM in ASD, the review presented in Part 2 questions the validity of the evidence from the meta-analysis. Eleven studies have investigated event-based PM among people with ASD. Five </w:t>
      </w:r>
      <w:r>
        <w:rPr>
          <w:spacing w:val="-3"/>
        </w:rPr>
        <w:t xml:space="preserve">of </w:t>
      </w:r>
      <w:r>
        <w:t>the studies found an im</w:t>
      </w:r>
      <w:r>
        <w:t>pairment in ASD, while six did not. There is no clear pattern with regard to age; half of the studies found an impairment in their adult/children samples while the other half did not. However, if one only considers the</w:t>
      </w:r>
      <w:r>
        <w:rPr>
          <w:spacing w:val="-37"/>
        </w:rPr>
        <w:t xml:space="preserve"> </w:t>
      </w:r>
      <w:r>
        <w:t>studies that</w:t>
      </w:r>
      <w:r>
        <w:rPr>
          <w:spacing w:val="-16"/>
        </w:rPr>
        <w:t xml:space="preserve"> </w:t>
      </w:r>
      <w:r>
        <w:t>fulfilled</w:t>
      </w:r>
      <w:r>
        <w:rPr>
          <w:spacing w:val="-15"/>
        </w:rPr>
        <w:t xml:space="preserve"> </w:t>
      </w:r>
      <w:r>
        <w:t>the</w:t>
      </w:r>
      <w:r>
        <w:rPr>
          <w:spacing w:val="-16"/>
        </w:rPr>
        <w:t xml:space="preserve"> </w:t>
      </w:r>
      <w:r>
        <w:t>aforementioned</w:t>
      </w:r>
      <w:r>
        <w:rPr>
          <w:spacing w:val="-15"/>
        </w:rPr>
        <w:t xml:space="preserve"> </w:t>
      </w:r>
      <w:r>
        <w:t>methodological</w:t>
      </w:r>
      <w:r>
        <w:rPr>
          <w:spacing w:val="-15"/>
        </w:rPr>
        <w:t xml:space="preserve"> </w:t>
      </w:r>
      <w:r>
        <w:t>guidelines</w:t>
      </w:r>
      <w:r>
        <w:rPr>
          <w:spacing w:val="-18"/>
        </w:rPr>
        <w:t xml:space="preserve"> </w:t>
      </w:r>
      <w:r>
        <w:t>necessary</w:t>
      </w:r>
      <w:r>
        <w:rPr>
          <w:spacing w:val="-15"/>
        </w:rPr>
        <w:t xml:space="preserve"> </w:t>
      </w:r>
      <w:r>
        <w:t>for</w:t>
      </w:r>
      <w:r>
        <w:rPr>
          <w:spacing w:val="-14"/>
        </w:rPr>
        <w:t xml:space="preserve"> </w:t>
      </w:r>
      <w:r>
        <w:t>studying</w:t>
      </w:r>
      <w:r>
        <w:rPr>
          <w:spacing w:val="-20"/>
        </w:rPr>
        <w:t xml:space="preserve"> </w:t>
      </w:r>
      <w:r>
        <w:t>PM</w:t>
      </w:r>
      <w:r>
        <w:rPr>
          <w:spacing w:val="-18"/>
        </w:rPr>
        <w:t xml:space="preserve"> </w:t>
      </w:r>
      <w:r>
        <w:t>in</w:t>
      </w:r>
      <w:r>
        <w:rPr>
          <w:spacing w:val="-19"/>
        </w:rPr>
        <w:t xml:space="preserve"> </w:t>
      </w:r>
      <w:r>
        <w:t>ASD, evidence points toward unimpaired event-based PM in</w:t>
      </w:r>
      <w:r>
        <w:rPr>
          <w:spacing w:val="1"/>
        </w:rPr>
        <w:t xml:space="preserve"> </w:t>
      </w:r>
      <w:r>
        <w:t>ASD.</w:t>
      </w:r>
    </w:p>
    <w:p w14:paraId="497A1B69" w14:textId="77777777" w:rsidR="00C75312" w:rsidRDefault="00BB293A">
      <w:pPr>
        <w:pStyle w:val="BodyText"/>
        <w:spacing w:before="120" w:line="480" w:lineRule="auto"/>
        <w:ind w:left="100" w:right="107" w:firstLine="720"/>
        <w:jc w:val="both"/>
      </w:pPr>
      <w:r>
        <w:t>A</w:t>
      </w:r>
      <w:r>
        <w:rPr>
          <w:spacing w:val="-15"/>
        </w:rPr>
        <w:t xml:space="preserve"> </w:t>
      </w:r>
      <w:r>
        <w:t>careful</w:t>
      </w:r>
      <w:r>
        <w:rPr>
          <w:spacing w:val="-14"/>
        </w:rPr>
        <w:t xml:space="preserve"> </w:t>
      </w:r>
      <w:r>
        <w:t>consideration</w:t>
      </w:r>
      <w:r>
        <w:rPr>
          <w:spacing w:val="-13"/>
        </w:rPr>
        <w:t xml:space="preserve"> </w:t>
      </w:r>
      <w:r>
        <w:rPr>
          <w:spacing w:val="-3"/>
        </w:rPr>
        <w:t>of</w:t>
      </w:r>
      <w:r>
        <w:rPr>
          <w:spacing w:val="-13"/>
        </w:rPr>
        <w:t xml:space="preserve"> </w:t>
      </w:r>
      <w:r>
        <w:t>the</w:t>
      </w:r>
      <w:r>
        <w:rPr>
          <w:spacing w:val="-14"/>
        </w:rPr>
        <w:t xml:space="preserve"> </w:t>
      </w:r>
      <w:r>
        <w:t>studies</w:t>
      </w:r>
      <w:r>
        <w:rPr>
          <w:spacing w:val="-17"/>
        </w:rPr>
        <w:t xml:space="preserve"> </w:t>
      </w:r>
      <w:r>
        <w:t>of</w:t>
      </w:r>
      <w:r>
        <w:rPr>
          <w:spacing w:val="-17"/>
        </w:rPr>
        <w:t xml:space="preserve"> </w:t>
      </w:r>
      <w:r>
        <w:t>event-based</w:t>
      </w:r>
      <w:r>
        <w:rPr>
          <w:spacing w:val="-14"/>
        </w:rPr>
        <w:t xml:space="preserve"> </w:t>
      </w:r>
      <w:r>
        <w:t>PM</w:t>
      </w:r>
      <w:r>
        <w:rPr>
          <w:spacing w:val="-16"/>
        </w:rPr>
        <w:t xml:space="preserve"> </w:t>
      </w:r>
      <w:r>
        <w:t>that</w:t>
      </w:r>
      <w:r>
        <w:rPr>
          <w:spacing w:val="-14"/>
        </w:rPr>
        <w:t xml:space="preserve"> </w:t>
      </w:r>
      <w:r>
        <w:t>were</w:t>
      </w:r>
      <w:r>
        <w:rPr>
          <w:spacing w:val="-19"/>
        </w:rPr>
        <w:t xml:space="preserve"> </w:t>
      </w:r>
      <w:r>
        <w:t>included</w:t>
      </w:r>
      <w:r>
        <w:rPr>
          <w:spacing w:val="-14"/>
        </w:rPr>
        <w:t xml:space="preserve"> </w:t>
      </w:r>
      <w:r>
        <w:t>in</w:t>
      </w:r>
      <w:r>
        <w:rPr>
          <w:spacing w:val="-13"/>
        </w:rPr>
        <w:t xml:space="preserve"> </w:t>
      </w:r>
      <w:r>
        <w:t>the</w:t>
      </w:r>
      <w:r>
        <w:rPr>
          <w:spacing w:val="-20"/>
        </w:rPr>
        <w:t xml:space="preserve"> </w:t>
      </w:r>
      <w:r>
        <w:t xml:space="preserve">meta- analysis suggest that the methodological </w:t>
      </w:r>
      <w:proofErr w:type="spellStart"/>
      <w:r>
        <w:t>rigour</w:t>
      </w:r>
      <w:proofErr w:type="spellEnd"/>
      <w:r>
        <w:t xml:space="preserve"> of several of the studies was not sufficiently high</w:t>
      </w:r>
      <w:r>
        <w:rPr>
          <w:spacing w:val="-10"/>
        </w:rPr>
        <w:t xml:space="preserve"> </w:t>
      </w:r>
      <w:r>
        <w:t>to</w:t>
      </w:r>
      <w:r>
        <w:rPr>
          <w:spacing w:val="-9"/>
        </w:rPr>
        <w:t xml:space="preserve"> </w:t>
      </w:r>
      <w:r>
        <w:t>draw</w:t>
      </w:r>
      <w:r>
        <w:rPr>
          <w:spacing w:val="-10"/>
        </w:rPr>
        <w:t xml:space="preserve"> </w:t>
      </w:r>
      <w:r>
        <w:t>strong</w:t>
      </w:r>
      <w:r>
        <w:rPr>
          <w:spacing w:val="-9"/>
        </w:rPr>
        <w:t xml:space="preserve"> </w:t>
      </w:r>
      <w:r>
        <w:t>conclusions</w:t>
      </w:r>
      <w:r>
        <w:rPr>
          <w:spacing w:val="-12"/>
        </w:rPr>
        <w:t xml:space="preserve"> </w:t>
      </w:r>
      <w:r>
        <w:t>from</w:t>
      </w:r>
      <w:r>
        <w:rPr>
          <w:spacing w:val="-13"/>
        </w:rPr>
        <w:t xml:space="preserve"> </w:t>
      </w:r>
      <w:r>
        <w:t>the</w:t>
      </w:r>
      <w:r>
        <w:rPr>
          <w:spacing w:val="-11"/>
        </w:rPr>
        <w:t xml:space="preserve"> </w:t>
      </w:r>
      <w:r>
        <w:t>meta-analytic</w:t>
      </w:r>
      <w:r>
        <w:rPr>
          <w:spacing w:val="-10"/>
        </w:rPr>
        <w:t xml:space="preserve"> </w:t>
      </w:r>
      <w:r>
        <w:t>data.</w:t>
      </w:r>
      <w:r>
        <w:rPr>
          <w:spacing w:val="45"/>
        </w:rPr>
        <w:t xml:space="preserve"> </w:t>
      </w:r>
      <w:r>
        <w:t>That</w:t>
      </w:r>
      <w:r>
        <w:rPr>
          <w:spacing w:val="-14"/>
        </w:rPr>
        <w:t xml:space="preserve"> </w:t>
      </w:r>
      <w:r>
        <w:t>is,</w:t>
      </w:r>
      <w:r>
        <w:rPr>
          <w:spacing w:val="-6"/>
        </w:rPr>
        <w:t xml:space="preserve"> </w:t>
      </w:r>
      <w:r>
        <w:t>although</w:t>
      </w:r>
      <w:r>
        <w:rPr>
          <w:spacing w:val="-10"/>
        </w:rPr>
        <w:t xml:space="preserve"> </w:t>
      </w:r>
      <w:r>
        <w:t>the</w:t>
      </w:r>
      <w:r>
        <w:rPr>
          <w:spacing w:val="-10"/>
        </w:rPr>
        <w:t xml:space="preserve"> </w:t>
      </w:r>
      <w:r>
        <w:rPr>
          <w:i/>
        </w:rPr>
        <w:t>results</w:t>
      </w:r>
      <w:r>
        <w:rPr>
          <w:i/>
          <w:spacing w:val="-12"/>
        </w:rPr>
        <w:t xml:space="preserve"> </w:t>
      </w:r>
      <w:r>
        <w:t xml:space="preserve">from </w:t>
      </w:r>
      <w:r>
        <w:rPr>
          <w:i/>
        </w:rPr>
        <w:t>across</w:t>
      </w:r>
      <w:r>
        <w:rPr>
          <w:i/>
          <w:spacing w:val="-8"/>
        </w:rPr>
        <w:t xml:space="preserve"> </w:t>
      </w:r>
      <w:r>
        <w:t>all</w:t>
      </w:r>
      <w:r>
        <w:rPr>
          <w:spacing w:val="-5"/>
        </w:rPr>
        <w:t xml:space="preserve"> </w:t>
      </w:r>
      <w:r>
        <w:t>studies</w:t>
      </w:r>
      <w:r>
        <w:rPr>
          <w:spacing w:val="-12"/>
        </w:rPr>
        <w:t xml:space="preserve"> </w:t>
      </w:r>
      <w:r>
        <w:t>of</w:t>
      </w:r>
      <w:r>
        <w:rPr>
          <w:spacing w:val="-8"/>
        </w:rPr>
        <w:t xml:space="preserve"> </w:t>
      </w:r>
      <w:r>
        <w:t>event-based</w:t>
      </w:r>
      <w:r>
        <w:rPr>
          <w:spacing w:val="-6"/>
        </w:rPr>
        <w:t xml:space="preserve"> </w:t>
      </w:r>
      <w:r>
        <w:t>PM</w:t>
      </w:r>
      <w:r>
        <w:rPr>
          <w:spacing w:val="-7"/>
        </w:rPr>
        <w:t xml:space="preserve"> </w:t>
      </w:r>
      <w:r>
        <w:t>in</w:t>
      </w:r>
      <w:r>
        <w:rPr>
          <w:spacing w:val="-11"/>
        </w:rPr>
        <w:t xml:space="preserve"> </w:t>
      </w:r>
      <w:r>
        <w:t>ASD</w:t>
      </w:r>
      <w:r>
        <w:rPr>
          <w:spacing w:val="-10"/>
        </w:rPr>
        <w:t xml:space="preserve"> </w:t>
      </w:r>
      <w:r>
        <w:t>suggest</w:t>
      </w:r>
      <w:r>
        <w:rPr>
          <w:spacing w:val="-5"/>
        </w:rPr>
        <w:t xml:space="preserve"> </w:t>
      </w:r>
      <w:r>
        <w:t>a</w:t>
      </w:r>
      <w:r>
        <w:rPr>
          <w:spacing w:val="-6"/>
        </w:rPr>
        <w:t xml:space="preserve"> </w:t>
      </w:r>
      <w:r>
        <w:t>subtle</w:t>
      </w:r>
      <w:r>
        <w:rPr>
          <w:spacing w:val="-12"/>
        </w:rPr>
        <w:t xml:space="preserve"> </w:t>
      </w:r>
      <w:r>
        <w:t>impairment</w:t>
      </w:r>
      <w:r>
        <w:rPr>
          <w:spacing w:val="-9"/>
        </w:rPr>
        <w:t xml:space="preserve"> </w:t>
      </w:r>
      <w:r>
        <w:t>in</w:t>
      </w:r>
      <w:r>
        <w:rPr>
          <w:spacing w:val="-10"/>
        </w:rPr>
        <w:t xml:space="preserve"> </w:t>
      </w:r>
      <w:r>
        <w:t>ASD,</w:t>
      </w:r>
      <w:r>
        <w:rPr>
          <w:spacing w:val="-8"/>
        </w:rPr>
        <w:t xml:space="preserve"> </w:t>
      </w:r>
      <w:r>
        <w:t>the</w:t>
      </w:r>
      <w:r>
        <w:rPr>
          <w:spacing w:val="-11"/>
        </w:rPr>
        <w:t xml:space="preserve"> </w:t>
      </w:r>
      <w:r>
        <w:t xml:space="preserve">methods that produced those results may not be valid and/or reliable enough to allow a firm conclusion from the results to be drawn. There are also </w:t>
      </w:r>
      <w:r>
        <w:rPr>
          <w:i/>
        </w:rPr>
        <w:t xml:space="preserve">a priori </w:t>
      </w:r>
      <w:r>
        <w:t xml:space="preserve">reasons to </w:t>
      </w:r>
      <w:proofErr w:type="spellStart"/>
      <w:r>
        <w:t>hypothesise</w:t>
      </w:r>
      <w:proofErr w:type="spellEnd"/>
      <w:r>
        <w:t xml:space="preserve"> that event-based PM should be unimpaired (despite i</w:t>
      </w:r>
      <w:r>
        <w:t xml:space="preserve">mpaired time-based PM) in ASD. The profile </w:t>
      </w:r>
      <w:r>
        <w:rPr>
          <w:spacing w:val="-3"/>
        </w:rPr>
        <w:t xml:space="preserve">of </w:t>
      </w:r>
      <w:r>
        <w:t xml:space="preserve">strengths and weaknesses in </w:t>
      </w:r>
      <w:r>
        <w:rPr>
          <w:i/>
        </w:rPr>
        <w:t xml:space="preserve">retrospective </w:t>
      </w:r>
      <w:r>
        <w:t xml:space="preserve">memory in ASD suggests that this ability is impaired only when tests of memory are </w:t>
      </w:r>
      <w:proofErr w:type="spellStart"/>
      <w:r>
        <w:t>uncued</w:t>
      </w:r>
      <w:proofErr w:type="spellEnd"/>
      <w:r>
        <w:t>/unstructured (see Boucher et al., 2012). For example, in tests</w:t>
      </w:r>
      <w:r>
        <w:rPr>
          <w:spacing w:val="-13"/>
        </w:rPr>
        <w:t xml:space="preserve"> </w:t>
      </w:r>
      <w:r>
        <w:t>of</w:t>
      </w:r>
      <w:r>
        <w:rPr>
          <w:spacing w:val="-9"/>
        </w:rPr>
        <w:t xml:space="preserve"> </w:t>
      </w:r>
      <w:r>
        <w:t>free</w:t>
      </w:r>
      <w:r>
        <w:rPr>
          <w:spacing w:val="-12"/>
        </w:rPr>
        <w:t xml:space="preserve"> </w:t>
      </w:r>
      <w:r>
        <w:t>recall,</w:t>
      </w:r>
      <w:r>
        <w:rPr>
          <w:spacing w:val="-8"/>
        </w:rPr>
        <w:t xml:space="preserve"> </w:t>
      </w:r>
      <w:r>
        <w:t>which</w:t>
      </w:r>
      <w:r>
        <w:rPr>
          <w:spacing w:val="-15"/>
        </w:rPr>
        <w:t xml:space="preserve"> </w:t>
      </w:r>
      <w:r>
        <w:t>require</w:t>
      </w:r>
      <w:r>
        <w:rPr>
          <w:spacing w:val="-12"/>
        </w:rPr>
        <w:t xml:space="preserve"> </w:t>
      </w:r>
      <w:r>
        <w:rPr>
          <w:i/>
        </w:rPr>
        <w:t>self-initiated</w:t>
      </w:r>
      <w:r>
        <w:rPr>
          <w:i/>
          <w:spacing w:val="-11"/>
        </w:rPr>
        <w:t xml:space="preserve"> </w:t>
      </w:r>
      <w:r>
        <w:t>retrieval</w:t>
      </w:r>
      <w:r>
        <w:rPr>
          <w:spacing w:val="-10"/>
        </w:rPr>
        <w:t xml:space="preserve"> </w:t>
      </w:r>
      <w:r>
        <w:t>of</w:t>
      </w:r>
      <w:r>
        <w:rPr>
          <w:spacing w:val="-9"/>
        </w:rPr>
        <w:t xml:space="preserve"> </w:t>
      </w:r>
      <w:r>
        <w:t>information</w:t>
      </w:r>
      <w:r>
        <w:rPr>
          <w:spacing w:val="-15"/>
        </w:rPr>
        <w:t xml:space="preserve"> </w:t>
      </w:r>
      <w:r>
        <w:t>from</w:t>
      </w:r>
      <w:r>
        <w:rPr>
          <w:spacing w:val="-14"/>
        </w:rPr>
        <w:t xml:space="preserve"> </w:t>
      </w:r>
      <w:r>
        <w:t>long-term</w:t>
      </w:r>
      <w:r>
        <w:rPr>
          <w:spacing w:val="-10"/>
        </w:rPr>
        <w:t xml:space="preserve"> </w:t>
      </w:r>
      <w:r>
        <w:t>memory</w:t>
      </w:r>
    </w:p>
    <w:p w14:paraId="6C7A64FB" w14:textId="77777777" w:rsidR="00C75312" w:rsidRDefault="00C75312">
      <w:pPr>
        <w:spacing w:line="480" w:lineRule="auto"/>
        <w:jc w:val="both"/>
        <w:sectPr w:rsidR="00C75312">
          <w:pgSz w:w="11900" w:h="16840"/>
          <w:pgMar w:top="1360" w:right="1320" w:bottom="280" w:left="1340" w:header="715" w:footer="0" w:gutter="0"/>
          <w:cols w:space="720"/>
        </w:sectPr>
      </w:pPr>
    </w:p>
    <w:p w14:paraId="2E80E938" w14:textId="77777777" w:rsidR="00C75312" w:rsidRDefault="00BB293A">
      <w:pPr>
        <w:pStyle w:val="BodyText"/>
        <w:spacing w:before="80" w:line="480" w:lineRule="auto"/>
        <w:ind w:left="100" w:right="108"/>
        <w:jc w:val="both"/>
      </w:pPr>
      <w:r>
        <w:lastRenderedPageBreak/>
        <w:t xml:space="preserve">(paralleling the demands of </w:t>
      </w:r>
      <w:r>
        <w:rPr>
          <w:i/>
        </w:rPr>
        <w:t>time</w:t>
      </w:r>
      <w:r>
        <w:t xml:space="preserve">-based PM), adults and children with ASD tend to show diminished performance. In contrast, in tests of cued recall or recognition (where a cue/the context for retrieval is provided, paralleling the demands of </w:t>
      </w:r>
      <w:r>
        <w:rPr>
          <w:i/>
        </w:rPr>
        <w:t>event</w:t>
      </w:r>
      <w:r>
        <w:t xml:space="preserve">-based PM), adults and children with ASD tend to show </w:t>
      </w:r>
      <w:r>
        <w:rPr>
          <w:i/>
        </w:rPr>
        <w:t>un</w:t>
      </w:r>
      <w:r>
        <w:t>diminished performance. These findings have led to suggestions that only unstructured/unsupported cognitive/memory tasks will be impaired in ASD</w:t>
      </w:r>
      <w:r>
        <w:rPr>
          <w:spacing w:val="-16"/>
        </w:rPr>
        <w:t xml:space="preserve"> </w:t>
      </w:r>
      <w:r>
        <w:t>(the</w:t>
      </w:r>
      <w:r>
        <w:rPr>
          <w:spacing w:val="-15"/>
        </w:rPr>
        <w:t xml:space="preserve"> </w:t>
      </w:r>
      <w:r>
        <w:t>“task</w:t>
      </w:r>
      <w:r>
        <w:rPr>
          <w:spacing w:val="-14"/>
        </w:rPr>
        <w:t xml:space="preserve"> </w:t>
      </w:r>
      <w:r>
        <w:t>support</w:t>
      </w:r>
      <w:r>
        <w:rPr>
          <w:spacing w:val="-14"/>
        </w:rPr>
        <w:t xml:space="preserve"> </w:t>
      </w:r>
      <w:r>
        <w:t>hypothesis”;</w:t>
      </w:r>
      <w:r>
        <w:rPr>
          <w:spacing w:val="-14"/>
        </w:rPr>
        <w:t xml:space="preserve"> </w:t>
      </w:r>
      <w:r>
        <w:t>e.g.,</w:t>
      </w:r>
      <w:r>
        <w:rPr>
          <w:spacing w:val="-13"/>
        </w:rPr>
        <w:t xml:space="preserve"> </w:t>
      </w:r>
      <w:r>
        <w:t>Bowler,</w:t>
      </w:r>
      <w:r>
        <w:rPr>
          <w:spacing w:val="-17"/>
        </w:rPr>
        <w:t xml:space="preserve"> </w:t>
      </w:r>
      <w:r>
        <w:t>Gardiner,</w:t>
      </w:r>
      <w:r>
        <w:rPr>
          <w:spacing w:val="-12"/>
        </w:rPr>
        <w:t xml:space="preserve"> </w:t>
      </w:r>
      <w:r>
        <w:t>&amp;</w:t>
      </w:r>
      <w:r>
        <w:rPr>
          <w:spacing w:val="-14"/>
        </w:rPr>
        <w:t xml:space="preserve"> </w:t>
      </w:r>
      <w:proofErr w:type="spellStart"/>
      <w:r>
        <w:t>Berthollier</w:t>
      </w:r>
      <w:proofErr w:type="spellEnd"/>
      <w:r>
        <w:t>,</w:t>
      </w:r>
      <w:r>
        <w:rPr>
          <w:spacing w:val="-12"/>
        </w:rPr>
        <w:t xml:space="preserve"> </w:t>
      </w:r>
      <w:r>
        <w:t>2004).</w:t>
      </w:r>
      <w:r>
        <w:rPr>
          <w:spacing w:val="33"/>
        </w:rPr>
        <w:t xml:space="preserve"> </w:t>
      </w:r>
      <w:r>
        <w:t>The</w:t>
      </w:r>
      <w:r>
        <w:rPr>
          <w:spacing w:val="-15"/>
        </w:rPr>
        <w:t xml:space="preserve"> </w:t>
      </w:r>
      <w:r>
        <w:t>analysis in Par</w:t>
      </w:r>
      <w:r>
        <w:t>t 2 of this chapter is in line with this</w:t>
      </w:r>
      <w:r>
        <w:rPr>
          <w:spacing w:val="-8"/>
        </w:rPr>
        <w:t xml:space="preserve"> </w:t>
      </w:r>
      <w:r>
        <w:t>hypothesis.</w:t>
      </w:r>
    </w:p>
    <w:p w14:paraId="227FE2E3" w14:textId="77777777" w:rsidR="00C75312" w:rsidRDefault="00BB293A">
      <w:pPr>
        <w:pStyle w:val="Heading1"/>
        <w:spacing w:before="120"/>
        <w:ind w:left="100"/>
      </w:pPr>
      <w:r>
        <w:t>Conclusion</w:t>
      </w:r>
    </w:p>
    <w:p w14:paraId="1F2FD444" w14:textId="77777777" w:rsidR="00C75312" w:rsidRDefault="00C75312">
      <w:pPr>
        <w:pStyle w:val="BodyText"/>
        <w:rPr>
          <w:b/>
        </w:rPr>
      </w:pPr>
    </w:p>
    <w:p w14:paraId="08EEF838" w14:textId="77777777" w:rsidR="00C75312" w:rsidRDefault="00BB293A">
      <w:pPr>
        <w:pStyle w:val="BodyText"/>
        <w:spacing w:line="480" w:lineRule="auto"/>
        <w:ind w:left="100" w:right="107" w:firstLine="720"/>
        <w:jc w:val="both"/>
      </w:pPr>
      <w:r>
        <w:t xml:space="preserve">PM impairments can seriously impact an individual’s everyday life and independent functioning. The above review of the existing literature indicates that time-based PM </w:t>
      </w:r>
      <w:r>
        <w:rPr>
          <w:spacing w:val="2"/>
        </w:rPr>
        <w:t xml:space="preserve">is </w:t>
      </w:r>
      <w:r>
        <w:t>challenging for individuals with ASD, which is consistent with self-reports (Williams et al., 2014). In contrast, the literature review indicates that evidence for an event-based PM impairment in ASD is mixed, at best. Methodological limitations with several of the existing studies of event-based PM prevent firm conclusions about the extent to which this ability is impaired in ASD. Thus, well-controlled studies need to investigate event-based PM systematically, taking into consideration the methodologica</w:t>
      </w:r>
      <w:r>
        <w:t>l guidelines outlined above. The empirical</w:t>
      </w:r>
      <w:r>
        <w:rPr>
          <w:spacing w:val="-14"/>
        </w:rPr>
        <w:t xml:space="preserve"> </w:t>
      </w:r>
      <w:r>
        <w:t>studies</w:t>
      </w:r>
      <w:r>
        <w:rPr>
          <w:spacing w:val="-17"/>
        </w:rPr>
        <w:t xml:space="preserve"> </w:t>
      </w:r>
      <w:r>
        <w:t>carried</w:t>
      </w:r>
      <w:r>
        <w:rPr>
          <w:spacing w:val="-14"/>
        </w:rPr>
        <w:t xml:space="preserve"> </w:t>
      </w:r>
      <w:r>
        <w:t>out</w:t>
      </w:r>
      <w:r>
        <w:rPr>
          <w:spacing w:val="-13"/>
        </w:rPr>
        <w:t xml:space="preserve"> </w:t>
      </w:r>
      <w:r>
        <w:t>in</w:t>
      </w:r>
      <w:r>
        <w:rPr>
          <w:spacing w:val="-14"/>
        </w:rPr>
        <w:t xml:space="preserve"> </w:t>
      </w:r>
      <w:r>
        <w:t>this</w:t>
      </w:r>
      <w:r>
        <w:rPr>
          <w:spacing w:val="-17"/>
        </w:rPr>
        <w:t xml:space="preserve"> </w:t>
      </w:r>
      <w:r>
        <w:t>thesis</w:t>
      </w:r>
      <w:r>
        <w:rPr>
          <w:spacing w:val="-16"/>
        </w:rPr>
        <w:t xml:space="preserve"> </w:t>
      </w:r>
      <w:r>
        <w:t>explore</w:t>
      </w:r>
      <w:r>
        <w:rPr>
          <w:spacing w:val="-15"/>
        </w:rPr>
        <w:t xml:space="preserve"> </w:t>
      </w:r>
      <w:r>
        <w:t>both</w:t>
      </w:r>
      <w:r>
        <w:rPr>
          <w:spacing w:val="-14"/>
        </w:rPr>
        <w:t xml:space="preserve"> </w:t>
      </w:r>
      <w:r>
        <w:t>time-</w:t>
      </w:r>
      <w:r>
        <w:rPr>
          <w:spacing w:val="-17"/>
        </w:rPr>
        <w:t xml:space="preserve"> </w:t>
      </w:r>
      <w:r>
        <w:t>and</w:t>
      </w:r>
      <w:r>
        <w:rPr>
          <w:spacing w:val="-14"/>
        </w:rPr>
        <w:t xml:space="preserve"> </w:t>
      </w:r>
      <w:r>
        <w:t>event-based</w:t>
      </w:r>
      <w:r>
        <w:rPr>
          <w:spacing w:val="-14"/>
        </w:rPr>
        <w:t xml:space="preserve"> </w:t>
      </w:r>
      <w:r>
        <w:t>PM</w:t>
      </w:r>
      <w:r>
        <w:rPr>
          <w:spacing w:val="-17"/>
        </w:rPr>
        <w:t xml:space="preserve"> </w:t>
      </w:r>
      <w:r>
        <w:t>in</w:t>
      </w:r>
      <w:r>
        <w:rPr>
          <w:spacing w:val="-13"/>
        </w:rPr>
        <w:t xml:space="preserve"> </w:t>
      </w:r>
      <w:r>
        <w:t>individuals with ASD and typically developing individuals, in an attempt to clarify the nature and mechanisms of PM abilities and how specific PM impairments could be addressed. As such, this</w:t>
      </w:r>
      <w:r>
        <w:rPr>
          <w:spacing w:val="-18"/>
        </w:rPr>
        <w:t xml:space="preserve"> </w:t>
      </w:r>
      <w:r>
        <w:t>thesis</w:t>
      </w:r>
      <w:r>
        <w:rPr>
          <w:spacing w:val="-18"/>
        </w:rPr>
        <w:t xml:space="preserve"> </w:t>
      </w:r>
      <w:r>
        <w:t>contributes</w:t>
      </w:r>
      <w:r>
        <w:rPr>
          <w:spacing w:val="-18"/>
        </w:rPr>
        <w:t xml:space="preserve"> </w:t>
      </w:r>
      <w:r>
        <w:t>to</w:t>
      </w:r>
      <w:r>
        <w:rPr>
          <w:spacing w:val="-15"/>
        </w:rPr>
        <w:t xml:space="preserve"> </w:t>
      </w:r>
      <w:r>
        <w:t>the</w:t>
      </w:r>
      <w:r>
        <w:rPr>
          <w:spacing w:val="-16"/>
        </w:rPr>
        <w:t xml:space="preserve"> </w:t>
      </w:r>
      <w:r>
        <w:t>existing</w:t>
      </w:r>
      <w:r>
        <w:rPr>
          <w:spacing w:val="-15"/>
        </w:rPr>
        <w:t xml:space="preserve"> </w:t>
      </w:r>
      <w:r>
        <w:t>literature</w:t>
      </w:r>
      <w:r>
        <w:rPr>
          <w:spacing w:val="-16"/>
        </w:rPr>
        <w:t xml:space="preserve"> </w:t>
      </w:r>
      <w:r>
        <w:t>by</w:t>
      </w:r>
      <w:r>
        <w:rPr>
          <w:spacing w:val="-15"/>
        </w:rPr>
        <w:t xml:space="preserve"> </w:t>
      </w:r>
      <w:r>
        <w:t>incorporating</w:t>
      </w:r>
      <w:r>
        <w:rPr>
          <w:spacing w:val="-15"/>
        </w:rPr>
        <w:t xml:space="preserve"> </w:t>
      </w:r>
      <w:r>
        <w:t>different</w:t>
      </w:r>
      <w:r>
        <w:rPr>
          <w:spacing w:val="-14"/>
        </w:rPr>
        <w:t xml:space="preserve"> </w:t>
      </w:r>
      <w:r>
        <w:t>theoretical</w:t>
      </w:r>
      <w:r>
        <w:rPr>
          <w:spacing w:val="-15"/>
        </w:rPr>
        <w:t xml:space="preserve"> </w:t>
      </w:r>
      <w:r>
        <w:t>approaches and employing novel methods to explore different aspects of PM in</w:t>
      </w:r>
      <w:r>
        <w:rPr>
          <w:spacing w:val="3"/>
        </w:rPr>
        <w:t xml:space="preserve"> </w:t>
      </w:r>
      <w:r>
        <w:t>ASD.</w:t>
      </w:r>
    </w:p>
    <w:p w14:paraId="52B522B5" w14:textId="77777777" w:rsidR="00C75312" w:rsidRDefault="00C75312">
      <w:pPr>
        <w:spacing w:line="480" w:lineRule="auto"/>
        <w:jc w:val="both"/>
        <w:sectPr w:rsidR="00C75312">
          <w:pgSz w:w="11900" w:h="16840"/>
          <w:pgMar w:top="1360" w:right="1320" w:bottom="280" w:left="1340" w:header="715" w:footer="0" w:gutter="0"/>
          <w:cols w:space="720"/>
        </w:sectPr>
      </w:pPr>
    </w:p>
    <w:p w14:paraId="0A015399" w14:textId="77777777" w:rsidR="00C75312" w:rsidRDefault="00BB293A">
      <w:pPr>
        <w:tabs>
          <w:tab w:val="right" w:pos="14103"/>
        </w:tabs>
        <w:spacing w:before="71"/>
        <w:ind w:left="140"/>
      </w:pPr>
      <w:r>
        <w:lastRenderedPageBreak/>
        <w:pict w14:anchorId="3C9E1D62">
          <v:shape id="_x0000_s2782" style="position:absolute;left:0;text-align:left;margin-left:70.55pt;margin-top:18.6pt;width:700.8pt;height:.1pt;z-index:-251630592;mso-wrap-distance-left:0;mso-wrap-distance-right:0;mso-position-horizontal-relative:page" coordorigin="1411,372" coordsize="14016,0" path="m1411,372r14016,e" filled="f" strokecolor="#bfbfbf" strokeweight="1.44pt">
            <v:path arrowok="t"/>
            <w10:wrap type="topAndBottom" anchorx="page"/>
          </v:shape>
        </w:pict>
      </w:r>
      <w:r>
        <w:rPr>
          <w:color w:val="BFBFBF"/>
        </w:rPr>
        <w:t>Chapter 1: Introduction to PM</w:t>
      </w:r>
      <w:r>
        <w:rPr>
          <w:color w:val="BFBFBF"/>
          <w:spacing w:val="-4"/>
        </w:rPr>
        <w:t xml:space="preserve"> </w:t>
      </w:r>
      <w:r>
        <w:rPr>
          <w:color w:val="BFBFBF"/>
        </w:rPr>
        <w:t>in</w:t>
      </w:r>
      <w:r>
        <w:rPr>
          <w:color w:val="BFBFBF"/>
          <w:spacing w:val="2"/>
        </w:rPr>
        <w:t xml:space="preserve"> </w:t>
      </w:r>
      <w:r>
        <w:rPr>
          <w:color w:val="BFBFBF"/>
        </w:rPr>
        <w:t>ASD</w:t>
      </w:r>
      <w:r>
        <w:rPr>
          <w:color w:val="BFBFBF"/>
        </w:rPr>
        <w:tab/>
        <w:t>44</w:t>
      </w:r>
    </w:p>
    <w:p w14:paraId="6FF0BFE3" w14:textId="77777777" w:rsidR="00C75312" w:rsidRDefault="00C75312">
      <w:pPr>
        <w:pStyle w:val="BodyText"/>
        <w:rPr>
          <w:sz w:val="22"/>
        </w:rPr>
      </w:pPr>
    </w:p>
    <w:p w14:paraId="01FE6739" w14:textId="77777777" w:rsidR="00C75312" w:rsidRDefault="00BB293A">
      <w:pPr>
        <w:spacing w:before="130"/>
        <w:ind w:left="140"/>
        <w:rPr>
          <w:i/>
          <w:sz w:val="20"/>
        </w:rPr>
      </w:pPr>
      <w:r>
        <w:pict w14:anchorId="18DA1331">
          <v:shape id="_x0000_s2781" type="#_x0000_t202" style="position:absolute;left:0;text-align:left;margin-left:71.3pt;margin-top:28.3pt;width:709.7pt;height:306.75pt;z-index:25168691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63"/>
                    <w:gridCol w:w="1507"/>
                    <w:gridCol w:w="971"/>
                    <w:gridCol w:w="997"/>
                    <w:gridCol w:w="1075"/>
                    <w:gridCol w:w="1120"/>
                    <w:gridCol w:w="1150"/>
                    <w:gridCol w:w="1116"/>
                    <w:gridCol w:w="1030"/>
                    <w:gridCol w:w="1589"/>
                    <w:gridCol w:w="886"/>
                    <w:gridCol w:w="1087"/>
                    <w:gridCol w:w="909"/>
                  </w:tblGrid>
                  <w:tr w:rsidR="00C75312" w14:paraId="55CD082B" w14:textId="77777777">
                    <w:trPr>
                      <w:trHeight w:val="959"/>
                    </w:trPr>
                    <w:tc>
                      <w:tcPr>
                        <w:tcW w:w="763" w:type="dxa"/>
                        <w:tcBorders>
                          <w:top w:val="single" w:sz="4" w:space="0" w:color="000000"/>
                          <w:bottom w:val="single" w:sz="4" w:space="0" w:color="000000"/>
                        </w:tcBorders>
                      </w:tcPr>
                      <w:p w14:paraId="20431AD6" w14:textId="77777777" w:rsidR="00C75312" w:rsidRDefault="00C75312">
                        <w:pPr>
                          <w:pStyle w:val="TableParagraph"/>
                          <w:rPr>
                            <w:sz w:val="18"/>
                          </w:rPr>
                        </w:pPr>
                      </w:p>
                    </w:tc>
                    <w:tc>
                      <w:tcPr>
                        <w:tcW w:w="1507" w:type="dxa"/>
                        <w:tcBorders>
                          <w:top w:val="single" w:sz="4" w:space="0" w:color="000000"/>
                          <w:bottom w:val="single" w:sz="4" w:space="0" w:color="000000"/>
                        </w:tcBorders>
                      </w:tcPr>
                      <w:p w14:paraId="49694CF2" w14:textId="77777777" w:rsidR="00C75312" w:rsidRDefault="00BB293A">
                        <w:pPr>
                          <w:pStyle w:val="TableParagraph"/>
                          <w:ind w:left="725" w:right="195"/>
                          <w:rPr>
                            <w:b/>
                            <w:sz w:val="20"/>
                          </w:rPr>
                        </w:pPr>
                        <w:r>
                          <w:rPr>
                            <w:b/>
                            <w:sz w:val="20"/>
                          </w:rPr>
                          <w:t>clock checks</w:t>
                        </w:r>
                      </w:p>
                    </w:tc>
                    <w:tc>
                      <w:tcPr>
                        <w:tcW w:w="971" w:type="dxa"/>
                        <w:tcBorders>
                          <w:top w:val="single" w:sz="4" w:space="0" w:color="000000"/>
                          <w:bottom w:val="single" w:sz="4" w:space="0" w:color="000000"/>
                        </w:tcBorders>
                      </w:tcPr>
                      <w:p w14:paraId="67B9CB82" w14:textId="77777777" w:rsidR="00C75312" w:rsidRDefault="00BB293A">
                        <w:pPr>
                          <w:pStyle w:val="TableParagraph"/>
                          <w:ind w:left="125"/>
                          <w:rPr>
                            <w:b/>
                            <w:sz w:val="20"/>
                          </w:rPr>
                        </w:pPr>
                        <w:r>
                          <w:rPr>
                            <w:b/>
                            <w:sz w:val="20"/>
                          </w:rPr>
                          <w:t>DEX</w:t>
                        </w:r>
                      </w:p>
                    </w:tc>
                    <w:tc>
                      <w:tcPr>
                        <w:tcW w:w="997" w:type="dxa"/>
                        <w:tcBorders>
                          <w:top w:val="single" w:sz="4" w:space="0" w:color="000000"/>
                          <w:bottom w:val="single" w:sz="4" w:space="0" w:color="000000"/>
                        </w:tcBorders>
                      </w:tcPr>
                      <w:p w14:paraId="5DC13422" w14:textId="77777777" w:rsidR="00C75312" w:rsidRDefault="00BB293A">
                        <w:pPr>
                          <w:pStyle w:val="TableParagraph"/>
                          <w:spacing w:before="2" w:line="237" w:lineRule="auto"/>
                          <w:ind w:left="119" w:right="91"/>
                          <w:rPr>
                            <w:b/>
                            <w:sz w:val="20"/>
                          </w:rPr>
                        </w:pPr>
                        <w:r>
                          <w:rPr>
                            <w:b/>
                            <w:sz w:val="20"/>
                          </w:rPr>
                          <w:t>General cognitive ability</w:t>
                        </w:r>
                      </w:p>
                    </w:tc>
                    <w:tc>
                      <w:tcPr>
                        <w:tcW w:w="1075" w:type="dxa"/>
                        <w:tcBorders>
                          <w:top w:val="single" w:sz="4" w:space="0" w:color="000000"/>
                          <w:bottom w:val="single" w:sz="4" w:space="0" w:color="000000"/>
                        </w:tcBorders>
                      </w:tcPr>
                      <w:p w14:paraId="57F9EA7F" w14:textId="77777777" w:rsidR="00C75312" w:rsidRDefault="00BB293A">
                        <w:pPr>
                          <w:pStyle w:val="TableParagraph"/>
                          <w:ind w:left="106"/>
                          <w:rPr>
                            <w:b/>
                            <w:sz w:val="20"/>
                          </w:rPr>
                        </w:pPr>
                        <w:r>
                          <w:rPr>
                            <w:b/>
                            <w:sz w:val="20"/>
                          </w:rPr>
                          <w:t>Inhibition</w:t>
                        </w:r>
                      </w:p>
                    </w:tc>
                    <w:tc>
                      <w:tcPr>
                        <w:tcW w:w="1120" w:type="dxa"/>
                        <w:tcBorders>
                          <w:top w:val="single" w:sz="4" w:space="0" w:color="000000"/>
                          <w:bottom w:val="single" w:sz="4" w:space="0" w:color="000000"/>
                        </w:tcBorders>
                      </w:tcPr>
                      <w:p w14:paraId="29A5E46D" w14:textId="77777777" w:rsidR="00C75312" w:rsidRDefault="00BB293A">
                        <w:pPr>
                          <w:pStyle w:val="TableParagraph"/>
                          <w:spacing w:before="2" w:line="237" w:lineRule="auto"/>
                          <w:ind w:left="106" w:right="93"/>
                          <w:rPr>
                            <w:b/>
                            <w:sz w:val="20"/>
                          </w:rPr>
                        </w:pPr>
                        <w:r>
                          <w:rPr>
                            <w:b/>
                            <w:sz w:val="20"/>
                          </w:rPr>
                          <w:t>Switching/ cognitive flexibility</w:t>
                        </w:r>
                      </w:p>
                    </w:tc>
                    <w:tc>
                      <w:tcPr>
                        <w:tcW w:w="1150" w:type="dxa"/>
                        <w:tcBorders>
                          <w:top w:val="single" w:sz="4" w:space="0" w:color="000000"/>
                          <w:bottom w:val="single" w:sz="4" w:space="0" w:color="000000"/>
                        </w:tcBorders>
                      </w:tcPr>
                      <w:p w14:paraId="5C38FEB7" w14:textId="77777777" w:rsidR="00C75312" w:rsidRDefault="00BB293A">
                        <w:pPr>
                          <w:pStyle w:val="TableParagraph"/>
                          <w:ind w:left="104" w:right="187"/>
                          <w:rPr>
                            <w:b/>
                            <w:sz w:val="20"/>
                          </w:rPr>
                        </w:pPr>
                        <w:r>
                          <w:rPr>
                            <w:b/>
                            <w:sz w:val="20"/>
                          </w:rPr>
                          <w:t>Theory of mind</w:t>
                        </w:r>
                      </w:p>
                    </w:tc>
                    <w:tc>
                      <w:tcPr>
                        <w:tcW w:w="1116" w:type="dxa"/>
                        <w:tcBorders>
                          <w:top w:val="single" w:sz="4" w:space="0" w:color="000000"/>
                          <w:bottom w:val="single" w:sz="4" w:space="0" w:color="000000"/>
                        </w:tcBorders>
                      </w:tcPr>
                      <w:p w14:paraId="11909983" w14:textId="77777777" w:rsidR="00C75312" w:rsidRDefault="00BB293A">
                        <w:pPr>
                          <w:pStyle w:val="TableParagraph"/>
                          <w:spacing w:before="2" w:line="237" w:lineRule="auto"/>
                          <w:ind w:left="101" w:right="95"/>
                          <w:rPr>
                            <w:b/>
                            <w:sz w:val="20"/>
                          </w:rPr>
                        </w:pPr>
                        <w:r>
                          <w:rPr>
                            <w:b/>
                            <w:sz w:val="20"/>
                          </w:rPr>
                          <w:t>Verbal processing efficiency</w:t>
                        </w:r>
                      </w:p>
                    </w:tc>
                    <w:tc>
                      <w:tcPr>
                        <w:tcW w:w="1030" w:type="dxa"/>
                        <w:tcBorders>
                          <w:top w:val="single" w:sz="4" w:space="0" w:color="000000"/>
                          <w:bottom w:val="single" w:sz="4" w:space="0" w:color="000000"/>
                        </w:tcBorders>
                      </w:tcPr>
                      <w:p w14:paraId="735DE0B2" w14:textId="77777777" w:rsidR="00C75312" w:rsidRDefault="00BB293A">
                        <w:pPr>
                          <w:pStyle w:val="TableParagraph"/>
                          <w:spacing w:before="2" w:line="237" w:lineRule="auto"/>
                          <w:ind w:left="104" w:right="94"/>
                          <w:rPr>
                            <w:b/>
                            <w:sz w:val="20"/>
                          </w:rPr>
                        </w:pPr>
                        <w:r>
                          <w:rPr>
                            <w:b/>
                            <w:sz w:val="20"/>
                          </w:rPr>
                          <w:t>Verbal fluency/ semantic switching</w:t>
                        </w:r>
                      </w:p>
                    </w:tc>
                    <w:tc>
                      <w:tcPr>
                        <w:tcW w:w="1589" w:type="dxa"/>
                        <w:tcBorders>
                          <w:top w:val="single" w:sz="4" w:space="0" w:color="000000"/>
                          <w:bottom w:val="single" w:sz="4" w:space="0" w:color="000000"/>
                          <w:right w:val="dotted" w:sz="4" w:space="0" w:color="A6A6A6"/>
                        </w:tcBorders>
                      </w:tcPr>
                      <w:p w14:paraId="73821003" w14:textId="77777777" w:rsidR="00C75312" w:rsidRDefault="00BB293A">
                        <w:pPr>
                          <w:pStyle w:val="TableParagraph"/>
                          <w:ind w:left="101" w:right="696"/>
                          <w:rPr>
                            <w:b/>
                            <w:sz w:val="20"/>
                          </w:rPr>
                        </w:pPr>
                        <w:r>
                          <w:rPr>
                            <w:b/>
                            <w:sz w:val="20"/>
                          </w:rPr>
                          <w:t>Working memory</w:t>
                        </w:r>
                      </w:p>
                    </w:tc>
                    <w:tc>
                      <w:tcPr>
                        <w:tcW w:w="886" w:type="dxa"/>
                        <w:tcBorders>
                          <w:top w:val="single" w:sz="4" w:space="0" w:color="000000"/>
                          <w:left w:val="dotted" w:sz="4" w:space="0" w:color="A6A6A6"/>
                          <w:bottom w:val="single" w:sz="4" w:space="0" w:color="000000"/>
                        </w:tcBorders>
                      </w:tcPr>
                      <w:p w14:paraId="5FAD2CF6" w14:textId="77777777" w:rsidR="00C75312" w:rsidRDefault="00BB293A">
                        <w:pPr>
                          <w:pStyle w:val="TableParagraph"/>
                          <w:ind w:left="15" w:right="168"/>
                          <w:jc w:val="center"/>
                          <w:rPr>
                            <w:b/>
                            <w:sz w:val="20"/>
                          </w:rPr>
                        </w:pPr>
                        <w:r>
                          <w:rPr>
                            <w:b/>
                            <w:sz w:val="20"/>
                          </w:rPr>
                          <w:t>ABAS</w:t>
                        </w:r>
                      </w:p>
                    </w:tc>
                    <w:tc>
                      <w:tcPr>
                        <w:tcW w:w="1087" w:type="dxa"/>
                        <w:tcBorders>
                          <w:top w:val="single" w:sz="4" w:space="0" w:color="000000"/>
                          <w:bottom w:val="single" w:sz="4" w:space="0" w:color="000000"/>
                        </w:tcBorders>
                      </w:tcPr>
                      <w:p w14:paraId="11A2CC89" w14:textId="77777777" w:rsidR="00C75312" w:rsidRDefault="00BB293A">
                        <w:pPr>
                          <w:pStyle w:val="TableParagraph"/>
                          <w:ind w:left="117" w:right="283"/>
                          <w:rPr>
                            <w:b/>
                            <w:sz w:val="20"/>
                          </w:rPr>
                        </w:pPr>
                        <w:r>
                          <w:rPr>
                            <w:b/>
                            <w:sz w:val="20"/>
                          </w:rPr>
                          <w:t>Autism severity</w:t>
                        </w:r>
                      </w:p>
                    </w:tc>
                    <w:tc>
                      <w:tcPr>
                        <w:tcW w:w="909" w:type="dxa"/>
                        <w:tcBorders>
                          <w:top w:val="single" w:sz="4" w:space="0" w:color="000000"/>
                          <w:bottom w:val="single" w:sz="4" w:space="0" w:color="000000"/>
                        </w:tcBorders>
                      </w:tcPr>
                      <w:p w14:paraId="2D8D5E37" w14:textId="77777777" w:rsidR="00C75312" w:rsidRDefault="00BB293A">
                        <w:pPr>
                          <w:pStyle w:val="TableParagraph"/>
                          <w:spacing w:before="4" w:line="235" w:lineRule="auto"/>
                          <w:ind w:left="105" w:right="188"/>
                          <w:rPr>
                            <w:b/>
                            <w:sz w:val="20"/>
                          </w:rPr>
                        </w:pPr>
                        <w:r>
                          <w:rPr>
                            <w:b/>
                            <w:spacing w:val="-1"/>
                            <w:sz w:val="20"/>
                          </w:rPr>
                          <w:t xml:space="preserve">PRMQ </w:t>
                        </w:r>
                        <w:r>
                          <w:rPr>
                            <w:b/>
                            <w:sz w:val="20"/>
                          </w:rPr>
                          <w:t>PM-</w:t>
                        </w:r>
                      </w:p>
                      <w:p w14:paraId="23643189" w14:textId="77777777" w:rsidR="00C75312" w:rsidRDefault="00BB293A">
                        <w:pPr>
                          <w:pStyle w:val="TableParagraph"/>
                          <w:spacing w:before="1"/>
                          <w:ind w:left="105"/>
                          <w:rPr>
                            <w:b/>
                            <w:sz w:val="20"/>
                          </w:rPr>
                        </w:pPr>
                        <w:r>
                          <w:rPr>
                            <w:b/>
                            <w:sz w:val="20"/>
                          </w:rPr>
                          <w:t>scale</w:t>
                        </w:r>
                      </w:p>
                    </w:tc>
                  </w:tr>
                  <w:tr w:rsidR="00C75312" w14:paraId="7EEA425F" w14:textId="77777777">
                    <w:trPr>
                      <w:trHeight w:val="234"/>
                    </w:trPr>
                    <w:tc>
                      <w:tcPr>
                        <w:tcW w:w="763" w:type="dxa"/>
                        <w:tcBorders>
                          <w:top w:val="single" w:sz="4" w:space="0" w:color="000000"/>
                        </w:tcBorders>
                      </w:tcPr>
                      <w:p w14:paraId="35BF4AB0" w14:textId="77777777" w:rsidR="00C75312" w:rsidRDefault="00BB293A">
                        <w:pPr>
                          <w:pStyle w:val="TableParagraph"/>
                          <w:spacing w:line="214" w:lineRule="exact"/>
                          <w:ind w:left="120"/>
                          <w:rPr>
                            <w:sz w:val="20"/>
                          </w:rPr>
                        </w:pPr>
                        <w:r>
                          <w:rPr>
                            <w:sz w:val="20"/>
                          </w:rPr>
                          <w:t>Time-</w:t>
                        </w:r>
                      </w:p>
                    </w:tc>
                    <w:tc>
                      <w:tcPr>
                        <w:tcW w:w="1507" w:type="dxa"/>
                        <w:tcBorders>
                          <w:top w:val="single" w:sz="4" w:space="0" w:color="000000"/>
                        </w:tcBorders>
                      </w:tcPr>
                      <w:p w14:paraId="06A11F74" w14:textId="77777777" w:rsidR="00C75312" w:rsidRDefault="00BB293A">
                        <w:pPr>
                          <w:pStyle w:val="TableParagraph"/>
                          <w:tabs>
                            <w:tab w:val="left" w:pos="614"/>
                          </w:tabs>
                          <w:spacing w:line="214" w:lineRule="exact"/>
                          <w:ind w:right="122"/>
                          <w:jc w:val="right"/>
                          <w:rPr>
                            <w:sz w:val="13"/>
                          </w:rPr>
                        </w:pPr>
                        <w:r>
                          <w:rPr>
                            <w:sz w:val="20"/>
                          </w:rPr>
                          <w:t>ASD</w:t>
                        </w:r>
                        <w:r>
                          <w:rPr>
                            <w:sz w:val="20"/>
                          </w:rPr>
                          <w:tab/>
                          <w:t>r =</w:t>
                        </w:r>
                        <w:r>
                          <w:rPr>
                            <w:spacing w:val="-5"/>
                            <w:sz w:val="20"/>
                          </w:rPr>
                          <w:t xml:space="preserve"> </w:t>
                        </w:r>
                        <w:r>
                          <w:rPr>
                            <w:sz w:val="20"/>
                          </w:rPr>
                          <w:t>.73</w:t>
                        </w:r>
                        <w:r>
                          <w:rPr>
                            <w:position w:val="7"/>
                            <w:sz w:val="13"/>
                          </w:rPr>
                          <w:t>*1</w:t>
                        </w:r>
                      </w:p>
                    </w:tc>
                    <w:tc>
                      <w:tcPr>
                        <w:tcW w:w="971" w:type="dxa"/>
                        <w:tcBorders>
                          <w:top w:val="single" w:sz="4" w:space="0" w:color="000000"/>
                        </w:tcBorders>
                      </w:tcPr>
                      <w:p w14:paraId="6E404CA0" w14:textId="77777777" w:rsidR="00C75312" w:rsidRDefault="00C75312">
                        <w:pPr>
                          <w:pStyle w:val="TableParagraph"/>
                          <w:rPr>
                            <w:sz w:val="16"/>
                          </w:rPr>
                        </w:pPr>
                      </w:p>
                    </w:tc>
                    <w:tc>
                      <w:tcPr>
                        <w:tcW w:w="997" w:type="dxa"/>
                        <w:tcBorders>
                          <w:top w:val="single" w:sz="4" w:space="0" w:color="000000"/>
                        </w:tcBorders>
                      </w:tcPr>
                      <w:p w14:paraId="33C88BC3" w14:textId="77777777" w:rsidR="00C75312" w:rsidRDefault="00BB293A">
                        <w:pPr>
                          <w:pStyle w:val="TableParagraph"/>
                          <w:spacing w:line="214" w:lineRule="exact"/>
                          <w:ind w:left="119"/>
                          <w:rPr>
                            <w:sz w:val="20"/>
                          </w:rPr>
                        </w:pPr>
                        <w:r>
                          <w:rPr>
                            <w:sz w:val="20"/>
                          </w:rPr>
                          <w:t>FSIQ</w:t>
                        </w:r>
                      </w:p>
                    </w:tc>
                    <w:tc>
                      <w:tcPr>
                        <w:tcW w:w="1075" w:type="dxa"/>
                        <w:tcBorders>
                          <w:top w:val="single" w:sz="4" w:space="0" w:color="000000"/>
                        </w:tcBorders>
                      </w:tcPr>
                      <w:p w14:paraId="2FA69893" w14:textId="77777777" w:rsidR="00C75312" w:rsidRDefault="00BB293A">
                        <w:pPr>
                          <w:pStyle w:val="TableParagraph"/>
                          <w:spacing w:line="214" w:lineRule="exact"/>
                          <w:ind w:left="106"/>
                          <w:rPr>
                            <w:sz w:val="20"/>
                          </w:rPr>
                        </w:pPr>
                        <w:r>
                          <w:rPr>
                            <w:sz w:val="20"/>
                          </w:rPr>
                          <w:t>Stroop</w:t>
                        </w:r>
                      </w:p>
                    </w:tc>
                    <w:tc>
                      <w:tcPr>
                        <w:tcW w:w="1120" w:type="dxa"/>
                        <w:tcBorders>
                          <w:top w:val="single" w:sz="4" w:space="0" w:color="000000"/>
                        </w:tcBorders>
                      </w:tcPr>
                      <w:p w14:paraId="253805FD" w14:textId="77777777" w:rsidR="00C75312" w:rsidRDefault="00C75312">
                        <w:pPr>
                          <w:pStyle w:val="TableParagraph"/>
                          <w:rPr>
                            <w:sz w:val="16"/>
                          </w:rPr>
                        </w:pPr>
                      </w:p>
                    </w:tc>
                    <w:tc>
                      <w:tcPr>
                        <w:tcW w:w="1150" w:type="dxa"/>
                        <w:tcBorders>
                          <w:top w:val="single" w:sz="4" w:space="0" w:color="000000"/>
                        </w:tcBorders>
                      </w:tcPr>
                      <w:p w14:paraId="714A726E" w14:textId="77777777" w:rsidR="00C75312" w:rsidRDefault="00BB293A">
                        <w:pPr>
                          <w:pStyle w:val="TableParagraph"/>
                          <w:spacing w:line="214" w:lineRule="exact"/>
                          <w:ind w:left="104"/>
                          <w:rPr>
                            <w:sz w:val="20"/>
                          </w:rPr>
                        </w:pPr>
                        <w:r>
                          <w:rPr>
                            <w:sz w:val="20"/>
                          </w:rPr>
                          <w:t>Animations</w:t>
                        </w:r>
                      </w:p>
                    </w:tc>
                    <w:tc>
                      <w:tcPr>
                        <w:tcW w:w="1116" w:type="dxa"/>
                        <w:tcBorders>
                          <w:top w:val="single" w:sz="4" w:space="0" w:color="000000"/>
                        </w:tcBorders>
                      </w:tcPr>
                      <w:p w14:paraId="5014D6A7" w14:textId="77777777" w:rsidR="00C75312" w:rsidRDefault="00BB293A">
                        <w:pPr>
                          <w:pStyle w:val="TableParagraph"/>
                          <w:spacing w:line="214" w:lineRule="exact"/>
                          <w:ind w:left="101"/>
                          <w:rPr>
                            <w:sz w:val="13"/>
                          </w:rPr>
                        </w:pPr>
                        <w:r>
                          <w:rPr>
                            <w:sz w:val="20"/>
                          </w:rPr>
                          <w:t>r = .41</w:t>
                        </w:r>
                        <w:r>
                          <w:rPr>
                            <w:position w:val="7"/>
                            <w:sz w:val="13"/>
                          </w:rPr>
                          <w:t>7</w:t>
                        </w:r>
                      </w:p>
                    </w:tc>
                    <w:tc>
                      <w:tcPr>
                        <w:tcW w:w="1030" w:type="dxa"/>
                        <w:tcBorders>
                          <w:top w:val="single" w:sz="4" w:space="0" w:color="000000"/>
                        </w:tcBorders>
                      </w:tcPr>
                      <w:p w14:paraId="4A7BA5B3" w14:textId="77777777" w:rsidR="00C75312" w:rsidRDefault="00BB293A">
                        <w:pPr>
                          <w:pStyle w:val="TableParagraph"/>
                          <w:spacing w:line="214" w:lineRule="exact"/>
                          <w:ind w:left="104"/>
                          <w:rPr>
                            <w:sz w:val="13"/>
                          </w:rPr>
                        </w:pPr>
                        <w:r>
                          <w:rPr>
                            <w:sz w:val="20"/>
                          </w:rPr>
                          <w:t>r = .30</w:t>
                        </w:r>
                        <w:r>
                          <w:rPr>
                            <w:position w:val="7"/>
                            <w:sz w:val="13"/>
                          </w:rPr>
                          <w:t>6</w:t>
                        </w:r>
                      </w:p>
                    </w:tc>
                    <w:tc>
                      <w:tcPr>
                        <w:tcW w:w="1589" w:type="dxa"/>
                        <w:tcBorders>
                          <w:top w:val="single" w:sz="4" w:space="0" w:color="000000"/>
                          <w:right w:val="dotted" w:sz="4" w:space="0" w:color="A6A6A6"/>
                        </w:tcBorders>
                      </w:tcPr>
                      <w:p w14:paraId="0490A67D" w14:textId="77777777" w:rsidR="00C75312" w:rsidRDefault="00C75312">
                        <w:pPr>
                          <w:pStyle w:val="TableParagraph"/>
                          <w:rPr>
                            <w:sz w:val="16"/>
                          </w:rPr>
                        </w:pPr>
                      </w:p>
                    </w:tc>
                    <w:tc>
                      <w:tcPr>
                        <w:tcW w:w="886" w:type="dxa"/>
                        <w:tcBorders>
                          <w:top w:val="single" w:sz="4" w:space="0" w:color="000000"/>
                          <w:left w:val="dotted" w:sz="4" w:space="0" w:color="A6A6A6"/>
                        </w:tcBorders>
                      </w:tcPr>
                      <w:p w14:paraId="3C4FB073" w14:textId="77777777" w:rsidR="00C75312" w:rsidRDefault="00BB293A">
                        <w:pPr>
                          <w:pStyle w:val="TableParagraph"/>
                          <w:spacing w:line="214" w:lineRule="exact"/>
                          <w:ind w:left="75" w:right="105"/>
                          <w:jc w:val="center"/>
                          <w:rPr>
                            <w:sz w:val="13"/>
                          </w:rPr>
                        </w:pPr>
                        <w:r>
                          <w:rPr>
                            <w:sz w:val="20"/>
                          </w:rPr>
                          <w:t>r = .57</w:t>
                        </w:r>
                        <w:r>
                          <w:rPr>
                            <w:position w:val="7"/>
                            <w:sz w:val="13"/>
                          </w:rPr>
                          <w:t>*6</w:t>
                        </w:r>
                      </w:p>
                    </w:tc>
                    <w:tc>
                      <w:tcPr>
                        <w:tcW w:w="1087" w:type="dxa"/>
                        <w:tcBorders>
                          <w:top w:val="single" w:sz="4" w:space="0" w:color="000000"/>
                        </w:tcBorders>
                      </w:tcPr>
                      <w:p w14:paraId="5830F79B" w14:textId="77777777" w:rsidR="00C75312" w:rsidRDefault="00BB293A">
                        <w:pPr>
                          <w:pStyle w:val="TableParagraph"/>
                          <w:spacing w:line="214" w:lineRule="exact"/>
                          <w:ind w:left="117"/>
                          <w:rPr>
                            <w:sz w:val="20"/>
                          </w:rPr>
                        </w:pPr>
                        <w:r>
                          <w:rPr>
                            <w:sz w:val="20"/>
                          </w:rPr>
                          <w:t>Not</w:t>
                        </w:r>
                      </w:p>
                    </w:tc>
                    <w:tc>
                      <w:tcPr>
                        <w:tcW w:w="909" w:type="dxa"/>
                        <w:tcBorders>
                          <w:top w:val="single" w:sz="4" w:space="0" w:color="000000"/>
                        </w:tcBorders>
                      </w:tcPr>
                      <w:p w14:paraId="6997C841" w14:textId="77777777" w:rsidR="00C75312" w:rsidRDefault="00C75312">
                        <w:pPr>
                          <w:pStyle w:val="TableParagraph"/>
                          <w:rPr>
                            <w:sz w:val="16"/>
                          </w:rPr>
                        </w:pPr>
                      </w:p>
                    </w:tc>
                  </w:tr>
                  <w:tr w:rsidR="00C75312" w14:paraId="2E7117BD" w14:textId="77777777">
                    <w:trPr>
                      <w:trHeight w:val="303"/>
                    </w:trPr>
                    <w:tc>
                      <w:tcPr>
                        <w:tcW w:w="763" w:type="dxa"/>
                      </w:tcPr>
                      <w:p w14:paraId="7C0131C4" w14:textId="77777777" w:rsidR="00C75312" w:rsidRDefault="00BB293A">
                        <w:pPr>
                          <w:pStyle w:val="TableParagraph"/>
                          <w:spacing w:line="226" w:lineRule="exact"/>
                          <w:ind w:left="120"/>
                          <w:rPr>
                            <w:sz w:val="20"/>
                          </w:rPr>
                        </w:pPr>
                        <w:r>
                          <w:rPr>
                            <w:sz w:val="20"/>
                          </w:rPr>
                          <w:t>based</w:t>
                        </w:r>
                      </w:p>
                    </w:tc>
                    <w:tc>
                      <w:tcPr>
                        <w:tcW w:w="1507" w:type="dxa"/>
                        <w:tcBorders>
                          <w:bottom w:val="single" w:sz="4" w:space="0" w:color="000000"/>
                        </w:tcBorders>
                      </w:tcPr>
                      <w:p w14:paraId="54DF24C3" w14:textId="77777777" w:rsidR="00C75312" w:rsidRDefault="00BB293A">
                        <w:pPr>
                          <w:pStyle w:val="TableParagraph"/>
                          <w:spacing w:before="30"/>
                          <w:ind w:right="122"/>
                          <w:jc w:val="right"/>
                          <w:rPr>
                            <w:sz w:val="13"/>
                          </w:rPr>
                        </w:pPr>
                        <w:r>
                          <w:rPr>
                            <w:sz w:val="20"/>
                          </w:rPr>
                          <w:t>r = .80</w:t>
                        </w:r>
                        <w:r>
                          <w:rPr>
                            <w:position w:val="7"/>
                            <w:sz w:val="13"/>
                          </w:rPr>
                          <w:t>*5</w:t>
                        </w:r>
                      </w:p>
                    </w:tc>
                    <w:tc>
                      <w:tcPr>
                        <w:tcW w:w="971" w:type="dxa"/>
                        <w:tcBorders>
                          <w:bottom w:val="single" w:sz="4" w:space="0" w:color="000000"/>
                        </w:tcBorders>
                      </w:tcPr>
                      <w:p w14:paraId="0F9230B9" w14:textId="77777777" w:rsidR="00C75312" w:rsidRDefault="00C75312">
                        <w:pPr>
                          <w:pStyle w:val="TableParagraph"/>
                          <w:rPr>
                            <w:sz w:val="18"/>
                          </w:rPr>
                        </w:pPr>
                      </w:p>
                    </w:tc>
                    <w:tc>
                      <w:tcPr>
                        <w:tcW w:w="997" w:type="dxa"/>
                        <w:tcBorders>
                          <w:bottom w:val="single" w:sz="4" w:space="0" w:color="000000"/>
                        </w:tcBorders>
                      </w:tcPr>
                      <w:p w14:paraId="7663E18D" w14:textId="77777777" w:rsidR="00C75312" w:rsidRDefault="00BB293A">
                        <w:pPr>
                          <w:pStyle w:val="TableParagraph"/>
                          <w:spacing w:before="30"/>
                          <w:ind w:left="119"/>
                          <w:rPr>
                            <w:sz w:val="13"/>
                          </w:rPr>
                        </w:pPr>
                        <w:r>
                          <w:rPr>
                            <w:sz w:val="20"/>
                          </w:rPr>
                          <w:t>r = .51</w:t>
                        </w:r>
                        <w:r>
                          <w:rPr>
                            <w:position w:val="7"/>
                            <w:sz w:val="13"/>
                          </w:rPr>
                          <w:t>*6</w:t>
                        </w:r>
                      </w:p>
                    </w:tc>
                    <w:tc>
                      <w:tcPr>
                        <w:tcW w:w="1075" w:type="dxa"/>
                        <w:tcBorders>
                          <w:bottom w:val="single" w:sz="4" w:space="0" w:color="000000"/>
                        </w:tcBorders>
                      </w:tcPr>
                      <w:p w14:paraId="70D0CED6" w14:textId="77777777" w:rsidR="00C75312" w:rsidRDefault="00BB293A">
                        <w:pPr>
                          <w:pStyle w:val="TableParagraph"/>
                          <w:spacing w:before="30"/>
                          <w:ind w:left="106"/>
                          <w:rPr>
                            <w:sz w:val="13"/>
                          </w:rPr>
                        </w:pPr>
                        <w:r>
                          <w:rPr>
                            <w:sz w:val="20"/>
                          </w:rPr>
                          <w:t>r = .47</w:t>
                        </w:r>
                        <w:r>
                          <w:rPr>
                            <w:position w:val="7"/>
                            <w:sz w:val="13"/>
                          </w:rPr>
                          <w:t>*6</w:t>
                        </w:r>
                      </w:p>
                    </w:tc>
                    <w:tc>
                      <w:tcPr>
                        <w:tcW w:w="1120" w:type="dxa"/>
                        <w:tcBorders>
                          <w:bottom w:val="single" w:sz="4" w:space="0" w:color="000000"/>
                        </w:tcBorders>
                      </w:tcPr>
                      <w:p w14:paraId="159BE83F" w14:textId="77777777" w:rsidR="00C75312" w:rsidRDefault="00C75312">
                        <w:pPr>
                          <w:pStyle w:val="TableParagraph"/>
                          <w:rPr>
                            <w:sz w:val="18"/>
                          </w:rPr>
                        </w:pPr>
                      </w:p>
                    </w:tc>
                    <w:tc>
                      <w:tcPr>
                        <w:tcW w:w="1150" w:type="dxa"/>
                        <w:tcBorders>
                          <w:bottom w:val="single" w:sz="4" w:space="0" w:color="000000"/>
                        </w:tcBorders>
                      </w:tcPr>
                      <w:p w14:paraId="19298025" w14:textId="77777777" w:rsidR="00C75312" w:rsidRDefault="00BB293A">
                        <w:pPr>
                          <w:pStyle w:val="TableParagraph"/>
                          <w:spacing w:before="30"/>
                          <w:ind w:left="104"/>
                          <w:rPr>
                            <w:sz w:val="13"/>
                          </w:rPr>
                        </w:pPr>
                        <w:r>
                          <w:rPr>
                            <w:sz w:val="20"/>
                          </w:rPr>
                          <w:t>r = -.42</w:t>
                        </w:r>
                        <w:r>
                          <w:rPr>
                            <w:position w:val="7"/>
                            <w:sz w:val="13"/>
                          </w:rPr>
                          <w:t>*5</w:t>
                        </w:r>
                      </w:p>
                    </w:tc>
                    <w:tc>
                      <w:tcPr>
                        <w:tcW w:w="1116" w:type="dxa"/>
                        <w:tcBorders>
                          <w:bottom w:val="single" w:sz="4" w:space="0" w:color="000000"/>
                        </w:tcBorders>
                      </w:tcPr>
                      <w:p w14:paraId="6825DB50" w14:textId="77777777" w:rsidR="00C75312" w:rsidRDefault="00C75312">
                        <w:pPr>
                          <w:pStyle w:val="TableParagraph"/>
                          <w:rPr>
                            <w:sz w:val="18"/>
                          </w:rPr>
                        </w:pPr>
                      </w:p>
                    </w:tc>
                    <w:tc>
                      <w:tcPr>
                        <w:tcW w:w="1030" w:type="dxa"/>
                        <w:tcBorders>
                          <w:bottom w:val="single" w:sz="4" w:space="0" w:color="000000"/>
                        </w:tcBorders>
                      </w:tcPr>
                      <w:p w14:paraId="0F5B7E08" w14:textId="77777777" w:rsidR="00C75312" w:rsidRDefault="00C75312">
                        <w:pPr>
                          <w:pStyle w:val="TableParagraph"/>
                          <w:rPr>
                            <w:sz w:val="18"/>
                          </w:rPr>
                        </w:pPr>
                      </w:p>
                    </w:tc>
                    <w:tc>
                      <w:tcPr>
                        <w:tcW w:w="1589" w:type="dxa"/>
                        <w:tcBorders>
                          <w:bottom w:val="single" w:sz="4" w:space="0" w:color="000000"/>
                          <w:right w:val="dotted" w:sz="4" w:space="0" w:color="A6A6A6"/>
                        </w:tcBorders>
                      </w:tcPr>
                      <w:p w14:paraId="43FEB6F2" w14:textId="77777777" w:rsidR="00C75312" w:rsidRDefault="00C75312">
                        <w:pPr>
                          <w:pStyle w:val="TableParagraph"/>
                          <w:rPr>
                            <w:sz w:val="18"/>
                          </w:rPr>
                        </w:pPr>
                      </w:p>
                    </w:tc>
                    <w:tc>
                      <w:tcPr>
                        <w:tcW w:w="886" w:type="dxa"/>
                        <w:tcBorders>
                          <w:left w:val="dotted" w:sz="4" w:space="0" w:color="A6A6A6"/>
                          <w:bottom w:val="single" w:sz="4" w:space="0" w:color="000000"/>
                        </w:tcBorders>
                      </w:tcPr>
                      <w:p w14:paraId="1DBD4B0A" w14:textId="77777777" w:rsidR="00C75312" w:rsidRDefault="00C75312">
                        <w:pPr>
                          <w:pStyle w:val="TableParagraph"/>
                          <w:rPr>
                            <w:sz w:val="18"/>
                          </w:rPr>
                        </w:pPr>
                      </w:p>
                    </w:tc>
                    <w:tc>
                      <w:tcPr>
                        <w:tcW w:w="1087" w:type="dxa"/>
                        <w:tcBorders>
                          <w:bottom w:val="single" w:sz="4" w:space="0" w:color="000000"/>
                        </w:tcBorders>
                      </w:tcPr>
                      <w:p w14:paraId="01F49268" w14:textId="77777777" w:rsidR="00C75312" w:rsidRDefault="00BB293A">
                        <w:pPr>
                          <w:pStyle w:val="TableParagraph"/>
                          <w:spacing w:line="226" w:lineRule="exact"/>
                          <w:ind w:left="117"/>
                          <w:rPr>
                            <w:sz w:val="20"/>
                          </w:rPr>
                        </w:pPr>
                        <w:r>
                          <w:rPr>
                            <w:sz w:val="20"/>
                          </w:rPr>
                          <w:t>studied</w:t>
                        </w:r>
                      </w:p>
                    </w:tc>
                    <w:tc>
                      <w:tcPr>
                        <w:tcW w:w="909" w:type="dxa"/>
                        <w:tcBorders>
                          <w:bottom w:val="single" w:sz="4" w:space="0" w:color="000000"/>
                        </w:tcBorders>
                      </w:tcPr>
                      <w:p w14:paraId="1EA1561B" w14:textId="77777777" w:rsidR="00C75312" w:rsidRDefault="00C75312">
                        <w:pPr>
                          <w:pStyle w:val="TableParagraph"/>
                          <w:rPr>
                            <w:sz w:val="18"/>
                          </w:rPr>
                        </w:pPr>
                      </w:p>
                    </w:tc>
                  </w:tr>
                  <w:tr w:rsidR="00C75312" w14:paraId="17CF291E" w14:textId="77777777">
                    <w:trPr>
                      <w:trHeight w:val="1002"/>
                    </w:trPr>
                    <w:tc>
                      <w:tcPr>
                        <w:tcW w:w="763" w:type="dxa"/>
                        <w:tcBorders>
                          <w:bottom w:val="single" w:sz="4" w:space="0" w:color="000000"/>
                        </w:tcBorders>
                      </w:tcPr>
                      <w:p w14:paraId="43A8748B" w14:textId="77777777" w:rsidR="00C75312" w:rsidRDefault="00C75312">
                        <w:pPr>
                          <w:pStyle w:val="TableParagraph"/>
                          <w:rPr>
                            <w:sz w:val="18"/>
                          </w:rPr>
                        </w:pPr>
                      </w:p>
                    </w:tc>
                    <w:tc>
                      <w:tcPr>
                        <w:tcW w:w="1507" w:type="dxa"/>
                        <w:tcBorders>
                          <w:top w:val="single" w:sz="4" w:space="0" w:color="000000"/>
                          <w:bottom w:val="single" w:sz="4" w:space="0" w:color="000000"/>
                        </w:tcBorders>
                      </w:tcPr>
                      <w:p w14:paraId="308BCBE4" w14:textId="77777777" w:rsidR="00C75312" w:rsidRDefault="00BB293A">
                        <w:pPr>
                          <w:pStyle w:val="TableParagraph"/>
                          <w:tabs>
                            <w:tab w:val="left" w:pos="724"/>
                          </w:tabs>
                          <w:spacing w:line="280" w:lineRule="auto"/>
                          <w:ind w:left="725" w:right="122" w:hanging="615"/>
                          <w:rPr>
                            <w:sz w:val="13"/>
                          </w:rPr>
                        </w:pPr>
                        <w:r>
                          <w:rPr>
                            <w:sz w:val="20"/>
                          </w:rPr>
                          <w:t>NT</w:t>
                        </w:r>
                        <w:r>
                          <w:rPr>
                            <w:sz w:val="20"/>
                          </w:rPr>
                          <w:tab/>
                          <w:t xml:space="preserve">r = </w:t>
                        </w:r>
                        <w:r>
                          <w:rPr>
                            <w:spacing w:val="-5"/>
                            <w:sz w:val="20"/>
                          </w:rPr>
                          <w:t>.86</w:t>
                        </w:r>
                        <w:r>
                          <w:rPr>
                            <w:spacing w:val="-5"/>
                            <w:position w:val="7"/>
                            <w:sz w:val="13"/>
                          </w:rPr>
                          <w:t xml:space="preserve">*1 </w:t>
                        </w:r>
                        <w:r>
                          <w:rPr>
                            <w:sz w:val="20"/>
                          </w:rPr>
                          <w:t>r =</w:t>
                        </w:r>
                        <w:r>
                          <w:rPr>
                            <w:spacing w:val="4"/>
                            <w:sz w:val="20"/>
                          </w:rPr>
                          <w:t xml:space="preserve"> </w:t>
                        </w:r>
                        <w:r>
                          <w:rPr>
                            <w:spacing w:val="-5"/>
                            <w:sz w:val="20"/>
                          </w:rPr>
                          <w:t>.47</w:t>
                        </w:r>
                        <w:r>
                          <w:rPr>
                            <w:spacing w:val="-5"/>
                            <w:position w:val="7"/>
                            <w:sz w:val="13"/>
                          </w:rPr>
                          <w:t>*5</w:t>
                        </w:r>
                      </w:p>
                    </w:tc>
                    <w:tc>
                      <w:tcPr>
                        <w:tcW w:w="971" w:type="dxa"/>
                        <w:tcBorders>
                          <w:top w:val="single" w:sz="4" w:space="0" w:color="000000"/>
                          <w:bottom w:val="single" w:sz="4" w:space="0" w:color="000000"/>
                        </w:tcBorders>
                      </w:tcPr>
                      <w:p w14:paraId="7E19CA08" w14:textId="77777777" w:rsidR="00C75312" w:rsidRDefault="00C75312">
                        <w:pPr>
                          <w:pStyle w:val="TableParagraph"/>
                          <w:rPr>
                            <w:sz w:val="18"/>
                          </w:rPr>
                        </w:pPr>
                      </w:p>
                    </w:tc>
                    <w:tc>
                      <w:tcPr>
                        <w:tcW w:w="997" w:type="dxa"/>
                        <w:tcBorders>
                          <w:top w:val="single" w:sz="4" w:space="0" w:color="000000"/>
                          <w:bottom w:val="single" w:sz="4" w:space="0" w:color="000000"/>
                        </w:tcBorders>
                      </w:tcPr>
                      <w:p w14:paraId="3E689DCD" w14:textId="77777777" w:rsidR="00C75312" w:rsidRDefault="00C75312">
                        <w:pPr>
                          <w:pStyle w:val="TableParagraph"/>
                          <w:rPr>
                            <w:sz w:val="18"/>
                          </w:rPr>
                        </w:pPr>
                      </w:p>
                    </w:tc>
                    <w:tc>
                      <w:tcPr>
                        <w:tcW w:w="1075" w:type="dxa"/>
                        <w:tcBorders>
                          <w:top w:val="single" w:sz="4" w:space="0" w:color="000000"/>
                          <w:bottom w:val="single" w:sz="4" w:space="0" w:color="000000"/>
                        </w:tcBorders>
                      </w:tcPr>
                      <w:p w14:paraId="4E7A95EB" w14:textId="77777777" w:rsidR="00C75312" w:rsidRDefault="00C75312">
                        <w:pPr>
                          <w:pStyle w:val="TableParagraph"/>
                          <w:rPr>
                            <w:sz w:val="18"/>
                          </w:rPr>
                        </w:pPr>
                      </w:p>
                    </w:tc>
                    <w:tc>
                      <w:tcPr>
                        <w:tcW w:w="1120" w:type="dxa"/>
                        <w:tcBorders>
                          <w:top w:val="single" w:sz="4" w:space="0" w:color="000000"/>
                          <w:bottom w:val="single" w:sz="4" w:space="0" w:color="000000"/>
                        </w:tcBorders>
                      </w:tcPr>
                      <w:p w14:paraId="4FD6270C" w14:textId="77777777" w:rsidR="00C75312" w:rsidRDefault="00BB293A">
                        <w:pPr>
                          <w:pStyle w:val="TableParagraph"/>
                          <w:spacing w:line="280" w:lineRule="auto"/>
                          <w:ind w:left="106" w:right="354"/>
                          <w:rPr>
                            <w:sz w:val="13"/>
                          </w:rPr>
                        </w:pPr>
                        <w:r>
                          <w:rPr>
                            <w:sz w:val="20"/>
                          </w:rPr>
                          <w:t>WCST r =</w:t>
                        </w:r>
                        <w:r>
                          <w:rPr>
                            <w:spacing w:val="4"/>
                            <w:sz w:val="20"/>
                          </w:rPr>
                          <w:t xml:space="preserve"> </w:t>
                        </w:r>
                        <w:r>
                          <w:rPr>
                            <w:spacing w:val="-5"/>
                            <w:sz w:val="20"/>
                          </w:rPr>
                          <w:t>.32</w:t>
                        </w:r>
                        <w:r>
                          <w:rPr>
                            <w:spacing w:val="-5"/>
                            <w:position w:val="7"/>
                            <w:sz w:val="13"/>
                          </w:rPr>
                          <w:t>†5</w:t>
                        </w:r>
                      </w:p>
                    </w:tc>
                    <w:tc>
                      <w:tcPr>
                        <w:tcW w:w="1150" w:type="dxa"/>
                        <w:tcBorders>
                          <w:top w:val="single" w:sz="4" w:space="0" w:color="000000"/>
                          <w:bottom w:val="single" w:sz="4" w:space="0" w:color="000000"/>
                        </w:tcBorders>
                      </w:tcPr>
                      <w:p w14:paraId="65A4C68E" w14:textId="77777777" w:rsidR="00C75312" w:rsidRDefault="00C75312">
                        <w:pPr>
                          <w:pStyle w:val="TableParagraph"/>
                          <w:rPr>
                            <w:sz w:val="18"/>
                          </w:rPr>
                        </w:pPr>
                      </w:p>
                    </w:tc>
                    <w:tc>
                      <w:tcPr>
                        <w:tcW w:w="1116" w:type="dxa"/>
                        <w:tcBorders>
                          <w:top w:val="single" w:sz="4" w:space="0" w:color="000000"/>
                          <w:bottom w:val="single" w:sz="4" w:space="0" w:color="000000"/>
                        </w:tcBorders>
                      </w:tcPr>
                      <w:p w14:paraId="7D62358F" w14:textId="77777777" w:rsidR="00C75312" w:rsidRDefault="00C75312">
                        <w:pPr>
                          <w:pStyle w:val="TableParagraph"/>
                          <w:rPr>
                            <w:sz w:val="18"/>
                          </w:rPr>
                        </w:pPr>
                      </w:p>
                    </w:tc>
                    <w:tc>
                      <w:tcPr>
                        <w:tcW w:w="1030" w:type="dxa"/>
                        <w:tcBorders>
                          <w:top w:val="single" w:sz="4" w:space="0" w:color="000000"/>
                          <w:bottom w:val="single" w:sz="4" w:space="0" w:color="000000"/>
                        </w:tcBorders>
                      </w:tcPr>
                      <w:p w14:paraId="3BADB871" w14:textId="77777777" w:rsidR="00C75312" w:rsidRDefault="00BB293A">
                        <w:pPr>
                          <w:pStyle w:val="TableParagraph"/>
                          <w:spacing w:line="230" w:lineRule="exact"/>
                          <w:ind w:left="104"/>
                          <w:rPr>
                            <w:sz w:val="13"/>
                          </w:rPr>
                        </w:pPr>
                        <w:r>
                          <w:rPr>
                            <w:sz w:val="20"/>
                          </w:rPr>
                          <w:t>r = .54</w:t>
                        </w:r>
                        <w:r>
                          <w:rPr>
                            <w:position w:val="7"/>
                            <w:sz w:val="13"/>
                          </w:rPr>
                          <w:t>*6</w:t>
                        </w:r>
                      </w:p>
                    </w:tc>
                    <w:tc>
                      <w:tcPr>
                        <w:tcW w:w="1589" w:type="dxa"/>
                        <w:tcBorders>
                          <w:top w:val="single" w:sz="4" w:space="0" w:color="000000"/>
                          <w:bottom w:val="single" w:sz="4" w:space="0" w:color="000000"/>
                          <w:right w:val="dotted" w:sz="4" w:space="0" w:color="A6A6A6"/>
                        </w:tcBorders>
                      </w:tcPr>
                      <w:p w14:paraId="1289ACE2" w14:textId="77777777" w:rsidR="00C75312" w:rsidRDefault="00BB293A">
                        <w:pPr>
                          <w:pStyle w:val="TableParagraph"/>
                          <w:spacing w:line="259" w:lineRule="auto"/>
                          <w:ind w:left="101" w:right="202"/>
                          <w:rPr>
                            <w:sz w:val="20"/>
                          </w:rPr>
                        </w:pPr>
                        <w:r>
                          <w:rPr>
                            <w:sz w:val="20"/>
                          </w:rPr>
                          <w:t>Visual complex span r = .39</w:t>
                        </w:r>
                        <w:r>
                          <w:rPr>
                            <w:position w:val="7"/>
                            <w:sz w:val="13"/>
                          </w:rPr>
                          <w:t xml:space="preserve">7 </w:t>
                        </w:r>
                        <w:r>
                          <w:rPr>
                            <w:sz w:val="20"/>
                          </w:rPr>
                          <w:t>Verbal storage</w:t>
                        </w:r>
                      </w:p>
                      <w:p w14:paraId="46BA07CF" w14:textId="77777777" w:rsidR="00C75312" w:rsidRDefault="00BB293A">
                        <w:pPr>
                          <w:pStyle w:val="TableParagraph"/>
                          <w:spacing w:line="210" w:lineRule="exact"/>
                          <w:ind w:left="101"/>
                          <w:rPr>
                            <w:sz w:val="13"/>
                          </w:rPr>
                        </w:pPr>
                        <w:r>
                          <w:rPr>
                            <w:sz w:val="20"/>
                          </w:rPr>
                          <w:t>span r = -.38</w:t>
                        </w:r>
                        <w:r>
                          <w:rPr>
                            <w:position w:val="7"/>
                            <w:sz w:val="13"/>
                          </w:rPr>
                          <w:t>7</w:t>
                        </w:r>
                      </w:p>
                    </w:tc>
                    <w:tc>
                      <w:tcPr>
                        <w:tcW w:w="886" w:type="dxa"/>
                        <w:tcBorders>
                          <w:top w:val="single" w:sz="4" w:space="0" w:color="000000"/>
                          <w:left w:val="dotted" w:sz="4" w:space="0" w:color="A6A6A6"/>
                          <w:bottom w:val="single" w:sz="4" w:space="0" w:color="000000"/>
                        </w:tcBorders>
                      </w:tcPr>
                      <w:p w14:paraId="69CA6265" w14:textId="77777777" w:rsidR="00C75312" w:rsidRDefault="00BB293A">
                        <w:pPr>
                          <w:pStyle w:val="TableParagraph"/>
                          <w:spacing w:line="230" w:lineRule="exact"/>
                          <w:ind w:left="75" w:right="105"/>
                          <w:jc w:val="center"/>
                          <w:rPr>
                            <w:sz w:val="13"/>
                          </w:rPr>
                        </w:pPr>
                        <w:r>
                          <w:rPr>
                            <w:sz w:val="20"/>
                          </w:rPr>
                          <w:t>r = .45</w:t>
                        </w:r>
                        <w:r>
                          <w:rPr>
                            <w:position w:val="7"/>
                            <w:sz w:val="13"/>
                          </w:rPr>
                          <w:t>*6</w:t>
                        </w:r>
                      </w:p>
                    </w:tc>
                    <w:tc>
                      <w:tcPr>
                        <w:tcW w:w="1087" w:type="dxa"/>
                        <w:tcBorders>
                          <w:top w:val="single" w:sz="4" w:space="0" w:color="000000"/>
                          <w:bottom w:val="single" w:sz="4" w:space="0" w:color="000000"/>
                        </w:tcBorders>
                      </w:tcPr>
                      <w:p w14:paraId="142DA080" w14:textId="77777777" w:rsidR="00C75312" w:rsidRDefault="00C75312">
                        <w:pPr>
                          <w:pStyle w:val="TableParagraph"/>
                          <w:rPr>
                            <w:sz w:val="18"/>
                          </w:rPr>
                        </w:pPr>
                      </w:p>
                    </w:tc>
                    <w:tc>
                      <w:tcPr>
                        <w:tcW w:w="909" w:type="dxa"/>
                        <w:tcBorders>
                          <w:top w:val="single" w:sz="4" w:space="0" w:color="000000"/>
                          <w:bottom w:val="single" w:sz="4" w:space="0" w:color="000000"/>
                        </w:tcBorders>
                      </w:tcPr>
                      <w:p w14:paraId="3572FFE1" w14:textId="77777777" w:rsidR="00C75312" w:rsidRDefault="00C75312">
                        <w:pPr>
                          <w:pStyle w:val="TableParagraph"/>
                          <w:rPr>
                            <w:sz w:val="18"/>
                          </w:rPr>
                        </w:pPr>
                      </w:p>
                    </w:tc>
                  </w:tr>
                  <w:tr w:rsidR="00C75312" w14:paraId="7929B1EB" w14:textId="77777777">
                    <w:trPr>
                      <w:trHeight w:val="249"/>
                    </w:trPr>
                    <w:tc>
                      <w:tcPr>
                        <w:tcW w:w="763" w:type="dxa"/>
                        <w:tcBorders>
                          <w:top w:val="single" w:sz="4" w:space="0" w:color="000000"/>
                        </w:tcBorders>
                      </w:tcPr>
                      <w:p w14:paraId="0169173A" w14:textId="77777777" w:rsidR="00C75312" w:rsidRDefault="00C75312">
                        <w:pPr>
                          <w:pStyle w:val="TableParagraph"/>
                          <w:rPr>
                            <w:sz w:val="18"/>
                          </w:rPr>
                        </w:pPr>
                      </w:p>
                    </w:tc>
                    <w:tc>
                      <w:tcPr>
                        <w:tcW w:w="1507" w:type="dxa"/>
                        <w:tcBorders>
                          <w:top w:val="single" w:sz="4" w:space="0" w:color="000000"/>
                        </w:tcBorders>
                      </w:tcPr>
                      <w:p w14:paraId="37ACCFCE" w14:textId="77777777" w:rsidR="00C75312" w:rsidRDefault="00BB293A">
                        <w:pPr>
                          <w:pStyle w:val="TableParagraph"/>
                          <w:tabs>
                            <w:tab w:val="left" w:pos="614"/>
                          </w:tabs>
                          <w:spacing w:line="229" w:lineRule="exact"/>
                          <w:ind w:right="122"/>
                          <w:jc w:val="right"/>
                          <w:rPr>
                            <w:sz w:val="13"/>
                          </w:rPr>
                        </w:pPr>
                        <w:r>
                          <w:rPr>
                            <w:sz w:val="20"/>
                          </w:rPr>
                          <w:t>Both</w:t>
                        </w:r>
                        <w:r>
                          <w:rPr>
                            <w:sz w:val="20"/>
                          </w:rPr>
                          <w:tab/>
                          <w:t>r =</w:t>
                        </w:r>
                        <w:r>
                          <w:rPr>
                            <w:spacing w:val="-5"/>
                            <w:sz w:val="20"/>
                          </w:rPr>
                          <w:t xml:space="preserve"> </w:t>
                        </w:r>
                        <w:r>
                          <w:rPr>
                            <w:sz w:val="20"/>
                          </w:rPr>
                          <w:t>.82</w:t>
                        </w:r>
                        <w:r>
                          <w:rPr>
                            <w:position w:val="7"/>
                            <w:sz w:val="13"/>
                          </w:rPr>
                          <w:t>*1</w:t>
                        </w:r>
                      </w:p>
                    </w:tc>
                    <w:tc>
                      <w:tcPr>
                        <w:tcW w:w="971" w:type="dxa"/>
                        <w:tcBorders>
                          <w:top w:val="single" w:sz="4" w:space="0" w:color="000000"/>
                        </w:tcBorders>
                      </w:tcPr>
                      <w:p w14:paraId="7BACF377" w14:textId="77777777" w:rsidR="00C75312" w:rsidRDefault="00BB293A">
                        <w:pPr>
                          <w:pStyle w:val="TableParagraph"/>
                          <w:spacing w:line="229" w:lineRule="exact"/>
                          <w:ind w:left="125"/>
                          <w:rPr>
                            <w:sz w:val="13"/>
                          </w:rPr>
                        </w:pPr>
                        <w:r>
                          <w:rPr>
                            <w:sz w:val="20"/>
                          </w:rPr>
                          <w:t>r = -.38</w:t>
                        </w:r>
                        <w:r>
                          <w:rPr>
                            <w:position w:val="7"/>
                            <w:sz w:val="13"/>
                          </w:rPr>
                          <w:t>*4</w:t>
                        </w:r>
                      </w:p>
                    </w:tc>
                    <w:tc>
                      <w:tcPr>
                        <w:tcW w:w="997" w:type="dxa"/>
                        <w:tcBorders>
                          <w:top w:val="single" w:sz="4" w:space="0" w:color="000000"/>
                        </w:tcBorders>
                      </w:tcPr>
                      <w:p w14:paraId="35051B89" w14:textId="77777777" w:rsidR="00C75312" w:rsidRDefault="00C75312">
                        <w:pPr>
                          <w:pStyle w:val="TableParagraph"/>
                          <w:rPr>
                            <w:sz w:val="18"/>
                          </w:rPr>
                        </w:pPr>
                      </w:p>
                    </w:tc>
                    <w:tc>
                      <w:tcPr>
                        <w:tcW w:w="1075" w:type="dxa"/>
                        <w:tcBorders>
                          <w:top w:val="single" w:sz="4" w:space="0" w:color="000000"/>
                        </w:tcBorders>
                      </w:tcPr>
                      <w:p w14:paraId="1FFE21A0" w14:textId="77777777" w:rsidR="00C75312" w:rsidRDefault="00C75312">
                        <w:pPr>
                          <w:pStyle w:val="TableParagraph"/>
                          <w:rPr>
                            <w:sz w:val="18"/>
                          </w:rPr>
                        </w:pPr>
                      </w:p>
                    </w:tc>
                    <w:tc>
                      <w:tcPr>
                        <w:tcW w:w="1120" w:type="dxa"/>
                        <w:tcBorders>
                          <w:top w:val="single" w:sz="4" w:space="0" w:color="000000"/>
                        </w:tcBorders>
                      </w:tcPr>
                      <w:p w14:paraId="735CBC35" w14:textId="77777777" w:rsidR="00C75312" w:rsidRDefault="00BB293A">
                        <w:pPr>
                          <w:pStyle w:val="TableParagraph"/>
                          <w:spacing w:line="229" w:lineRule="exact"/>
                          <w:ind w:left="106"/>
                          <w:rPr>
                            <w:sz w:val="20"/>
                          </w:rPr>
                        </w:pPr>
                        <w:r>
                          <w:rPr>
                            <w:sz w:val="20"/>
                          </w:rPr>
                          <w:t>TMT</w:t>
                        </w:r>
                      </w:p>
                    </w:tc>
                    <w:tc>
                      <w:tcPr>
                        <w:tcW w:w="1150" w:type="dxa"/>
                        <w:tcBorders>
                          <w:top w:val="single" w:sz="4" w:space="0" w:color="000000"/>
                        </w:tcBorders>
                      </w:tcPr>
                      <w:p w14:paraId="47AD293A" w14:textId="77777777" w:rsidR="00C75312" w:rsidRDefault="00C75312">
                        <w:pPr>
                          <w:pStyle w:val="TableParagraph"/>
                          <w:rPr>
                            <w:sz w:val="18"/>
                          </w:rPr>
                        </w:pPr>
                      </w:p>
                    </w:tc>
                    <w:tc>
                      <w:tcPr>
                        <w:tcW w:w="1116" w:type="dxa"/>
                        <w:tcBorders>
                          <w:top w:val="single" w:sz="4" w:space="0" w:color="000000"/>
                        </w:tcBorders>
                      </w:tcPr>
                      <w:p w14:paraId="5913662B" w14:textId="77777777" w:rsidR="00C75312" w:rsidRDefault="00C75312">
                        <w:pPr>
                          <w:pStyle w:val="TableParagraph"/>
                          <w:rPr>
                            <w:sz w:val="18"/>
                          </w:rPr>
                        </w:pPr>
                      </w:p>
                    </w:tc>
                    <w:tc>
                      <w:tcPr>
                        <w:tcW w:w="1030" w:type="dxa"/>
                        <w:tcBorders>
                          <w:top w:val="single" w:sz="4" w:space="0" w:color="000000"/>
                        </w:tcBorders>
                      </w:tcPr>
                      <w:p w14:paraId="58436021" w14:textId="77777777" w:rsidR="00C75312" w:rsidRDefault="00C75312">
                        <w:pPr>
                          <w:pStyle w:val="TableParagraph"/>
                          <w:rPr>
                            <w:sz w:val="18"/>
                          </w:rPr>
                        </w:pPr>
                      </w:p>
                    </w:tc>
                    <w:tc>
                      <w:tcPr>
                        <w:tcW w:w="1589" w:type="dxa"/>
                        <w:tcBorders>
                          <w:top w:val="single" w:sz="4" w:space="0" w:color="000000"/>
                          <w:right w:val="dotted" w:sz="4" w:space="0" w:color="A6A6A6"/>
                        </w:tcBorders>
                      </w:tcPr>
                      <w:p w14:paraId="2BCBAA08" w14:textId="77777777" w:rsidR="00C75312" w:rsidRDefault="00BB293A">
                        <w:pPr>
                          <w:pStyle w:val="TableParagraph"/>
                          <w:spacing w:line="229" w:lineRule="exact"/>
                          <w:ind w:left="101"/>
                          <w:rPr>
                            <w:sz w:val="20"/>
                          </w:rPr>
                        </w:pPr>
                        <w:r>
                          <w:rPr>
                            <w:sz w:val="20"/>
                          </w:rPr>
                          <w:t>Digit ordering</w:t>
                        </w:r>
                      </w:p>
                    </w:tc>
                    <w:tc>
                      <w:tcPr>
                        <w:tcW w:w="886" w:type="dxa"/>
                        <w:tcBorders>
                          <w:top w:val="single" w:sz="4" w:space="0" w:color="000000"/>
                          <w:left w:val="dotted" w:sz="4" w:space="0" w:color="A6A6A6"/>
                        </w:tcBorders>
                      </w:tcPr>
                      <w:p w14:paraId="3F46B8CB" w14:textId="77777777" w:rsidR="00C75312" w:rsidRDefault="00C75312">
                        <w:pPr>
                          <w:pStyle w:val="TableParagraph"/>
                          <w:rPr>
                            <w:sz w:val="18"/>
                          </w:rPr>
                        </w:pPr>
                      </w:p>
                    </w:tc>
                    <w:tc>
                      <w:tcPr>
                        <w:tcW w:w="1087" w:type="dxa"/>
                        <w:tcBorders>
                          <w:top w:val="single" w:sz="4" w:space="0" w:color="000000"/>
                        </w:tcBorders>
                      </w:tcPr>
                      <w:p w14:paraId="172C0CF4" w14:textId="77777777" w:rsidR="00C75312" w:rsidRDefault="00C75312">
                        <w:pPr>
                          <w:pStyle w:val="TableParagraph"/>
                          <w:rPr>
                            <w:sz w:val="18"/>
                          </w:rPr>
                        </w:pPr>
                      </w:p>
                    </w:tc>
                    <w:tc>
                      <w:tcPr>
                        <w:tcW w:w="909" w:type="dxa"/>
                        <w:tcBorders>
                          <w:top w:val="single" w:sz="4" w:space="0" w:color="000000"/>
                        </w:tcBorders>
                      </w:tcPr>
                      <w:p w14:paraId="0FF9B1E1" w14:textId="77777777" w:rsidR="00C75312" w:rsidRDefault="00C75312">
                        <w:pPr>
                          <w:pStyle w:val="TableParagraph"/>
                          <w:rPr>
                            <w:sz w:val="18"/>
                          </w:rPr>
                        </w:pPr>
                      </w:p>
                    </w:tc>
                  </w:tr>
                  <w:tr w:rsidR="00C75312" w14:paraId="6E4C55AF" w14:textId="77777777">
                    <w:trPr>
                      <w:trHeight w:val="287"/>
                    </w:trPr>
                    <w:tc>
                      <w:tcPr>
                        <w:tcW w:w="763" w:type="dxa"/>
                        <w:tcBorders>
                          <w:bottom w:val="single" w:sz="4" w:space="0" w:color="000000"/>
                        </w:tcBorders>
                      </w:tcPr>
                      <w:p w14:paraId="4F9B7284" w14:textId="77777777" w:rsidR="00C75312" w:rsidRDefault="00C75312">
                        <w:pPr>
                          <w:pStyle w:val="TableParagraph"/>
                          <w:rPr>
                            <w:sz w:val="18"/>
                          </w:rPr>
                        </w:pPr>
                      </w:p>
                    </w:tc>
                    <w:tc>
                      <w:tcPr>
                        <w:tcW w:w="1507" w:type="dxa"/>
                        <w:tcBorders>
                          <w:bottom w:val="single" w:sz="4" w:space="0" w:color="000000"/>
                        </w:tcBorders>
                      </w:tcPr>
                      <w:p w14:paraId="19850C65" w14:textId="77777777" w:rsidR="00C75312" w:rsidRDefault="00C75312">
                        <w:pPr>
                          <w:pStyle w:val="TableParagraph"/>
                          <w:rPr>
                            <w:sz w:val="18"/>
                          </w:rPr>
                        </w:pPr>
                      </w:p>
                    </w:tc>
                    <w:tc>
                      <w:tcPr>
                        <w:tcW w:w="971" w:type="dxa"/>
                        <w:tcBorders>
                          <w:bottom w:val="single" w:sz="4" w:space="0" w:color="000000"/>
                        </w:tcBorders>
                      </w:tcPr>
                      <w:p w14:paraId="20393B63" w14:textId="77777777" w:rsidR="00C75312" w:rsidRDefault="00C75312">
                        <w:pPr>
                          <w:pStyle w:val="TableParagraph"/>
                          <w:rPr>
                            <w:sz w:val="18"/>
                          </w:rPr>
                        </w:pPr>
                      </w:p>
                    </w:tc>
                    <w:tc>
                      <w:tcPr>
                        <w:tcW w:w="997" w:type="dxa"/>
                        <w:tcBorders>
                          <w:bottom w:val="single" w:sz="4" w:space="0" w:color="000000"/>
                        </w:tcBorders>
                      </w:tcPr>
                      <w:p w14:paraId="4EA7FD63" w14:textId="77777777" w:rsidR="00C75312" w:rsidRDefault="00C75312">
                        <w:pPr>
                          <w:pStyle w:val="TableParagraph"/>
                          <w:rPr>
                            <w:sz w:val="18"/>
                          </w:rPr>
                        </w:pPr>
                      </w:p>
                    </w:tc>
                    <w:tc>
                      <w:tcPr>
                        <w:tcW w:w="1075" w:type="dxa"/>
                        <w:tcBorders>
                          <w:bottom w:val="single" w:sz="4" w:space="0" w:color="000000"/>
                        </w:tcBorders>
                      </w:tcPr>
                      <w:p w14:paraId="1DB09031" w14:textId="77777777" w:rsidR="00C75312" w:rsidRDefault="00C75312">
                        <w:pPr>
                          <w:pStyle w:val="TableParagraph"/>
                          <w:rPr>
                            <w:sz w:val="18"/>
                          </w:rPr>
                        </w:pPr>
                      </w:p>
                    </w:tc>
                    <w:tc>
                      <w:tcPr>
                        <w:tcW w:w="1120" w:type="dxa"/>
                        <w:tcBorders>
                          <w:bottom w:val="single" w:sz="4" w:space="0" w:color="000000"/>
                        </w:tcBorders>
                      </w:tcPr>
                      <w:p w14:paraId="19985762" w14:textId="77777777" w:rsidR="00C75312" w:rsidRDefault="00BB293A">
                        <w:pPr>
                          <w:pStyle w:val="TableParagraph"/>
                          <w:spacing w:before="15"/>
                          <w:ind w:left="106"/>
                          <w:rPr>
                            <w:sz w:val="13"/>
                          </w:rPr>
                        </w:pPr>
                        <w:r>
                          <w:rPr>
                            <w:sz w:val="20"/>
                          </w:rPr>
                          <w:t>r = -.38</w:t>
                        </w:r>
                        <w:r>
                          <w:rPr>
                            <w:position w:val="7"/>
                            <w:sz w:val="13"/>
                          </w:rPr>
                          <w:t>*4</w:t>
                        </w:r>
                      </w:p>
                    </w:tc>
                    <w:tc>
                      <w:tcPr>
                        <w:tcW w:w="1150" w:type="dxa"/>
                        <w:tcBorders>
                          <w:bottom w:val="single" w:sz="4" w:space="0" w:color="000000"/>
                        </w:tcBorders>
                      </w:tcPr>
                      <w:p w14:paraId="045D0B32" w14:textId="77777777" w:rsidR="00C75312" w:rsidRDefault="00C75312">
                        <w:pPr>
                          <w:pStyle w:val="TableParagraph"/>
                          <w:rPr>
                            <w:sz w:val="18"/>
                          </w:rPr>
                        </w:pPr>
                      </w:p>
                    </w:tc>
                    <w:tc>
                      <w:tcPr>
                        <w:tcW w:w="1116" w:type="dxa"/>
                        <w:tcBorders>
                          <w:bottom w:val="single" w:sz="4" w:space="0" w:color="000000"/>
                        </w:tcBorders>
                      </w:tcPr>
                      <w:p w14:paraId="0083204F" w14:textId="77777777" w:rsidR="00C75312" w:rsidRDefault="00C75312">
                        <w:pPr>
                          <w:pStyle w:val="TableParagraph"/>
                          <w:rPr>
                            <w:sz w:val="18"/>
                          </w:rPr>
                        </w:pPr>
                      </w:p>
                    </w:tc>
                    <w:tc>
                      <w:tcPr>
                        <w:tcW w:w="1030" w:type="dxa"/>
                        <w:tcBorders>
                          <w:bottom w:val="single" w:sz="4" w:space="0" w:color="000000"/>
                        </w:tcBorders>
                      </w:tcPr>
                      <w:p w14:paraId="417B3171" w14:textId="77777777" w:rsidR="00C75312" w:rsidRDefault="00C75312">
                        <w:pPr>
                          <w:pStyle w:val="TableParagraph"/>
                          <w:rPr>
                            <w:sz w:val="18"/>
                          </w:rPr>
                        </w:pPr>
                      </w:p>
                    </w:tc>
                    <w:tc>
                      <w:tcPr>
                        <w:tcW w:w="1589" w:type="dxa"/>
                        <w:tcBorders>
                          <w:bottom w:val="single" w:sz="4" w:space="0" w:color="000000"/>
                          <w:right w:val="dotted" w:sz="4" w:space="0" w:color="A6A6A6"/>
                        </w:tcBorders>
                      </w:tcPr>
                      <w:p w14:paraId="2E24A57A" w14:textId="77777777" w:rsidR="00C75312" w:rsidRDefault="00BB293A">
                        <w:pPr>
                          <w:pStyle w:val="TableParagraph"/>
                          <w:spacing w:before="15"/>
                          <w:ind w:left="101"/>
                          <w:rPr>
                            <w:sz w:val="13"/>
                          </w:rPr>
                        </w:pPr>
                        <w:r>
                          <w:rPr>
                            <w:sz w:val="20"/>
                          </w:rPr>
                          <w:t>r = .33</w:t>
                        </w:r>
                        <w:r>
                          <w:rPr>
                            <w:position w:val="7"/>
                            <w:sz w:val="13"/>
                          </w:rPr>
                          <w:t>4</w:t>
                        </w:r>
                      </w:p>
                    </w:tc>
                    <w:tc>
                      <w:tcPr>
                        <w:tcW w:w="886" w:type="dxa"/>
                        <w:tcBorders>
                          <w:left w:val="dotted" w:sz="4" w:space="0" w:color="A6A6A6"/>
                          <w:bottom w:val="single" w:sz="4" w:space="0" w:color="000000"/>
                        </w:tcBorders>
                      </w:tcPr>
                      <w:p w14:paraId="4EED0E10" w14:textId="77777777" w:rsidR="00C75312" w:rsidRDefault="00C75312">
                        <w:pPr>
                          <w:pStyle w:val="TableParagraph"/>
                          <w:rPr>
                            <w:sz w:val="18"/>
                          </w:rPr>
                        </w:pPr>
                      </w:p>
                    </w:tc>
                    <w:tc>
                      <w:tcPr>
                        <w:tcW w:w="1087" w:type="dxa"/>
                        <w:tcBorders>
                          <w:bottom w:val="single" w:sz="4" w:space="0" w:color="000000"/>
                        </w:tcBorders>
                      </w:tcPr>
                      <w:p w14:paraId="7741665C" w14:textId="77777777" w:rsidR="00C75312" w:rsidRDefault="00C75312">
                        <w:pPr>
                          <w:pStyle w:val="TableParagraph"/>
                          <w:rPr>
                            <w:sz w:val="18"/>
                          </w:rPr>
                        </w:pPr>
                      </w:p>
                    </w:tc>
                    <w:tc>
                      <w:tcPr>
                        <w:tcW w:w="909" w:type="dxa"/>
                        <w:tcBorders>
                          <w:bottom w:val="single" w:sz="4" w:space="0" w:color="000000"/>
                        </w:tcBorders>
                      </w:tcPr>
                      <w:p w14:paraId="2300BC81" w14:textId="77777777" w:rsidR="00C75312" w:rsidRDefault="00C75312">
                        <w:pPr>
                          <w:pStyle w:val="TableParagraph"/>
                          <w:rPr>
                            <w:sz w:val="18"/>
                          </w:rPr>
                        </w:pPr>
                      </w:p>
                    </w:tc>
                  </w:tr>
                  <w:tr w:rsidR="00C75312" w:rsidRPr="002C3022" w14:paraId="36E4CB37" w14:textId="77777777">
                    <w:trPr>
                      <w:trHeight w:val="1621"/>
                    </w:trPr>
                    <w:tc>
                      <w:tcPr>
                        <w:tcW w:w="763" w:type="dxa"/>
                        <w:tcBorders>
                          <w:top w:val="single" w:sz="4" w:space="0" w:color="000000"/>
                        </w:tcBorders>
                      </w:tcPr>
                      <w:p w14:paraId="01801CF4" w14:textId="77777777" w:rsidR="00C75312" w:rsidRDefault="00BB293A">
                        <w:pPr>
                          <w:pStyle w:val="TableParagraph"/>
                          <w:ind w:left="120" w:right="89"/>
                          <w:rPr>
                            <w:sz w:val="20"/>
                          </w:rPr>
                        </w:pPr>
                        <w:r>
                          <w:rPr>
                            <w:sz w:val="20"/>
                          </w:rPr>
                          <w:t>Event- based</w:t>
                        </w:r>
                      </w:p>
                    </w:tc>
                    <w:tc>
                      <w:tcPr>
                        <w:tcW w:w="1507" w:type="dxa"/>
                        <w:tcBorders>
                          <w:top w:val="single" w:sz="4" w:space="0" w:color="000000"/>
                          <w:bottom w:val="single" w:sz="4" w:space="0" w:color="000000"/>
                        </w:tcBorders>
                      </w:tcPr>
                      <w:p w14:paraId="2AE37237" w14:textId="77777777" w:rsidR="00C75312" w:rsidRDefault="00BB293A">
                        <w:pPr>
                          <w:pStyle w:val="TableParagraph"/>
                          <w:tabs>
                            <w:tab w:val="left" w:pos="724"/>
                          </w:tabs>
                          <w:ind w:left="110"/>
                          <w:rPr>
                            <w:sz w:val="20"/>
                          </w:rPr>
                        </w:pPr>
                        <w:r>
                          <w:rPr>
                            <w:sz w:val="20"/>
                          </w:rPr>
                          <w:t>ASD</w:t>
                        </w:r>
                        <w:r>
                          <w:rPr>
                            <w:sz w:val="20"/>
                          </w:rPr>
                          <w:tab/>
                          <w:t>N/A</w:t>
                        </w:r>
                      </w:p>
                    </w:tc>
                    <w:tc>
                      <w:tcPr>
                        <w:tcW w:w="971" w:type="dxa"/>
                        <w:tcBorders>
                          <w:top w:val="single" w:sz="4" w:space="0" w:color="000000"/>
                          <w:bottom w:val="single" w:sz="4" w:space="0" w:color="000000"/>
                        </w:tcBorders>
                      </w:tcPr>
                      <w:p w14:paraId="72A17CF3" w14:textId="77777777" w:rsidR="00C75312" w:rsidRDefault="00BB293A">
                        <w:pPr>
                          <w:pStyle w:val="TableParagraph"/>
                          <w:spacing w:line="230" w:lineRule="exact"/>
                          <w:ind w:left="125"/>
                          <w:rPr>
                            <w:sz w:val="13"/>
                          </w:rPr>
                        </w:pPr>
                        <w:r>
                          <w:rPr>
                            <w:sz w:val="20"/>
                          </w:rPr>
                          <w:t>r = -.48</w:t>
                        </w:r>
                        <w:r>
                          <w:rPr>
                            <w:position w:val="7"/>
                            <w:sz w:val="13"/>
                          </w:rPr>
                          <w:t>*2</w:t>
                        </w:r>
                      </w:p>
                    </w:tc>
                    <w:tc>
                      <w:tcPr>
                        <w:tcW w:w="997" w:type="dxa"/>
                        <w:tcBorders>
                          <w:top w:val="single" w:sz="4" w:space="0" w:color="000000"/>
                          <w:bottom w:val="single" w:sz="4" w:space="0" w:color="000000"/>
                        </w:tcBorders>
                      </w:tcPr>
                      <w:p w14:paraId="38435ADF" w14:textId="77777777" w:rsidR="00C75312" w:rsidRDefault="00BB293A">
                        <w:pPr>
                          <w:pStyle w:val="TableParagraph"/>
                          <w:ind w:left="119"/>
                          <w:rPr>
                            <w:sz w:val="20"/>
                          </w:rPr>
                        </w:pPr>
                        <w:r>
                          <w:rPr>
                            <w:sz w:val="20"/>
                          </w:rPr>
                          <w:t>NVIQ</w:t>
                        </w:r>
                      </w:p>
                      <w:p w14:paraId="0B01DE21" w14:textId="77777777" w:rsidR="00C75312" w:rsidRDefault="00BB293A">
                        <w:pPr>
                          <w:pStyle w:val="TableParagraph"/>
                          <w:spacing w:before="39"/>
                          <w:ind w:left="119"/>
                          <w:rPr>
                            <w:sz w:val="13"/>
                          </w:rPr>
                        </w:pPr>
                        <w:r>
                          <w:rPr>
                            <w:sz w:val="20"/>
                          </w:rPr>
                          <w:t>r = .52</w:t>
                        </w:r>
                        <w:r>
                          <w:rPr>
                            <w:position w:val="7"/>
                            <w:sz w:val="13"/>
                          </w:rPr>
                          <w:t>*8</w:t>
                        </w:r>
                      </w:p>
                    </w:tc>
                    <w:tc>
                      <w:tcPr>
                        <w:tcW w:w="1075" w:type="dxa"/>
                        <w:tcBorders>
                          <w:top w:val="single" w:sz="4" w:space="0" w:color="000000"/>
                          <w:bottom w:val="single" w:sz="4" w:space="0" w:color="000000"/>
                        </w:tcBorders>
                      </w:tcPr>
                      <w:p w14:paraId="61B3458B" w14:textId="77777777" w:rsidR="00C75312" w:rsidRDefault="00C75312">
                        <w:pPr>
                          <w:pStyle w:val="TableParagraph"/>
                          <w:rPr>
                            <w:sz w:val="18"/>
                          </w:rPr>
                        </w:pPr>
                      </w:p>
                    </w:tc>
                    <w:tc>
                      <w:tcPr>
                        <w:tcW w:w="1120" w:type="dxa"/>
                        <w:tcBorders>
                          <w:top w:val="single" w:sz="4" w:space="0" w:color="000000"/>
                          <w:bottom w:val="single" w:sz="4" w:space="0" w:color="000000"/>
                        </w:tcBorders>
                      </w:tcPr>
                      <w:p w14:paraId="357FD01F" w14:textId="77777777" w:rsidR="00C75312" w:rsidRDefault="00BB293A">
                        <w:pPr>
                          <w:pStyle w:val="TableParagraph"/>
                          <w:spacing w:line="280" w:lineRule="auto"/>
                          <w:ind w:left="106" w:right="414"/>
                          <w:rPr>
                            <w:sz w:val="13"/>
                          </w:rPr>
                        </w:pPr>
                        <w:r>
                          <w:rPr>
                            <w:sz w:val="20"/>
                          </w:rPr>
                          <w:t>DCCS r =</w:t>
                        </w:r>
                        <w:r>
                          <w:rPr>
                            <w:spacing w:val="4"/>
                            <w:sz w:val="20"/>
                          </w:rPr>
                          <w:t xml:space="preserve"> </w:t>
                        </w:r>
                        <w:r>
                          <w:rPr>
                            <w:spacing w:val="-5"/>
                            <w:sz w:val="20"/>
                          </w:rPr>
                          <w:t>.34</w:t>
                        </w:r>
                        <w:r>
                          <w:rPr>
                            <w:spacing w:val="-5"/>
                            <w:position w:val="7"/>
                            <w:sz w:val="13"/>
                          </w:rPr>
                          <w:t>8</w:t>
                        </w:r>
                      </w:p>
                    </w:tc>
                    <w:tc>
                      <w:tcPr>
                        <w:tcW w:w="1150" w:type="dxa"/>
                        <w:tcBorders>
                          <w:top w:val="single" w:sz="4" w:space="0" w:color="000000"/>
                          <w:bottom w:val="single" w:sz="4" w:space="0" w:color="000000"/>
                        </w:tcBorders>
                      </w:tcPr>
                      <w:p w14:paraId="035FFAF3" w14:textId="77777777" w:rsidR="00C75312" w:rsidRDefault="00BB293A">
                        <w:pPr>
                          <w:pStyle w:val="TableParagraph"/>
                          <w:ind w:left="104"/>
                          <w:rPr>
                            <w:sz w:val="20"/>
                          </w:rPr>
                        </w:pPr>
                        <w:r>
                          <w:rPr>
                            <w:sz w:val="20"/>
                          </w:rPr>
                          <w:t>Not studied</w:t>
                        </w:r>
                      </w:p>
                    </w:tc>
                    <w:tc>
                      <w:tcPr>
                        <w:tcW w:w="1116" w:type="dxa"/>
                        <w:tcBorders>
                          <w:top w:val="single" w:sz="4" w:space="0" w:color="000000"/>
                          <w:bottom w:val="single" w:sz="4" w:space="0" w:color="000000"/>
                        </w:tcBorders>
                      </w:tcPr>
                      <w:p w14:paraId="142AECE9" w14:textId="77777777" w:rsidR="00C75312" w:rsidRDefault="00BB293A">
                        <w:pPr>
                          <w:pStyle w:val="TableParagraph"/>
                          <w:spacing w:line="230" w:lineRule="exact"/>
                          <w:ind w:left="101"/>
                          <w:rPr>
                            <w:sz w:val="13"/>
                          </w:rPr>
                        </w:pPr>
                        <w:r>
                          <w:rPr>
                            <w:sz w:val="20"/>
                          </w:rPr>
                          <w:t>r = .45</w:t>
                        </w:r>
                        <w:r>
                          <w:rPr>
                            <w:position w:val="7"/>
                            <w:sz w:val="13"/>
                          </w:rPr>
                          <w:t>*7</w:t>
                        </w:r>
                      </w:p>
                    </w:tc>
                    <w:tc>
                      <w:tcPr>
                        <w:tcW w:w="1030" w:type="dxa"/>
                        <w:tcBorders>
                          <w:top w:val="single" w:sz="4" w:space="0" w:color="000000"/>
                          <w:bottom w:val="single" w:sz="4" w:space="0" w:color="000000"/>
                        </w:tcBorders>
                      </w:tcPr>
                      <w:p w14:paraId="4DCF55B3" w14:textId="77777777" w:rsidR="00C75312" w:rsidRDefault="00C75312">
                        <w:pPr>
                          <w:pStyle w:val="TableParagraph"/>
                          <w:rPr>
                            <w:sz w:val="18"/>
                          </w:rPr>
                        </w:pPr>
                      </w:p>
                    </w:tc>
                    <w:tc>
                      <w:tcPr>
                        <w:tcW w:w="1589" w:type="dxa"/>
                        <w:tcBorders>
                          <w:top w:val="single" w:sz="4" w:space="0" w:color="000000"/>
                          <w:bottom w:val="single" w:sz="4" w:space="0" w:color="000000"/>
                          <w:right w:val="dotted" w:sz="4" w:space="0" w:color="A6A6A6"/>
                        </w:tcBorders>
                      </w:tcPr>
                      <w:p w14:paraId="26179091" w14:textId="77777777" w:rsidR="00C75312" w:rsidRDefault="00BB293A">
                        <w:pPr>
                          <w:pStyle w:val="TableParagraph"/>
                          <w:spacing w:line="259" w:lineRule="auto"/>
                          <w:ind w:left="101"/>
                          <w:rPr>
                            <w:sz w:val="20"/>
                          </w:rPr>
                        </w:pPr>
                        <w:r>
                          <w:rPr>
                            <w:sz w:val="20"/>
                          </w:rPr>
                          <w:t xml:space="preserve">Verbal </w:t>
                        </w:r>
                        <w:r>
                          <w:rPr>
                            <w:spacing w:val="-3"/>
                            <w:sz w:val="20"/>
                          </w:rPr>
                          <w:t xml:space="preserve">complex </w:t>
                        </w:r>
                        <w:r>
                          <w:rPr>
                            <w:sz w:val="20"/>
                          </w:rPr>
                          <w:t>span r = -.36</w:t>
                        </w:r>
                        <w:r>
                          <w:rPr>
                            <w:position w:val="7"/>
                            <w:sz w:val="13"/>
                          </w:rPr>
                          <w:t xml:space="preserve">7 </w:t>
                        </w:r>
                        <w:r>
                          <w:rPr>
                            <w:sz w:val="20"/>
                          </w:rPr>
                          <w:t>Verbal</w:t>
                        </w:r>
                        <w:r>
                          <w:rPr>
                            <w:spacing w:val="2"/>
                            <w:sz w:val="20"/>
                          </w:rPr>
                          <w:t xml:space="preserve"> </w:t>
                        </w:r>
                        <w:r>
                          <w:rPr>
                            <w:sz w:val="20"/>
                          </w:rPr>
                          <w:t>storage</w:t>
                        </w:r>
                      </w:p>
                      <w:p w14:paraId="7111CAA9" w14:textId="77777777" w:rsidR="00C75312" w:rsidRDefault="00BB293A">
                        <w:pPr>
                          <w:pStyle w:val="TableParagraph"/>
                          <w:spacing w:line="210" w:lineRule="exact"/>
                          <w:ind w:left="101"/>
                          <w:rPr>
                            <w:sz w:val="13"/>
                          </w:rPr>
                        </w:pPr>
                        <w:r>
                          <w:rPr>
                            <w:sz w:val="20"/>
                          </w:rPr>
                          <w:t>span r =</w:t>
                        </w:r>
                        <w:r>
                          <w:rPr>
                            <w:spacing w:val="-5"/>
                            <w:sz w:val="20"/>
                          </w:rPr>
                          <w:t xml:space="preserve"> </w:t>
                        </w:r>
                        <w:r>
                          <w:rPr>
                            <w:sz w:val="20"/>
                          </w:rPr>
                          <w:t>-.52</w:t>
                        </w:r>
                        <w:r>
                          <w:rPr>
                            <w:position w:val="7"/>
                            <w:sz w:val="13"/>
                          </w:rPr>
                          <w:t>*7</w:t>
                        </w:r>
                      </w:p>
                      <w:p w14:paraId="5298BA3E" w14:textId="77777777" w:rsidR="00C75312" w:rsidRDefault="00BB293A">
                        <w:pPr>
                          <w:pStyle w:val="TableParagraph"/>
                          <w:spacing w:before="44" w:line="276" w:lineRule="auto"/>
                          <w:ind w:left="101" w:right="568"/>
                          <w:rPr>
                            <w:sz w:val="13"/>
                          </w:rPr>
                        </w:pPr>
                        <w:r>
                          <w:rPr>
                            <w:sz w:val="20"/>
                          </w:rPr>
                          <w:t>Block span r = .45</w:t>
                        </w:r>
                        <w:r>
                          <w:rPr>
                            <w:position w:val="7"/>
                            <w:sz w:val="13"/>
                          </w:rPr>
                          <w:t>*8</w:t>
                        </w:r>
                      </w:p>
                    </w:tc>
                    <w:tc>
                      <w:tcPr>
                        <w:tcW w:w="886" w:type="dxa"/>
                        <w:tcBorders>
                          <w:top w:val="single" w:sz="4" w:space="0" w:color="000000"/>
                          <w:left w:val="dotted" w:sz="4" w:space="0" w:color="A6A6A6"/>
                          <w:bottom w:val="single" w:sz="4" w:space="0" w:color="000000"/>
                        </w:tcBorders>
                      </w:tcPr>
                      <w:p w14:paraId="482DB84F" w14:textId="77777777" w:rsidR="00C75312" w:rsidRDefault="00C75312">
                        <w:pPr>
                          <w:pStyle w:val="TableParagraph"/>
                          <w:rPr>
                            <w:sz w:val="18"/>
                          </w:rPr>
                        </w:pPr>
                      </w:p>
                    </w:tc>
                    <w:tc>
                      <w:tcPr>
                        <w:tcW w:w="1087" w:type="dxa"/>
                        <w:tcBorders>
                          <w:top w:val="single" w:sz="4" w:space="0" w:color="000000"/>
                          <w:bottom w:val="single" w:sz="4" w:space="0" w:color="000000"/>
                        </w:tcBorders>
                      </w:tcPr>
                      <w:p w14:paraId="1D049C19" w14:textId="77777777" w:rsidR="00C75312" w:rsidRPr="002C3022" w:rsidRDefault="00BB293A">
                        <w:pPr>
                          <w:pStyle w:val="TableParagraph"/>
                          <w:ind w:left="117"/>
                          <w:rPr>
                            <w:sz w:val="20"/>
                            <w:lang w:val="es-ES"/>
                          </w:rPr>
                        </w:pPr>
                        <w:r w:rsidRPr="002C3022">
                          <w:rPr>
                            <w:sz w:val="20"/>
                            <w:lang w:val="es-ES"/>
                          </w:rPr>
                          <w:t>CARS</w:t>
                        </w:r>
                      </w:p>
                      <w:p w14:paraId="54E5260D" w14:textId="77777777" w:rsidR="00C75312" w:rsidRPr="002C3022" w:rsidRDefault="00BB293A">
                        <w:pPr>
                          <w:pStyle w:val="TableParagraph"/>
                          <w:spacing w:before="39" w:line="280" w:lineRule="auto"/>
                          <w:ind w:left="117" w:right="114"/>
                          <w:rPr>
                            <w:sz w:val="20"/>
                            <w:lang w:val="es-ES"/>
                          </w:rPr>
                        </w:pPr>
                        <w:r w:rsidRPr="002C3022">
                          <w:rPr>
                            <w:sz w:val="20"/>
                            <w:lang w:val="es-ES"/>
                          </w:rPr>
                          <w:t>r = -.34</w:t>
                        </w:r>
                        <w:r w:rsidRPr="002C3022">
                          <w:rPr>
                            <w:position w:val="7"/>
                            <w:sz w:val="13"/>
                            <w:lang w:val="es-ES"/>
                          </w:rPr>
                          <w:t xml:space="preserve">†9 </w:t>
                        </w:r>
                        <w:r w:rsidRPr="002C3022">
                          <w:rPr>
                            <w:sz w:val="20"/>
                            <w:lang w:val="es-ES"/>
                          </w:rPr>
                          <w:t>ADOS-SC</w:t>
                        </w:r>
                      </w:p>
                      <w:p w14:paraId="75F198AF" w14:textId="77777777" w:rsidR="00C75312" w:rsidRPr="002C3022" w:rsidRDefault="00C75312">
                        <w:pPr>
                          <w:pStyle w:val="TableParagraph"/>
                          <w:spacing w:before="4"/>
                          <w:rPr>
                            <w:i/>
                            <w:sz w:val="23"/>
                            <w:lang w:val="es-ES"/>
                          </w:rPr>
                        </w:pPr>
                      </w:p>
                      <w:p w14:paraId="507B7B38" w14:textId="77777777" w:rsidR="00C75312" w:rsidRPr="002C3022" w:rsidRDefault="00BB293A">
                        <w:pPr>
                          <w:pStyle w:val="TableParagraph"/>
                          <w:ind w:left="117"/>
                          <w:rPr>
                            <w:sz w:val="20"/>
                            <w:lang w:val="es-ES"/>
                          </w:rPr>
                        </w:pPr>
                        <w:r w:rsidRPr="002C3022">
                          <w:rPr>
                            <w:sz w:val="20"/>
                            <w:lang w:val="es-ES"/>
                          </w:rPr>
                          <w:t>ADOS-R</w:t>
                        </w:r>
                      </w:p>
                    </w:tc>
                    <w:tc>
                      <w:tcPr>
                        <w:tcW w:w="909" w:type="dxa"/>
                        <w:tcBorders>
                          <w:top w:val="single" w:sz="4" w:space="0" w:color="000000"/>
                          <w:bottom w:val="single" w:sz="4" w:space="0" w:color="000000"/>
                        </w:tcBorders>
                      </w:tcPr>
                      <w:p w14:paraId="2C32E0BF" w14:textId="77777777" w:rsidR="00C75312" w:rsidRPr="002C3022" w:rsidRDefault="00C75312">
                        <w:pPr>
                          <w:pStyle w:val="TableParagraph"/>
                          <w:rPr>
                            <w:sz w:val="18"/>
                            <w:lang w:val="es-ES"/>
                          </w:rPr>
                        </w:pPr>
                      </w:p>
                    </w:tc>
                  </w:tr>
                  <w:tr w:rsidR="00C75312" w14:paraId="7445D563" w14:textId="77777777">
                    <w:trPr>
                      <w:trHeight w:val="502"/>
                    </w:trPr>
                    <w:tc>
                      <w:tcPr>
                        <w:tcW w:w="763" w:type="dxa"/>
                      </w:tcPr>
                      <w:p w14:paraId="0254CFEE" w14:textId="77777777" w:rsidR="00C75312" w:rsidRPr="002C3022" w:rsidRDefault="00C75312">
                        <w:pPr>
                          <w:pStyle w:val="TableParagraph"/>
                          <w:rPr>
                            <w:sz w:val="18"/>
                            <w:lang w:val="es-ES"/>
                          </w:rPr>
                        </w:pPr>
                      </w:p>
                    </w:tc>
                    <w:tc>
                      <w:tcPr>
                        <w:tcW w:w="1507" w:type="dxa"/>
                        <w:tcBorders>
                          <w:top w:val="single" w:sz="4" w:space="0" w:color="000000"/>
                        </w:tcBorders>
                      </w:tcPr>
                      <w:p w14:paraId="0AB993DD" w14:textId="77777777" w:rsidR="00C75312" w:rsidRDefault="00BB293A">
                        <w:pPr>
                          <w:pStyle w:val="TableParagraph"/>
                          <w:tabs>
                            <w:tab w:val="left" w:pos="724"/>
                          </w:tabs>
                          <w:ind w:left="110"/>
                          <w:rPr>
                            <w:sz w:val="20"/>
                          </w:rPr>
                        </w:pPr>
                        <w:r>
                          <w:rPr>
                            <w:sz w:val="20"/>
                          </w:rPr>
                          <w:t>NT</w:t>
                        </w:r>
                        <w:r>
                          <w:rPr>
                            <w:sz w:val="20"/>
                          </w:rPr>
                          <w:tab/>
                          <w:t>N/A</w:t>
                        </w:r>
                      </w:p>
                    </w:tc>
                    <w:tc>
                      <w:tcPr>
                        <w:tcW w:w="971" w:type="dxa"/>
                        <w:tcBorders>
                          <w:top w:val="single" w:sz="4" w:space="0" w:color="000000"/>
                        </w:tcBorders>
                      </w:tcPr>
                      <w:p w14:paraId="0C6A33D2" w14:textId="77777777" w:rsidR="00C75312" w:rsidRDefault="00BB293A">
                        <w:pPr>
                          <w:pStyle w:val="TableParagraph"/>
                          <w:spacing w:line="230" w:lineRule="exact"/>
                          <w:ind w:left="125"/>
                          <w:rPr>
                            <w:sz w:val="13"/>
                          </w:rPr>
                        </w:pPr>
                        <w:r>
                          <w:rPr>
                            <w:sz w:val="20"/>
                          </w:rPr>
                          <w:t>r = -.31</w:t>
                        </w:r>
                        <w:r>
                          <w:rPr>
                            <w:position w:val="7"/>
                            <w:sz w:val="13"/>
                          </w:rPr>
                          <w:t>2</w:t>
                        </w:r>
                      </w:p>
                    </w:tc>
                    <w:tc>
                      <w:tcPr>
                        <w:tcW w:w="997" w:type="dxa"/>
                        <w:tcBorders>
                          <w:top w:val="single" w:sz="4" w:space="0" w:color="000000"/>
                        </w:tcBorders>
                      </w:tcPr>
                      <w:p w14:paraId="6152C20A" w14:textId="77777777" w:rsidR="00C75312" w:rsidRDefault="00BB293A">
                        <w:pPr>
                          <w:pStyle w:val="TableParagraph"/>
                          <w:ind w:left="119"/>
                          <w:rPr>
                            <w:sz w:val="20"/>
                          </w:rPr>
                        </w:pPr>
                        <w:r>
                          <w:rPr>
                            <w:sz w:val="20"/>
                          </w:rPr>
                          <w:t>NVIQ</w:t>
                        </w:r>
                      </w:p>
                      <w:p w14:paraId="3EEAE482" w14:textId="77777777" w:rsidR="00C75312" w:rsidRDefault="00BB293A">
                        <w:pPr>
                          <w:pStyle w:val="TableParagraph"/>
                          <w:spacing w:before="34" w:line="219" w:lineRule="exact"/>
                          <w:ind w:left="119"/>
                          <w:rPr>
                            <w:sz w:val="13"/>
                          </w:rPr>
                        </w:pPr>
                        <w:r>
                          <w:rPr>
                            <w:sz w:val="20"/>
                          </w:rPr>
                          <w:t>r = .34</w:t>
                        </w:r>
                        <w:r>
                          <w:rPr>
                            <w:position w:val="7"/>
                            <w:sz w:val="13"/>
                          </w:rPr>
                          <w:t>8</w:t>
                        </w:r>
                      </w:p>
                    </w:tc>
                    <w:tc>
                      <w:tcPr>
                        <w:tcW w:w="1075" w:type="dxa"/>
                        <w:tcBorders>
                          <w:top w:val="single" w:sz="4" w:space="0" w:color="000000"/>
                        </w:tcBorders>
                      </w:tcPr>
                      <w:p w14:paraId="544D313B" w14:textId="77777777" w:rsidR="00C75312" w:rsidRDefault="00BB293A">
                        <w:pPr>
                          <w:pStyle w:val="TableParagraph"/>
                          <w:ind w:left="106"/>
                          <w:rPr>
                            <w:sz w:val="20"/>
                          </w:rPr>
                        </w:pPr>
                        <w:r>
                          <w:rPr>
                            <w:sz w:val="20"/>
                          </w:rPr>
                          <w:t>Stroop</w:t>
                        </w:r>
                      </w:p>
                      <w:p w14:paraId="306694C1" w14:textId="77777777" w:rsidR="00C75312" w:rsidRDefault="00BB293A">
                        <w:pPr>
                          <w:pStyle w:val="TableParagraph"/>
                          <w:spacing w:before="34" w:line="219" w:lineRule="exact"/>
                          <w:ind w:left="106"/>
                          <w:rPr>
                            <w:sz w:val="13"/>
                          </w:rPr>
                        </w:pPr>
                        <w:r>
                          <w:rPr>
                            <w:sz w:val="20"/>
                          </w:rPr>
                          <w:t>r = .56</w:t>
                        </w:r>
                        <w:r>
                          <w:rPr>
                            <w:position w:val="7"/>
                            <w:sz w:val="13"/>
                          </w:rPr>
                          <w:t>*8</w:t>
                        </w:r>
                      </w:p>
                    </w:tc>
                    <w:tc>
                      <w:tcPr>
                        <w:tcW w:w="1120" w:type="dxa"/>
                        <w:tcBorders>
                          <w:top w:val="single" w:sz="4" w:space="0" w:color="000000"/>
                        </w:tcBorders>
                      </w:tcPr>
                      <w:p w14:paraId="6A656E4D" w14:textId="77777777" w:rsidR="00C75312" w:rsidRDefault="00BB293A">
                        <w:pPr>
                          <w:pStyle w:val="TableParagraph"/>
                          <w:ind w:left="106"/>
                          <w:rPr>
                            <w:sz w:val="20"/>
                          </w:rPr>
                        </w:pPr>
                        <w:r>
                          <w:rPr>
                            <w:sz w:val="20"/>
                          </w:rPr>
                          <w:t>TMT</w:t>
                        </w:r>
                      </w:p>
                      <w:p w14:paraId="50457708" w14:textId="77777777" w:rsidR="00C75312" w:rsidRDefault="00BB293A">
                        <w:pPr>
                          <w:pStyle w:val="TableParagraph"/>
                          <w:spacing w:before="34" w:line="219" w:lineRule="exact"/>
                          <w:ind w:left="106"/>
                          <w:rPr>
                            <w:sz w:val="13"/>
                          </w:rPr>
                        </w:pPr>
                        <w:r>
                          <w:rPr>
                            <w:sz w:val="20"/>
                          </w:rPr>
                          <w:t>r = .32</w:t>
                        </w:r>
                        <w:r>
                          <w:rPr>
                            <w:position w:val="7"/>
                            <w:sz w:val="13"/>
                          </w:rPr>
                          <w:t>6</w:t>
                        </w:r>
                      </w:p>
                    </w:tc>
                    <w:tc>
                      <w:tcPr>
                        <w:tcW w:w="1150" w:type="dxa"/>
                        <w:tcBorders>
                          <w:top w:val="single" w:sz="4" w:space="0" w:color="000000"/>
                        </w:tcBorders>
                      </w:tcPr>
                      <w:p w14:paraId="13F45FCD" w14:textId="77777777" w:rsidR="00C75312" w:rsidRDefault="00BB293A">
                        <w:pPr>
                          <w:pStyle w:val="TableParagraph"/>
                          <w:ind w:left="104"/>
                          <w:rPr>
                            <w:sz w:val="20"/>
                          </w:rPr>
                        </w:pPr>
                        <w:r>
                          <w:rPr>
                            <w:sz w:val="20"/>
                          </w:rPr>
                          <w:t>Not studied</w:t>
                        </w:r>
                      </w:p>
                    </w:tc>
                    <w:tc>
                      <w:tcPr>
                        <w:tcW w:w="1116" w:type="dxa"/>
                        <w:tcBorders>
                          <w:top w:val="single" w:sz="4" w:space="0" w:color="000000"/>
                        </w:tcBorders>
                      </w:tcPr>
                      <w:p w14:paraId="210BF28C" w14:textId="77777777" w:rsidR="00C75312" w:rsidRDefault="00C75312">
                        <w:pPr>
                          <w:pStyle w:val="TableParagraph"/>
                          <w:rPr>
                            <w:sz w:val="18"/>
                          </w:rPr>
                        </w:pPr>
                      </w:p>
                    </w:tc>
                    <w:tc>
                      <w:tcPr>
                        <w:tcW w:w="1030" w:type="dxa"/>
                        <w:tcBorders>
                          <w:top w:val="single" w:sz="4" w:space="0" w:color="000000"/>
                        </w:tcBorders>
                      </w:tcPr>
                      <w:p w14:paraId="6264ABBD" w14:textId="77777777" w:rsidR="00C75312" w:rsidRDefault="00BB293A">
                        <w:pPr>
                          <w:pStyle w:val="TableParagraph"/>
                          <w:spacing w:line="230" w:lineRule="exact"/>
                          <w:ind w:left="104"/>
                          <w:rPr>
                            <w:sz w:val="13"/>
                          </w:rPr>
                        </w:pPr>
                        <w:r>
                          <w:rPr>
                            <w:sz w:val="20"/>
                          </w:rPr>
                          <w:t>r = .43</w:t>
                        </w:r>
                        <w:r>
                          <w:rPr>
                            <w:position w:val="7"/>
                            <w:sz w:val="13"/>
                          </w:rPr>
                          <w:t>*6</w:t>
                        </w:r>
                      </w:p>
                    </w:tc>
                    <w:tc>
                      <w:tcPr>
                        <w:tcW w:w="1589" w:type="dxa"/>
                        <w:tcBorders>
                          <w:top w:val="single" w:sz="4" w:space="0" w:color="000000"/>
                          <w:right w:val="dotted" w:sz="4" w:space="0" w:color="A6A6A6"/>
                        </w:tcBorders>
                      </w:tcPr>
                      <w:p w14:paraId="4B1D6B6B" w14:textId="77777777" w:rsidR="00C75312" w:rsidRDefault="00BB293A">
                        <w:pPr>
                          <w:pStyle w:val="TableParagraph"/>
                          <w:spacing w:before="4" w:line="235" w:lineRule="auto"/>
                          <w:ind w:left="101" w:right="202"/>
                          <w:rPr>
                            <w:sz w:val="13"/>
                          </w:rPr>
                        </w:pPr>
                        <w:r>
                          <w:rPr>
                            <w:sz w:val="20"/>
                          </w:rPr>
                          <w:t>Visual complex span r = -.30</w:t>
                        </w:r>
                        <w:r>
                          <w:rPr>
                            <w:position w:val="7"/>
                            <w:sz w:val="13"/>
                          </w:rPr>
                          <w:t>7</w:t>
                        </w:r>
                      </w:p>
                    </w:tc>
                    <w:tc>
                      <w:tcPr>
                        <w:tcW w:w="886" w:type="dxa"/>
                        <w:tcBorders>
                          <w:top w:val="single" w:sz="4" w:space="0" w:color="000000"/>
                          <w:left w:val="dotted" w:sz="4" w:space="0" w:color="A6A6A6"/>
                        </w:tcBorders>
                      </w:tcPr>
                      <w:p w14:paraId="42AEC814" w14:textId="77777777" w:rsidR="00C75312" w:rsidRDefault="00BB293A">
                        <w:pPr>
                          <w:pStyle w:val="TableParagraph"/>
                          <w:spacing w:line="230" w:lineRule="exact"/>
                          <w:ind w:left="75" w:right="165"/>
                          <w:jc w:val="center"/>
                          <w:rPr>
                            <w:sz w:val="13"/>
                          </w:rPr>
                        </w:pPr>
                        <w:r>
                          <w:rPr>
                            <w:sz w:val="20"/>
                          </w:rPr>
                          <w:t>r = .30</w:t>
                        </w:r>
                        <w:r>
                          <w:rPr>
                            <w:position w:val="7"/>
                            <w:sz w:val="13"/>
                          </w:rPr>
                          <w:t>6</w:t>
                        </w:r>
                      </w:p>
                    </w:tc>
                    <w:tc>
                      <w:tcPr>
                        <w:tcW w:w="1087" w:type="dxa"/>
                        <w:tcBorders>
                          <w:top w:val="single" w:sz="4" w:space="0" w:color="000000"/>
                        </w:tcBorders>
                      </w:tcPr>
                      <w:p w14:paraId="463E89CC" w14:textId="77777777" w:rsidR="00C75312" w:rsidRDefault="00C75312">
                        <w:pPr>
                          <w:pStyle w:val="TableParagraph"/>
                          <w:rPr>
                            <w:sz w:val="18"/>
                          </w:rPr>
                        </w:pPr>
                      </w:p>
                    </w:tc>
                    <w:tc>
                      <w:tcPr>
                        <w:tcW w:w="909" w:type="dxa"/>
                        <w:tcBorders>
                          <w:top w:val="single" w:sz="4" w:space="0" w:color="000000"/>
                        </w:tcBorders>
                      </w:tcPr>
                      <w:p w14:paraId="68392B7A" w14:textId="77777777" w:rsidR="00C75312" w:rsidRDefault="00BB293A">
                        <w:pPr>
                          <w:pStyle w:val="TableParagraph"/>
                          <w:spacing w:line="230" w:lineRule="exact"/>
                          <w:ind w:left="105"/>
                          <w:rPr>
                            <w:sz w:val="13"/>
                          </w:rPr>
                        </w:pPr>
                        <w:r>
                          <w:rPr>
                            <w:sz w:val="20"/>
                          </w:rPr>
                          <w:t>r = .43</w:t>
                        </w:r>
                        <w:r>
                          <w:rPr>
                            <w:position w:val="7"/>
                            <w:sz w:val="13"/>
                          </w:rPr>
                          <w:t>†7</w:t>
                        </w:r>
                      </w:p>
                    </w:tc>
                  </w:tr>
                  <w:tr w:rsidR="00C75312" w14:paraId="311F823D" w14:textId="77777777">
                    <w:trPr>
                      <w:trHeight w:val="495"/>
                    </w:trPr>
                    <w:tc>
                      <w:tcPr>
                        <w:tcW w:w="763" w:type="dxa"/>
                        <w:tcBorders>
                          <w:bottom w:val="single" w:sz="4" w:space="0" w:color="000000"/>
                        </w:tcBorders>
                      </w:tcPr>
                      <w:p w14:paraId="361830A6" w14:textId="77777777" w:rsidR="00C75312" w:rsidRDefault="00C75312">
                        <w:pPr>
                          <w:pStyle w:val="TableParagraph"/>
                          <w:rPr>
                            <w:sz w:val="18"/>
                          </w:rPr>
                        </w:pPr>
                      </w:p>
                    </w:tc>
                    <w:tc>
                      <w:tcPr>
                        <w:tcW w:w="1507" w:type="dxa"/>
                        <w:tcBorders>
                          <w:bottom w:val="single" w:sz="4" w:space="0" w:color="000000"/>
                        </w:tcBorders>
                      </w:tcPr>
                      <w:p w14:paraId="590F298B" w14:textId="77777777" w:rsidR="00C75312" w:rsidRDefault="00C75312">
                        <w:pPr>
                          <w:pStyle w:val="TableParagraph"/>
                          <w:rPr>
                            <w:sz w:val="18"/>
                          </w:rPr>
                        </w:pPr>
                      </w:p>
                    </w:tc>
                    <w:tc>
                      <w:tcPr>
                        <w:tcW w:w="971" w:type="dxa"/>
                        <w:tcBorders>
                          <w:bottom w:val="single" w:sz="4" w:space="0" w:color="000000"/>
                        </w:tcBorders>
                      </w:tcPr>
                      <w:p w14:paraId="35B9A026" w14:textId="77777777" w:rsidR="00C75312" w:rsidRDefault="00C75312">
                        <w:pPr>
                          <w:pStyle w:val="TableParagraph"/>
                          <w:rPr>
                            <w:sz w:val="18"/>
                          </w:rPr>
                        </w:pPr>
                      </w:p>
                    </w:tc>
                    <w:tc>
                      <w:tcPr>
                        <w:tcW w:w="997" w:type="dxa"/>
                        <w:tcBorders>
                          <w:bottom w:val="single" w:sz="4" w:space="0" w:color="000000"/>
                        </w:tcBorders>
                      </w:tcPr>
                      <w:p w14:paraId="2D41A5CD" w14:textId="77777777" w:rsidR="00C75312" w:rsidRDefault="00C75312">
                        <w:pPr>
                          <w:pStyle w:val="TableParagraph"/>
                          <w:rPr>
                            <w:sz w:val="18"/>
                          </w:rPr>
                        </w:pPr>
                      </w:p>
                    </w:tc>
                    <w:tc>
                      <w:tcPr>
                        <w:tcW w:w="1075" w:type="dxa"/>
                        <w:tcBorders>
                          <w:bottom w:val="single" w:sz="4" w:space="0" w:color="000000"/>
                        </w:tcBorders>
                      </w:tcPr>
                      <w:p w14:paraId="4A8274B3" w14:textId="77777777" w:rsidR="00C75312" w:rsidRDefault="00C75312">
                        <w:pPr>
                          <w:pStyle w:val="TableParagraph"/>
                          <w:rPr>
                            <w:sz w:val="18"/>
                          </w:rPr>
                        </w:pPr>
                      </w:p>
                    </w:tc>
                    <w:tc>
                      <w:tcPr>
                        <w:tcW w:w="1120" w:type="dxa"/>
                        <w:tcBorders>
                          <w:bottom w:val="single" w:sz="4" w:space="0" w:color="000000"/>
                        </w:tcBorders>
                      </w:tcPr>
                      <w:p w14:paraId="09C3DEF5" w14:textId="77777777" w:rsidR="00C75312" w:rsidRDefault="00C75312">
                        <w:pPr>
                          <w:pStyle w:val="TableParagraph"/>
                          <w:rPr>
                            <w:sz w:val="18"/>
                          </w:rPr>
                        </w:pPr>
                      </w:p>
                    </w:tc>
                    <w:tc>
                      <w:tcPr>
                        <w:tcW w:w="1150" w:type="dxa"/>
                        <w:tcBorders>
                          <w:bottom w:val="single" w:sz="4" w:space="0" w:color="000000"/>
                        </w:tcBorders>
                      </w:tcPr>
                      <w:p w14:paraId="3A4D0E02" w14:textId="77777777" w:rsidR="00C75312" w:rsidRDefault="00C75312">
                        <w:pPr>
                          <w:pStyle w:val="TableParagraph"/>
                          <w:rPr>
                            <w:sz w:val="18"/>
                          </w:rPr>
                        </w:pPr>
                      </w:p>
                    </w:tc>
                    <w:tc>
                      <w:tcPr>
                        <w:tcW w:w="1116" w:type="dxa"/>
                        <w:tcBorders>
                          <w:bottom w:val="single" w:sz="4" w:space="0" w:color="000000"/>
                        </w:tcBorders>
                      </w:tcPr>
                      <w:p w14:paraId="391F34A0" w14:textId="77777777" w:rsidR="00C75312" w:rsidRDefault="00C75312">
                        <w:pPr>
                          <w:pStyle w:val="TableParagraph"/>
                          <w:rPr>
                            <w:sz w:val="18"/>
                          </w:rPr>
                        </w:pPr>
                      </w:p>
                    </w:tc>
                    <w:tc>
                      <w:tcPr>
                        <w:tcW w:w="1030" w:type="dxa"/>
                        <w:tcBorders>
                          <w:bottom w:val="single" w:sz="4" w:space="0" w:color="000000"/>
                        </w:tcBorders>
                      </w:tcPr>
                      <w:p w14:paraId="7D32A60E" w14:textId="77777777" w:rsidR="00C75312" w:rsidRDefault="00C75312">
                        <w:pPr>
                          <w:pStyle w:val="TableParagraph"/>
                          <w:rPr>
                            <w:sz w:val="18"/>
                          </w:rPr>
                        </w:pPr>
                      </w:p>
                    </w:tc>
                    <w:tc>
                      <w:tcPr>
                        <w:tcW w:w="1589" w:type="dxa"/>
                        <w:tcBorders>
                          <w:bottom w:val="single" w:sz="4" w:space="0" w:color="000000"/>
                          <w:right w:val="dotted" w:sz="4" w:space="0" w:color="A6A6A6"/>
                        </w:tcBorders>
                      </w:tcPr>
                      <w:p w14:paraId="1B194F50" w14:textId="77777777" w:rsidR="00C75312" w:rsidRDefault="00BB293A">
                        <w:pPr>
                          <w:pStyle w:val="TableParagraph"/>
                          <w:spacing w:line="235" w:lineRule="auto"/>
                          <w:ind w:left="101" w:right="313"/>
                          <w:rPr>
                            <w:sz w:val="13"/>
                          </w:rPr>
                        </w:pPr>
                        <w:r>
                          <w:rPr>
                            <w:sz w:val="20"/>
                          </w:rPr>
                          <w:t>Visual storage span r = -50</w:t>
                        </w:r>
                        <w:r>
                          <w:rPr>
                            <w:position w:val="7"/>
                            <w:sz w:val="13"/>
                          </w:rPr>
                          <w:t>*7</w:t>
                        </w:r>
                      </w:p>
                    </w:tc>
                    <w:tc>
                      <w:tcPr>
                        <w:tcW w:w="886" w:type="dxa"/>
                        <w:tcBorders>
                          <w:left w:val="dotted" w:sz="4" w:space="0" w:color="A6A6A6"/>
                          <w:bottom w:val="single" w:sz="4" w:space="0" w:color="000000"/>
                        </w:tcBorders>
                      </w:tcPr>
                      <w:p w14:paraId="35047D04" w14:textId="77777777" w:rsidR="00C75312" w:rsidRDefault="00C75312">
                        <w:pPr>
                          <w:pStyle w:val="TableParagraph"/>
                          <w:rPr>
                            <w:sz w:val="18"/>
                          </w:rPr>
                        </w:pPr>
                      </w:p>
                    </w:tc>
                    <w:tc>
                      <w:tcPr>
                        <w:tcW w:w="1087" w:type="dxa"/>
                        <w:tcBorders>
                          <w:bottom w:val="single" w:sz="4" w:space="0" w:color="000000"/>
                        </w:tcBorders>
                      </w:tcPr>
                      <w:p w14:paraId="083CCAD6" w14:textId="77777777" w:rsidR="00C75312" w:rsidRDefault="00C75312">
                        <w:pPr>
                          <w:pStyle w:val="TableParagraph"/>
                          <w:rPr>
                            <w:sz w:val="18"/>
                          </w:rPr>
                        </w:pPr>
                      </w:p>
                    </w:tc>
                    <w:tc>
                      <w:tcPr>
                        <w:tcW w:w="909" w:type="dxa"/>
                        <w:tcBorders>
                          <w:bottom w:val="single" w:sz="4" w:space="0" w:color="000000"/>
                        </w:tcBorders>
                      </w:tcPr>
                      <w:p w14:paraId="1F3E390E" w14:textId="77777777" w:rsidR="00C75312" w:rsidRDefault="00C75312">
                        <w:pPr>
                          <w:pStyle w:val="TableParagraph"/>
                          <w:rPr>
                            <w:sz w:val="18"/>
                          </w:rPr>
                        </w:pPr>
                      </w:p>
                    </w:tc>
                  </w:tr>
                  <w:tr w:rsidR="00C75312" w14:paraId="1CB42697" w14:textId="77777777">
                    <w:trPr>
                      <w:trHeight w:val="397"/>
                    </w:trPr>
                    <w:tc>
                      <w:tcPr>
                        <w:tcW w:w="763" w:type="dxa"/>
                        <w:tcBorders>
                          <w:top w:val="single" w:sz="4" w:space="0" w:color="000000"/>
                          <w:bottom w:val="single" w:sz="4" w:space="0" w:color="000000"/>
                        </w:tcBorders>
                      </w:tcPr>
                      <w:p w14:paraId="20D421D3" w14:textId="77777777" w:rsidR="00C75312" w:rsidRDefault="00C75312">
                        <w:pPr>
                          <w:pStyle w:val="TableParagraph"/>
                          <w:rPr>
                            <w:sz w:val="18"/>
                          </w:rPr>
                        </w:pPr>
                      </w:p>
                    </w:tc>
                    <w:tc>
                      <w:tcPr>
                        <w:tcW w:w="1507" w:type="dxa"/>
                        <w:tcBorders>
                          <w:top w:val="single" w:sz="4" w:space="0" w:color="000000"/>
                          <w:bottom w:val="single" w:sz="4" w:space="0" w:color="000000"/>
                        </w:tcBorders>
                      </w:tcPr>
                      <w:p w14:paraId="05224FF5" w14:textId="77777777" w:rsidR="00C75312" w:rsidRDefault="00BB293A">
                        <w:pPr>
                          <w:pStyle w:val="TableParagraph"/>
                          <w:ind w:left="110"/>
                          <w:rPr>
                            <w:sz w:val="20"/>
                          </w:rPr>
                        </w:pPr>
                        <w:r>
                          <w:rPr>
                            <w:sz w:val="20"/>
                          </w:rPr>
                          <w:t>Both</w:t>
                        </w:r>
                      </w:p>
                    </w:tc>
                    <w:tc>
                      <w:tcPr>
                        <w:tcW w:w="971" w:type="dxa"/>
                        <w:tcBorders>
                          <w:top w:val="single" w:sz="4" w:space="0" w:color="000000"/>
                          <w:bottom w:val="single" w:sz="4" w:space="0" w:color="000000"/>
                        </w:tcBorders>
                      </w:tcPr>
                      <w:p w14:paraId="1062153E" w14:textId="77777777" w:rsidR="00C75312" w:rsidRDefault="00BB293A">
                        <w:pPr>
                          <w:pStyle w:val="TableParagraph"/>
                          <w:spacing w:line="230" w:lineRule="exact"/>
                          <w:ind w:left="125"/>
                          <w:rPr>
                            <w:sz w:val="13"/>
                          </w:rPr>
                        </w:pPr>
                        <w:r>
                          <w:rPr>
                            <w:sz w:val="20"/>
                          </w:rPr>
                          <w:t>r = -.36</w:t>
                        </w:r>
                        <w:r>
                          <w:rPr>
                            <w:position w:val="7"/>
                            <w:sz w:val="13"/>
                          </w:rPr>
                          <w:t>*2</w:t>
                        </w:r>
                      </w:p>
                    </w:tc>
                    <w:tc>
                      <w:tcPr>
                        <w:tcW w:w="997" w:type="dxa"/>
                        <w:tcBorders>
                          <w:top w:val="single" w:sz="4" w:space="0" w:color="000000"/>
                          <w:bottom w:val="single" w:sz="4" w:space="0" w:color="000000"/>
                        </w:tcBorders>
                      </w:tcPr>
                      <w:p w14:paraId="1DD59795" w14:textId="77777777" w:rsidR="00C75312" w:rsidRDefault="00C75312">
                        <w:pPr>
                          <w:pStyle w:val="TableParagraph"/>
                          <w:rPr>
                            <w:sz w:val="18"/>
                          </w:rPr>
                        </w:pPr>
                      </w:p>
                    </w:tc>
                    <w:tc>
                      <w:tcPr>
                        <w:tcW w:w="1075" w:type="dxa"/>
                        <w:tcBorders>
                          <w:top w:val="single" w:sz="4" w:space="0" w:color="000000"/>
                          <w:bottom w:val="single" w:sz="4" w:space="0" w:color="000000"/>
                        </w:tcBorders>
                      </w:tcPr>
                      <w:p w14:paraId="2625017A" w14:textId="77777777" w:rsidR="00C75312" w:rsidRDefault="00C75312">
                        <w:pPr>
                          <w:pStyle w:val="TableParagraph"/>
                          <w:rPr>
                            <w:sz w:val="18"/>
                          </w:rPr>
                        </w:pPr>
                      </w:p>
                    </w:tc>
                    <w:tc>
                      <w:tcPr>
                        <w:tcW w:w="1120" w:type="dxa"/>
                        <w:tcBorders>
                          <w:top w:val="single" w:sz="4" w:space="0" w:color="000000"/>
                          <w:bottom w:val="single" w:sz="4" w:space="0" w:color="000000"/>
                        </w:tcBorders>
                      </w:tcPr>
                      <w:p w14:paraId="74B670B2" w14:textId="77777777" w:rsidR="00C75312" w:rsidRDefault="00C75312">
                        <w:pPr>
                          <w:pStyle w:val="TableParagraph"/>
                          <w:rPr>
                            <w:sz w:val="18"/>
                          </w:rPr>
                        </w:pPr>
                      </w:p>
                    </w:tc>
                    <w:tc>
                      <w:tcPr>
                        <w:tcW w:w="1150" w:type="dxa"/>
                        <w:tcBorders>
                          <w:top w:val="single" w:sz="4" w:space="0" w:color="000000"/>
                          <w:bottom w:val="single" w:sz="4" w:space="0" w:color="000000"/>
                        </w:tcBorders>
                      </w:tcPr>
                      <w:p w14:paraId="160E5287" w14:textId="77777777" w:rsidR="00C75312" w:rsidRDefault="00C75312">
                        <w:pPr>
                          <w:pStyle w:val="TableParagraph"/>
                          <w:rPr>
                            <w:sz w:val="18"/>
                          </w:rPr>
                        </w:pPr>
                      </w:p>
                    </w:tc>
                    <w:tc>
                      <w:tcPr>
                        <w:tcW w:w="1116" w:type="dxa"/>
                        <w:tcBorders>
                          <w:top w:val="single" w:sz="4" w:space="0" w:color="000000"/>
                          <w:bottom w:val="single" w:sz="4" w:space="0" w:color="000000"/>
                        </w:tcBorders>
                      </w:tcPr>
                      <w:p w14:paraId="3E80D43E" w14:textId="77777777" w:rsidR="00C75312" w:rsidRDefault="00C75312">
                        <w:pPr>
                          <w:pStyle w:val="TableParagraph"/>
                          <w:rPr>
                            <w:sz w:val="18"/>
                          </w:rPr>
                        </w:pPr>
                      </w:p>
                    </w:tc>
                    <w:tc>
                      <w:tcPr>
                        <w:tcW w:w="1030" w:type="dxa"/>
                        <w:tcBorders>
                          <w:top w:val="single" w:sz="4" w:space="0" w:color="000000"/>
                          <w:bottom w:val="single" w:sz="4" w:space="0" w:color="000000"/>
                        </w:tcBorders>
                      </w:tcPr>
                      <w:p w14:paraId="6F5B2823" w14:textId="77777777" w:rsidR="00C75312" w:rsidRDefault="00C75312">
                        <w:pPr>
                          <w:pStyle w:val="TableParagraph"/>
                          <w:rPr>
                            <w:sz w:val="18"/>
                          </w:rPr>
                        </w:pPr>
                      </w:p>
                    </w:tc>
                    <w:tc>
                      <w:tcPr>
                        <w:tcW w:w="1589" w:type="dxa"/>
                        <w:tcBorders>
                          <w:top w:val="single" w:sz="4" w:space="0" w:color="000000"/>
                          <w:bottom w:val="single" w:sz="4" w:space="0" w:color="000000"/>
                          <w:right w:val="dotted" w:sz="4" w:space="0" w:color="A6A6A6"/>
                        </w:tcBorders>
                      </w:tcPr>
                      <w:p w14:paraId="171FA9D9" w14:textId="77777777" w:rsidR="00C75312" w:rsidRDefault="00C75312">
                        <w:pPr>
                          <w:pStyle w:val="TableParagraph"/>
                          <w:rPr>
                            <w:sz w:val="18"/>
                          </w:rPr>
                        </w:pPr>
                      </w:p>
                    </w:tc>
                    <w:tc>
                      <w:tcPr>
                        <w:tcW w:w="886" w:type="dxa"/>
                        <w:tcBorders>
                          <w:top w:val="single" w:sz="4" w:space="0" w:color="000000"/>
                          <w:left w:val="dotted" w:sz="4" w:space="0" w:color="A6A6A6"/>
                          <w:bottom w:val="single" w:sz="4" w:space="0" w:color="000000"/>
                        </w:tcBorders>
                      </w:tcPr>
                      <w:p w14:paraId="34C3A94C" w14:textId="77777777" w:rsidR="00C75312" w:rsidRDefault="00C75312">
                        <w:pPr>
                          <w:pStyle w:val="TableParagraph"/>
                          <w:rPr>
                            <w:sz w:val="18"/>
                          </w:rPr>
                        </w:pPr>
                      </w:p>
                    </w:tc>
                    <w:tc>
                      <w:tcPr>
                        <w:tcW w:w="1087" w:type="dxa"/>
                        <w:tcBorders>
                          <w:top w:val="single" w:sz="4" w:space="0" w:color="000000"/>
                          <w:bottom w:val="single" w:sz="4" w:space="0" w:color="000000"/>
                        </w:tcBorders>
                      </w:tcPr>
                      <w:p w14:paraId="51429CAE" w14:textId="77777777" w:rsidR="00C75312" w:rsidRDefault="00C75312">
                        <w:pPr>
                          <w:pStyle w:val="TableParagraph"/>
                          <w:rPr>
                            <w:sz w:val="18"/>
                          </w:rPr>
                        </w:pPr>
                      </w:p>
                    </w:tc>
                    <w:tc>
                      <w:tcPr>
                        <w:tcW w:w="909" w:type="dxa"/>
                        <w:tcBorders>
                          <w:top w:val="single" w:sz="4" w:space="0" w:color="000000"/>
                          <w:bottom w:val="single" w:sz="4" w:space="0" w:color="000000"/>
                        </w:tcBorders>
                      </w:tcPr>
                      <w:p w14:paraId="03819169" w14:textId="77777777" w:rsidR="00C75312" w:rsidRDefault="00C75312">
                        <w:pPr>
                          <w:pStyle w:val="TableParagraph"/>
                          <w:rPr>
                            <w:sz w:val="18"/>
                          </w:rPr>
                        </w:pPr>
                      </w:p>
                    </w:tc>
                  </w:tr>
                </w:tbl>
                <w:p w14:paraId="4639203C" w14:textId="77777777" w:rsidR="00C75312" w:rsidRDefault="00C75312">
                  <w:pPr>
                    <w:pStyle w:val="BodyText"/>
                  </w:pPr>
                </w:p>
              </w:txbxContent>
            </v:textbox>
            <w10:wrap anchorx="page"/>
          </v:shape>
        </w:pict>
      </w:r>
      <w:r>
        <w:rPr>
          <w:i/>
          <w:sz w:val="20"/>
        </w:rPr>
        <w:t>Table 4. Overview of PM correlates</w:t>
      </w:r>
    </w:p>
    <w:p w14:paraId="17CA9DA6" w14:textId="77777777" w:rsidR="00C75312" w:rsidRDefault="00C75312">
      <w:pPr>
        <w:pStyle w:val="BodyText"/>
        <w:rPr>
          <w:i/>
          <w:sz w:val="22"/>
        </w:rPr>
      </w:pPr>
    </w:p>
    <w:p w14:paraId="530E95AA" w14:textId="77777777" w:rsidR="00C75312" w:rsidRDefault="00C75312">
      <w:pPr>
        <w:pStyle w:val="BodyText"/>
        <w:rPr>
          <w:i/>
          <w:sz w:val="22"/>
        </w:rPr>
      </w:pPr>
    </w:p>
    <w:p w14:paraId="7190799D" w14:textId="77777777" w:rsidR="00C75312" w:rsidRDefault="00C75312">
      <w:pPr>
        <w:pStyle w:val="BodyText"/>
        <w:rPr>
          <w:i/>
          <w:sz w:val="22"/>
        </w:rPr>
      </w:pPr>
    </w:p>
    <w:p w14:paraId="4E967A97" w14:textId="77777777" w:rsidR="00C75312" w:rsidRDefault="00C75312">
      <w:pPr>
        <w:pStyle w:val="BodyText"/>
        <w:rPr>
          <w:i/>
          <w:sz w:val="22"/>
        </w:rPr>
      </w:pPr>
    </w:p>
    <w:p w14:paraId="7DE9C4C0" w14:textId="77777777" w:rsidR="00C75312" w:rsidRDefault="00C75312">
      <w:pPr>
        <w:pStyle w:val="BodyText"/>
        <w:rPr>
          <w:i/>
          <w:sz w:val="22"/>
        </w:rPr>
      </w:pPr>
    </w:p>
    <w:p w14:paraId="0C2DE80C" w14:textId="77777777" w:rsidR="00C75312" w:rsidRDefault="00C75312">
      <w:pPr>
        <w:pStyle w:val="BodyText"/>
        <w:rPr>
          <w:i/>
          <w:sz w:val="22"/>
        </w:rPr>
      </w:pPr>
    </w:p>
    <w:p w14:paraId="582BD638" w14:textId="77777777" w:rsidR="00C75312" w:rsidRDefault="00C75312">
      <w:pPr>
        <w:pStyle w:val="BodyText"/>
        <w:rPr>
          <w:i/>
          <w:sz w:val="22"/>
        </w:rPr>
      </w:pPr>
    </w:p>
    <w:p w14:paraId="24C61596" w14:textId="77777777" w:rsidR="00C75312" w:rsidRDefault="00C75312">
      <w:pPr>
        <w:pStyle w:val="BodyText"/>
        <w:rPr>
          <w:i/>
          <w:sz w:val="22"/>
        </w:rPr>
      </w:pPr>
    </w:p>
    <w:p w14:paraId="5E36DCE7" w14:textId="77777777" w:rsidR="00C75312" w:rsidRDefault="00C75312">
      <w:pPr>
        <w:pStyle w:val="BodyText"/>
        <w:rPr>
          <w:i/>
          <w:sz w:val="22"/>
        </w:rPr>
      </w:pPr>
    </w:p>
    <w:p w14:paraId="79C579B5" w14:textId="77777777" w:rsidR="00C75312" w:rsidRDefault="00C75312">
      <w:pPr>
        <w:pStyle w:val="BodyText"/>
        <w:rPr>
          <w:i/>
          <w:sz w:val="22"/>
        </w:rPr>
      </w:pPr>
    </w:p>
    <w:p w14:paraId="27DB1542" w14:textId="77777777" w:rsidR="00C75312" w:rsidRDefault="00C75312">
      <w:pPr>
        <w:pStyle w:val="BodyText"/>
        <w:rPr>
          <w:i/>
          <w:sz w:val="22"/>
        </w:rPr>
      </w:pPr>
    </w:p>
    <w:p w14:paraId="1ACB4C3C" w14:textId="77777777" w:rsidR="00C75312" w:rsidRDefault="00C75312">
      <w:pPr>
        <w:pStyle w:val="BodyText"/>
        <w:rPr>
          <w:i/>
          <w:sz w:val="22"/>
        </w:rPr>
      </w:pPr>
    </w:p>
    <w:p w14:paraId="043869AD" w14:textId="77777777" w:rsidR="00C75312" w:rsidRDefault="00C75312">
      <w:pPr>
        <w:pStyle w:val="BodyText"/>
        <w:rPr>
          <w:i/>
          <w:sz w:val="22"/>
        </w:rPr>
      </w:pPr>
    </w:p>
    <w:p w14:paraId="033AB717" w14:textId="77777777" w:rsidR="00C75312" w:rsidRDefault="00C75312">
      <w:pPr>
        <w:pStyle w:val="BodyText"/>
        <w:rPr>
          <w:i/>
          <w:sz w:val="22"/>
        </w:rPr>
      </w:pPr>
    </w:p>
    <w:p w14:paraId="7E8EAB65" w14:textId="77777777" w:rsidR="00C75312" w:rsidRDefault="00C75312">
      <w:pPr>
        <w:pStyle w:val="BodyText"/>
        <w:rPr>
          <w:i/>
          <w:sz w:val="22"/>
        </w:rPr>
      </w:pPr>
    </w:p>
    <w:p w14:paraId="42522AD1" w14:textId="77777777" w:rsidR="00C75312" w:rsidRDefault="00C75312">
      <w:pPr>
        <w:pStyle w:val="BodyText"/>
        <w:spacing w:before="2"/>
        <w:rPr>
          <w:i/>
          <w:sz w:val="26"/>
        </w:rPr>
      </w:pPr>
    </w:p>
    <w:p w14:paraId="65417EB2" w14:textId="77777777" w:rsidR="00C75312" w:rsidRDefault="00BB293A">
      <w:pPr>
        <w:spacing w:line="561" w:lineRule="auto"/>
        <w:ind w:left="12400" w:right="1247"/>
        <w:jc w:val="right"/>
        <w:rPr>
          <w:sz w:val="13"/>
        </w:rPr>
      </w:pPr>
      <w:r>
        <w:rPr>
          <w:sz w:val="20"/>
        </w:rPr>
        <w:t>r = -.37</w:t>
      </w:r>
      <w:r>
        <w:rPr>
          <w:position w:val="7"/>
          <w:sz w:val="13"/>
        </w:rPr>
        <w:t>*3</w:t>
      </w:r>
      <w:r>
        <w:rPr>
          <w:w w:val="99"/>
          <w:position w:val="7"/>
          <w:sz w:val="13"/>
        </w:rPr>
        <w:t xml:space="preserve"> </w:t>
      </w:r>
      <w:r>
        <w:rPr>
          <w:sz w:val="20"/>
        </w:rPr>
        <w:t>r = -.21</w:t>
      </w:r>
      <w:r>
        <w:rPr>
          <w:position w:val="7"/>
          <w:sz w:val="13"/>
        </w:rPr>
        <w:t>*3</w:t>
      </w:r>
    </w:p>
    <w:p w14:paraId="1CA66CA6" w14:textId="77777777" w:rsidR="00C75312" w:rsidRDefault="00C75312">
      <w:pPr>
        <w:pStyle w:val="BodyText"/>
        <w:rPr>
          <w:sz w:val="22"/>
        </w:rPr>
      </w:pPr>
    </w:p>
    <w:p w14:paraId="37A2EB0E" w14:textId="77777777" w:rsidR="00C75312" w:rsidRDefault="00C75312">
      <w:pPr>
        <w:pStyle w:val="BodyText"/>
        <w:rPr>
          <w:sz w:val="22"/>
        </w:rPr>
      </w:pPr>
    </w:p>
    <w:p w14:paraId="00204E42" w14:textId="77777777" w:rsidR="00C75312" w:rsidRDefault="00C75312">
      <w:pPr>
        <w:pStyle w:val="BodyText"/>
        <w:rPr>
          <w:sz w:val="22"/>
        </w:rPr>
      </w:pPr>
    </w:p>
    <w:p w14:paraId="7266E91B" w14:textId="77777777" w:rsidR="00C75312" w:rsidRDefault="00C75312">
      <w:pPr>
        <w:pStyle w:val="BodyText"/>
        <w:rPr>
          <w:sz w:val="22"/>
        </w:rPr>
      </w:pPr>
    </w:p>
    <w:p w14:paraId="71099450" w14:textId="77777777" w:rsidR="00C75312" w:rsidRDefault="00BB293A">
      <w:pPr>
        <w:spacing w:before="139"/>
        <w:ind w:left="140" w:right="355"/>
        <w:rPr>
          <w:i/>
          <w:sz w:val="20"/>
        </w:rPr>
      </w:pPr>
      <w:r>
        <w:rPr>
          <w:i/>
          <w:sz w:val="20"/>
        </w:rPr>
        <w:t xml:space="preserve">Notes. </w:t>
      </w:r>
      <w:r>
        <w:rPr>
          <w:i/>
          <w:position w:val="7"/>
          <w:sz w:val="13"/>
        </w:rPr>
        <w:t>*</w:t>
      </w:r>
      <w:r>
        <w:rPr>
          <w:i/>
          <w:sz w:val="20"/>
        </w:rPr>
        <w:t xml:space="preserve">: significant p &lt; 0.05; †:marginal significant p &lt; 0.09; marginal and non-significant correlations </w:t>
      </w:r>
      <w:r>
        <w:rPr>
          <w:i/>
          <w:spacing w:val="-3"/>
          <w:sz w:val="20"/>
        </w:rPr>
        <w:t xml:space="preserve">are </w:t>
      </w:r>
      <w:r>
        <w:rPr>
          <w:i/>
          <w:sz w:val="20"/>
        </w:rPr>
        <w:t xml:space="preserve">only included in the table if at least </w:t>
      </w:r>
      <w:r>
        <w:rPr>
          <w:i/>
          <w:spacing w:val="-3"/>
          <w:sz w:val="20"/>
        </w:rPr>
        <w:t xml:space="preserve">of </w:t>
      </w:r>
      <w:r>
        <w:rPr>
          <w:i/>
          <w:sz w:val="20"/>
        </w:rPr>
        <w:t xml:space="preserve">moderate size (r ≥ .30); </w:t>
      </w:r>
      <w:r>
        <w:rPr>
          <w:i/>
          <w:position w:val="7"/>
          <w:sz w:val="13"/>
        </w:rPr>
        <w:t>1</w:t>
      </w:r>
      <w:r>
        <w:rPr>
          <w:i/>
          <w:sz w:val="20"/>
        </w:rPr>
        <w:t xml:space="preserve">: </w:t>
      </w:r>
      <w:proofErr w:type="spellStart"/>
      <w:r>
        <w:rPr>
          <w:i/>
          <w:sz w:val="20"/>
        </w:rPr>
        <w:t>Altgassen</w:t>
      </w:r>
      <w:proofErr w:type="spellEnd"/>
      <w:r>
        <w:rPr>
          <w:i/>
          <w:sz w:val="20"/>
        </w:rPr>
        <w:t xml:space="preserve"> et al. 2009; </w:t>
      </w:r>
      <w:r>
        <w:rPr>
          <w:i/>
          <w:position w:val="7"/>
          <w:sz w:val="13"/>
        </w:rPr>
        <w:t>2</w:t>
      </w:r>
      <w:r>
        <w:rPr>
          <w:i/>
          <w:sz w:val="20"/>
        </w:rPr>
        <w:t xml:space="preserve">: </w:t>
      </w:r>
      <w:proofErr w:type="spellStart"/>
      <w:r>
        <w:rPr>
          <w:i/>
          <w:sz w:val="20"/>
        </w:rPr>
        <w:t>Altgassen</w:t>
      </w:r>
      <w:proofErr w:type="spellEnd"/>
      <w:r>
        <w:rPr>
          <w:i/>
          <w:sz w:val="20"/>
        </w:rPr>
        <w:t xml:space="preserve"> et al. 2010; </w:t>
      </w:r>
      <w:r>
        <w:rPr>
          <w:i/>
          <w:position w:val="7"/>
          <w:sz w:val="13"/>
        </w:rPr>
        <w:t xml:space="preserve">3 </w:t>
      </w:r>
      <w:r>
        <w:rPr>
          <w:i/>
          <w:sz w:val="20"/>
        </w:rPr>
        <w:t xml:space="preserve">Jones et al. 2011: FSIQ </w:t>
      </w:r>
      <w:proofErr w:type="spellStart"/>
      <w:r>
        <w:rPr>
          <w:i/>
          <w:sz w:val="20"/>
        </w:rPr>
        <w:t>partialled</w:t>
      </w:r>
      <w:proofErr w:type="spellEnd"/>
      <w:r>
        <w:rPr>
          <w:i/>
          <w:sz w:val="20"/>
        </w:rPr>
        <w:t xml:space="preserve"> out; </w:t>
      </w:r>
      <w:r>
        <w:rPr>
          <w:i/>
          <w:position w:val="7"/>
          <w:sz w:val="13"/>
        </w:rPr>
        <w:t xml:space="preserve">4 </w:t>
      </w:r>
      <w:proofErr w:type="spellStart"/>
      <w:r>
        <w:rPr>
          <w:i/>
          <w:sz w:val="20"/>
        </w:rPr>
        <w:t>Altgassen</w:t>
      </w:r>
      <w:proofErr w:type="spellEnd"/>
      <w:r>
        <w:rPr>
          <w:i/>
          <w:sz w:val="20"/>
        </w:rPr>
        <w:t xml:space="preserve"> et al. 2012; </w:t>
      </w:r>
      <w:r>
        <w:rPr>
          <w:i/>
          <w:position w:val="7"/>
          <w:sz w:val="13"/>
        </w:rPr>
        <w:t xml:space="preserve">5 </w:t>
      </w:r>
      <w:r>
        <w:rPr>
          <w:i/>
          <w:sz w:val="20"/>
        </w:rPr>
        <w:t xml:space="preserve">Williams et al. 2013: ongoing task performance </w:t>
      </w:r>
      <w:proofErr w:type="spellStart"/>
      <w:r>
        <w:rPr>
          <w:i/>
          <w:sz w:val="20"/>
        </w:rPr>
        <w:t>partialled</w:t>
      </w:r>
      <w:proofErr w:type="spellEnd"/>
      <w:r>
        <w:rPr>
          <w:i/>
          <w:sz w:val="20"/>
        </w:rPr>
        <w:t xml:space="preserve"> out; </w:t>
      </w:r>
      <w:r>
        <w:rPr>
          <w:i/>
          <w:position w:val="7"/>
          <w:sz w:val="13"/>
        </w:rPr>
        <w:t xml:space="preserve">6 </w:t>
      </w:r>
      <w:r>
        <w:rPr>
          <w:i/>
          <w:sz w:val="20"/>
        </w:rPr>
        <w:t xml:space="preserve">Henry et al. 2014; </w:t>
      </w:r>
      <w:r>
        <w:rPr>
          <w:i/>
          <w:position w:val="7"/>
          <w:sz w:val="13"/>
        </w:rPr>
        <w:t xml:space="preserve">7 </w:t>
      </w:r>
      <w:r>
        <w:rPr>
          <w:i/>
          <w:sz w:val="20"/>
        </w:rPr>
        <w:t xml:space="preserve">Williams et al. 2014: ongoing task performance </w:t>
      </w:r>
      <w:proofErr w:type="spellStart"/>
      <w:r>
        <w:rPr>
          <w:i/>
          <w:sz w:val="20"/>
        </w:rPr>
        <w:t>partialled</w:t>
      </w:r>
      <w:proofErr w:type="spellEnd"/>
      <w:r>
        <w:rPr>
          <w:i/>
          <w:sz w:val="20"/>
        </w:rPr>
        <w:t xml:space="preserve"> out; </w:t>
      </w:r>
      <w:r>
        <w:rPr>
          <w:i/>
          <w:position w:val="7"/>
          <w:sz w:val="13"/>
        </w:rPr>
        <w:t xml:space="preserve">8 </w:t>
      </w:r>
      <w:r>
        <w:rPr>
          <w:i/>
          <w:spacing w:val="-4"/>
          <w:sz w:val="20"/>
        </w:rPr>
        <w:t xml:space="preserve">Yi </w:t>
      </w:r>
      <w:r>
        <w:rPr>
          <w:i/>
          <w:sz w:val="20"/>
        </w:rPr>
        <w:t xml:space="preserve">et al. 2014; </w:t>
      </w:r>
      <w:r>
        <w:rPr>
          <w:i/>
          <w:position w:val="7"/>
          <w:sz w:val="13"/>
        </w:rPr>
        <w:t xml:space="preserve">9 </w:t>
      </w:r>
      <w:r>
        <w:rPr>
          <w:i/>
          <w:sz w:val="20"/>
        </w:rPr>
        <w:t xml:space="preserve">Sheppard et al. 2016; No correlations were assessed in </w:t>
      </w:r>
      <w:proofErr w:type="spellStart"/>
      <w:r>
        <w:rPr>
          <w:i/>
          <w:sz w:val="20"/>
        </w:rPr>
        <w:t>Altgassen</w:t>
      </w:r>
      <w:proofErr w:type="spellEnd"/>
      <w:r>
        <w:rPr>
          <w:i/>
          <w:sz w:val="20"/>
        </w:rPr>
        <w:t xml:space="preserve"> et al. 2014, </w:t>
      </w:r>
      <w:proofErr w:type="spellStart"/>
      <w:r>
        <w:rPr>
          <w:i/>
          <w:sz w:val="20"/>
        </w:rPr>
        <w:t>Brandimonte</w:t>
      </w:r>
      <w:proofErr w:type="spellEnd"/>
      <w:r>
        <w:rPr>
          <w:i/>
          <w:sz w:val="20"/>
        </w:rPr>
        <w:t xml:space="preserve"> et al. 2011, and Kretschmer et al. 2014; ABAS: Adaptive Behavior Assessment Scale; DEX: Dysexecutive Questionnaire; PRMQ: Prospective Retrospective Memory Ques</w:t>
      </w:r>
      <w:r>
        <w:rPr>
          <w:i/>
          <w:sz w:val="20"/>
        </w:rPr>
        <w:t xml:space="preserve">tionnaire; FSIQ: Full scale IQ; NVIQ: Non-verbal </w:t>
      </w:r>
      <w:r>
        <w:rPr>
          <w:i/>
          <w:spacing w:val="-3"/>
          <w:sz w:val="20"/>
        </w:rPr>
        <w:t xml:space="preserve">IQ; </w:t>
      </w:r>
      <w:r>
        <w:rPr>
          <w:i/>
          <w:sz w:val="20"/>
        </w:rPr>
        <w:t xml:space="preserve">DCCS: Dimensional Change Card Sort task; </w:t>
      </w:r>
      <w:r>
        <w:rPr>
          <w:i/>
          <w:spacing w:val="-3"/>
          <w:sz w:val="20"/>
        </w:rPr>
        <w:t xml:space="preserve">TMT: </w:t>
      </w:r>
      <w:r>
        <w:rPr>
          <w:i/>
          <w:sz w:val="20"/>
        </w:rPr>
        <w:t xml:space="preserve">Trail Making Task; WSCT: Wisconsin Card Sorting Task; CARS: Childhood Autism Rating Scale; ADOS-SC: Autism Diagnostic Observation Schedule social communication; ADOS-R: Autism Diagnostic Observation Schedule repetitive </w:t>
      </w:r>
      <w:proofErr w:type="spellStart"/>
      <w:r>
        <w:rPr>
          <w:i/>
          <w:sz w:val="20"/>
        </w:rPr>
        <w:t>behaviour</w:t>
      </w:r>
      <w:proofErr w:type="spellEnd"/>
      <w:r>
        <w:rPr>
          <w:i/>
          <w:sz w:val="20"/>
        </w:rPr>
        <w:t>; N/A: not applicable</w:t>
      </w:r>
    </w:p>
    <w:p w14:paraId="178BB1AF" w14:textId="77777777" w:rsidR="00C75312" w:rsidRDefault="00C75312">
      <w:pPr>
        <w:rPr>
          <w:sz w:val="20"/>
        </w:rPr>
        <w:sectPr w:rsidR="00C75312">
          <w:headerReference w:type="default" r:id="rId26"/>
          <w:pgSz w:w="16840" w:h="11900" w:orient="landscape"/>
          <w:pgMar w:top="640" w:right="1120" w:bottom="280" w:left="1300" w:header="0" w:footer="0" w:gutter="0"/>
          <w:cols w:space="720"/>
        </w:sectPr>
      </w:pPr>
    </w:p>
    <w:p w14:paraId="652C3A59" w14:textId="77777777" w:rsidR="00C75312" w:rsidRDefault="00C75312">
      <w:pPr>
        <w:pStyle w:val="BodyText"/>
        <w:spacing w:before="6"/>
        <w:rPr>
          <w:i/>
          <w:sz w:val="21"/>
        </w:rPr>
      </w:pPr>
    </w:p>
    <w:p w14:paraId="6CC755E0" w14:textId="77777777" w:rsidR="00C75312" w:rsidRDefault="00BB293A">
      <w:pPr>
        <w:pStyle w:val="Heading1"/>
        <w:spacing w:before="90"/>
        <w:ind w:left="25" w:right="1319"/>
        <w:jc w:val="center"/>
      </w:pPr>
      <w:r>
        <w:t>CHAPTER 2</w:t>
      </w:r>
    </w:p>
    <w:p w14:paraId="363661A5" w14:textId="77777777" w:rsidR="00C75312" w:rsidRDefault="00C75312">
      <w:pPr>
        <w:pStyle w:val="BodyText"/>
        <w:rPr>
          <w:b/>
          <w:sz w:val="26"/>
        </w:rPr>
      </w:pPr>
    </w:p>
    <w:p w14:paraId="5F4CC6BD" w14:textId="77777777" w:rsidR="00C75312" w:rsidRDefault="00BB293A">
      <w:pPr>
        <w:spacing w:before="217" w:line="480" w:lineRule="auto"/>
        <w:ind w:left="25" w:right="1317"/>
        <w:jc w:val="center"/>
        <w:rPr>
          <w:b/>
          <w:sz w:val="24"/>
        </w:rPr>
      </w:pPr>
      <w:r>
        <w:rPr>
          <w:b/>
          <w:sz w:val="24"/>
        </w:rPr>
        <w:t>EVENT-BASED PROSPECTIVE MEMORY IN CHILDREN WITH AUTISM: THE ROLE OF FOCAL AND NONFOCAL CUES IN TASK PERFORMANCE</w:t>
      </w:r>
    </w:p>
    <w:p w14:paraId="1F712BA9" w14:textId="77777777" w:rsidR="00C75312" w:rsidRDefault="00C75312">
      <w:pPr>
        <w:pStyle w:val="BodyText"/>
        <w:spacing w:before="10"/>
        <w:rPr>
          <w:b/>
          <w:sz w:val="20"/>
        </w:rPr>
      </w:pPr>
    </w:p>
    <w:p w14:paraId="53A4B48E" w14:textId="77777777" w:rsidR="00C75312" w:rsidRDefault="00BB293A">
      <w:pPr>
        <w:pStyle w:val="Heading1"/>
        <w:ind w:left="25" w:right="1315"/>
        <w:jc w:val="center"/>
      </w:pPr>
      <w:bookmarkStart w:id="8" w:name="_TOC_250025"/>
      <w:bookmarkEnd w:id="8"/>
      <w:r>
        <w:t>Introduction</w:t>
      </w:r>
    </w:p>
    <w:p w14:paraId="70AF9455" w14:textId="77777777" w:rsidR="00C75312" w:rsidRDefault="00C75312">
      <w:pPr>
        <w:pStyle w:val="BodyText"/>
        <w:rPr>
          <w:b/>
        </w:rPr>
      </w:pPr>
    </w:p>
    <w:p w14:paraId="1ADA7E89" w14:textId="77777777" w:rsidR="00C75312" w:rsidRDefault="00BB293A">
      <w:pPr>
        <w:pStyle w:val="BodyText"/>
        <w:spacing w:line="480" w:lineRule="auto"/>
        <w:ind w:left="140" w:right="1428" w:firstLine="720"/>
        <w:jc w:val="both"/>
      </w:pPr>
      <w:r>
        <w:t xml:space="preserve">As outline in Chapter </w:t>
      </w:r>
      <w:r>
        <w:rPr>
          <w:spacing w:val="-3"/>
        </w:rPr>
        <w:t xml:space="preserve">1, </w:t>
      </w:r>
      <w:r>
        <w:t xml:space="preserve">researchers commonly distinguish two types of PM (Einstein &amp; McDaniel, 1990; </w:t>
      </w:r>
      <w:proofErr w:type="spellStart"/>
      <w:r>
        <w:t>Kliegel</w:t>
      </w:r>
      <w:proofErr w:type="spellEnd"/>
      <w:r>
        <w:t xml:space="preserve">, McDaniel, &amp; Einstein, 2008; </w:t>
      </w:r>
      <w:proofErr w:type="spellStart"/>
      <w:r>
        <w:t>Kvavilashvili</w:t>
      </w:r>
      <w:proofErr w:type="spellEnd"/>
      <w:r>
        <w:t xml:space="preserve"> &amp; Ellis, 1996): </w:t>
      </w:r>
      <w:r>
        <w:rPr>
          <w:i/>
        </w:rPr>
        <w:t xml:space="preserve">time- based </w:t>
      </w:r>
      <w:r>
        <w:t xml:space="preserve">PM, which requires the execution of the delayed intention at a specific time point (e.g., taking the tea bag out of the cup after three minutes), and </w:t>
      </w:r>
      <w:r>
        <w:rPr>
          <w:i/>
        </w:rPr>
        <w:t xml:space="preserve">event-based </w:t>
      </w:r>
      <w:r>
        <w:t>PM, which requires the execution of the delayed intention upon the occurrence of a particular event (e.g., turning off the</w:t>
      </w:r>
      <w:r>
        <w:rPr>
          <w:spacing w:val="-7"/>
        </w:rPr>
        <w:t xml:space="preserve"> </w:t>
      </w:r>
      <w:r>
        <w:t>oven</w:t>
      </w:r>
      <w:r>
        <w:rPr>
          <w:spacing w:val="-5"/>
        </w:rPr>
        <w:t xml:space="preserve"> </w:t>
      </w:r>
      <w:r>
        <w:t>when</w:t>
      </w:r>
      <w:r>
        <w:rPr>
          <w:spacing w:val="-10"/>
        </w:rPr>
        <w:t xml:space="preserve"> </w:t>
      </w:r>
      <w:r>
        <w:t>the</w:t>
      </w:r>
      <w:r>
        <w:rPr>
          <w:spacing w:val="-11"/>
        </w:rPr>
        <w:t xml:space="preserve"> </w:t>
      </w:r>
      <w:r>
        <w:t>timer</w:t>
      </w:r>
      <w:r>
        <w:rPr>
          <w:spacing w:val="-8"/>
        </w:rPr>
        <w:t xml:space="preserve"> </w:t>
      </w:r>
      <w:r>
        <w:t>goes</w:t>
      </w:r>
      <w:r>
        <w:rPr>
          <w:spacing w:val="-7"/>
        </w:rPr>
        <w:t xml:space="preserve"> </w:t>
      </w:r>
      <w:r>
        <w:t>off).</w:t>
      </w:r>
      <w:r>
        <w:rPr>
          <w:spacing w:val="43"/>
        </w:rPr>
        <w:t xml:space="preserve"> </w:t>
      </w:r>
      <w:r>
        <w:t>In</w:t>
      </w:r>
      <w:r>
        <w:rPr>
          <w:spacing w:val="-10"/>
        </w:rPr>
        <w:t xml:space="preserve"> </w:t>
      </w:r>
      <w:r>
        <w:t>comparison</w:t>
      </w:r>
      <w:r>
        <w:rPr>
          <w:spacing w:val="-10"/>
        </w:rPr>
        <w:t xml:space="preserve"> </w:t>
      </w:r>
      <w:r>
        <w:rPr>
          <w:spacing w:val="-3"/>
        </w:rPr>
        <w:t>to</w:t>
      </w:r>
      <w:r>
        <w:rPr>
          <w:spacing w:val="-5"/>
        </w:rPr>
        <w:t xml:space="preserve"> </w:t>
      </w:r>
      <w:r>
        <w:t>time-based</w:t>
      </w:r>
      <w:r>
        <w:rPr>
          <w:spacing w:val="-5"/>
        </w:rPr>
        <w:t xml:space="preserve"> </w:t>
      </w:r>
      <w:r>
        <w:t>PM,</w:t>
      </w:r>
      <w:r>
        <w:rPr>
          <w:spacing w:val="-8"/>
        </w:rPr>
        <w:t xml:space="preserve"> </w:t>
      </w:r>
      <w:r>
        <w:t>which</w:t>
      </w:r>
      <w:r>
        <w:rPr>
          <w:spacing w:val="-10"/>
        </w:rPr>
        <w:t xml:space="preserve"> </w:t>
      </w:r>
      <w:r>
        <w:t>requires</w:t>
      </w:r>
      <w:r>
        <w:rPr>
          <w:spacing w:val="-7"/>
        </w:rPr>
        <w:t xml:space="preserve"> </w:t>
      </w:r>
      <w:r>
        <w:t>more</w:t>
      </w:r>
      <w:r>
        <w:rPr>
          <w:spacing w:val="-6"/>
        </w:rPr>
        <w:t xml:space="preserve"> </w:t>
      </w:r>
      <w:r>
        <w:rPr>
          <w:i/>
        </w:rPr>
        <w:t xml:space="preserve">self- initiated </w:t>
      </w:r>
      <w:r>
        <w:t xml:space="preserve">monitoring, intention retrieval is </w:t>
      </w:r>
      <w:r>
        <w:rPr>
          <w:i/>
        </w:rPr>
        <w:t xml:space="preserve">cued </w:t>
      </w:r>
      <w:r>
        <w:t xml:space="preserve">in event-based PM (e.g., by the timer going off). For this reason, event-based PM is considered to involve fewer attentional/executive resources than time-based PM (Einstein, McDaniel, Richardson, Guynn, &amp; Cunfer, 1995; </w:t>
      </w:r>
      <w:proofErr w:type="spellStart"/>
      <w:r>
        <w:t>Kvavilashvili</w:t>
      </w:r>
      <w:proofErr w:type="spellEnd"/>
      <w:r>
        <w:t xml:space="preserve"> &amp; Fisher, 2007; Sellen, Louie, Harris, &amp; Wilkins, 1997). In relation to this, studies on PM development in children have found a linear increase of both event-based PM and time-based PM across childhood, however event-based PM performance was found </w:t>
      </w:r>
      <w:r>
        <w:rPr>
          <w:spacing w:val="-3"/>
        </w:rPr>
        <w:t xml:space="preserve">to </w:t>
      </w:r>
      <w:r>
        <w:t xml:space="preserve">be superior in comparison </w:t>
      </w:r>
      <w:r>
        <w:t xml:space="preserve">to time-based PM (Yang, Wang, Lin, Zheng, &amp; Chan, 2013). Furthermore, research has clearly documented a decline in both event-based and time-based PM in older age, albeit less dramatically in the former (see the meta-analyses by Henry, MacLeod, Phillips, &amp; Crawford, 2004 and </w:t>
      </w:r>
      <w:proofErr w:type="spellStart"/>
      <w:r>
        <w:t>Uttl</w:t>
      </w:r>
      <w:proofErr w:type="spellEnd"/>
      <w:r>
        <w:t>, 2008). Typically, in laboratory event-based PM</w:t>
      </w:r>
      <w:r>
        <w:rPr>
          <w:spacing w:val="-8"/>
        </w:rPr>
        <w:t xml:space="preserve"> </w:t>
      </w:r>
      <w:r>
        <w:t>tasks,</w:t>
      </w:r>
      <w:r>
        <w:rPr>
          <w:spacing w:val="-4"/>
        </w:rPr>
        <w:t xml:space="preserve"> </w:t>
      </w:r>
      <w:r>
        <w:t>participants</w:t>
      </w:r>
      <w:r>
        <w:rPr>
          <w:spacing w:val="-12"/>
        </w:rPr>
        <w:t xml:space="preserve"> </w:t>
      </w:r>
      <w:r>
        <w:t>are</w:t>
      </w:r>
      <w:r>
        <w:rPr>
          <w:spacing w:val="-7"/>
        </w:rPr>
        <w:t xml:space="preserve"> </w:t>
      </w:r>
      <w:r>
        <w:t>engaged</w:t>
      </w:r>
      <w:r>
        <w:rPr>
          <w:spacing w:val="-11"/>
        </w:rPr>
        <w:t xml:space="preserve"> </w:t>
      </w:r>
      <w:r>
        <w:t>in</w:t>
      </w:r>
      <w:r>
        <w:rPr>
          <w:spacing w:val="-11"/>
        </w:rPr>
        <w:t xml:space="preserve"> </w:t>
      </w:r>
      <w:r>
        <w:t>an</w:t>
      </w:r>
      <w:r>
        <w:rPr>
          <w:spacing w:val="-6"/>
        </w:rPr>
        <w:t xml:space="preserve"> </w:t>
      </w:r>
      <w:r>
        <w:t>ongoing</w:t>
      </w:r>
      <w:r>
        <w:rPr>
          <w:spacing w:val="-10"/>
        </w:rPr>
        <w:t xml:space="preserve"> </w:t>
      </w:r>
      <w:r>
        <w:t>task,</w:t>
      </w:r>
      <w:r>
        <w:rPr>
          <w:spacing w:val="-4"/>
        </w:rPr>
        <w:t xml:space="preserve"> </w:t>
      </w:r>
      <w:r>
        <w:t>such</w:t>
      </w:r>
      <w:r>
        <w:rPr>
          <w:spacing w:val="-6"/>
        </w:rPr>
        <w:t xml:space="preserve"> </w:t>
      </w:r>
      <w:r>
        <w:t>as</w:t>
      </w:r>
      <w:r>
        <w:rPr>
          <w:spacing w:val="-7"/>
        </w:rPr>
        <w:t xml:space="preserve"> </w:t>
      </w:r>
      <w:r>
        <w:t>a</w:t>
      </w:r>
      <w:r>
        <w:rPr>
          <w:spacing w:val="-12"/>
        </w:rPr>
        <w:t xml:space="preserve"> </w:t>
      </w:r>
      <w:r>
        <w:t>lexical</w:t>
      </w:r>
      <w:r>
        <w:rPr>
          <w:spacing w:val="-5"/>
        </w:rPr>
        <w:t xml:space="preserve"> </w:t>
      </w:r>
      <w:r>
        <w:t>decision</w:t>
      </w:r>
      <w:r>
        <w:rPr>
          <w:spacing w:val="-6"/>
        </w:rPr>
        <w:t xml:space="preserve"> </w:t>
      </w:r>
      <w:r>
        <w:t>task</w:t>
      </w:r>
      <w:r>
        <w:rPr>
          <w:spacing w:val="-11"/>
        </w:rPr>
        <w:t xml:space="preserve"> </w:t>
      </w:r>
      <w:r>
        <w:t>(deciding whether a stimulus represents a word or not). Additionally, the PM component requires the</w:t>
      </w:r>
      <w:r>
        <w:t xml:space="preserve"> participant to remember to carry out a specified action (e.g., a certain keypress) whenever the participant encounters a pre-specified target cue (e.g., a particular</w:t>
      </w:r>
      <w:r>
        <w:rPr>
          <w:spacing w:val="-2"/>
        </w:rPr>
        <w:t xml:space="preserve"> </w:t>
      </w:r>
      <w:r>
        <w:t>word).</w:t>
      </w:r>
    </w:p>
    <w:p w14:paraId="4B3518C6" w14:textId="77777777" w:rsidR="00C75312" w:rsidRDefault="00C75312">
      <w:pPr>
        <w:spacing w:line="480" w:lineRule="auto"/>
        <w:jc w:val="both"/>
        <w:sectPr w:rsidR="00C75312">
          <w:headerReference w:type="default" r:id="rId27"/>
          <w:pgSz w:w="11900" w:h="16840"/>
          <w:pgMar w:top="1140" w:right="0" w:bottom="280" w:left="1300" w:header="715" w:footer="0" w:gutter="0"/>
          <w:pgNumType w:start="45"/>
          <w:cols w:space="720"/>
        </w:sectPr>
      </w:pPr>
    </w:p>
    <w:p w14:paraId="4F0436F3" w14:textId="77777777" w:rsidR="00C75312" w:rsidRDefault="00C75312">
      <w:pPr>
        <w:pStyle w:val="BodyText"/>
        <w:spacing w:before="2"/>
        <w:rPr>
          <w:sz w:val="18"/>
        </w:rPr>
      </w:pPr>
    </w:p>
    <w:p w14:paraId="6FBCEC01" w14:textId="77777777" w:rsidR="00C75312" w:rsidRDefault="00BB293A">
      <w:pPr>
        <w:pStyle w:val="BodyText"/>
        <w:spacing w:before="90" w:line="480" w:lineRule="auto"/>
        <w:ind w:left="140" w:right="1426" w:firstLine="720"/>
        <w:jc w:val="both"/>
      </w:pPr>
      <w:r>
        <w:t xml:space="preserve">According to the </w:t>
      </w:r>
      <w:proofErr w:type="spellStart"/>
      <w:r>
        <w:t>multiprocess</w:t>
      </w:r>
      <w:proofErr w:type="spellEnd"/>
      <w:r>
        <w:t xml:space="preserve"> framework (Einstein &amp; McDaniel, 2005; McDaniel &amp; Einstein, 2000), several factors influence PM retrieval processes and thus the likelihood of successful execution of one’s intentions. One particularly important factor concerns “cue focality”, which refers to the extent to which the PM target cue is related to the ongoing task (i.e., how easily the cue can get into the attentional focus while attending to the ongoing</w:t>
      </w:r>
      <w:r>
        <w:rPr>
          <w:spacing w:val="-35"/>
        </w:rPr>
        <w:t xml:space="preserve"> </w:t>
      </w:r>
      <w:r>
        <w:t xml:space="preserve">task). Focal PM cues have characteristics that are processed </w:t>
      </w:r>
      <w:r>
        <w:rPr>
          <w:i/>
        </w:rPr>
        <w:t xml:space="preserve">as part of </w:t>
      </w:r>
      <w:r>
        <w:t>the ong</w:t>
      </w:r>
      <w:r>
        <w:t xml:space="preserve">oing task, whereas </w:t>
      </w:r>
      <w:proofErr w:type="spellStart"/>
      <w:r>
        <w:t>nonfocal</w:t>
      </w:r>
      <w:proofErr w:type="spellEnd"/>
      <w:r>
        <w:t xml:space="preserve"> cues are not directly related to the ongoing task and hence appear outside </w:t>
      </w:r>
      <w:r>
        <w:rPr>
          <w:spacing w:val="-3"/>
        </w:rPr>
        <w:t xml:space="preserve">of </w:t>
      </w:r>
      <w:r>
        <w:t>the immediate</w:t>
      </w:r>
      <w:r>
        <w:rPr>
          <w:spacing w:val="-12"/>
        </w:rPr>
        <w:t xml:space="preserve"> </w:t>
      </w:r>
      <w:r>
        <w:t>attentional</w:t>
      </w:r>
      <w:r>
        <w:rPr>
          <w:spacing w:val="-10"/>
        </w:rPr>
        <w:t xml:space="preserve"> </w:t>
      </w:r>
      <w:r>
        <w:t>focus.</w:t>
      </w:r>
      <w:r>
        <w:rPr>
          <w:spacing w:val="37"/>
        </w:rPr>
        <w:t xml:space="preserve"> </w:t>
      </w:r>
      <w:r>
        <w:t>In</w:t>
      </w:r>
      <w:r>
        <w:rPr>
          <w:spacing w:val="-15"/>
        </w:rPr>
        <w:t xml:space="preserve"> </w:t>
      </w:r>
      <w:r>
        <w:t>the</w:t>
      </w:r>
      <w:r>
        <w:rPr>
          <w:spacing w:val="-12"/>
        </w:rPr>
        <w:t xml:space="preserve"> </w:t>
      </w:r>
      <w:r>
        <w:t>example</w:t>
      </w:r>
      <w:r>
        <w:rPr>
          <w:spacing w:val="-12"/>
        </w:rPr>
        <w:t xml:space="preserve"> </w:t>
      </w:r>
      <w:r>
        <w:t>of</w:t>
      </w:r>
      <w:r>
        <w:rPr>
          <w:spacing w:val="-9"/>
        </w:rPr>
        <w:t xml:space="preserve"> </w:t>
      </w:r>
      <w:r>
        <w:t>a</w:t>
      </w:r>
      <w:r>
        <w:rPr>
          <w:spacing w:val="-12"/>
        </w:rPr>
        <w:t xml:space="preserve"> </w:t>
      </w:r>
      <w:r>
        <w:t>lexical</w:t>
      </w:r>
      <w:r>
        <w:rPr>
          <w:spacing w:val="-10"/>
        </w:rPr>
        <w:t xml:space="preserve"> </w:t>
      </w:r>
      <w:r>
        <w:t>decision</w:t>
      </w:r>
      <w:r>
        <w:rPr>
          <w:spacing w:val="-11"/>
        </w:rPr>
        <w:t xml:space="preserve"> </w:t>
      </w:r>
      <w:r>
        <w:t>task,</w:t>
      </w:r>
      <w:r>
        <w:rPr>
          <w:spacing w:val="-8"/>
        </w:rPr>
        <w:t xml:space="preserve"> </w:t>
      </w:r>
      <w:r>
        <w:t>which</w:t>
      </w:r>
      <w:r>
        <w:rPr>
          <w:spacing w:val="-11"/>
        </w:rPr>
        <w:t xml:space="preserve"> </w:t>
      </w:r>
      <w:r>
        <w:t>requires</w:t>
      </w:r>
      <w:r>
        <w:rPr>
          <w:spacing w:val="-12"/>
        </w:rPr>
        <w:t xml:space="preserve"> </w:t>
      </w:r>
      <w:r>
        <w:t>semantic processing,</w:t>
      </w:r>
      <w:r>
        <w:rPr>
          <w:spacing w:val="-2"/>
        </w:rPr>
        <w:t xml:space="preserve"> </w:t>
      </w:r>
      <w:r>
        <w:t>a</w:t>
      </w:r>
      <w:r>
        <w:rPr>
          <w:spacing w:val="-6"/>
        </w:rPr>
        <w:t xml:space="preserve"> </w:t>
      </w:r>
      <w:r>
        <w:t>focal</w:t>
      </w:r>
      <w:r>
        <w:rPr>
          <w:spacing w:val="-3"/>
        </w:rPr>
        <w:t xml:space="preserve"> </w:t>
      </w:r>
      <w:r>
        <w:t>cue</w:t>
      </w:r>
      <w:r>
        <w:rPr>
          <w:spacing w:val="-6"/>
        </w:rPr>
        <w:t xml:space="preserve"> </w:t>
      </w:r>
      <w:r>
        <w:t>to</w:t>
      </w:r>
      <w:r>
        <w:rPr>
          <w:spacing w:val="-9"/>
        </w:rPr>
        <w:t xml:space="preserve"> </w:t>
      </w:r>
      <w:r>
        <w:t>carry</w:t>
      </w:r>
      <w:r>
        <w:rPr>
          <w:spacing w:val="-9"/>
        </w:rPr>
        <w:t xml:space="preserve"> </w:t>
      </w:r>
      <w:r>
        <w:t>out</w:t>
      </w:r>
      <w:r>
        <w:rPr>
          <w:spacing w:val="-4"/>
        </w:rPr>
        <w:t xml:space="preserve"> </w:t>
      </w:r>
      <w:r>
        <w:t>the</w:t>
      </w:r>
      <w:r>
        <w:rPr>
          <w:spacing w:val="-10"/>
        </w:rPr>
        <w:t xml:space="preserve"> </w:t>
      </w:r>
      <w:r>
        <w:t>PM</w:t>
      </w:r>
      <w:r>
        <w:rPr>
          <w:spacing w:val="-7"/>
        </w:rPr>
        <w:t xml:space="preserve"> </w:t>
      </w:r>
      <w:r>
        <w:t>action</w:t>
      </w:r>
      <w:r>
        <w:rPr>
          <w:spacing w:val="-9"/>
        </w:rPr>
        <w:t xml:space="preserve"> </w:t>
      </w:r>
      <w:r>
        <w:t>would</w:t>
      </w:r>
      <w:r>
        <w:rPr>
          <w:spacing w:val="-4"/>
        </w:rPr>
        <w:t xml:space="preserve"> </w:t>
      </w:r>
      <w:r>
        <w:t>be</w:t>
      </w:r>
      <w:r>
        <w:rPr>
          <w:spacing w:val="-6"/>
        </w:rPr>
        <w:t xml:space="preserve"> </w:t>
      </w:r>
      <w:r>
        <w:t>a</w:t>
      </w:r>
      <w:r>
        <w:rPr>
          <w:spacing w:val="-5"/>
        </w:rPr>
        <w:t xml:space="preserve"> </w:t>
      </w:r>
      <w:r>
        <w:t>specific</w:t>
      </w:r>
      <w:r>
        <w:rPr>
          <w:spacing w:val="-6"/>
        </w:rPr>
        <w:t xml:space="preserve"> </w:t>
      </w:r>
      <w:r>
        <w:t>word,</w:t>
      </w:r>
      <w:r>
        <w:rPr>
          <w:spacing w:val="-6"/>
        </w:rPr>
        <w:t xml:space="preserve"> </w:t>
      </w:r>
      <w:r>
        <w:t>(e.g.,</w:t>
      </w:r>
      <w:r>
        <w:rPr>
          <w:spacing w:val="-2"/>
        </w:rPr>
        <w:t xml:space="preserve"> </w:t>
      </w:r>
      <w:r>
        <w:t>carry</w:t>
      </w:r>
      <w:r>
        <w:rPr>
          <w:spacing w:val="-4"/>
        </w:rPr>
        <w:t xml:space="preserve"> </w:t>
      </w:r>
      <w:r>
        <w:t>out</w:t>
      </w:r>
      <w:r>
        <w:rPr>
          <w:spacing w:val="-9"/>
        </w:rPr>
        <w:t xml:space="preserve"> </w:t>
      </w:r>
      <w:r>
        <w:t>the PM</w:t>
      </w:r>
      <w:r>
        <w:rPr>
          <w:spacing w:val="-11"/>
        </w:rPr>
        <w:t xml:space="preserve"> </w:t>
      </w:r>
      <w:r>
        <w:t>action</w:t>
      </w:r>
      <w:r>
        <w:rPr>
          <w:spacing w:val="-9"/>
        </w:rPr>
        <w:t xml:space="preserve"> </w:t>
      </w:r>
      <w:r>
        <w:t>upon</w:t>
      </w:r>
      <w:r>
        <w:rPr>
          <w:spacing w:val="-9"/>
        </w:rPr>
        <w:t xml:space="preserve"> </w:t>
      </w:r>
      <w:r>
        <w:t>encountering</w:t>
      </w:r>
      <w:r>
        <w:rPr>
          <w:spacing w:val="-8"/>
        </w:rPr>
        <w:t xml:space="preserve"> </w:t>
      </w:r>
      <w:r>
        <w:t>the</w:t>
      </w:r>
      <w:r>
        <w:rPr>
          <w:spacing w:val="-10"/>
        </w:rPr>
        <w:t xml:space="preserve"> </w:t>
      </w:r>
      <w:r>
        <w:t>word</w:t>
      </w:r>
      <w:r>
        <w:rPr>
          <w:spacing w:val="-9"/>
        </w:rPr>
        <w:t xml:space="preserve"> </w:t>
      </w:r>
      <w:r>
        <w:t>“monkey”);</w:t>
      </w:r>
      <w:r>
        <w:rPr>
          <w:spacing w:val="-8"/>
        </w:rPr>
        <w:t xml:space="preserve"> </w:t>
      </w:r>
      <w:r>
        <w:t>whereas</w:t>
      </w:r>
      <w:r>
        <w:rPr>
          <w:spacing w:val="-10"/>
        </w:rPr>
        <w:t xml:space="preserve"> </w:t>
      </w:r>
      <w:r>
        <w:t>a</w:t>
      </w:r>
      <w:r>
        <w:rPr>
          <w:spacing w:val="-10"/>
        </w:rPr>
        <w:t xml:space="preserve"> </w:t>
      </w:r>
      <w:proofErr w:type="spellStart"/>
      <w:r>
        <w:t>nonfocal</w:t>
      </w:r>
      <w:proofErr w:type="spellEnd"/>
      <w:r>
        <w:rPr>
          <w:spacing w:val="-8"/>
        </w:rPr>
        <w:t xml:space="preserve"> </w:t>
      </w:r>
      <w:r>
        <w:t>cue</w:t>
      </w:r>
      <w:r>
        <w:rPr>
          <w:spacing w:val="-10"/>
        </w:rPr>
        <w:t xml:space="preserve"> </w:t>
      </w:r>
      <w:r>
        <w:t>might</w:t>
      </w:r>
      <w:r>
        <w:rPr>
          <w:spacing w:val="-8"/>
        </w:rPr>
        <w:t xml:space="preserve"> </w:t>
      </w:r>
      <w:r>
        <w:t>be</w:t>
      </w:r>
      <w:r>
        <w:rPr>
          <w:spacing w:val="-9"/>
        </w:rPr>
        <w:t xml:space="preserve"> </w:t>
      </w:r>
      <w:r>
        <w:t>a</w:t>
      </w:r>
      <w:r>
        <w:rPr>
          <w:spacing w:val="-10"/>
        </w:rPr>
        <w:t xml:space="preserve"> </w:t>
      </w:r>
      <w:r>
        <w:t xml:space="preserve">specific </w:t>
      </w:r>
      <w:proofErr w:type="spellStart"/>
      <w:r>
        <w:t>colour</w:t>
      </w:r>
      <w:proofErr w:type="spellEnd"/>
      <w:r>
        <w:t xml:space="preserve"> that the word is printed in (e.g., carry out the PM action upon encountering a word written in blue font; rather than any other </w:t>
      </w:r>
      <w:proofErr w:type="spellStart"/>
      <w:r>
        <w:t>colour</w:t>
      </w:r>
      <w:proofErr w:type="spellEnd"/>
      <w:r>
        <w:t xml:space="preserve">). Because </w:t>
      </w:r>
      <w:proofErr w:type="spellStart"/>
      <w:r>
        <w:t>nonfocal</w:t>
      </w:r>
      <w:proofErr w:type="spellEnd"/>
      <w:r>
        <w:t xml:space="preserve"> cues are not processed automatically</w:t>
      </w:r>
      <w:r>
        <w:rPr>
          <w:spacing w:val="-5"/>
        </w:rPr>
        <w:t xml:space="preserve"> </w:t>
      </w:r>
      <w:r>
        <w:t>as</w:t>
      </w:r>
      <w:r>
        <w:rPr>
          <w:spacing w:val="-7"/>
        </w:rPr>
        <w:t xml:space="preserve"> </w:t>
      </w:r>
      <w:r>
        <w:t>part</w:t>
      </w:r>
      <w:r>
        <w:rPr>
          <w:spacing w:val="-4"/>
        </w:rPr>
        <w:t xml:space="preserve"> </w:t>
      </w:r>
      <w:r>
        <w:t>of</w:t>
      </w:r>
      <w:r>
        <w:rPr>
          <w:spacing w:val="-3"/>
        </w:rPr>
        <w:t xml:space="preserve"> </w:t>
      </w:r>
      <w:r>
        <w:t>ongoing</w:t>
      </w:r>
      <w:r>
        <w:rPr>
          <w:spacing w:val="-5"/>
        </w:rPr>
        <w:t xml:space="preserve"> </w:t>
      </w:r>
      <w:r>
        <w:t>task</w:t>
      </w:r>
      <w:r>
        <w:rPr>
          <w:spacing w:val="-4"/>
        </w:rPr>
        <w:t xml:space="preserve"> </w:t>
      </w:r>
      <w:r>
        <w:t>performance</w:t>
      </w:r>
      <w:r>
        <w:rPr>
          <w:spacing w:val="-11"/>
        </w:rPr>
        <w:t xml:space="preserve"> </w:t>
      </w:r>
      <w:r>
        <w:t>(i.e.,</w:t>
      </w:r>
      <w:r>
        <w:rPr>
          <w:spacing w:val="-2"/>
        </w:rPr>
        <w:t xml:space="preserve"> </w:t>
      </w:r>
      <w:r>
        <w:t>one’s</w:t>
      </w:r>
      <w:r>
        <w:rPr>
          <w:spacing w:val="-7"/>
        </w:rPr>
        <w:t xml:space="preserve"> </w:t>
      </w:r>
      <w:r>
        <w:t>judgement</w:t>
      </w:r>
      <w:r>
        <w:rPr>
          <w:spacing w:val="-8"/>
        </w:rPr>
        <w:t xml:space="preserve"> </w:t>
      </w:r>
      <w:r>
        <w:t>in</w:t>
      </w:r>
      <w:r>
        <w:rPr>
          <w:spacing w:val="-5"/>
        </w:rPr>
        <w:t xml:space="preserve"> </w:t>
      </w:r>
      <w:r>
        <w:t>the</w:t>
      </w:r>
      <w:r>
        <w:rPr>
          <w:spacing w:val="-6"/>
        </w:rPr>
        <w:t xml:space="preserve"> </w:t>
      </w:r>
      <w:r>
        <w:t>ongoing</w:t>
      </w:r>
      <w:r>
        <w:rPr>
          <w:spacing w:val="-10"/>
        </w:rPr>
        <w:t xml:space="preserve"> </w:t>
      </w:r>
      <w:r>
        <w:t>task</w:t>
      </w:r>
      <w:r>
        <w:rPr>
          <w:spacing w:val="-4"/>
        </w:rPr>
        <w:t xml:space="preserve"> </w:t>
      </w:r>
      <w:r>
        <w:t>is not</w:t>
      </w:r>
      <w:r>
        <w:rPr>
          <w:spacing w:val="-9"/>
        </w:rPr>
        <w:t xml:space="preserve"> </w:t>
      </w:r>
      <w:r>
        <w:t>specifically</w:t>
      </w:r>
      <w:r>
        <w:rPr>
          <w:spacing w:val="-10"/>
        </w:rPr>
        <w:t xml:space="preserve"> </w:t>
      </w:r>
      <w:r>
        <w:t>about</w:t>
      </w:r>
      <w:r>
        <w:rPr>
          <w:spacing w:val="-9"/>
        </w:rPr>
        <w:t xml:space="preserve"> </w:t>
      </w:r>
      <w:r>
        <w:t>the</w:t>
      </w:r>
      <w:r>
        <w:rPr>
          <w:spacing w:val="-10"/>
        </w:rPr>
        <w:t xml:space="preserve"> </w:t>
      </w:r>
      <w:r>
        <w:t>aspect</w:t>
      </w:r>
      <w:r>
        <w:rPr>
          <w:spacing w:val="-9"/>
        </w:rPr>
        <w:t xml:space="preserve"> </w:t>
      </w:r>
      <w:r>
        <w:t>of</w:t>
      </w:r>
      <w:r>
        <w:rPr>
          <w:spacing w:val="-8"/>
        </w:rPr>
        <w:t xml:space="preserve"> </w:t>
      </w:r>
      <w:r>
        <w:t>the</w:t>
      </w:r>
      <w:r>
        <w:rPr>
          <w:spacing w:val="-11"/>
        </w:rPr>
        <w:t xml:space="preserve"> </w:t>
      </w:r>
      <w:r>
        <w:t>task</w:t>
      </w:r>
      <w:r>
        <w:rPr>
          <w:spacing w:val="-10"/>
        </w:rPr>
        <w:t xml:space="preserve"> </w:t>
      </w:r>
      <w:r>
        <w:t>that</w:t>
      </w:r>
      <w:r>
        <w:rPr>
          <w:spacing w:val="-8"/>
        </w:rPr>
        <w:t xml:space="preserve"> </w:t>
      </w:r>
      <w:r>
        <w:t>cues</w:t>
      </w:r>
      <w:r>
        <w:rPr>
          <w:spacing w:val="-12"/>
        </w:rPr>
        <w:t xml:space="preserve"> </w:t>
      </w:r>
      <w:r>
        <w:t>the</w:t>
      </w:r>
      <w:r>
        <w:rPr>
          <w:spacing w:val="-11"/>
        </w:rPr>
        <w:t xml:space="preserve"> </w:t>
      </w:r>
      <w:r>
        <w:t>PM</w:t>
      </w:r>
      <w:r>
        <w:rPr>
          <w:spacing w:val="-11"/>
        </w:rPr>
        <w:t xml:space="preserve"> </w:t>
      </w:r>
      <w:r>
        <w:t>action),</w:t>
      </w:r>
      <w:r>
        <w:rPr>
          <w:spacing w:val="-7"/>
        </w:rPr>
        <w:t xml:space="preserve"> </w:t>
      </w:r>
      <w:r>
        <w:t>detection</w:t>
      </w:r>
      <w:r>
        <w:rPr>
          <w:spacing w:val="-10"/>
        </w:rPr>
        <w:t xml:space="preserve"> </w:t>
      </w:r>
      <w:r>
        <w:rPr>
          <w:spacing w:val="-3"/>
        </w:rPr>
        <w:t>of</w:t>
      </w:r>
      <w:r>
        <w:rPr>
          <w:spacing w:val="-8"/>
        </w:rPr>
        <w:t xml:space="preserve"> </w:t>
      </w:r>
      <w:r>
        <w:t>them</w:t>
      </w:r>
      <w:r>
        <w:rPr>
          <w:spacing w:val="-13"/>
        </w:rPr>
        <w:t xml:space="preserve"> </w:t>
      </w:r>
      <w:r>
        <w:t>requires a higher level of attention-demanding monitoring processes than does detection of focal cues (Einstein</w:t>
      </w:r>
      <w:r>
        <w:rPr>
          <w:spacing w:val="-15"/>
        </w:rPr>
        <w:t xml:space="preserve"> </w:t>
      </w:r>
      <w:r>
        <w:t>&amp;</w:t>
      </w:r>
      <w:r>
        <w:rPr>
          <w:spacing w:val="-14"/>
        </w:rPr>
        <w:t xml:space="preserve"> </w:t>
      </w:r>
      <w:r>
        <w:t>McDaniel,</w:t>
      </w:r>
      <w:r>
        <w:rPr>
          <w:spacing w:val="-13"/>
        </w:rPr>
        <w:t xml:space="preserve"> </w:t>
      </w:r>
      <w:r>
        <w:t>2005;</w:t>
      </w:r>
      <w:r>
        <w:rPr>
          <w:spacing w:val="-14"/>
        </w:rPr>
        <w:t xml:space="preserve"> </w:t>
      </w:r>
      <w:r>
        <w:t>Scullin,</w:t>
      </w:r>
      <w:r>
        <w:rPr>
          <w:spacing w:val="-13"/>
        </w:rPr>
        <w:t xml:space="preserve"> </w:t>
      </w:r>
      <w:r>
        <w:t>McDaniel,</w:t>
      </w:r>
      <w:r>
        <w:rPr>
          <w:spacing w:val="-12"/>
        </w:rPr>
        <w:t xml:space="preserve"> </w:t>
      </w:r>
      <w:r>
        <w:t>Shelton,</w:t>
      </w:r>
      <w:r>
        <w:rPr>
          <w:spacing w:val="-13"/>
        </w:rPr>
        <w:t xml:space="preserve"> </w:t>
      </w:r>
      <w:r>
        <w:t>&amp;</w:t>
      </w:r>
      <w:r>
        <w:rPr>
          <w:spacing w:val="-14"/>
        </w:rPr>
        <w:t xml:space="preserve"> </w:t>
      </w:r>
      <w:r>
        <w:t>Lee,</w:t>
      </w:r>
      <w:r>
        <w:rPr>
          <w:spacing w:val="-13"/>
        </w:rPr>
        <w:t xml:space="preserve"> </w:t>
      </w:r>
      <w:r>
        <w:t>2010).</w:t>
      </w:r>
      <w:r>
        <w:rPr>
          <w:spacing w:val="29"/>
        </w:rPr>
        <w:t xml:space="preserve"> </w:t>
      </w:r>
      <w:r>
        <w:t>Interestingly,</w:t>
      </w:r>
      <w:r>
        <w:rPr>
          <w:spacing w:val="-13"/>
        </w:rPr>
        <w:t xml:space="preserve"> </w:t>
      </w:r>
      <w:r>
        <w:t>not</w:t>
      </w:r>
      <w:r>
        <w:rPr>
          <w:spacing w:val="-14"/>
        </w:rPr>
        <w:t xml:space="preserve"> </w:t>
      </w:r>
      <w:r>
        <w:t xml:space="preserve">only do focal and </w:t>
      </w:r>
      <w:proofErr w:type="spellStart"/>
      <w:r>
        <w:t>nonfocal</w:t>
      </w:r>
      <w:proofErr w:type="spellEnd"/>
      <w:r>
        <w:t xml:space="preserve"> PM tasks differ in the degree to which they require executive</w:t>
      </w:r>
      <w:r>
        <w:rPr>
          <w:spacing w:val="-38"/>
        </w:rPr>
        <w:t xml:space="preserve"> </w:t>
      </w:r>
      <w:r>
        <w:t xml:space="preserve">resources, but they also appear to differ in the type of executive function required. Zuber, </w:t>
      </w:r>
      <w:proofErr w:type="spellStart"/>
      <w:r>
        <w:t>Kliegel</w:t>
      </w:r>
      <w:proofErr w:type="spellEnd"/>
      <w:r>
        <w:t>, and Ihle</w:t>
      </w:r>
      <w:r>
        <w:rPr>
          <w:spacing w:val="-5"/>
        </w:rPr>
        <w:t xml:space="preserve"> </w:t>
      </w:r>
      <w:r>
        <w:t>(2016)</w:t>
      </w:r>
      <w:r>
        <w:rPr>
          <w:spacing w:val="-7"/>
        </w:rPr>
        <w:t xml:space="preserve"> </w:t>
      </w:r>
      <w:r>
        <w:t>found</w:t>
      </w:r>
      <w:r>
        <w:rPr>
          <w:spacing w:val="-4"/>
        </w:rPr>
        <w:t xml:space="preserve"> </w:t>
      </w:r>
      <w:r>
        <w:t>that</w:t>
      </w:r>
      <w:r>
        <w:rPr>
          <w:spacing w:val="-8"/>
        </w:rPr>
        <w:t xml:space="preserve"> </w:t>
      </w:r>
      <w:r>
        <w:t>focal</w:t>
      </w:r>
      <w:r>
        <w:rPr>
          <w:spacing w:val="-8"/>
        </w:rPr>
        <w:t xml:space="preserve"> </w:t>
      </w:r>
      <w:r>
        <w:t>PM</w:t>
      </w:r>
      <w:r>
        <w:rPr>
          <w:spacing w:val="-6"/>
        </w:rPr>
        <w:t xml:space="preserve"> </w:t>
      </w:r>
      <w:r>
        <w:t>task</w:t>
      </w:r>
      <w:r>
        <w:rPr>
          <w:spacing w:val="-4"/>
        </w:rPr>
        <w:t xml:space="preserve"> </w:t>
      </w:r>
      <w:r>
        <w:t>performance</w:t>
      </w:r>
      <w:r>
        <w:rPr>
          <w:spacing w:val="-10"/>
        </w:rPr>
        <w:t xml:space="preserve"> </w:t>
      </w:r>
      <w:r>
        <w:rPr>
          <w:spacing w:val="-3"/>
        </w:rPr>
        <w:t>is</w:t>
      </w:r>
      <w:r>
        <w:rPr>
          <w:spacing w:val="-6"/>
        </w:rPr>
        <w:t xml:space="preserve"> </w:t>
      </w:r>
      <w:r>
        <w:t>more</w:t>
      </w:r>
      <w:r>
        <w:rPr>
          <w:spacing w:val="-5"/>
        </w:rPr>
        <w:t xml:space="preserve"> </w:t>
      </w:r>
      <w:r>
        <w:t>strongly</w:t>
      </w:r>
      <w:r>
        <w:rPr>
          <w:spacing w:val="-9"/>
        </w:rPr>
        <w:t xml:space="preserve"> </w:t>
      </w:r>
      <w:r>
        <w:t>related</w:t>
      </w:r>
      <w:r>
        <w:rPr>
          <w:spacing w:val="-9"/>
        </w:rPr>
        <w:t xml:space="preserve"> </w:t>
      </w:r>
      <w:r>
        <w:t>to</w:t>
      </w:r>
      <w:r>
        <w:rPr>
          <w:spacing w:val="-9"/>
        </w:rPr>
        <w:t xml:space="preserve"> </w:t>
      </w:r>
      <w:r>
        <w:t>inhibitory</w:t>
      </w:r>
      <w:r>
        <w:rPr>
          <w:spacing w:val="-9"/>
        </w:rPr>
        <w:t xml:space="preserve"> </w:t>
      </w:r>
      <w:r>
        <w:t xml:space="preserve">control than to shifting, whereas </w:t>
      </w:r>
      <w:proofErr w:type="spellStart"/>
      <w:r>
        <w:t>nonfocal</w:t>
      </w:r>
      <w:proofErr w:type="spellEnd"/>
      <w:r>
        <w:t xml:space="preserve"> PM task performance is more strongly associated with shifting than to inhibition.</w:t>
      </w:r>
    </w:p>
    <w:p w14:paraId="3DB6D980" w14:textId="77777777" w:rsidR="00C75312" w:rsidRDefault="00BB293A">
      <w:pPr>
        <w:pStyle w:val="BodyText"/>
        <w:spacing w:before="121" w:line="480" w:lineRule="auto"/>
        <w:ind w:left="140" w:right="1429" w:firstLine="720"/>
        <w:jc w:val="both"/>
      </w:pPr>
      <w:r>
        <w:t xml:space="preserve">Two meta-analyses have addressed the question </w:t>
      </w:r>
      <w:r>
        <w:rPr>
          <w:spacing w:val="-3"/>
        </w:rPr>
        <w:t xml:space="preserve">of </w:t>
      </w:r>
      <w:r>
        <w:t>whether age-related declines in</w:t>
      </w:r>
      <w:r>
        <w:rPr>
          <w:spacing w:val="-28"/>
        </w:rPr>
        <w:t xml:space="preserve"> </w:t>
      </w:r>
      <w:r>
        <w:t>PM vary as a function of PM cue focality. Despite methodological and conceptual differences in the approach taken in each meta-analysis, both found larger effect sizes for age effects (i.e., decline</w:t>
      </w:r>
      <w:r>
        <w:rPr>
          <w:spacing w:val="-7"/>
        </w:rPr>
        <w:t xml:space="preserve"> </w:t>
      </w:r>
      <w:r>
        <w:t>in</w:t>
      </w:r>
      <w:r>
        <w:rPr>
          <w:spacing w:val="-5"/>
        </w:rPr>
        <w:t xml:space="preserve"> </w:t>
      </w:r>
      <w:r>
        <w:t>performance)</w:t>
      </w:r>
      <w:r>
        <w:rPr>
          <w:spacing w:val="-4"/>
        </w:rPr>
        <w:t xml:space="preserve"> </w:t>
      </w:r>
      <w:r>
        <w:t>on</w:t>
      </w:r>
      <w:r>
        <w:rPr>
          <w:spacing w:val="-10"/>
        </w:rPr>
        <w:t xml:space="preserve"> </w:t>
      </w:r>
      <w:r>
        <w:t>tasks</w:t>
      </w:r>
      <w:r>
        <w:rPr>
          <w:spacing w:val="-7"/>
        </w:rPr>
        <w:t xml:space="preserve"> </w:t>
      </w:r>
      <w:r>
        <w:t>involving</w:t>
      </w:r>
      <w:r>
        <w:rPr>
          <w:spacing w:val="-6"/>
        </w:rPr>
        <w:t xml:space="preserve"> </w:t>
      </w:r>
      <w:proofErr w:type="spellStart"/>
      <w:r>
        <w:t>nonfocal</w:t>
      </w:r>
      <w:proofErr w:type="spellEnd"/>
      <w:r>
        <w:rPr>
          <w:spacing w:val="-4"/>
        </w:rPr>
        <w:t xml:space="preserve"> </w:t>
      </w:r>
      <w:r>
        <w:t>cues</w:t>
      </w:r>
      <w:r>
        <w:rPr>
          <w:spacing w:val="-8"/>
        </w:rPr>
        <w:t xml:space="preserve"> </w:t>
      </w:r>
      <w:r>
        <w:t>than</w:t>
      </w:r>
      <w:r>
        <w:rPr>
          <w:spacing w:val="-5"/>
        </w:rPr>
        <w:t xml:space="preserve"> </w:t>
      </w:r>
      <w:r>
        <w:t>tasks</w:t>
      </w:r>
      <w:r>
        <w:rPr>
          <w:spacing w:val="-7"/>
        </w:rPr>
        <w:t xml:space="preserve"> </w:t>
      </w:r>
      <w:r>
        <w:t>involving</w:t>
      </w:r>
      <w:r>
        <w:rPr>
          <w:spacing w:val="-6"/>
        </w:rPr>
        <w:t xml:space="preserve"> </w:t>
      </w:r>
      <w:r>
        <w:t>focal</w:t>
      </w:r>
      <w:r>
        <w:rPr>
          <w:spacing w:val="-9"/>
        </w:rPr>
        <w:t xml:space="preserve"> </w:t>
      </w:r>
      <w:r>
        <w:t>cues</w:t>
      </w:r>
      <w:r>
        <w:rPr>
          <w:spacing w:val="-7"/>
        </w:rPr>
        <w:t xml:space="preserve"> </w:t>
      </w:r>
      <w:r>
        <w:t>(Ihle,</w:t>
      </w:r>
    </w:p>
    <w:p w14:paraId="2AC2D626" w14:textId="77777777" w:rsidR="00C75312" w:rsidRDefault="00C75312">
      <w:pPr>
        <w:spacing w:line="480" w:lineRule="auto"/>
        <w:jc w:val="both"/>
        <w:sectPr w:rsidR="00C75312">
          <w:pgSz w:w="11900" w:h="16840"/>
          <w:pgMar w:top="1140" w:right="0" w:bottom="280" w:left="1300" w:header="715" w:footer="0" w:gutter="0"/>
          <w:cols w:space="720"/>
        </w:sectPr>
      </w:pPr>
    </w:p>
    <w:p w14:paraId="0F9E30B2" w14:textId="77777777" w:rsidR="00C75312" w:rsidRDefault="00C75312">
      <w:pPr>
        <w:pStyle w:val="BodyText"/>
        <w:spacing w:before="2"/>
        <w:rPr>
          <w:sz w:val="18"/>
        </w:rPr>
      </w:pPr>
    </w:p>
    <w:p w14:paraId="42BEDBAE" w14:textId="77777777" w:rsidR="00C75312" w:rsidRDefault="00BB293A">
      <w:pPr>
        <w:pStyle w:val="BodyText"/>
        <w:spacing w:before="90" w:line="480" w:lineRule="auto"/>
        <w:ind w:left="140" w:right="1427"/>
        <w:jc w:val="both"/>
      </w:pPr>
      <w:r w:rsidRPr="002C3022">
        <w:rPr>
          <w:lang w:val="de-DE"/>
        </w:rPr>
        <w:t xml:space="preserve">Hering, Mahy, Bisiacchi, &amp; Kliegel, 2013; Kliegel, Jäger, &amp; Phillips, 2008). </w:t>
      </w:r>
      <w:r>
        <w:t>This increased age-related</w:t>
      </w:r>
      <w:r>
        <w:rPr>
          <w:spacing w:val="-15"/>
        </w:rPr>
        <w:t xml:space="preserve"> </w:t>
      </w:r>
      <w:r>
        <w:t>decline</w:t>
      </w:r>
      <w:r>
        <w:rPr>
          <w:spacing w:val="-15"/>
        </w:rPr>
        <w:t xml:space="preserve"> </w:t>
      </w:r>
      <w:r>
        <w:t>in</w:t>
      </w:r>
      <w:r>
        <w:rPr>
          <w:spacing w:val="-14"/>
        </w:rPr>
        <w:t xml:space="preserve"> </w:t>
      </w:r>
      <w:r>
        <w:t>event-based</w:t>
      </w:r>
      <w:r>
        <w:rPr>
          <w:spacing w:val="-14"/>
        </w:rPr>
        <w:t xml:space="preserve"> </w:t>
      </w:r>
      <w:r>
        <w:t>PM</w:t>
      </w:r>
      <w:r>
        <w:rPr>
          <w:spacing w:val="-17"/>
        </w:rPr>
        <w:t xml:space="preserve"> </w:t>
      </w:r>
      <w:r>
        <w:t>tasks</w:t>
      </w:r>
      <w:r>
        <w:rPr>
          <w:spacing w:val="-17"/>
        </w:rPr>
        <w:t xml:space="preserve"> </w:t>
      </w:r>
      <w:r>
        <w:t>involving</w:t>
      </w:r>
      <w:r>
        <w:rPr>
          <w:spacing w:val="-14"/>
        </w:rPr>
        <w:t xml:space="preserve"> </w:t>
      </w:r>
      <w:proofErr w:type="spellStart"/>
      <w:r>
        <w:t>nonfocal</w:t>
      </w:r>
      <w:proofErr w:type="spellEnd"/>
      <w:r>
        <w:rPr>
          <w:spacing w:val="-15"/>
        </w:rPr>
        <w:t xml:space="preserve"> </w:t>
      </w:r>
      <w:r>
        <w:t>cues</w:t>
      </w:r>
      <w:r>
        <w:rPr>
          <w:spacing w:val="-17"/>
        </w:rPr>
        <w:t xml:space="preserve"> </w:t>
      </w:r>
      <w:r>
        <w:t>is</w:t>
      </w:r>
      <w:r>
        <w:rPr>
          <w:spacing w:val="-17"/>
        </w:rPr>
        <w:t xml:space="preserve"> </w:t>
      </w:r>
      <w:r>
        <w:t>often</w:t>
      </w:r>
      <w:r>
        <w:rPr>
          <w:spacing w:val="-14"/>
        </w:rPr>
        <w:t xml:space="preserve"> </w:t>
      </w:r>
      <w:r>
        <w:t>explained</w:t>
      </w:r>
      <w:r>
        <w:rPr>
          <w:spacing w:val="-14"/>
        </w:rPr>
        <w:t xml:space="preserve"> </w:t>
      </w:r>
      <w:r>
        <w:t>by</w:t>
      </w:r>
      <w:r>
        <w:rPr>
          <w:spacing w:val="-14"/>
        </w:rPr>
        <w:t xml:space="preserve"> </w:t>
      </w:r>
      <w:r>
        <w:t xml:space="preserve">well- established age-related declines in the executive resources required detect PM cues (but see </w:t>
      </w:r>
      <w:proofErr w:type="spellStart"/>
      <w:r>
        <w:t>Uttl</w:t>
      </w:r>
      <w:proofErr w:type="spellEnd"/>
      <w:r>
        <w:t>, 2011 for an alternative explanation). Specifically, research examining effects of ageing on inhibitory control and cognitive flexibility show a clear decline in both abilities (</w:t>
      </w:r>
      <w:proofErr w:type="spellStart"/>
      <w:r>
        <w:t>Adolfsdottir</w:t>
      </w:r>
      <w:proofErr w:type="spellEnd"/>
      <w:r>
        <w:t xml:space="preserve">, </w:t>
      </w:r>
      <w:proofErr w:type="spellStart"/>
      <w:r>
        <w:t>Wollschlaeger</w:t>
      </w:r>
      <w:proofErr w:type="spellEnd"/>
      <w:r>
        <w:t xml:space="preserve">, Wehling, &amp; </w:t>
      </w:r>
      <w:proofErr w:type="spellStart"/>
      <w:r>
        <w:t>Lundervold</w:t>
      </w:r>
      <w:proofErr w:type="spellEnd"/>
      <w:r>
        <w:t xml:space="preserve">, 2016; Dempster &amp; Vegas, 1992; Salthouse, 2010), which in combination are </w:t>
      </w:r>
      <w:r>
        <w:t xml:space="preserve">likely to result in greater PM difficulties when </w:t>
      </w:r>
      <w:proofErr w:type="spellStart"/>
      <w:r>
        <w:t>nonfocal</w:t>
      </w:r>
      <w:proofErr w:type="spellEnd"/>
      <w:r>
        <w:t xml:space="preserve"> cues are involved (e.g., </w:t>
      </w:r>
      <w:proofErr w:type="spellStart"/>
      <w:r>
        <w:t>Schnitzspahn</w:t>
      </w:r>
      <w:proofErr w:type="spellEnd"/>
      <w:r>
        <w:t xml:space="preserve">, Stahl, </w:t>
      </w:r>
      <w:proofErr w:type="spellStart"/>
      <w:r>
        <w:t>Zeintl</w:t>
      </w:r>
      <w:proofErr w:type="spellEnd"/>
      <w:r>
        <w:t xml:space="preserve">, Kaller, &amp; </w:t>
      </w:r>
      <w:proofErr w:type="spellStart"/>
      <w:r>
        <w:t>Kliegel</w:t>
      </w:r>
      <w:proofErr w:type="spellEnd"/>
      <w:r>
        <w:t>,</w:t>
      </w:r>
      <w:r>
        <w:rPr>
          <w:spacing w:val="-5"/>
        </w:rPr>
        <w:t xml:space="preserve"> </w:t>
      </w:r>
      <w:r>
        <w:t>2013).</w:t>
      </w:r>
    </w:p>
    <w:p w14:paraId="2EFE72D6" w14:textId="77777777" w:rsidR="00C75312" w:rsidRDefault="00BB293A">
      <w:pPr>
        <w:pStyle w:val="BodyText"/>
        <w:spacing w:before="120" w:line="480" w:lineRule="auto"/>
        <w:ind w:left="140" w:right="1429" w:firstLine="720"/>
        <w:jc w:val="both"/>
      </w:pPr>
      <w:r>
        <w:t xml:space="preserve">These age-related declines in event-based </w:t>
      </w:r>
      <w:r>
        <w:rPr>
          <w:spacing w:val="2"/>
        </w:rPr>
        <w:t xml:space="preserve">PM </w:t>
      </w:r>
      <w:r>
        <w:t xml:space="preserve">in older age appear to be mirrored by age-related improvements in PM across childhood and adolescence as a result </w:t>
      </w:r>
      <w:r>
        <w:rPr>
          <w:spacing w:val="-3"/>
        </w:rPr>
        <w:t xml:space="preserve">of </w:t>
      </w:r>
      <w:r>
        <w:t xml:space="preserve">concurrent executive function development (Mahy, Moses, &amp; </w:t>
      </w:r>
      <w:proofErr w:type="spellStart"/>
      <w:r>
        <w:t>Kliegel</w:t>
      </w:r>
      <w:proofErr w:type="spellEnd"/>
      <w:r>
        <w:t xml:space="preserve">, 2014). Only two studies have explicitly investigated focality effects on event-based PM in NT children and adolescents. </w:t>
      </w:r>
      <w:r>
        <w:rPr>
          <w:spacing w:val="42"/>
        </w:rPr>
        <w:t xml:space="preserve"> </w:t>
      </w:r>
      <w:r>
        <w:rPr>
          <w:spacing w:val="-3"/>
        </w:rPr>
        <w:t>L.</w:t>
      </w:r>
    </w:p>
    <w:p w14:paraId="7288404C" w14:textId="77777777" w:rsidR="00C75312" w:rsidRDefault="00BB293A">
      <w:pPr>
        <w:pStyle w:val="BodyText"/>
        <w:spacing w:line="480" w:lineRule="auto"/>
        <w:ind w:left="140" w:right="1426"/>
        <w:jc w:val="both"/>
      </w:pPr>
      <w:r>
        <w:t xml:space="preserve">J. Wang et al. (2011) tested a group of adolescents and a group </w:t>
      </w:r>
      <w:r>
        <w:rPr>
          <w:spacing w:val="-3"/>
        </w:rPr>
        <w:t xml:space="preserve">of </w:t>
      </w:r>
      <w:r>
        <w:t xml:space="preserve">young adults and found a significant interaction between age and focality. This reflected non-significant between-group differences in detection of focal cues, but significantly better detection of </w:t>
      </w:r>
      <w:proofErr w:type="spellStart"/>
      <w:r>
        <w:t>nonfocal</w:t>
      </w:r>
      <w:proofErr w:type="spellEnd"/>
      <w:r>
        <w:t xml:space="preserve"> cues in younger adults than in adolescents. A similar interaction was found by </w:t>
      </w:r>
      <w:proofErr w:type="spellStart"/>
      <w:r>
        <w:t>Kliegel</w:t>
      </w:r>
      <w:proofErr w:type="spellEnd"/>
      <w:r>
        <w:t xml:space="preserve"> et al. (2013) who tested a group of 6- and 7-year olds in comparison to 9- and 10-year olds. Both these results support the idea that limited attentional and executive resources make it more difficult to a) monitor </w:t>
      </w:r>
      <w:r>
        <w:t xml:space="preserve">for </w:t>
      </w:r>
      <w:proofErr w:type="spellStart"/>
      <w:r>
        <w:t>nonfocal</w:t>
      </w:r>
      <w:proofErr w:type="spellEnd"/>
      <w:r>
        <w:t xml:space="preserve"> cues and/or to b) shift the attentional focus away from the ongoing task when a </w:t>
      </w:r>
      <w:proofErr w:type="spellStart"/>
      <w:r>
        <w:t>nonfocal</w:t>
      </w:r>
      <w:proofErr w:type="spellEnd"/>
      <w:r>
        <w:t xml:space="preserve"> PM cue is detected. These findings are not only relevant for our understanding of the typical development of PM, but also for helping to understand cases of PM impairment. In particular, the issue of cue focality and its influence on PM task performance</w:t>
      </w:r>
      <w:r>
        <w:rPr>
          <w:spacing w:val="-12"/>
        </w:rPr>
        <w:t xml:space="preserve"> </w:t>
      </w:r>
      <w:r>
        <w:t>may</w:t>
      </w:r>
      <w:r>
        <w:rPr>
          <w:spacing w:val="-5"/>
        </w:rPr>
        <w:t xml:space="preserve"> </w:t>
      </w:r>
      <w:r>
        <w:t>help</w:t>
      </w:r>
      <w:r>
        <w:rPr>
          <w:spacing w:val="-10"/>
        </w:rPr>
        <w:t xml:space="preserve"> </w:t>
      </w:r>
      <w:r>
        <w:t>to</w:t>
      </w:r>
      <w:r>
        <w:rPr>
          <w:spacing w:val="-10"/>
        </w:rPr>
        <w:t xml:space="preserve"> </w:t>
      </w:r>
      <w:r>
        <w:t>explain</w:t>
      </w:r>
      <w:r>
        <w:rPr>
          <w:spacing w:val="-5"/>
        </w:rPr>
        <w:t xml:space="preserve"> </w:t>
      </w:r>
      <w:r>
        <w:t>the</w:t>
      </w:r>
      <w:r>
        <w:rPr>
          <w:spacing w:val="-11"/>
        </w:rPr>
        <w:t xml:space="preserve"> </w:t>
      </w:r>
      <w:r>
        <w:t>pattern</w:t>
      </w:r>
      <w:r>
        <w:rPr>
          <w:spacing w:val="-11"/>
        </w:rPr>
        <w:t xml:space="preserve"> </w:t>
      </w:r>
      <w:r>
        <w:t>of</w:t>
      </w:r>
      <w:r>
        <w:rPr>
          <w:spacing w:val="-13"/>
        </w:rPr>
        <w:t xml:space="preserve"> </w:t>
      </w:r>
      <w:r>
        <w:t>PM</w:t>
      </w:r>
      <w:r>
        <w:rPr>
          <w:spacing w:val="-7"/>
        </w:rPr>
        <w:t xml:space="preserve"> </w:t>
      </w:r>
      <w:r>
        <w:t>strengths</w:t>
      </w:r>
      <w:r>
        <w:rPr>
          <w:spacing w:val="-7"/>
        </w:rPr>
        <w:t xml:space="preserve"> </w:t>
      </w:r>
      <w:r>
        <w:t>and</w:t>
      </w:r>
      <w:r>
        <w:rPr>
          <w:spacing w:val="-10"/>
        </w:rPr>
        <w:t xml:space="preserve"> </w:t>
      </w:r>
      <w:r>
        <w:t>difficulties</w:t>
      </w:r>
      <w:r>
        <w:rPr>
          <w:spacing w:val="-12"/>
        </w:rPr>
        <w:t xml:space="preserve"> </w:t>
      </w:r>
      <w:r>
        <w:t>observed</w:t>
      </w:r>
      <w:r>
        <w:rPr>
          <w:spacing w:val="-5"/>
        </w:rPr>
        <w:t xml:space="preserve"> </w:t>
      </w:r>
      <w:r>
        <w:t>in</w:t>
      </w:r>
      <w:r>
        <w:rPr>
          <w:spacing w:val="-10"/>
        </w:rPr>
        <w:t xml:space="preserve"> </w:t>
      </w:r>
      <w:r>
        <w:t>ASD.</w:t>
      </w:r>
    </w:p>
    <w:p w14:paraId="7017AB87" w14:textId="77777777" w:rsidR="00C75312" w:rsidRDefault="00BB293A">
      <w:pPr>
        <w:pStyle w:val="BodyText"/>
        <w:spacing w:before="121" w:line="480" w:lineRule="auto"/>
        <w:ind w:left="140" w:right="1429" w:firstLine="720"/>
        <w:jc w:val="both"/>
      </w:pPr>
      <w:r>
        <w:t>On</w:t>
      </w:r>
      <w:r>
        <w:rPr>
          <w:spacing w:val="-11"/>
        </w:rPr>
        <w:t xml:space="preserve"> </w:t>
      </w:r>
      <w:r>
        <w:t>the</w:t>
      </w:r>
      <w:r>
        <w:rPr>
          <w:spacing w:val="-10"/>
        </w:rPr>
        <w:t xml:space="preserve"> </w:t>
      </w:r>
      <w:r>
        <w:t>cognitive</w:t>
      </w:r>
      <w:r>
        <w:rPr>
          <w:spacing w:val="-11"/>
        </w:rPr>
        <w:t xml:space="preserve"> </w:t>
      </w:r>
      <w:r>
        <w:t>level,</w:t>
      </w:r>
      <w:r>
        <w:rPr>
          <w:spacing w:val="-12"/>
        </w:rPr>
        <w:t xml:space="preserve"> </w:t>
      </w:r>
      <w:r>
        <w:t>research</w:t>
      </w:r>
      <w:r>
        <w:rPr>
          <w:spacing w:val="-10"/>
        </w:rPr>
        <w:t xml:space="preserve"> </w:t>
      </w:r>
      <w:r>
        <w:t>has</w:t>
      </w:r>
      <w:r>
        <w:rPr>
          <w:spacing w:val="-12"/>
        </w:rPr>
        <w:t xml:space="preserve"> </w:t>
      </w:r>
      <w:r>
        <w:t>identified</w:t>
      </w:r>
      <w:r>
        <w:rPr>
          <w:spacing w:val="-10"/>
        </w:rPr>
        <w:t xml:space="preserve"> </w:t>
      </w:r>
      <w:r>
        <w:t>a</w:t>
      </w:r>
      <w:r>
        <w:rPr>
          <w:spacing w:val="-15"/>
        </w:rPr>
        <w:t xml:space="preserve"> </w:t>
      </w:r>
      <w:r>
        <w:t>unique</w:t>
      </w:r>
      <w:r>
        <w:rPr>
          <w:spacing w:val="-11"/>
        </w:rPr>
        <w:t xml:space="preserve"> </w:t>
      </w:r>
      <w:r>
        <w:t>profile</w:t>
      </w:r>
      <w:r>
        <w:rPr>
          <w:spacing w:val="-11"/>
        </w:rPr>
        <w:t xml:space="preserve"> </w:t>
      </w:r>
      <w:r>
        <w:rPr>
          <w:spacing w:val="-3"/>
        </w:rPr>
        <w:t>of</w:t>
      </w:r>
      <w:r>
        <w:rPr>
          <w:spacing w:val="-8"/>
        </w:rPr>
        <w:t xml:space="preserve"> </w:t>
      </w:r>
      <w:r>
        <w:rPr>
          <w:i/>
        </w:rPr>
        <w:t>retrospective</w:t>
      </w:r>
      <w:r>
        <w:rPr>
          <w:i/>
          <w:spacing w:val="-11"/>
        </w:rPr>
        <w:t xml:space="preserve"> </w:t>
      </w:r>
      <w:r>
        <w:t>memory strengths</w:t>
      </w:r>
      <w:r>
        <w:rPr>
          <w:spacing w:val="7"/>
        </w:rPr>
        <w:t xml:space="preserve"> </w:t>
      </w:r>
      <w:r>
        <w:t>and</w:t>
      </w:r>
      <w:r>
        <w:rPr>
          <w:spacing w:val="10"/>
        </w:rPr>
        <w:t xml:space="preserve"> </w:t>
      </w:r>
      <w:r>
        <w:t>weaknesses</w:t>
      </w:r>
      <w:r>
        <w:rPr>
          <w:spacing w:val="7"/>
        </w:rPr>
        <w:t xml:space="preserve"> </w:t>
      </w:r>
      <w:r>
        <w:t>in</w:t>
      </w:r>
      <w:r>
        <w:rPr>
          <w:spacing w:val="10"/>
        </w:rPr>
        <w:t xml:space="preserve"> </w:t>
      </w:r>
      <w:r>
        <w:t>ASD</w:t>
      </w:r>
      <w:r>
        <w:rPr>
          <w:spacing w:val="9"/>
        </w:rPr>
        <w:t xml:space="preserve"> </w:t>
      </w:r>
      <w:r>
        <w:t>(Ben</w:t>
      </w:r>
      <w:r>
        <w:rPr>
          <w:spacing w:val="10"/>
        </w:rPr>
        <w:t xml:space="preserve"> </w:t>
      </w:r>
      <w:r>
        <w:t>Shalom,</w:t>
      </w:r>
      <w:r>
        <w:rPr>
          <w:spacing w:val="12"/>
        </w:rPr>
        <w:t xml:space="preserve"> </w:t>
      </w:r>
      <w:r>
        <w:t>2003;</w:t>
      </w:r>
      <w:r>
        <w:rPr>
          <w:spacing w:val="10"/>
        </w:rPr>
        <w:t xml:space="preserve"> </w:t>
      </w:r>
      <w:r>
        <w:t>Boucher</w:t>
      </w:r>
      <w:r>
        <w:rPr>
          <w:spacing w:val="11"/>
        </w:rPr>
        <w:t xml:space="preserve"> </w:t>
      </w:r>
      <w:r>
        <w:t>&amp;</w:t>
      </w:r>
      <w:r>
        <w:rPr>
          <w:spacing w:val="9"/>
        </w:rPr>
        <w:t xml:space="preserve"> </w:t>
      </w:r>
      <w:r>
        <w:t>Bowler,</w:t>
      </w:r>
      <w:r>
        <w:rPr>
          <w:spacing w:val="12"/>
        </w:rPr>
        <w:t xml:space="preserve"> </w:t>
      </w:r>
      <w:r>
        <w:t>2008;</w:t>
      </w:r>
      <w:r>
        <w:rPr>
          <w:spacing w:val="6"/>
        </w:rPr>
        <w:t xml:space="preserve"> </w:t>
      </w:r>
      <w:r>
        <w:t>Boucher</w:t>
      </w:r>
      <w:r>
        <w:rPr>
          <w:spacing w:val="11"/>
        </w:rPr>
        <w:t xml:space="preserve"> </w:t>
      </w:r>
      <w:r>
        <w:t>et</w:t>
      </w:r>
    </w:p>
    <w:p w14:paraId="571C4710" w14:textId="77777777" w:rsidR="00C75312" w:rsidRDefault="00C75312">
      <w:pPr>
        <w:spacing w:line="480" w:lineRule="auto"/>
        <w:jc w:val="both"/>
        <w:sectPr w:rsidR="00C75312">
          <w:pgSz w:w="11900" w:h="16840"/>
          <w:pgMar w:top="1140" w:right="0" w:bottom="280" w:left="1300" w:header="715" w:footer="0" w:gutter="0"/>
          <w:cols w:space="720"/>
        </w:sectPr>
      </w:pPr>
    </w:p>
    <w:p w14:paraId="72DF15BD" w14:textId="77777777" w:rsidR="00C75312" w:rsidRDefault="00C75312">
      <w:pPr>
        <w:pStyle w:val="BodyText"/>
        <w:spacing w:before="2"/>
        <w:rPr>
          <w:sz w:val="18"/>
        </w:rPr>
      </w:pPr>
    </w:p>
    <w:p w14:paraId="7351E732" w14:textId="77777777" w:rsidR="00C75312" w:rsidRDefault="00BB293A">
      <w:pPr>
        <w:pStyle w:val="BodyText"/>
        <w:spacing w:before="90" w:line="480" w:lineRule="auto"/>
        <w:ind w:left="140" w:right="1424"/>
        <w:jc w:val="both"/>
      </w:pPr>
      <w:r>
        <w:t xml:space="preserve">al., 2012; Lind, 2010). However, only a handful </w:t>
      </w:r>
      <w:r>
        <w:rPr>
          <w:spacing w:val="-3"/>
        </w:rPr>
        <w:t xml:space="preserve">of </w:t>
      </w:r>
      <w:r>
        <w:t>studies have explored the future-oriented memory for delayed intentions in ASD. To date, research into time-based PM has unequivocally indicated deficits in ASD (see chapter 1 for a review). However, research into event-based PM has produced mixed results, with half of the studies observing no impairment (</w:t>
      </w:r>
      <w:proofErr w:type="spellStart"/>
      <w:r>
        <w:t>Altgassen</w:t>
      </w:r>
      <w:proofErr w:type="spellEnd"/>
      <w:r>
        <w:t xml:space="preserve"> &amp; Koch, 2014; </w:t>
      </w:r>
      <w:proofErr w:type="spellStart"/>
      <w:r>
        <w:t>Altgassen</w:t>
      </w:r>
      <w:proofErr w:type="spellEnd"/>
      <w:r>
        <w:t>, Schmitz-Hübsch, et al., 2010; Henry et al., 2014; Williams</w:t>
      </w:r>
      <w:r>
        <w:rPr>
          <w:spacing w:val="-7"/>
        </w:rPr>
        <w:t xml:space="preserve"> </w:t>
      </w:r>
      <w:r>
        <w:t>et</w:t>
      </w:r>
      <w:r>
        <w:rPr>
          <w:spacing w:val="-4"/>
        </w:rPr>
        <w:t xml:space="preserve"> </w:t>
      </w:r>
      <w:r>
        <w:t>al.,</w:t>
      </w:r>
      <w:r>
        <w:rPr>
          <w:spacing w:val="-2"/>
        </w:rPr>
        <w:t xml:space="preserve"> </w:t>
      </w:r>
      <w:r>
        <w:t>2013;</w:t>
      </w:r>
      <w:r>
        <w:rPr>
          <w:spacing w:val="-8"/>
        </w:rPr>
        <w:t xml:space="preserve"> </w:t>
      </w:r>
      <w:r>
        <w:t>Williams</w:t>
      </w:r>
      <w:r>
        <w:rPr>
          <w:spacing w:val="-7"/>
        </w:rPr>
        <w:t xml:space="preserve"> </w:t>
      </w:r>
      <w:r>
        <w:t>et</w:t>
      </w:r>
      <w:r>
        <w:rPr>
          <w:spacing w:val="-4"/>
        </w:rPr>
        <w:t xml:space="preserve"> </w:t>
      </w:r>
      <w:r>
        <w:t>al.,</w:t>
      </w:r>
      <w:r>
        <w:rPr>
          <w:spacing w:val="-2"/>
        </w:rPr>
        <w:t xml:space="preserve"> </w:t>
      </w:r>
      <w:r>
        <w:t>2014),</w:t>
      </w:r>
      <w:r>
        <w:rPr>
          <w:spacing w:val="-2"/>
        </w:rPr>
        <w:t xml:space="preserve"> </w:t>
      </w:r>
      <w:r>
        <w:t>but</w:t>
      </w:r>
      <w:r>
        <w:rPr>
          <w:spacing w:val="-8"/>
        </w:rPr>
        <w:t xml:space="preserve"> </w:t>
      </w:r>
      <w:r>
        <w:t>the</w:t>
      </w:r>
      <w:r>
        <w:rPr>
          <w:spacing w:val="-6"/>
        </w:rPr>
        <w:t xml:space="preserve"> </w:t>
      </w:r>
      <w:r>
        <w:t>other</w:t>
      </w:r>
      <w:r>
        <w:rPr>
          <w:spacing w:val="-3"/>
        </w:rPr>
        <w:t xml:space="preserve"> </w:t>
      </w:r>
      <w:r>
        <w:t>half</w:t>
      </w:r>
      <w:r>
        <w:rPr>
          <w:spacing w:val="-7"/>
        </w:rPr>
        <w:t xml:space="preserve"> </w:t>
      </w:r>
      <w:r>
        <w:t>reporting</w:t>
      </w:r>
      <w:r>
        <w:rPr>
          <w:spacing w:val="-5"/>
        </w:rPr>
        <w:t xml:space="preserve"> </w:t>
      </w:r>
      <w:r>
        <w:t>a</w:t>
      </w:r>
      <w:r>
        <w:rPr>
          <w:spacing w:val="-6"/>
        </w:rPr>
        <w:t xml:space="preserve"> </w:t>
      </w:r>
      <w:r>
        <w:t>significant</w:t>
      </w:r>
      <w:r>
        <w:rPr>
          <w:spacing w:val="-4"/>
        </w:rPr>
        <w:t xml:space="preserve"> </w:t>
      </w:r>
      <w:r>
        <w:t>deficit</w:t>
      </w:r>
      <w:r>
        <w:rPr>
          <w:spacing w:val="-4"/>
        </w:rPr>
        <w:t xml:space="preserve"> </w:t>
      </w:r>
      <w:r>
        <w:t>in ASD (</w:t>
      </w:r>
      <w:proofErr w:type="spellStart"/>
      <w:r>
        <w:t>Altgassen</w:t>
      </w:r>
      <w:proofErr w:type="spellEnd"/>
      <w:r>
        <w:t xml:space="preserve"> et al., 2012; </w:t>
      </w:r>
      <w:proofErr w:type="spellStart"/>
      <w:r>
        <w:t>Brandimonte</w:t>
      </w:r>
      <w:proofErr w:type="spellEnd"/>
      <w:r>
        <w:t xml:space="preserve"> et al., 2011; Kretschmer et al., 2014; Sheppard et al., 2016; Yi et al., 2014). As discussed in chapter </w:t>
      </w:r>
      <w:r>
        <w:rPr>
          <w:spacing w:val="-3"/>
        </w:rPr>
        <w:t xml:space="preserve">1, </w:t>
      </w:r>
      <w:r>
        <w:t>it may be that studies reporting event- based</w:t>
      </w:r>
      <w:r>
        <w:rPr>
          <w:spacing w:val="-14"/>
        </w:rPr>
        <w:t xml:space="preserve"> </w:t>
      </w:r>
      <w:r>
        <w:t>PM</w:t>
      </w:r>
      <w:r>
        <w:rPr>
          <w:spacing w:val="-17"/>
        </w:rPr>
        <w:t xml:space="preserve"> </w:t>
      </w:r>
      <w:r>
        <w:rPr>
          <w:i/>
        </w:rPr>
        <w:t>impairments</w:t>
      </w:r>
      <w:r>
        <w:rPr>
          <w:i/>
          <w:spacing w:val="-17"/>
        </w:rPr>
        <w:t xml:space="preserve"> </w:t>
      </w:r>
      <w:r>
        <w:t>in</w:t>
      </w:r>
      <w:r>
        <w:rPr>
          <w:spacing w:val="-14"/>
        </w:rPr>
        <w:t xml:space="preserve"> </w:t>
      </w:r>
      <w:r>
        <w:t>ASD</w:t>
      </w:r>
      <w:r>
        <w:rPr>
          <w:spacing w:val="-15"/>
        </w:rPr>
        <w:t xml:space="preserve"> </w:t>
      </w:r>
      <w:r>
        <w:t>suffer</w:t>
      </w:r>
      <w:r>
        <w:rPr>
          <w:spacing w:val="-13"/>
        </w:rPr>
        <w:t xml:space="preserve"> </w:t>
      </w:r>
      <w:r>
        <w:t>from</w:t>
      </w:r>
      <w:r>
        <w:rPr>
          <w:spacing w:val="-14"/>
        </w:rPr>
        <w:t xml:space="preserve"> </w:t>
      </w:r>
      <w:r>
        <w:t>methodological</w:t>
      </w:r>
      <w:r>
        <w:rPr>
          <w:spacing w:val="-14"/>
        </w:rPr>
        <w:t xml:space="preserve"> </w:t>
      </w:r>
      <w:r>
        <w:t>confounds,</w:t>
      </w:r>
      <w:r>
        <w:rPr>
          <w:spacing w:val="-12"/>
        </w:rPr>
        <w:t xml:space="preserve"> </w:t>
      </w:r>
      <w:r>
        <w:t>which</w:t>
      </w:r>
      <w:r>
        <w:rPr>
          <w:spacing w:val="-13"/>
        </w:rPr>
        <w:t xml:space="preserve"> </w:t>
      </w:r>
      <w:r>
        <w:t>render</w:t>
      </w:r>
      <w:r>
        <w:rPr>
          <w:spacing w:val="-13"/>
        </w:rPr>
        <w:t xml:space="preserve"> </w:t>
      </w:r>
      <w:r>
        <w:t>the</w:t>
      </w:r>
      <w:r>
        <w:rPr>
          <w:spacing w:val="-15"/>
        </w:rPr>
        <w:t xml:space="preserve"> </w:t>
      </w:r>
      <w:r>
        <w:t>results unreliable. On this view, time-based PM is, in fact, selectively impaired in ASD as a result of the</w:t>
      </w:r>
      <w:r>
        <w:rPr>
          <w:spacing w:val="-9"/>
        </w:rPr>
        <w:t xml:space="preserve"> </w:t>
      </w:r>
      <w:r>
        <w:t>high</w:t>
      </w:r>
      <w:r>
        <w:rPr>
          <w:spacing w:val="-12"/>
        </w:rPr>
        <w:t xml:space="preserve"> </w:t>
      </w:r>
      <w:r>
        <w:t>self-monitoring/executive</w:t>
      </w:r>
      <w:r>
        <w:rPr>
          <w:spacing w:val="-8"/>
        </w:rPr>
        <w:t xml:space="preserve"> </w:t>
      </w:r>
      <w:r>
        <w:t>demands</w:t>
      </w:r>
      <w:r>
        <w:rPr>
          <w:spacing w:val="-10"/>
        </w:rPr>
        <w:t xml:space="preserve"> </w:t>
      </w:r>
      <w:r>
        <w:t>inherent</w:t>
      </w:r>
      <w:r>
        <w:rPr>
          <w:spacing w:val="-6"/>
        </w:rPr>
        <w:t xml:space="preserve"> </w:t>
      </w:r>
      <w:r>
        <w:t>in</w:t>
      </w:r>
      <w:r>
        <w:rPr>
          <w:spacing w:val="-11"/>
        </w:rPr>
        <w:t xml:space="preserve"> </w:t>
      </w:r>
      <w:r>
        <w:t>time-based</w:t>
      </w:r>
      <w:r>
        <w:rPr>
          <w:spacing w:val="-8"/>
        </w:rPr>
        <w:t xml:space="preserve"> </w:t>
      </w:r>
      <w:r>
        <w:t>PM</w:t>
      </w:r>
      <w:r>
        <w:rPr>
          <w:spacing w:val="-9"/>
        </w:rPr>
        <w:t xml:space="preserve"> </w:t>
      </w:r>
      <w:r>
        <w:t>tasks</w:t>
      </w:r>
      <w:r>
        <w:rPr>
          <w:spacing w:val="-9"/>
        </w:rPr>
        <w:t xml:space="preserve"> </w:t>
      </w:r>
      <w:r>
        <w:t>(e.g.,</w:t>
      </w:r>
      <w:r>
        <w:rPr>
          <w:spacing w:val="-10"/>
        </w:rPr>
        <w:t xml:space="preserve"> </w:t>
      </w:r>
      <w:r>
        <w:t>Williams</w:t>
      </w:r>
      <w:r>
        <w:rPr>
          <w:spacing w:val="-9"/>
        </w:rPr>
        <w:t xml:space="preserve"> </w:t>
      </w:r>
      <w:r>
        <w:t>et al., 2014). However, even though event-b</w:t>
      </w:r>
      <w:r>
        <w:t xml:space="preserve">ased PM has lower self-monitoring/executive demands than time-based PM </w:t>
      </w:r>
      <w:r>
        <w:rPr>
          <w:i/>
        </w:rPr>
        <w:t xml:space="preserve">and </w:t>
      </w:r>
      <w:r>
        <w:t>even if previous studies have suffered from</w:t>
      </w:r>
      <w:r>
        <w:rPr>
          <w:spacing w:val="-35"/>
        </w:rPr>
        <w:t xml:space="preserve"> </w:t>
      </w:r>
      <w:r>
        <w:t>methodological limitations, this does not preclude event-based PM deficits in ASD. Given the established cue focality effects on event-based PM task performance in NT individuals, it is clear that some event-based PM tasks rely more heavily on executive resources than others do. Therefore, it may be that individuals with ASD are especially susceptible to the contrast between cue types in ev</w:t>
      </w:r>
      <w:r>
        <w:t xml:space="preserve">ent-based PM tasks and manifest impairments (relative to closely-matched NT participants) only when </w:t>
      </w:r>
      <w:proofErr w:type="spellStart"/>
      <w:r>
        <w:t>nonfocal</w:t>
      </w:r>
      <w:proofErr w:type="spellEnd"/>
      <w:r>
        <w:t xml:space="preserve"> cues are</w:t>
      </w:r>
      <w:r>
        <w:rPr>
          <w:spacing w:val="9"/>
        </w:rPr>
        <w:t xml:space="preserve"> </w:t>
      </w:r>
      <w:r>
        <w:t>involved.</w:t>
      </w:r>
    </w:p>
    <w:p w14:paraId="281F6CF7" w14:textId="77777777" w:rsidR="00C75312" w:rsidRDefault="00BB293A">
      <w:pPr>
        <w:pStyle w:val="BodyText"/>
        <w:spacing w:before="121" w:line="480" w:lineRule="auto"/>
        <w:ind w:left="140" w:right="1427" w:firstLine="720"/>
        <w:jc w:val="both"/>
      </w:pPr>
      <w:r>
        <w:t>There</w:t>
      </w:r>
      <w:r>
        <w:rPr>
          <w:spacing w:val="-13"/>
        </w:rPr>
        <w:t xml:space="preserve"> </w:t>
      </w:r>
      <w:r>
        <w:t>are</w:t>
      </w:r>
      <w:r>
        <w:rPr>
          <w:spacing w:val="-16"/>
        </w:rPr>
        <w:t xml:space="preserve"> </w:t>
      </w:r>
      <w:r>
        <w:t>good</w:t>
      </w:r>
      <w:r>
        <w:rPr>
          <w:spacing w:val="-11"/>
        </w:rPr>
        <w:t xml:space="preserve"> </w:t>
      </w:r>
      <w:r>
        <w:t>theoretical</w:t>
      </w:r>
      <w:r>
        <w:rPr>
          <w:spacing w:val="-10"/>
        </w:rPr>
        <w:t xml:space="preserve"> </w:t>
      </w:r>
      <w:r>
        <w:t>reasons</w:t>
      </w:r>
      <w:r>
        <w:rPr>
          <w:spacing w:val="-13"/>
        </w:rPr>
        <w:t xml:space="preserve"> </w:t>
      </w:r>
      <w:r>
        <w:t>to</w:t>
      </w:r>
      <w:r>
        <w:rPr>
          <w:spacing w:val="-12"/>
        </w:rPr>
        <w:t xml:space="preserve"> </w:t>
      </w:r>
      <w:r>
        <w:t>suppose</w:t>
      </w:r>
      <w:r>
        <w:rPr>
          <w:spacing w:val="-12"/>
        </w:rPr>
        <w:t xml:space="preserve"> </w:t>
      </w:r>
      <w:r>
        <w:t>event-based</w:t>
      </w:r>
      <w:r>
        <w:rPr>
          <w:spacing w:val="-11"/>
        </w:rPr>
        <w:t xml:space="preserve"> </w:t>
      </w:r>
      <w:r>
        <w:t>PM</w:t>
      </w:r>
      <w:r>
        <w:rPr>
          <w:spacing w:val="-13"/>
        </w:rPr>
        <w:t xml:space="preserve"> </w:t>
      </w:r>
      <w:r>
        <w:t>tasks</w:t>
      </w:r>
      <w:r>
        <w:rPr>
          <w:spacing w:val="-13"/>
        </w:rPr>
        <w:t xml:space="preserve"> </w:t>
      </w:r>
      <w:r>
        <w:t>involving</w:t>
      </w:r>
      <w:r>
        <w:rPr>
          <w:spacing w:val="-11"/>
        </w:rPr>
        <w:t xml:space="preserve"> </w:t>
      </w:r>
      <w:proofErr w:type="spellStart"/>
      <w:r>
        <w:t>nonfocal</w:t>
      </w:r>
      <w:proofErr w:type="spellEnd"/>
      <w:r>
        <w:t xml:space="preserve"> cues might be difficult for people with ASD, relative to tasks involving focal cues. Parallels have</w:t>
      </w:r>
      <w:r>
        <w:rPr>
          <w:spacing w:val="-11"/>
        </w:rPr>
        <w:t xml:space="preserve"> </w:t>
      </w:r>
      <w:r>
        <w:t>been</w:t>
      </w:r>
      <w:r>
        <w:rPr>
          <w:spacing w:val="-9"/>
        </w:rPr>
        <w:t xml:space="preserve"> </w:t>
      </w:r>
      <w:r>
        <w:t>drawn</w:t>
      </w:r>
      <w:r>
        <w:rPr>
          <w:spacing w:val="-9"/>
        </w:rPr>
        <w:t xml:space="preserve"> </w:t>
      </w:r>
      <w:r>
        <w:t>between</w:t>
      </w:r>
      <w:r>
        <w:rPr>
          <w:spacing w:val="-10"/>
        </w:rPr>
        <w:t xml:space="preserve"> </w:t>
      </w:r>
      <w:r>
        <w:t>the</w:t>
      </w:r>
      <w:r>
        <w:rPr>
          <w:spacing w:val="-10"/>
        </w:rPr>
        <w:t xml:space="preserve"> </w:t>
      </w:r>
      <w:r>
        <w:t>memory</w:t>
      </w:r>
      <w:r>
        <w:rPr>
          <w:spacing w:val="-9"/>
        </w:rPr>
        <w:t xml:space="preserve"> </w:t>
      </w:r>
      <w:r>
        <w:t>profile</w:t>
      </w:r>
      <w:r>
        <w:rPr>
          <w:spacing w:val="-14"/>
        </w:rPr>
        <w:t xml:space="preserve"> </w:t>
      </w:r>
      <w:r>
        <w:t>characteristic</w:t>
      </w:r>
      <w:r>
        <w:rPr>
          <w:spacing w:val="-11"/>
        </w:rPr>
        <w:t xml:space="preserve"> </w:t>
      </w:r>
      <w:r>
        <w:t>of</w:t>
      </w:r>
      <w:r>
        <w:rPr>
          <w:spacing w:val="-7"/>
        </w:rPr>
        <w:t xml:space="preserve"> </w:t>
      </w:r>
      <w:r>
        <w:t>ASD</w:t>
      </w:r>
      <w:r>
        <w:rPr>
          <w:spacing w:val="-9"/>
        </w:rPr>
        <w:t xml:space="preserve"> </w:t>
      </w:r>
      <w:r>
        <w:t>and</w:t>
      </w:r>
      <w:r>
        <w:rPr>
          <w:spacing w:val="-10"/>
        </w:rPr>
        <w:t xml:space="preserve"> </w:t>
      </w:r>
      <w:r>
        <w:t>the</w:t>
      </w:r>
      <w:r>
        <w:rPr>
          <w:spacing w:val="-10"/>
        </w:rPr>
        <w:t xml:space="preserve"> </w:t>
      </w:r>
      <w:r>
        <w:t>pattern</w:t>
      </w:r>
      <w:r>
        <w:rPr>
          <w:spacing w:val="-9"/>
        </w:rPr>
        <w:t xml:space="preserve"> </w:t>
      </w:r>
      <w:r>
        <w:rPr>
          <w:spacing w:val="-3"/>
        </w:rPr>
        <w:t>of</w:t>
      </w:r>
      <w:r>
        <w:rPr>
          <w:spacing w:val="-8"/>
        </w:rPr>
        <w:t xml:space="preserve"> </w:t>
      </w:r>
      <w:r>
        <w:t xml:space="preserve">memory decline in older age NT individuals (Bowler, </w:t>
      </w:r>
      <w:proofErr w:type="spellStart"/>
      <w:r>
        <w:t>Gaigg</w:t>
      </w:r>
      <w:proofErr w:type="spellEnd"/>
      <w:r>
        <w:t>, &amp; Lind, 2011; Craik &amp; Anderson, 1999). Given</w:t>
      </w:r>
      <w:r>
        <w:rPr>
          <w:spacing w:val="-10"/>
        </w:rPr>
        <w:t xml:space="preserve"> </w:t>
      </w:r>
      <w:r>
        <w:t>that</w:t>
      </w:r>
      <w:r>
        <w:rPr>
          <w:spacing w:val="-9"/>
        </w:rPr>
        <w:t xml:space="preserve"> </w:t>
      </w:r>
      <w:r>
        <w:t>performance</w:t>
      </w:r>
      <w:r>
        <w:rPr>
          <w:spacing w:val="-10"/>
        </w:rPr>
        <w:t xml:space="preserve"> </w:t>
      </w:r>
      <w:r>
        <w:t>on</w:t>
      </w:r>
      <w:r>
        <w:rPr>
          <w:spacing w:val="-14"/>
        </w:rPr>
        <w:t xml:space="preserve"> </w:t>
      </w:r>
      <w:proofErr w:type="spellStart"/>
      <w:r>
        <w:t>nonfocal</w:t>
      </w:r>
      <w:proofErr w:type="spellEnd"/>
      <w:r>
        <w:rPr>
          <w:spacing w:val="-8"/>
        </w:rPr>
        <w:t xml:space="preserve"> </w:t>
      </w:r>
      <w:r>
        <w:t>PM</w:t>
      </w:r>
      <w:r>
        <w:rPr>
          <w:spacing w:val="-12"/>
        </w:rPr>
        <w:t xml:space="preserve"> </w:t>
      </w:r>
      <w:r>
        <w:t>tasks</w:t>
      </w:r>
      <w:r>
        <w:rPr>
          <w:spacing w:val="-12"/>
        </w:rPr>
        <w:t xml:space="preserve"> </w:t>
      </w:r>
      <w:r>
        <w:t>declines</w:t>
      </w:r>
      <w:r>
        <w:rPr>
          <w:spacing w:val="-11"/>
        </w:rPr>
        <w:t xml:space="preserve"> </w:t>
      </w:r>
      <w:r>
        <w:t>more</w:t>
      </w:r>
      <w:r>
        <w:rPr>
          <w:spacing w:val="-11"/>
        </w:rPr>
        <w:t xml:space="preserve"> </w:t>
      </w:r>
      <w:r>
        <w:t>significantly</w:t>
      </w:r>
      <w:r>
        <w:rPr>
          <w:spacing w:val="-9"/>
        </w:rPr>
        <w:t xml:space="preserve"> </w:t>
      </w:r>
      <w:r>
        <w:t>than</w:t>
      </w:r>
      <w:r>
        <w:rPr>
          <w:spacing w:val="-10"/>
        </w:rPr>
        <w:t xml:space="preserve"> </w:t>
      </w:r>
      <w:r>
        <w:t>performance</w:t>
      </w:r>
      <w:r>
        <w:rPr>
          <w:spacing w:val="-11"/>
        </w:rPr>
        <w:t xml:space="preserve"> </w:t>
      </w:r>
      <w:r>
        <w:t>on focal PM tasks in older adults, one might expect to see the same in ASD. Moreover, it</w:t>
      </w:r>
      <w:r>
        <w:rPr>
          <w:spacing w:val="8"/>
        </w:rPr>
        <w:t xml:space="preserve"> </w:t>
      </w:r>
      <w:r>
        <w:t>has</w:t>
      </w:r>
    </w:p>
    <w:p w14:paraId="58A406B0" w14:textId="77777777" w:rsidR="00C75312" w:rsidRDefault="00C75312">
      <w:pPr>
        <w:spacing w:line="480" w:lineRule="auto"/>
        <w:jc w:val="both"/>
        <w:sectPr w:rsidR="00C75312">
          <w:pgSz w:w="11900" w:h="16840"/>
          <w:pgMar w:top="1140" w:right="0" w:bottom="280" w:left="1300" w:header="715" w:footer="0" w:gutter="0"/>
          <w:cols w:space="720"/>
        </w:sectPr>
      </w:pPr>
    </w:p>
    <w:p w14:paraId="27A1684E" w14:textId="77777777" w:rsidR="00C75312" w:rsidRDefault="00C75312">
      <w:pPr>
        <w:pStyle w:val="BodyText"/>
        <w:spacing w:before="2"/>
        <w:rPr>
          <w:sz w:val="18"/>
        </w:rPr>
      </w:pPr>
    </w:p>
    <w:p w14:paraId="762B2E0E" w14:textId="77777777" w:rsidR="00C75312" w:rsidRDefault="00BB293A">
      <w:pPr>
        <w:pStyle w:val="BodyText"/>
        <w:spacing w:before="90" w:line="480" w:lineRule="auto"/>
        <w:ind w:left="140" w:right="1427"/>
        <w:jc w:val="both"/>
      </w:pPr>
      <w:r>
        <w:t>been</w:t>
      </w:r>
      <w:r>
        <w:rPr>
          <w:spacing w:val="-10"/>
        </w:rPr>
        <w:t xml:space="preserve"> </w:t>
      </w:r>
      <w:r>
        <w:t>suggested</w:t>
      </w:r>
      <w:r>
        <w:rPr>
          <w:spacing w:val="-10"/>
        </w:rPr>
        <w:t xml:space="preserve"> </w:t>
      </w:r>
      <w:r>
        <w:t>recently</w:t>
      </w:r>
      <w:r>
        <w:rPr>
          <w:spacing w:val="-9"/>
        </w:rPr>
        <w:t xml:space="preserve"> </w:t>
      </w:r>
      <w:r>
        <w:t>that</w:t>
      </w:r>
      <w:r>
        <w:rPr>
          <w:spacing w:val="-9"/>
        </w:rPr>
        <w:t xml:space="preserve"> </w:t>
      </w:r>
      <w:r>
        <w:t>performance</w:t>
      </w:r>
      <w:r>
        <w:rPr>
          <w:spacing w:val="-10"/>
        </w:rPr>
        <w:t xml:space="preserve"> </w:t>
      </w:r>
      <w:r>
        <w:t>on</w:t>
      </w:r>
      <w:r>
        <w:rPr>
          <w:spacing w:val="-10"/>
        </w:rPr>
        <w:t xml:space="preserve"> </w:t>
      </w:r>
      <w:r>
        <w:t>focal</w:t>
      </w:r>
      <w:r>
        <w:rPr>
          <w:spacing w:val="-13"/>
        </w:rPr>
        <w:t xml:space="preserve"> </w:t>
      </w:r>
      <w:r>
        <w:t>PM</w:t>
      </w:r>
      <w:r>
        <w:rPr>
          <w:spacing w:val="-11"/>
        </w:rPr>
        <w:t xml:space="preserve"> </w:t>
      </w:r>
      <w:r>
        <w:t>tasks</w:t>
      </w:r>
      <w:r>
        <w:rPr>
          <w:spacing w:val="-12"/>
        </w:rPr>
        <w:t xml:space="preserve"> </w:t>
      </w:r>
      <w:r>
        <w:t>taps</w:t>
      </w:r>
      <w:r>
        <w:rPr>
          <w:spacing w:val="-11"/>
        </w:rPr>
        <w:t xml:space="preserve"> </w:t>
      </w:r>
      <w:r>
        <w:t>somewhat</w:t>
      </w:r>
      <w:r>
        <w:rPr>
          <w:spacing w:val="-9"/>
        </w:rPr>
        <w:t xml:space="preserve"> </w:t>
      </w:r>
      <w:r>
        <w:t>different</w:t>
      </w:r>
      <w:r>
        <w:rPr>
          <w:spacing w:val="-8"/>
        </w:rPr>
        <w:t xml:space="preserve"> </w:t>
      </w:r>
      <w:r>
        <w:t xml:space="preserve">executive resources than performance on </w:t>
      </w:r>
      <w:proofErr w:type="spellStart"/>
      <w:r>
        <w:t>nonfocal</w:t>
      </w:r>
      <w:proofErr w:type="spellEnd"/>
      <w:r>
        <w:t xml:space="preserve"> PM tasks. Zuber, </w:t>
      </w:r>
      <w:proofErr w:type="spellStart"/>
      <w:r>
        <w:t>Kliegel</w:t>
      </w:r>
      <w:proofErr w:type="spellEnd"/>
      <w:r>
        <w:t xml:space="preserve">, and Ihle (2016) found that focal PM task performance is strongly related to inhibitory control, whereas </w:t>
      </w:r>
      <w:proofErr w:type="spellStart"/>
      <w:r>
        <w:t>nonfocal</w:t>
      </w:r>
      <w:proofErr w:type="spellEnd"/>
      <w:r>
        <w:t xml:space="preserve"> PM</w:t>
      </w:r>
      <w:r>
        <w:rPr>
          <w:spacing w:val="-34"/>
        </w:rPr>
        <w:t xml:space="preserve"> </w:t>
      </w:r>
      <w:r>
        <w:t>task performance is more strongly associated with set-/attention-shifting. This is important, because while many studies find undiminished inhibitory control in ASD, the majority report impaired set-shifting/cognitive flexibility (Hill, 2004; Kenworthy et al., 2008). This is reflected in meta-analytic findings on the executive profile in ASD (Lai et al., 2016), which report consistent moderate size impairments of cognitive flexibility but at most heterogenous and small inhibition problems. For these reasons</w:t>
      </w:r>
      <w:r>
        <w:t xml:space="preserve">, one might well expect difficulties with performance on </w:t>
      </w:r>
      <w:proofErr w:type="spellStart"/>
      <w:r>
        <w:t>nonfocal</w:t>
      </w:r>
      <w:proofErr w:type="spellEnd"/>
      <w:r>
        <w:t xml:space="preserve"> PM tasks relative to performance on focal PM tasks among individuals with ASD, if indeed any deficits in event-based PM in ASD</w:t>
      </w:r>
      <w:r>
        <w:rPr>
          <w:spacing w:val="-1"/>
        </w:rPr>
        <w:t xml:space="preserve"> </w:t>
      </w:r>
      <w:r>
        <w:t>exist.</w:t>
      </w:r>
    </w:p>
    <w:p w14:paraId="7192D85A" w14:textId="77777777" w:rsidR="00C75312" w:rsidRDefault="00BB293A">
      <w:pPr>
        <w:pStyle w:val="BodyText"/>
        <w:spacing w:before="120" w:line="480" w:lineRule="auto"/>
        <w:ind w:left="140" w:right="1428" w:firstLine="720"/>
        <w:jc w:val="both"/>
      </w:pPr>
      <w:r>
        <w:t>Another</w:t>
      </w:r>
      <w:r>
        <w:rPr>
          <w:spacing w:val="-3"/>
        </w:rPr>
        <w:t xml:space="preserve"> </w:t>
      </w:r>
      <w:r>
        <w:t>interesting</w:t>
      </w:r>
      <w:r>
        <w:rPr>
          <w:spacing w:val="-5"/>
        </w:rPr>
        <w:t xml:space="preserve"> </w:t>
      </w:r>
      <w:r>
        <w:t>factor</w:t>
      </w:r>
      <w:r>
        <w:rPr>
          <w:spacing w:val="-3"/>
        </w:rPr>
        <w:t xml:space="preserve"> </w:t>
      </w:r>
      <w:r>
        <w:t>with</w:t>
      </w:r>
      <w:r>
        <w:rPr>
          <w:spacing w:val="-5"/>
        </w:rPr>
        <w:t xml:space="preserve"> </w:t>
      </w:r>
      <w:r>
        <w:t>regards</w:t>
      </w:r>
      <w:r>
        <w:rPr>
          <w:spacing w:val="-7"/>
        </w:rPr>
        <w:t xml:space="preserve"> </w:t>
      </w:r>
      <w:r>
        <w:t>to</w:t>
      </w:r>
      <w:r>
        <w:rPr>
          <w:spacing w:val="-5"/>
        </w:rPr>
        <w:t xml:space="preserve"> </w:t>
      </w:r>
      <w:r>
        <w:t>event-based</w:t>
      </w:r>
      <w:r>
        <w:rPr>
          <w:spacing w:val="-5"/>
        </w:rPr>
        <w:t xml:space="preserve"> </w:t>
      </w:r>
      <w:r>
        <w:t>PM</w:t>
      </w:r>
      <w:r>
        <w:rPr>
          <w:spacing w:val="-7"/>
        </w:rPr>
        <w:t xml:space="preserve"> </w:t>
      </w:r>
      <w:r>
        <w:t>in</w:t>
      </w:r>
      <w:r>
        <w:rPr>
          <w:spacing w:val="-5"/>
        </w:rPr>
        <w:t xml:space="preserve"> </w:t>
      </w:r>
      <w:r>
        <w:t>ASD</w:t>
      </w:r>
      <w:r>
        <w:rPr>
          <w:spacing w:val="-5"/>
        </w:rPr>
        <w:t xml:space="preserve"> </w:t>
      </w:r>
      <w:r>
        <w:t>is</w:t>
      </w:r>
      <w:r>
        <w:rPr>
          <w:spacing w:val="-6"/>
        </w:rPr>
        <w:t xml:space="preserve"> </w:t>
      </w:r>
      <w:r>
        <w:t>that</w:t>
      </w:r>
      <w:r>
        <w:rPr>
          <w:spacing w:val="-4"/>
        </w:rPr>
        <w:t xml:space="preserve"> </w:t>
      </w:r>
      <w:r>
        <w:t>so</w:t>
      </w:r>
      <w:r>
        <w:rPr>
          <w:spacing w:val="-5"/>
        </w:rPr>
        <w:t xml:space="preserve"> </w:t>
      </w:r>
      <w:r>
        <w:t>far</w:t>
      </w:r>
      <w:r>
        <w:rPr>
          <w:spacing w:val="-3"/>
        </w:rPr>
        <w:t xml:space="preserve"> </w:t>
      </w:r>
      <w:r>
        <w:t>studies have</w:t>
      </w:r>
      <w:r>
        <w:rPr>
          <w:spacing w:val="-15"/>
        </w:rPr>
        <w:t xml:space="preserve"> </w:t>
      </w:r>
      <w:r>
        <w:t>only</w:t>
      </w:r>
      <w:r>
        <w:rPr>
          <w:spacing w:val="-14"/>
        </w:rPr>
        <w:t xml:space="preserve"> </w:t>
      </w:r>
      <w:r>
        <w:t>used</w:t>
      </w:r>
      <w:r>
        <w:rPr>
          <w:spacing w:val="-14"/>
        </w:rPr>
        <w:t xml:space="preserve"> </w:t>
      </w:r>
      <w:r>
        <w:t>visual</w:t>
      </w:r>
      <w:r>
        <w:rPr>
          <w:spacing w:val="-14"/>
        </w:rPr>
        <w:t xml:space="preserve"> </w:t>
      </w:r>
      <w:r>
        <w:t>PM</w:t>
      </w:r>
      <w:r>
        <w:rPr>
          <w:spacing w:val="-16"/>
        </w:rPr>
        <w:t xml:space="preserve"> </w:t>
      </w:r>
      <w:r>
        <w:t>cues</w:t>
      </w:r>
      <w:r>
        <w:rPr>
          <w:spacing w:val="-17"/>
        </w:rPr>
        <w:t xml:space="preserve"> </w:t>
      </w:r>
      <w:r>
        <w:t>but</w:t>
      </w:r>
      <w:r>
        <w:rPr>
          <w:spacing w:val="-14"/>
        </w:rPr>
        <w:t xml:space="preserve"> </w:t>
      </w:r>
      <w:r>
        <w:t>not</w:t>
      </w:r>
      <w:r>
        <w:rPr>
          <w:spacing w:val="-14"/>
        </w:rPr>
        <w:t xml:space="preserve"> </w:t>
      </w:r>
      <w:r>
        <w:t>auditory</w:t>
      </w:r>
      <w:r>
        <w:rPr>
          <w:spacing w:val="-14"/>
        </w:rPr>
        <w:t xml:space="preserve"> </w:t>
      </w:r>
      <w:r>
        <w:t>ones.</w:t>
      </w:r>
      <w:r>
        <w:rPr>
          <w:spacing w:val="35"/>
        </w:rPr>
        <w:t xml:space="preserve"> </w:t>
      </w:r>
      <w:r>
        <w:t>Previous</w:t>
      </w:r>
      <w:r>
        <w:rPr>
          <w:spacing w:val="-17"/>
        </w:rPr>
        <w:t xml:space="preserve"> </w:t>
      </w:r>
      <w:r>
        <w:t>research</w:t>
      </w:r>
      <w:r>
        <w:rPr>
          <w:spacing w:val="-14"/>
        </w:rPr>
        <w:t xml:space="preserve"> </w:t>
      </w:r>
      <w:r>
        <w:t>has</w:t>
      </w:r>
      <w:r>
        <w:rPr>
          <w:spacing w:val="-17"/>
        </w:rPr>
        <w:t xml:space="preserve"> </w:t>
      </w:r>
      <w:r>
        <w:t>shown</w:t>
      </w:r>
      <w:r>
        <w:rPr>
          <w:spacing w:val="-13"/>
        </w:rPr>
        <w:t xml:space="preserve"> </w:t>
      </w:r>
      <w:r>
        <w:t>that</w:t>
      </w:r>
      <w:r>
        <w:rPr>
          <w:spacing w:val="-14"/>
        </w:rPr>
        <w:t xml:space="preserve"> </w:t>
      </w:r>
      <w:r>
        <w:t xml:space="preserve">unusual sensory processing in ASD, especially in children, is highly prevalent (Suarez, 2012) and that similarly to higher-level cognitive abilities, individuals with ASD are </w:t>
      </w:r>
      <w:proofErr w:type="spellStart"/>
      <w:r>
        <w:t>characterised</w:t>
      </w:r>
      <w:proofErr w:type="spellEnd"/>
      <w:r>
        <w:t xml:space="preserve"> by a particular profile of perceptual strengths and weaknesses (</w:t>
      </w:r>
      <w:proofErr w:type="spellStart"/>
      <w:r>
        <w:t>Bakroon</w:t>
      </w:r>
      <w:proofErr w:type="spellEnd"/>
      <w:r>
        <w:t xml:space="preserve"> &amp; Lakshminarayanan, 2016). In particular, difficulties to interpret differences and </w:t>
      </w:r>
      <w:r>
        <w:t>similarities of sensory input in ASD (Suarez, 2012) may be most relevant to PM performance in ASD; i.e. difficulties to discriminate stimuli within a certain domain (visual/auditory) could lead to PM failure as one would</w:t>
      </w:r>
      <w:r>
        <w:rPr>
          <w:spacing w:val="-10"/>
        </w:rPr>
        <w:t xml:space="preserve"> </w:t>
      </w:r>
      <w:r>
        <w:t>not</w:t>
      </w:r>
      <w:r>
        <w:rPr>
          <w:spacing w:val="-9"/>
        </w:rPr>
        <w:t xml:space="preserve"> </w:t>
      </w:r>
      <w:r>
        <w:t>be</w:t>
      </w:r>
      <w:r>
        <w:rPr>
          <w:spacing w:val="-10"/>
        </w:rPr>
        <w:t xml:space="preserve"> </w:t>
      </w:r>
      <w:r>
        <w:t>able</w:t>
      </w:r>
      <w:r>
        <w:rPr>
          <w:spacing w:val="-11"/>
        </w:rPr>
        <w:t xml:space="preserve"> </w:t>
      </w:r>
      <w:r>
        <w:t>to</w:t>
      </w:r>
      <w:r>
        <w:rPr>
          <w:spacing w:val="-9"/>
        </w:rPr>
        <w:t xml:space="preserve"> </w:t>
      </w:r>
      <w:r>
        <w:t>identify</w:t>
      </w:r>
      <w:r>
        <w:rPr>
          <w:spacing w:val="-10"/>
        </w:rPr>
        <w:t xml:space="preserve"> </w:t>
      </w:r>
      <w:r>
        <w:t>the</w:t>
      </w:r>
      <w:r>
        <w:rPr>
          <w:spacing w:val="-11"/>
        </w:rPr>
        <w:t xml:space="preserve"> </w:t>
      </w:r>
      <w:r>
        <w:t>appropriate</w:t>
      </w:r>
      <w:r>
        <w:rPr>
          <w:spacing w:val="-10"/>
        </w:rPr>
        <w:t xml:space="preserve"> </w:t>
      </w:r>
      <w:r>
        <w:t>cue</w:t>
      </w:r>
      <w:r>
        <w:rPr>
          <w:spacing w:val="-11"/>
        </w:rPr>
        <w:t xml:space="preserve"> </w:t>
      </w:r>
      <w:r>
        <w:t>to</w:t>
      </w:r>
      <w:r>
        <w:rPr>
          <w:spacing w:val="-13"/>
        </w:rPr>
        <w:t xml:space="preserve"> </w:t>
      </w:r>
      <w:r>
        <w:t>trigger</w:t>
      </w:r>
      <w:r>
        <w:rPr>
          <w:spacing w:val="-8"/>
        </w:rPr>
        <w:t xml:space="preserve"> </w:t>
      </w:r>
      <w:r>
        <w:t>PM</w:t>
      </w:r>
      <w:r>
        <w:rPr>
          <w:spacing w:val="-11"/>
        </w:rPr>
        <w:t xml:space="preserve"> </w:t>
      </w:r>
      <w:r>
        <w:t>retrieval.</w:t>
      </w:r>
      <w:r>
        <w:rPr>
          <w:spacing w:val="40"/>
        </w:rPr>
        <w:t xml:space="preserve"> </w:t>
      </w:r>
      <w:r>
        <w:t>Individuals</w:t>
      </w:r>
      <w:r>
        <w:rPr>
          <w:spacing w:val="-12"/>
        </w:rPr>
        <w:t xml:space="preserve"> </w:t>
      </w:r>
      <w:r>
        <w:t>with</w:t>
      </w:r>
      <w:r>
        <w:rPr>
          <w:spacing w:val="-10"/>
        </w:rPr>
        <w:t xml:space="preserve"> </w:t>
      </w:r>
      <w:r>
        <w:t xml:space="preserve">ASD show enhanced perceptual abilities in visual search or visual discrimination tasks (Samson, </w:t>
      </w:r>
      <w:proofErr w:type="spellStart"/>
      <w:r>
        <w:t>Mottron</w:t>
      </w:r>
      <w:proofErr w:type="spellEnd"/>
      <w:r>
        <w:t xml:space="preserve">, </w:t>
      </w:r>
      <w:proofErr w:type="spellStart"/>
      <w:r>
        <w:t>Soulières</w:t>
      </w:r>
      <w:proofErr w:type="spellEnd"/>
      <w:r>
        <w:t>, &amp; Zeffiro, 2012) but have difficulties to filter out task irrelevant sounds and focus on task relevant sounds (</w:t>
      </w:r>
      <w:proofErr w:type="spellStart"/>
      <w:r>
        <w:t>DePape</w:t>
      </w:r>
      <w:proofErr w:type="spellEnd"/>
      <w:r>
        <w:t>, Hall, Tillmann, &amp; Trainor, 2012). Furthermore, a recent review has found that regardless of sensory processing modality, the increasing complexity of</w:t>
      </w:r>
      <w:r>
        <w:rPr>
          <w:spacing w:val="19"/>
        </w:rPr>
        <w:t xml:space="preserve"> </w:t>
      </w:r>
      <w:r>
        <w:t>stimuli is what leads to perceptual problems in ASD whereas relatively simple</w:t>
      </w:r>
    </w:p>
    <w:p w14:paraId="2982EBE8" w14:textId="77777777" w:rsidR="00C75312" w:rsidRDefault="00C75312">
      <w:pPr>
        <w:spacing w:line="480" w:lineRule="auto"/>
        <w:jc w:val="both"/>
        <w:sectPr w:rsidR="00C75312">
          <w:pgSz w:w="11900" w:h="16840"/>
          <w:pgMar w:top="1140" w:right="0" w:bottom="280" w:left="1300" w:header="715" w:footer="0" w:gutter="0"/>
          <w:cols w:space="720"/>
        </w:sectPr>
      </w:pPr>
    </w:p>
    <w:p w14:paraId="1EA0FCD3" w14:textId="77777777" w:rsidR="00C75312" w:rsidRDefault="00C75312">
      <w:pPr>
        <w:pStyle w:val="BodyText"/>
        <w:spacing w:before="2"/>
        <w:rPr>
          <w:sz w:val="18"/>
        </w:rPr>
      </w:pPr>
    </w:p>
    <w:p w14:paraId="210FE074" w14:textId="77777777" w:rsidR="00C75312" w:rsidRDefault="00BB293A">
      <w:pPr>
        <w:pStyle w:val="BodyText"/>
        <w:spacing w:before="90" w:line="480" w:lineRule="auto"/>
        <w:ind w:left="140" w:right="1427"/>
        <w:jc w:val="both"/>
      </w:pPr>
      <w:r>
        <w:t>stimuli (just as those used in this study) lead to no between-group differences (Baum et al., 2015). Importantly, if auditory versus visual basic sensory processing differed in ASD this might affect processing of PM cues from different modalities. If individuals with ASD are better at processing stimuli from one domain those stimuli, this should influence their PM performance on the cue modality. Importantly, this would have practical implications when teaching children with ASD how to use memory cues in ev</w:t>
      </w:r>
      <w:r>
        <w:t>eryday life.</w:t>
      </w:r>
    </w:p>
    <w:p w14:paraId="792285A6" w14:textId="77777777" w:rsidR="00C75312" w:rsidRDefault="00BB293A">
      <w:pPr>
        <w:pStyle w:val="BodyText"/>
        <w:spacing w:before="120" w:line="480" w:lineRule="auto"/>
        <w:ind w:left="140" w:right="1429" w:firstLine="720"/>
        <w:jc w:val="both"/>
      </w:pPr>
      <w:r>
        <w:t>In the current study, an experiment was designed that aimed to whether cue focality differentially affects event-based PM in ASD in comparison to NT control participants taking into account the aspect of PM cue modality. An experiment was designed to investigate cue focality</w:t>
      </w:r>
      <w:r>
        <w:rPr>
          <w:spacing w:val="-6"/>
        </w:rPr>
        <w:t xml:space="preserve"> </w:t>
      </w:r>
      <w:r>
        <w:t>effects</w:t>
      </w:r>
      <w:r>
        <w:rPr>
          <w:spacing w:val="-8"/>
        </w:rPr>
        <w:t xml:space="preserve"> </w:t>
      </w:r>
      <w:r>
        <w:t>on</w:t>
      </w:r>
      <w:r>
        <w:rPr>
          <w:spacing w:val="-5"/>
        </w:rPr>
        <w:t xml:space="preserve"> </w:t>
      </w:r>
      <w:r>
        <w:t>event-based</w:t>
      </w:r>
      <w:r>
        <w:rPr>
          <w:spacing w:val="-6"/>
        </w:rPr>
        <w:t xml:space="preserve"> </w:t>
      </w:r>
      <w:r>
        <w:t>PM</w:t>
      </w:r>
      <w:r>
        <w:rPr>
          <w:spacing w:val="-7"/>
        </w:rPr>
        <w:t xml:space="preserve"> </w:t>
      </w:r>
      <w:r>
        <w:t>performance</w:t>
      </w:r>
      <w:r>
        <w:rPr>
          <w:spacing w:val="-7"/>
        </w:rPr>
        <w:t xml:space="preserve"> </w:t>
      </w:r>
      <w:r>
        <w:t>under</w:t>
      </w:r>
      <w:r>
        <w:rPr>
          <w:spacing w:val="-3"/>
        </w:rPr>
        <w:t xml:space="preserve"> </w:t>
      </w:r>
      <w:r>
        <w:t>two</w:t>
      </w:r>
      <w:r>
        <w:rPr>
          <w:spacing w:val="-6"/>
        </w:rPr>
        <w:t xml:space="preserve"> </w:t>
      </w:r>
      <w:r>
        <w:t>different</w:t>
      </w:r>
      <w:r>
        <w:rPr>
          <w:spacing w:val="-5"/>
        </w:rPr>
        <w:t xml:space="preserve"> </w:t>
      </w:r>
      <w:r>
        <w:t>conditions</w:t>
      </w:r>
      <w:r>
        <w:rPr>
          <w:spacing w:val="-7"/>
        </w:rPr>
        <w:t xml:space="preserve"> </w:t>
      </w:r>
      <w:r>
        <w:t>using</w:t>
      </w:r>
      <w:r>
        <w:rPr>
          <w:spacing w:val="-11"/>
        </w:rPr>
        <w:t xml:space="preserve"> </w:t>
      </w:r>
      <w:r>
        <w:t>the</w:t>
      </w:r>
      <w:r>
        <w:rPr>
          <w:spacing w:val="-6"/>
        </w:rPr>
        <w:t xml:space="preserve"> </w:t>
      </w:r>
      <w:r>
        <w:t xml:space="preserve">same ongoing task. In a </w:t>
      </w:r>
      <w:r>
        <w:rPr>
          <w:i/>
        </w:rPr>
        <w:t>focal condition</w:t>
      </w:r>
      <w:r>
        <w:t>, PM cues were an integral part of the processing demands of</w:t>
      </w:r>
      <w:r>
        <w:rPr>
          <w:spacing w:val="-2"/>
        </w:rPr>
        <w:t xml:space="preserve"> </w:t>
      </w:r>
      <w:r>
        <w:t>the</w:t>
      </w:r>
      <w:r>
        <w:rPr>
          <w:spacing w:val="-5"/>
        </w:rPr>
        <w:t xml:space="preserve"> </w:t>
      </w:r>
      <w:r>
        <w:t>ongoing</w:t>
      </w:r>
      <w:r>
        <w:rPr>
          <w:spacing w:val="-4"/>
        </w:rPr>
        <w:t xml:space="preserve"> </w:t>
      </w:r>
      <w:r>
        <w:t>task</w:t>
      </w:r>
      <w:r>
        <w:rPr>
          <w:spacing w:val="-4"/>
        </w:rPr>
        <w:t xml:space="preserve"> </w:t>
      </w:r>
      <w:r>
        <w:t>whereas</w:t>
      </w:r>
      <w:r>
        <w:rPr>
          <w:spacing w:val="-6"/>
        </w:rPr>
        <w:t xml:space="preserve"> </w:t>
      </w:r>
      <w:r>
        <w:t>in</w:t>
      </w:r>
      <w:r>
        <w:rPr>
          <w:spacing w:val="-4"/>
        </w:rPr>
        <w:t xml:space="preserve"> </w:t>
      </w:r>
      <w:r>
        <w:t>a</w:t>
      </w:r>
      <w:r>
        <w:rPr>
          <w:spacing w:val="-5"/>
        </w:rPr>
        <w:t xml:space="preserve"> </w:t>
      </w:r>
      <w:proofErr w:type="spellStart"/>
      <w:r>
        <w:rPr>
          <w:i/>
        </w:rPr>
        <w:t>nonfocal</w:t>
      </w:r>
      <w:proofErr w:type="spellEnd"/>
      <w:r>
        <w:rPr>
          <w:i/>
          <w:spacing w:val="-3"/>
        </w:rPr>
        <w:t xml:space="preserve"> </w:t>
      </w:r>
      <w:r>
        <w:rPr>
          <w:i/>
        </w:rPr>
        <w:t>condition</w:t>
      </w:r>
      <w:r>
        <w:t>,</w:t>
      </w:r>
      <w:r>
        <w:rPr>
          <w:spacing w:val="-1"/>
        </w:rPr>
        <w:t xml:space="preserve"> </w:t>
      </w:r>
      <w:r>
        <w:t>PM</w:t>
      </w:r>
      <w:r>
        <w:rPr>
          <w:spacing w:val="-6"/>
        </w:rPr>
        <w:t xml:space="preserve"> </w:t>
      </w:r>
      <w:r>
        <w:t>cues</w:t>
      </w:r>
      <w:r>
        <w:rPr>
          <w:spacing w:val="-6"/>
        </w:rPr>
        <w:t xml:space="preserve"> </w:t>
      </w:r>
      <w:r>
        <w:t>were</w:t>
      </w:r>
      <w:r>
        <w:rPr>
          <w:spacing w:val="-4"/>
        </w:rPr>
        <w:t xml:space="preserve"> </w:t>
      </w:r>
      <w:r>
        <w:t>not</w:t>
      </w:r>
      <w:r>
        <w:rPr>
          <w:spacing w:val="-3"/>
        </w:rPr>
        <w:t xml:space="preserve"> </w:t>
      </w:r>
      <w:r>
        <w:t>in</w:t>
      </w:r>
      <w:r>
        <w:rPr>
          <w:spacing w:val="-4"/>
        </w:rPr>
        <w:t xml:space="preserve"> </w:t>
      </w:r>
      <w:r>
        <w:t>the</w:t>
      </w:r>
      <w:r>
        <w:rPr>
          <w:spacing w:val="-5"/>
        </w:rPr>
        <w:t xml:space="preserve"> </w:t>
      </w:r>
      <w:r>
        <w:t>attentional</w:t>
      </w:r>
      <w:r>
        <w:rPr>
          <w:spacing w:val="-3"/>
        </w:rPr>
        <w:t xml:space="preserve"> </w:t>
      </w:r>
      <w:r>
        <w:t xml:space="preserve">focus of performing the ongoing task. It was predicted that participants in both would show better performance in the focal compared to the </w:t>
      </w:r>
      <w:proofErr w:type="spellStart"/>
      <w:r>
        <w:t>nonfocal</w:t>
      </w:r>
      <w:proofErr w:type="spellEnd"/>
      <w:r>
        <w:t xml:space="preserve"> condition. However, it was expected that this effect would be more pronounced in individuals with ASD. Furthermore, in the </w:t>
      </w:r>
      <w:proofErr w:type="spellStart"/>
      <w:r>
        <w:t>nonfocal</w:t>
      </w:r>
      <w:proofErr w:type="spellEnd"/>
      <w:r>
        <w:t xml:space="preserve"> condition, the modality of the PM cue was manipulated to explore whether this would particularly impact PM performance in ASD. As the PM cues used in this study were of low complexity, we hypothesized that different cue modality wo</w:t>
      </w:r>
      <w:r>
        <w:t>uld not affect children with</w:t>
      </w:r>
      <w:r>
        <w:rPr>
          <w:spacing w:val="-19"/>
        </w:rPr>
        <w:t xml:space="preserve"> </w:t>
      </w:r>
      <w:r>
        <w:t>ASD.</w:t>
      </w:r>
    </w:p>
    <w:p w14:paraId="3C6E2465" w14:textId="77777777" w:rsidR="00C75312" w:rsidRDefault="00C75312">
      <w:pPr>
        <w:pStyle w:val="BodyText"/>
        <w:spacing w:before="11"/>
        <w:rPr>
          <w:sz w:val="20"/>
        </w:rPr>
      </w:pPr>
    </w:p>
    <w:p w14:paraId="68771087" w14:textId="77777777" w:rsidR="00C75312" w:rsidRDefault="00BB293A">
      <w:pPr>
        <w:pStyle w:val="Heading1"/>
        <w:ind w:left="25" w:right="1316"/>
        <w:jc w:val="center"/>
      </w:pPr>
      <w:bookmarkStart w:id="9" w:name="_TOC_250024"/>
      <w:bookmarkEnd w:id="9"/>
      <w:r>
        <w:t>Methods</w:t>
      </w:r>
    </w:p>
    <w:p w14:paraId="3AC20314" w14:textId="77777777" w:rsidR="00C75312" w:rsidRDefault="00C75312">
      <w:pPr>
        <w:pStyle w:val="BodyText"/>
        <w:spacing w:before="4"/>
        <w:rPr>
          <w:b/>
          <w:sz w:val="27"/>
        </w:rPr>
      </w:pPr>
    </w:p>
    <w:p w14:paraId="3FFCEFA8" w14:textId="77777777" w:rsidR="00C75312" w:rsidRDefault="00BB293A">
      <w:pPr>
        <w:ind w:left="140"/>
        <w:jc w:val="both"/>
        <w:rPr>
          <w:b/>
          <w:sz w:val="24"/>
        </w:rPr>
      </w:pPr>
      <w:r>
        <w:rPr>
          <w:b/>
          <w:sz w:val="24"/>
        </w:rPr>
        <w:t>Power analysis</w:t>
      </w:r>
    </w:p>
    <w:p w14:paraId="6582CE41" w14:textId="77777777" w:rsidR="00C75312" w:rsidRDefault="00C75312">
      <w:pPr>
        <w:pStyle w:val="BodyText"/>
        <w:rPr>
          <w:b/>
        </w:rPr>
      </w:pPr>
    </w:p>
    <w:p w14:paraId="662F85BA" w14:textId="77777777" w:rsidR="00C75312" w:rsidRDefault="00BB293A">
      <w:pPr>
        <w:pStyle w:val="BodyText"/>
        <w:spacing w:line="480" w:lineRule="auto"/>
        <w:ind w:left="140" w:right="1429" w:firstLine="720"/>
        <w:jc w:val="both"/>
      </w:pPr>
      <w:r>
        <w:t>To</w:t>
      </w:r>
      <w:r>
        <w:rPr>
          <w:spacing w:val="-15"/>
        </w:rPr>
        <w:t xml:space="preserve"> </w:t>
      </w:r>
      <w:r>
        <w:t>address</w:t>
      </w:r>
      <w:r>
        <w:rPr>
          <w:spacing w:val="-17"/>
        </w:rPr>
        <w:t xml:space="preserve"> </w:t>
      </w:r>
      <w:r>
        <w:t>the</w:t>
      </w:r>
      <w:r>
        <w:rPr>
          <w:spacing w:val="-15"/>
        </w:rPr>
        <w:t xml:space="preserve"> </w:t>
      </w:r>
      <w:r>
        <w:t>issue</w:t>
      </w:r>
      <w:r>
        <w:rPr>
          <w:spacing w:val="-15"/>
        </w:rPr>
        <w:t xml:space="preserve"> </w:t>
      </w:r>
      <w:r>
        <w:t>of</w:t>
      </w:r>
      <w:r>
        <w:rPr>
          <w:spacing w:val="-13"/>
        </w:rPr>
        <w:t xml:space="preserve"> </w:t>
      </w:r>
      <w:r>
        <w:t>statistical</w:t>
      </w:r>
      <w:r>
        <w:rPr>
          <w:spacing w:val="-15"/>
        </w:rPr>
        <w:t xml:space="preserve"> </w:t>
      </w:r>
      <w:r>
        <w:t>power,</w:t>
      </w:r>
      <w:r>
        <w:rPr>
          <w:spacing w:val="-12"/>
        </w:rPr>
        <w:t xml:space="preserve"> </w:t>
      </w:r>
      <w:r>
        <w:t>G*Power</w:t>
      </w:r>
      <w:r>
        <w:rPr>
          <w:spacing w:val="-18"/>
        </w:rPr>
        <w:t xml:space="preserve"> </w:t>
      </w:r>
      <w:r>
        <w:t>3</w:t>
      </w:r>
      <w:r>
        <w:rPr>
          <w:spacing w:val="-15"/>
        </w:rPr>
        <w:t xml:space="preserve"> </w:t>
      </w:r>
      <w:r>
        <w:t>(Faul,</w:t>
      </w:r>
      <w:r>
        <w:rPr>
          <w:spacing w:val="-17"/>
        </w:rPr>
        <w:t xml:space="preserve"> </w:t>
      </w:r>
      <w:proofErr w:type="spellStart"/>
      <w:r>
        <w:t>Erdfelder</w:t>
      </w:r>
      <w:proofErr w:type="spellEnd"/>
      <w:r>
        <w:t>,</w:t>
      </w:r>
      <w:r>
        <w:rPr>
          <w:spacing w:val="-18"/>
        </w:rPr>
        <w:t xml:space="preserve"> </w:t>
      </w:r>
      <w:r>
        <w:t>Lang,</w:t>
      </w:r>
      <w:r>
        <w:rPr>
          <w:spacing w:val="-12"/>
        </w:rPr>
        <w:t xml:space="preserve"> </w:t>
      </w:r>
      <w:r>
        <w:t>&amp;</w:t>
      </w:r>
      <w:r>
        <w:rPr>
          <w:spacing w:val="-14"/>
        </w:rPr>
        <w:t xml:space="preserve"> </w:t>
      </w:r>
      <w:r>
        <w:t>Buchner, 2007)</w:t>
      </w:r>
      <w:r>
        <w:rPr>
          <w:spacing w:val="-4"/>
        </w:rPr>
        <w:t xml:space="preserve"> </w:t>
      </w:r>
      <w:r>
        <w:t>was</w:t>
      </w:r>
      <w:r>
        <w:rPr>
          <w:spacing w:val="-7"/>
        </w:rPr>
        <w:t xml:space="preserve"> </w:t>
      </w:r>
      <w:r>
        <w:t>used</w:t>
      </w:r>
      <w:r>
        <w:rPr>
          <w:spacing w:val="-6"/>
        </w:rPr>
        <w:t xml:space="preserve"> </w:t>
      </w:r>
      <w:r>
        <w:t>to</w:t>
      </w:r>
      <w:r>
        <w:rPr>
          <w:spacing w:val="-10"/>
        </w:rPr>
        <w:t xml:space="preserve"> </w:t>
      </w:r>
      <w:r>
        <w:t>conduct</w:t>
      </w:r>
      <w:r>
        <w:rPr>
          <w:spacing w:val="-4"/>
        </w:rPr>
        <w:t xml:space="preserve"> </w:t>
      </w:r>
      <w:r>
        <w:t>a</w:t>
      </w:r>
      <w:r>
        <w:rPr>
          <w:spacing w:val="-12"/>
        </w:rPr>
        <w:t xml:space="preserve"> </w:t>
      </w:r>
      <w:r>
        <w:t>power</w:t>
      </w:r>
      <w:r>
        <w:rPr>
          <w:spacing w:val="-8"/>
        </w:rPr>
        <w:t xml:space="preserve"> </w:t>
      </w:r>
      <w:r>
        <w:t>analysis</w:t>
      </w:r>
      <w:r>
        <w:rPr>
          <w:spacing w:val="-7"/>
        </w:rPr>
        <w:t xml:space="preserve"> </w:t>
      </w:r>
      <w:r>
        <w:t>to</w:t>
      </w:r>
      <w:r>
        <w:rPr>
          <w:spacing w:val="-6"/>
        </w:rPr>
        <w:t xml:space="preserve"> </w:t>
      </w:r>
      <w:r>
        <w:t>determine</w:t>
      </w:r>
      <w:r>
        <w:rPr>
          <w:spacing w:val="-6"/>
        </w:rPr>
        <w:t xml:space="preserve"> </w:t>
      </w:r>
      <w:r>
        <w:t>the</w:t>
      </w:r>
      <w:r>
        <w:rPr>
          <w:spacing w:val="-11"/>
        </w:rPr>
        <w:t xml:space="preserve"> </w:t>
      </w:r>
      <w:r>
        <w:t>sample</w:t>
      </w:r>
      <w:r>
        <w:rPr>
          <w:spacing w:val="-7"/>
        </w:rPr>
        <w:t xml:space="preserve"> </w:t>
      </w:r>
      <w:r>
        <w:t>size</w:t>
      </w:r>
      <w:r>
        <w:rPr>
          <w:spacing w:val="-6"/>
        </w:rPr>
        <w:t xml:space="preserve"> </w:t>
      </w:r>
      <w:r>
        <w:t>that</w:t>
      </w:r>
      <w:r>
        <w:rPr>
          <w:spacing w:val="-5"/>
        </w:rPr>
        <w:t xml:space="preserve"> </w:t>
      </w:r>
      <w:r>
        <w:t>would</w:t>
      </w:r>
      <w:r>
        <w:rPr>
          <w:spacing w:val="-5"/>
        </w:rPr>
        <w:t xml:space="preserve"> </w:t>
      </w:r>
      <w:r>
        <w:t>have</w:t>
      </w:r>
      <w:r>
        <w:rPr>
          <w:spacing w:val="-11"/>
        </w:rPr>
        <w:t xml:space="preserve"> </w:t>
      </w:r>
      <w:r>
        <w:t xml:space="preserve">been necessary to detect between-group differences in event-based PM if they truly exist. To do this, it was necessary to estimate an effect for the </w:t>
      </w:r>
      <w:proofErr w:type="spellStart"/>
      <w:r>
        <w:t>hypothesised</w:t>
      </w:r>
      <w:proofErr w:type="spellEnd"/>
      <w:r>
        <w:t xml:space="preserve"> between-group difference in </w:t>
      </w:r>
      <w:proofErr w:type="spellStart"/>
      <w:r>
        <w:t>nonfocal</w:t>
      </w:r>
      <w:proofErr w:type="spellEnd"/>
      <w:r>
        <w:rPr>
          <w:spacing w:val="19"/>
        </w:rPr>
        <w:t xml:space="preserve"> </w:t>
      </w:r>
      <w:r>
        <w:t>PM</w:t>
      </w:r>
      <w:r>
        <w:rPr>
          <w:spacing w:val="17"/>
        </w:rPr>
        <w:t xml:space="preserve"> </w:t>
      </w:r>
      <w:r>
        <w:t>task</w:t>
      </w:r>
      <w:r>
        <w:rPr>
          <w:spacing w:val="19"/>
        </w:rPr>
        <w:t xml:space="preserve"> </w:t>
      </w:r>
      <w:r>
        <w:t>performance,</w:t>
      </w:r>
      <w:r>
        <w:rPr>
          <w:spacing w:val="22"/>
        </w:rPr>
        <w:t xml:space="preserve"> </w:t>
      </w:r>
      <w:r>
        <w:t>which</w:t>
      </w:r>
      <w:r>
        <w:rPr>
          <w:spacing w:val="14"/>
        </w:rPr>
        <w:t xml:space="preserve"> </w:t>
      </w:r>
      <w:r>
        <w:t>was</w:t>
      </w:r>
      <w:r>
        <w:rPr>
          <w:spacing w:val="17"/>
        </w:rPr>
        <w:t xml:space="preserve"> </w:t>
      </w:r>
      <w:r>
        <w:t>not</w:t>
      </w:r>
      <w:r>
        <w:rPr>
          <w:spacing w:val="20"/>
        </w:rPr>
        <w:t xml:space="preserve"> </w:t>
      </w:r>
      <w:r>
        <w:t>straightforward.</w:t>
      </w:r>
      <w:r>
        <w:rPr>
          <w:spacing w:val="36"/>
        </w:rPr>
        <w:t xml:space="preserve"> </w:t>
      </w:r>
      <w:r>
        <w:t>There</w:t>
      </w:r>
      <w:r>
        <w:rPr>
          <w:spacing w:val="17"/>
        </w:rPr>
        <w:t xml:space="preserve"> </w:t>
      </w:r>
      <w:r>
        <w:t>were</w:t>
      </w:r>
      <w:r>
        <w:rPr>
          <w:spacing w:val="18"/>
        </w:rPr>
        <w:t xml:space="preserve"> </w:t>
      </w:r>
      <w:r>
        <w:t>several</w:t>
      </w:r>
      <w:r>
        <w:rPr>
          <w:spacing w:val="20"/>
        </w:rPr>
        <w:t xml:space="preserve"> </w:t>
      </w:r>
      <w:r>
        <w:t>options</w:t>
      </w:r>
    </w:p>
    <w:p w14:paraId="482A22E9" w14:textId="77777777" w:rsidR="00C75312" w:rsidRDefault="00C75312">
      <w:pPr>
        <w:spacing w:line="480" w:lineRule="auto"/>
        <w:jc w:val="both"/>
        <w:sectPr w:rsidR="00C75312">
          <w:pgSz w:w="11900" w:h="16840"/>
          <w:pgMar w:top="1140" w:right="0" w:bottom="280" w:left="1300" w:header="715" w:footer="0" w:gutter="0"/>
          <w:cols w:space="720"/>
        </w:sectPr>
      </w:pPr>
    </w:p>
    <w:p w14:paraId="138A2588" w14:textId="77777777" w:rsidR="00C75312" w:rsidRDefault="00C75312">
      <w:pPr>
        <w:pStyle w:val="BodyText"/>
        <w:spacing w:before="2"/>
        <w:rPr>
          <w:sz w:val="18"/>
        </w:rPr>
      </w:pPr>
    </w:p>
    <w:p w14:paraId="35CE8090" w14:textId="77777777" w:rsidR="00C75312" w:rsidRDefault="00BB293A">
      <w:pPr>
        <w:pStyle w:val="BodyText"/>
        <w:spacing w:before="90" w:line="480" w:lineRule="auto"/>
        <w:ind w:left="140" w:right="1428"/>
        <w:jc w:val="both"/>
      </w:pPr>
      <w:r>
        <w:t>which effect size to choose. If only considering event-based PM studies in ASD that found an impairment the mean weighted effect size would be 0.72</w:t>
      </w:r>
      <w:r>
        <w:rPr>
          <w:position w:val="8"/>
          <w:sz w:val="16"/>
        </w:rPr>
        <w:t>3</w:t>
      </w:r>
      <w:r>
        <w:t xml:space="preserve">. However, it has been argued that several of the previous studies of event-based PM in ASD suffer from significant methodological confounds that render the reported study results unreliable. Therefore, basing an effect size estimate on these studies may be biased. An alternative might be to use the estimate on the average effect size associated with between-group differences in time-based PM. The rationale was that the executive demands of </w:t>
      </w:r>
      <w:proofErr w:type="spellStart"/>
      <w:r>
        <w:t>nonfocal</w:t>
      </w:r>
      <w:proofErr w:type="spellEnd"/>
      <w:r>
        <w:t xml:space="preserve"> event-based PM tasks are similar to those of time-based P</w:t>
      </w:r>
      <w:r>
        <w:t>M tasks (because both require a degree of executive inhibition and cognitive flexibility above and beyond that required to complete event-based focal PM tasks). Across the six existing studies of time-based PM in ASD, the weighted average effect size (see Chapter 1) for between-group differences in performance was 0.87.</w:t>
      </w:r>
    </w:p>
    <w:p w14:paraId="4E26E9F4" w14:textId="77777777" w:rsidR="00C75312" w:rsidRDefault="00BB293A">
      <w:pPr>
        <w:pStyle w:val="BodyText"/>
        <w:spacing w:before="115" w:line="480" w:lineRule="auto"/>
        <w:ind w:left="140" w:right="1428" w:firstLine="720"/>
        <w:jc w:val="both"/>
      </w:pPr>
      <w:r>
        <w:t>Finally, considering the ageing analogy of memory between individuals with ASD</w:t>
      </w:r>
      <w:r>
        <w:rPr>
          <w:spacing w:val="-43"/>
        </w:rPr>
        <w:t xml:space="preserve"> </w:t>
      </w:r>
      <w:r>
        <w:t>and NT</w:t>
      </w:r>
      <w:r>
        <w:rPr>
          <w:spacing w:val="1"/>
        </w:rPr>
        <w:t xml:space="preserve"> </w:t>
      </w:r>
      <w:r>
        <w:t>elderly,</w:t>
      </w:r>
      <w:r>
        <w:rPr>
          <w:spacing w:val="-2"/>
        </w:rPr>
        <w:t xml:space="preserve"> </w:t>
      </w:r>
      <w:r>
        <w:t>effect sizes</w:t>
      </w:r>
      <w:r>
        <w:rPr>
          <w:spacing w:val="-2"/>
        </w:rPr>
        <w:t xml:space="preserve"> </w:t>
      </w:r>
      <w:r>
        <w:t>reported</w:t>
      </w:r>
      <w:r>
        <w:rPr>
          <w:spacing w:val="-1"/>
        </w:rPr>
        <w:t xml:space="preserve"> </w:t>
      </w:r>
      <w:r>
        <w:t>by</w:t>
      </w:r>
      <w:r>
        <w:rPr>
          <w:spacing w:val="-5"/>
        </w:rPr>
        <w:t xml:space="preserve"> </w:t>
      </w:r>
      <w:r>
        <w:t>Henry</w:t>
      </w:r>
      <w:r>
        <w:rPr>
          <w:spacing w:val="-5"/>
        </w:rPr>
        <w:t xml:space="preserve"> </w:t>
      </w:r>
      <w:r>
        <w:t>et</w:t>
      </w:r>
      <w:r>
        <w:rPr>
          <w:spacing w:val="-4"/>
        </w:rPr>
        <w:t xml:space="preserve"> </w:t>
      </w:r>
      <w:r>
        <w:t>al.</w:t>
      </w:r>
      <w:r>
        <w:rPr>
          <w:spacing w:val="-2"/>
        </w:rPr>
        <w:t xml:space="preserve"> </w:t>
      </w:r>
      <w:r>
        <w:t>(2014)</w:t>
      </w:r>
      <w:r>
        <w:rPr>
          <w:spacing w:val="2"/>
        </w:rPr>
        <w:t xml:space="preserve"> </w:t>
      </w:r>
      <w:r>
        <w:rPr>
          <w:spacing w:val="-3"/>
        </w:rPr>
        <w:t xml:space="preserve">or </w:t>
      </w:r>
      <w:r>
        <w:t>Ihle</w:t>
      </w:r>
      <w:r>
        <w:rPr>
          <w:spacing w:val="-6"/>
        </w:rPr>
        <w:t xml:space="preserve"> </w:t>
      </w:r>
      <w:r>
        <w:t>et</w:t>
      </w:r>
      <w:r>
        <w:rPr>
          <w:spacing w:val="-4"/>
        </w:rPr>
        <w:t xml:space="preserve"> </w:t>
      </w:r>
      <w:r>
        <w:t>al.</w:t>
      </w:r>
      <w:r>
        <w:rPr>
          <w:spacing w:val="-7"/>
        </w:rPr>
        <w:t xml:space="preserve"> </w:t>
      </w:r>
      <w:r>
        <w:t>(2013)</w:t>
      </w:r>
      <w:r>
        <w:rPr>
          <w:spacing w:val="-3"/>
        </w:rPr>
        <w:t xml:space="preserve"> </w:t>
      </w:r>
      <w:r>
        <w:t>might</w:t>
      </w:r>
      <w:r>
        <w:rPr>
          <w:spacing w:val="-5"/>
        </w:rPr>
        <w:t xml:space="preserve"> </w:t>
      </w:r>
      <w:r>
        <w:t>also</w:t>
      </w:r>
      <w:r>
        <w:rPr>
          <w:spacing w:val="-5"/>
        </w:rPr>
        <w:t xml:space="preserve"> </w:t>
      </w:r>
      <w:r>
        <w:t>provide a</w:t>
      </w:r>
      <w:r>
        <w:rPr>
          <w:spacing w:val="9"/>
        </w:rPr>
        <w:t xml:space="preserve"> </w:t>
      </w:r>
      <w:r>
        <w:t>good</w:t>
      </w:r>
      <w:r>
        <w:rPr>
          <w:spacing w:val="11"/>
        </w:rPr>
        <w:t xml:space="preserve"> </w:t>
      </w:r>
      <w:r>
        <w:t>estimate</w:t>
      </w:r>
      <w:r>
        <w:rPr>
          <w:spacing w:val="9"/>
        </w:rPr>
        <w:t xml:space="preserve"> </w:t>
      </w:r>
      <w:r>
        <w:t>of</w:t>
      </w:r>
      <w:r>
        <w:rPr>
          <w:spacing w:val="12"/>
        </w:rPr>
        <w:t xml:space="preserve"> </w:t>
      </w:r>
      <w:r>
        <w:t>the</w:t>
      </w:r>
      <w:r>
        <w:rPr>
          <w:spacing w:val="10"/>
        </w:rPr>
        <w:t xml:space="preserve"> </w:t>
      </w:r>
      <w:r>
        <w:t>to</w:t>
      </w:r>
      <w:r>
        <w:rPr>
          <w:spacing w:val="5"/>
        </w:rPr>
        <w:t xml:space="preserve"> </w:t>
      </w:r>
      <w:r>
        <w:t>be</w:t>
      </w:r>
      <w:r>
        <w:rPr>
          <w:spacing w:val="10"/>
        </w:rPr>
        <w:t xml:space="preserve"> </w:t>
      </w:r>
      <w:r>
        <w:t>expected</w:t>
      </w:r>
      <w:r>
        <w:rPr>
          <w:spacing w:val="11"/>
        </w:rPr>
        <w:t xml:space="preserve"> </w:t>
      </w:r>
      <w:r>
        <w:t>effect</w:t>
      </w:r>
      <w:r>
        <w:rPr>
          <w:spacing w:val="10"/>
        </w:rPr>
        <w:t xml:space="preserve"> </w:t>
      </w:r>
      <w:r>
        <w:t>size.</w:t>
      </w:r>
      <w:r>
        <w:rPr>
          <w:spacing w:val="19"/>
        </w:rPr>
        <w:t xml:space="preserve"> </w:t>
      </w:r>
      <w:r>
        <w:t>Ihle</w:t>
      </w:r>
      <w:r>
        <w:rPr>
          <w:spacing w:val="9"/>
        </w:rPr>
        <w:t xml:space="preserve"> </w:t>
      </w:r>
      <w:r>
        <w:t>et</w:t>
      </w:r>
      <w:r>
        <w:rPr>
          <w:spacing w:val="11"/>
        </w:rPr>
        <w:t xml:space="preserve"> </w:t>
      </w:r>
      <w:r>
        <w:t>al.</w:t>
      </w:r>
      <w:r>
        <w:rPr>
          <w:spacing w:val="8"/>
        </w:rPr>
        <w:t xml:space="preserve"> </w:t>
      </w:r>
      <w:r>
        <w:t>(2013)</w:t>
      </w:r>
      <w:r>
        <w:rPr>
          <w:spacing w:val="6"/>
        </w:rPr>
        <w:t xml:space="preserve"> </w:t>
      </w:r>
      <w:r>
        <w:t>reported</w:t>
      </w:r>
      <w:r>
        <w:rPr>
          <w:spacing w:val="6"/>
        </w:rPr>
        <w:t xml:space="preserve"> </w:t>
      </w:r>
      <w:r>
        <w:t>an</w:t>
      </w:r>
      <w:r>
        <w:rPr>
          <w:spacing w:val="11"/>
        </w:rPr>
        <w:t xml:space="preserve"> </w:t>
      </w:r>
      <w:r>
        <w:t>effect</w:t>
      </w:r>
      <w:r>
        <w:rPr>
          <w:spacing w:val="10"/>
        </w:rPr>
        <w:t xml:space="preserve"> </w:t>
      </w:r>
      <w:r>
        <w:t>size</w:t>
      </w:r>
      <w:r>
        <w:rPr>
          <w:spacing w:val="10"/>
        </w:rPr>
        <w:t xml:space="preserve"> </w:t>
      </w:r>
      <w:r>
        <w:t>of</w:t>
      </w:r>
    </w:p>
    <w:p w14:paraId="45EA2715" w14:textId="77777777" w:rsidR="00C75312" w:rsidRDefault="00BB293A">
      <w:pPr>
        <w:pStyle w:val="BodyText"/>
        <w:spacing w:line="480" w:lineRule="auto"/>
        <w:ind w:left="140" w:right="1429"/>
        <w:jc w:val="both"/>
      </w:pPr>
      <w:r>
        <w:t xml:space="preserve">0.74 for age differences with </w:t>
      </w:r>
      <w:proofErr w:type="spellStart"/>
      <w:r>
        <w:t>nonfocal</w:t>
      </w:r>
      <w:proofErr w:type="spellEnd"/>
      <w:r>
        <w:t xml:space="preserve"> cues. The effect sizes reported by Henry et al. (2014) represented correlation coefficients between age and PM performance. Thus, for comparability, effect sizes were transformed, which resulted in a similar-sized effect of 0.72 for age effects in event-based PM (irrespective of cue focality) and 0.85 in time-based PM.</w:t>
      </w:r>
    </w:p>
    <w:p w14:paraId="42EA2A9E" w14:textId="77777777" w:rsidR="00C75312" w:rsidRDefault="00BB293A">
      <w:pPr>
        <w:pStyle w:val="BodyText"/>
        <w:spacing w:before="120" w:line="480" w:lineRule="auto"/>
        <w:ind w:left="140" w:right="1426" w:firstLine="720"/>
        <w:jc w:val="both"/>
      </w:pPr>
      <w:r>
        <w:t>It</w:t>
      </w:r>
      <w:r>
        <w:rPr>
          <w:spacing w:val="-9"/>
        </w:rPr>
        <w:t xml:space="preserve"> </w:t>
      </w:r>
      <w:r>
        <w:t>was</w:t>
      </w:r>
      <w:r>
        <w:rPr>
          <w:spacing w:val="-12"/>
        </w:rPr>
        <w:t xml:space="preserve"> </w:t>
      </w:r>
      <w:r>
        <w:t>decided</w:t>
      </w:r>
      <w:r>
        <w:rPr>
          <w:spacing w:val="-14"/>
        </w:rPr>
        <w:t xml:space="preserve"> </w:t>
      </w:r>
      <w:r>
        <w:t>to</w:t>
      </w:r>
      <w:r>
        <w:rPr>
          <w:spacing w:val="-14"/>
        </w:rPr>
        <w:t xml:space="preserve"> </w:t>
      </w:r>
      <w:r>
        <w:t>conduct</w:t>
      </w:r>
      <w:r>
        <w:rPr>
          <w:spacing w:val="-14"/>
        </w:rPr>
        <w:t xml:space="preserve"> </w:t>
      </w:r>
      <w:r>
        <w:t>two</w:t>
      </w:r>
      <w:r>
        <w:rPr>
          <w:spacing w:val="-10"/>
        </w:rPr>
        <w:t xml:space="preserve"> </w:t>
      </w:r>
      <w:r>
        <w:t>power</w:t>
      </w:r>
      <w:r>
        <w:rPr>
          <w:spacing w:val="-13"/>
        </w:rPr>
        <w:t xml:space="preserve"> </w:t>
      </w:r>
      <w:r>
        <w:t>analyses</w:t>
      </w:r>
      <w:r>
        <w:rPr>
          <w:spacing w:val="-11"/>
        </w:rPr>
        <w:t xml:space="preserve"> </w:t>
      </w:r>
      <w:r>
        <w:t>using</w:t>
      </w:r>
      <w:r>
        <w:rPr>
          <w:spacing w:val="-10"/>
        </w:rPr>
        <w:t xml:space="preserve"> </w:t>
      </w:r>
      <w:r>
        <w:t>the</w:t>
      </w:r>
      <w:r>
        <w:rPr>
          <w:spacing w:val="-15"/>
        </w:rPr>
        <w:t xml:space="preserve"> </w:t>
      </w:r>
      <w:r>
        <w:t>lowest</w:t>
      </w:r>
      <w:r>
        <w:rPr>
          <w:spacing w:val="-9"/>
        </w:rPr>
        <w:t xml:space="preserve"> </w:t>
      </w:r>
      <w:r>
        <w:t>(0.72)</w:t>
      </w:r>
      <w:r>
        <w:rPr>
          <w:spacing w:val="-13"/>
        </w:rPr>
        <w:t xml:space="preserve"> </w:t>
      </w:r>
      <w:r>
        <w:t>and</w:t>
      </w:r>
      <w:r>
        <w:rPr>
          <w:spacing w:val="-14"/>
        </w:rPr>
        <w:t xml:space="preserve"> </w:t>
      </w:r>
      <w:r>
        <w:t>highest</w:t>
      </w:r>
      <w:r>
        <w:rPr>
          <w:spacing w:val="-14"/>
        </w:rPr>
        <w:t xml:space="preserve"> </w:t>
      </w:r>
      <w:r>
        <w:t xml:space="preserve">(0.87) effect size estimate reviewed above to compute a range of the required sample size. The analyses revealed that a sample </w:t>
      </w:r>
      <w:r>
        <w:rPr>
          <w:spacing w:val="-3"/>
        </w:rPr>
        <w:t xml:space="preserve">of </w:t>
      </w:r>
      <w:r>
        <w:t>18 to 25 participants was required to achieve the minimal recommended power of .80 (Cohen,</w:t>
      </w:r>
      <w:r>
        <w:rPr>
          <w:spacing w:val="1"/>
        </w:rPr>
        <w:t xml:space="preserve"> </w:t>
      </w:r>
      <w:r>
        <w:t>1992).</w:t>
      </w:r>
    </w:p>
    <w:p w14:paraId="2C71CF02" w14:textId="77777777" w:rsidR="00C75312" w:rsidRDefault="00C75312">
      <w:pPr>
        <w:pStyle w:val="BodyText"/>
        <w:rPr>
          <w:sz w:val="20"/>
        </w:rPr>
      </w:pPr>
    </w:p>
    <w:p w14:paraId="251F50E0" w14:textId="77777777" w:rsidR="00C75312" w:rsidRDefault="00BB293A">
      <w:pPr>
        <w:pStyle w:val="BodyText"/>
        <w:spacing w:before="1"/>
      </w:pPr>
      <w:r>
        <w:pict w14:anchorId="011F096F">
          <v:shape id="_x0000_s2780" style="position:absolute;margin-left:1in;margin-top:16.05pt;width:2in;height:.1pt;z-index:-251628544;mso-wrap-distance-left:0;mso-wrap-distance-right:0;mso-position-horizontal-relative:page" coordorigin="1440,321" coordsize="2880,0" path="m1440,321r2880,e" filled="f" strokeweight=".48pt">
            <v:path arrowok="t"/>
            <w10:wrap type="topAndBottom" anchorx="page"/>
          </v:shape>
        </w:pict>
      </w:r>
    </w:p>
    <w:p w14:paraId="3D6E705A" w14:textId="77777777" w:rsidR="00C75312" w:rsidRDefault="00BB293A">
      <w:pPr>
        <w:spacing w:before="62" w:line="480" w:lineRule="auto"/>
        <w:ind w:left="140" w:right="1538"/>
        <w:rPr>
          <w:sz w:val="20"/>
        </w:rPr>
      </w:pPr>
      <w:r>
        <w:rPr>
          <w:position w:val="7"/>
          <w:sz w:val="13"/>
        </w:rPr>
        <w:t xml:space="preserve">3 </w:t>
      </w:r>
      <w:r>
        <w:rPr>
          <w:sz w:val="20"/>
        </w:rPr>
        <w:t>The mean weighted effect size for event-based PM group differences between ASD and NT was calculated following the formulae of Lipsey and Wilson (2001).</w:t>
      </w:r>
    </w:p>
    <w:p w14:paraId="50D8F167" w14:textId="77777777" w:rsidR="00C75312" w:rsidRDefault="00C75312">
      <w:pPr>
        <w:spacing w:line="480" w:lineRule="auto"/>
        <w:rPr>
          <w:sz w:val="20"/>
        </w:rPr>
        <w:sectPr w:rsidR="00C75312">
          <w:pgSz w:w="11900" w:h="16840"/>
          <w:pgMar w:top="1140" w:right="0" w:bottom="280" w:left="1300" w:header="715" w:footer="0" w:gutter="0"/>
          <w:cols w:space="720"/>
        </w:sectPr>
      </w:pPr>
    </w:p>
    <w:p w14:paraId="2DB1EBEA" w14:textId="77777777" w:rsidR="00C75312" w:rsidRDefault="00C75312">
      <w:pPr>
        <w:pStyle w:val="BodyText"/>
        <w:spacing w:before="2"/>
        <w:rPr>
          <w:sz w:val="18"/>
        </w:rPr>
      </w:pPr>
    </w:p>
    <w:p w14:paraId="1DB42E47" w14:textId="77777777" w:rsidR="00C75312" w:rsidRDefault="00BB293A">
      <w:pPr>
        <w:pStyle w:val="Heading1"/>
        <w:spacing w:before="90"/>
      </w:pPr>
      <w:bookmarkStart w:id="10" w:name="_TOC_250023"/>
      <w:bookmarkEnd w:id="10"/>
      <w:r>
        <w:t>Participants</w:t>
      </w:r>
    </w:p>
    <w:p w14:paraId="24600B19" w14:textId="77777777" w:rsidR="00C75312" w:rsidRDefault="00C75312">
      <w:pPr>
        <w:pStyle w:val="BodyText"/>
        <w:rPr>
          <w:b/>
        </w:rPr>
      </w:pPr>
    </w:p>
    <w:p w14:paraId="1396857E" w14:textId="77777777" w:rsidR="00C75312" w:rsidRDefault="00BB293A">
      <w:pPr>
        <w:pStyle w:val="BodyText"/>
        <w:spacing w:line="480" w:lineRule="auto"/>
        <w:ind w:left="140" w:right="1428" w:firstLine="720"/>
        <w:jc w:val="both"/>
      </w:pPr>
      <w:r>
        <w:t>Twenty</w:t>
      </w:r>
      <w:r>
        <w:rPr>
          <w:spacing w:val="-14"/>
        </w:rPr>
        <w:t xml:space="preserve"> </w:t>
      </w:r>
      <w:r>
        <w:t>children</w:t>
      </w:r>
      <w:r>
        <w:rPr>
          <w:spacing w:val="-14"/>
        </w:rPr>
        <w:t xml:space="preserve"> </w:t>
      </w:r>
      <w:r>
        <w:t>with</w:t>
      </w:r>
      <w:r>
        <w:rPr>
          <w:spacing w:val="-13"/>
        </w:rPr>
        <w:t xml:space="preserve"> </w:t>
      </w:r>
      <w:r>
        <w:t>ASD</w:t>
      </w:r>
      <w:r>
        <w:rPr>
          <w:spacing w:val="-20"/>
        </w:rPr>
        <w:t xml:space="preserve"> </w:t>
      </w:r>
      <w:r>
        <w:t>(14</w:t>
      </w:r>
      <w:r>
        <w:rPr>
          <w:spacing w:val="-13"/>
        </w:rPr>
        <w:t xml:space="preserve"> </w:t>
      </w:r>
      <w:r>
        <w:t>male)</w:t>
      </w:r>
      <w:r>
        <w:rPr>
          <w:spacing w:val="-13"/>
        </w:rPr>
        <w:t xml:space="preserve"> </w:t>
      </w:r>
      <w:r>
        <w:t>and</w:t>
      </w:r>
      <w:r>
        <w:rPr>
          <w:spacing w:val="-13"/>
        </w:rPr>
        <w:t xml:space="preserve"> </w:t>
      </w:r>
      <w:r>
        <w:t>20</w:t>
      </w:r>
      <w:r>
        <w:rPr>
          <w:spacing w:val="-14"/>
        </w:rPr>
        <w:t xml:space="preserve"> </w:t>
      </w:r>
      <w:r>
        <w:rPr>
          <w:spacing w:val="-3"/>
        </w:rPr>
        <w:t>NT</w:t>
      </w:r>
      <w:r>
        <w:rPr>
          <w:spacing w:val="-12"/>
        </w:rPr>
        <w:t xml:space="preserve"> </w:t>
      </w:r>
      <w:r>
        <w:t>children</w:t>
      </w:r>
      <w:r>
        <w:rPr>
          <w:spacing w:val="-13"/>
        </w:rPr>
        <w:t xml:space="preserve"> </w:t>
      </w:r>
      <w:r>
        <w:t>(15</w:t>
      </w:r>
      <w:r>
        <w:rPr>
          <w:spacing w:val="-14"/>
        </w:rPr>
        <w:t xml:space="preserve"> </w:t>
      </w:r>
      <w:r>
        <w:t>male),</w:t>
      </w:r>
      <w:r>
        <w:rPr>
          <w:spacing w:val="-11"/>
        </w:rPr>
        <w:t xml:space="preserve"> </w:t>
      </w:r>
      <w:r>
        <w:t>aged</w:t>
      </w:r>
      <w:r>
        <w:rPr>
          <w:spacing w:val="-14"/>
        </w:rPr>
        <w:t xml:space="preserve"> </w:t>
      </w:r>
      <w:r>
        <w:t>between</w:t>
      </w:r>
      <w:r>
        <w:rPr>
          <w:spacing w:val="-14"/>
        </w:rPr>
        <w:t xml:space="preserve"> </w:t>
      </w:r>
      <w:r>
        <w:t>eight to 14 years, took part in this experiment</w:t>
      </w:r>
      <w:r>
        <w:rPr>
          <w:position w:val="8"/>
          <w:sz w:val="16"/>
        </w:rPr>
        <w:t>4</w:t>
      </w:r>
      <w:r>
        <w:t>. Participants in the ASD group had all received a formal</w:t>
      </w:r>
      <w:r>
        <w:rPr>
          <w:spacing w:val="-14"/>
        </w:rPr>
        <w:t xml:space="preserve"> </w:t>
      </w:r>
      <w:r>
        <w:t>diagnosis</w:t>
      </w:r>
      <w:r>
        <w:rPr>
          <w:spacing w:val="-13"/>
        </w:rPr>
        <w:t xml:space="preserve"> </w:t>
      </w:r>
      <w:r>
        <w:t>of</w:t>
      </w:r>
      <w:r>
        <w:rPr>
          <w:spacing w:val="-13"/>
        </w:rPr>
        <w:t xml:space="preserve"> </w:t>
      </w:r>
      <w:r>
        <w:t>autistic</w:t>
      </w:r>
      <w:r>
        <w:rPr>
          <w:spacing w:val="-11"/>
        </w:rPr>
        <w:t xml:space="preserve"> </w:t>
      </w:r>
      <w:r>
        <w:t>disorder</w:t>
      </w:r>
      <w:r>
        <w:rPr>
          <w:spacing w:val="-13"/>
        </w:rPr>
        <w:t xml:space="preserve"> </w:t>
      </w:r>
      <w:r>
        <w:t>(</w:t>
      </w:r>
      <w:r>
        <w:rPr>
          <w:i/>
        </w:rPr>
        <w:t>n</w:t>
      </w:r>
      <w:r>
        <w:rPr>
          <w:i/>
          <w:spacing w:val="-14"/>
        </w:rPr>
        <w:t xml:space="preserve"> </w:t>
      </w:r>
      <w:r>
        <w:t>=</w:t>
      </w:r>
      <w:r>
        <w:rPr>
          <w:spacing w:val="-11"/>
        </w:rPr>
        <w:t xml:space="preserve"> </w:t>
      </w:r>
      <w:r>
        <w:t>13)</w:t>
      </w:r>
      <w:r>
        <w:rPr>
          <w:spacing w:val="-13"/>
        </w:rPr>
        <w:t xml:space="preserve"> </w:t>
      </w:r>
      <w:r>
        <w:t>or</w:t>
      </w:r>
      <w:r>
        <w:rPr>
          <w:spacing w:val="-13"/>
        </w:rPr>
        <w:t xml:space="preserve"> </w:t>
      </w:r>
      <w:r>
        <w:t>Asperger’s</w:t>
      </w:r>
      <w:r>
        <w:rPr>
          <w:spacing w:val="-12"/>
        </w:rPr>
        <w:t xml:space="preserve"> </w:t>
      </w:r>
      <w:r>
        <w:t>disorder</w:t>
      </w:r>
      <w:r>
        <w:rPr>
          <w:spacing w:val="-18"/>
        </w:rPr>
        <w:t xml:space="preserve"> </w:t>
      </w:r>
      <w:r>
        <w:t>(</w:t>
      </w:r>
      <w:r>
        <w:rPr>
          <w:i/>
        </w:rPr>
        <w:t>n</w:t>
      </w:r>
      <w:r>
        <w:rPr>
          <w:i/>
          <w:spacing w:val="-10"/>
        </w:rPr>
        <w:t xml:space="preserve"> </w:t>
      </w:r>
      <w:r>
        <w:t>=</w:t>
      </w:r>
      <w:r>
        <w:rPr>
          <w:spacing w:val="-15"/>
        </w:rPr>
        <w:t xml:space="preserve"> </w:t>
      </w:r>
      <w:r>
        <w:t>7),</w:t>
      </w:r>
      <w:r>
        <w:rPr>
          <w:spacing w:val="-12"/>
        </w:rPr>
        <w:t xml:space="preserve"> </w:t>
      </w:r>
      <w:r>
        <w:t>according</w:t>
      </w:r>
      <w:r>
        <w:rPr>
          <w:spacing w:val="-14"/>
        </w:rPr>
        <w:t xml:space="preserve"> </w:t>
      </w:r>
      <w:r>
        <w:t>to</w:t>
      </w:r>
      <w:r>
        <w:rPr>
          <w:spacing w:val="-14"/>
        </w:rPr>
        <w:t xml:space="preserve"> </w:t>
      </w:r>
      <w:r>
        <w:t xml:space="preserve">DSM- IV or ICD-10 criteria (American Psychiatric Association, 2000; World Health </w:t>
      </w:r>
      <w:proofErr w:type="spellStart"/>
      <w:r>
        <w:t>Organisation</w:t>
      </w:r>
      <w:proofErr w:type="spellEnd"/>
      <w:r>
        <w:t>, 2006). No NT participant had a diagnosis of any developmental disorder, and no concerns were raised about any child’s development by parents or</w:t>
      </w:r>
      <w:r>
        <w:rPr>
          <w:spacing w:val="6"/>
        </w:rPr>
        <w:t xml:space="preserve"> </w:t>
      </w:r>
      <w:r>
        <w:t>teachers.</w:t>
      </w:r>
    </w:p>
    <w:p w14:paraId="108BEA39" w14:textId="77777777" w:rsidR="00C75312" w:rsidRDefault="00BB293A">
      <w:pPr>
        <w:pStyle w:val="BodyText"/>
        <w:spacing w:before="115" w:line="480" w:lineRule="auto"/>
        <w:ind w:left="140" w:right="1429" w:firstLine="720"/>
        <w:jc w:val="both"/>
      </w:pPr>
      <w:r>
        <w:t xml:space="preserve">Table 5 gives an overview of the participant characteristics. Using the second edition of the Wechsler Abbreviated Scale of Intelligence (WASI-II, Wechsler, 2011), participant groups were equated for verbal IQ (VIQ), performance IQ (PIQ), and full-scale IQ (FSIQ). Groups were also equated for chronological age. All participants passed a short test of </w:t>
      </w:r>
      <w:proofErr w:type="spellStart"/>
      <w:r>
        <w:t>colour</w:t>
      </w:r>
      <w:proofErr w:type="spellEnd"/>
      <w:r>
        <w:t>- blindness</w:t>
      </w:r>
      <w:r>
        <w:rPr>
          <w:spacing w:val="-19"/>
        </w:rPr>
        <w:t xml:space="preserve"> </w:t>
      </w:r>
      <w:r>
        <w:t>(Ishihara,</w:t>
      </w:r>
      <w:r>
        <w:rPr>
          <w:spacing w:val="-13"/>
        </w:rPr>
        <w:t xml:space="preserve"> </w:t>
      </w:r>
      <w:r>
        <w:t>1951).</w:t>
      </w:r>
      <w:r>
        <w:rPr>
          <w:spacing w:val="27"/>
        </w:rPr>
        <w:t xml:space="preserve"> </w:t>
      </w:r>
      <w:r>
        <w:t>The</w:t>
      </w:r>
      <w:r>
        <w:rPr>
          <w:spacing w:val="-21"/>
        </w:rPr>
        <w:t xml:space="preserve"> </w:t>
      </w:r>
      <w:r>
        <w:t>parents</w:t>
      </w:r>
      <w:r>
        <w:rPr>
          <w:spacing w:val="-18"/>
        </w:rPr>
        <w:t xml:space="preserve"> </w:t>
      </w:r>
      <w:r>
        <w:t>of</w:t>
      </w:r>
      <w:r>
        <w:rPr>
          <w:spacing w:val="-15"/>
        </w:rPr>
        <w:t xml:space="preserve"> </w:t>
      </w:r>
      <w:r>
        <w:t>all</w:t>
      </w:r>
      <w:r>
        <w:rPr>
          <w:spacing w:val="-15"/>
        </w:rPr>
        <w:t xml:space="preserve"> </w:t>
      </w:r>
      <w:r>
        <w:t>participants</w:t>
      </w:r>
      <w:r>
        <w:rPr>
          <w:spacing w:val="-18"/>
        </w:rPr>
        <w:t xml:space="preserve"> </w:t>
      </w:r>
      <w:r>
        <w:t>completed</w:t>
      </w:r>
      <w:r>
        <w:rPr>
          <w:spacing w:val="-16"/>
        </w:rPr>
        <w:t xml:space="preserve"> </w:t>
      </w:r>
      <w:r>
        <w:t>the</w:t>
      </w:r>
      <w:r>
        <w:rPr>
          <w:spacing w:val="-16"/>
        </w:rPr>
        <w:t xml:space="preserve"> </w:t>
      </w:r>
      <w:r>
        <w:t>Social</w:t>
      </w:r>
      <w:r>
        <w:rPr>
          <w:spacing w:val="-15"/>
        </w:rPr>
        <w:t xml:space="preserve"> </w:t>
      </w:r>
      <w:r>
        <w:t xml:space="preserve">Responsiveness Scale (SRS; Constantino and Gruber, 2005), which provided a measure of ASD/ASD-like characteristics. All participants with ASD scored above the ASD cut-off of 60 on the SRS, in keeping with their diagnosis. Eighteen </w:t>
      </w:r>
      <w:r>
        <w:rPr>
          <w:spacing w:val="-3"/>
        </w:rPr>
        <w:t xml:space="preserve">of </w:t>
      </w:r>
      <w:r>
        <w:t xml:space="preserve">the 20 </w:t>
      </w:r>
      <w:r>
        <w:rPr>
          <w:spacing w:val="-3"/>
        </w:rPr>
        <w:t xml:space="preserve">NT </w:t>
      </w:r>
      <w:r>
        <w:t>participants scored below 60 on the SRS. Two</w:t>
      </w:r>
      <w:r>
        <w:rPr>
          <w:spacing w:val="-6"/>
        </w:rPr>
        <w:t xml:space="preserve"> </w:t>
      </w:r>
      <w:r>
        <w:t>NT</w:t>
      </w:r>
      <w:r>
        <w:rPr>
          <w:spacing w:val="-3"/>
        </w:rPr>
        <w:t xml:space="preserve"> </w:t>
      </w:r>
      <w:r>
        <w:t>participants</w:t>
      </w:r>
      <w:r>
        <w:rPr>
          <w:spacing w:val="-8"/>
        </w:rPr>
        <w:t xml:space="preserve"> </w:t>
      </w:r>
      <w:r>
        <w:t>scored</w:t>
      </w:r>
      <w:r>
        <w:rPr>
          <w:spacing w:val="-5"/>
        </w:rPr>
        <w:t xml:space="preserve"> </w:t>
      </w:r>
      <w:r>
        <w:t>above</w:t>
      </w:r>
      <w:r>
        <w:rPr>
          <w:spacing w:val="-6"/>
        </w:rPr>
        <w:t xml:space="preserve"> </w:t>
      </w:r>
      <w:r>
        <w:t>60</w:t>
      </w:r>
      <w:r>
        <w:rPr>
          <w:spacing w:val="-6"/>
        </w:rPr>
        <w:t xml:space="preserve"> </w:t>
      </w:r>
      <w:r>
        <w:t>(with</w:t>
      </w:r>
      <w:r>
        <w:rPr>
          <w:spacing w:val="-10"/>
        </w:rPr>
        <w:t xml:space="preserve"> </w:t>
      </w:r>
      <w:r>
        <w:t>scores</w:t>
      </w:r>
      <w:r>
        <w:rPr>
          <w:spacing w:val="-7"/>
        </w:rPr>
        <w:t xml:space="preserve"> </w:t>
      </w:r>
      <w:r>
        <w:t>of</w:t>
      </w:r>
      <w:r>
        <w:rPr>
          <w:spacing w:val="-3"/>
        </w:rPr>
        <w:t xml:space="preserve"> </w:t>
      </w:r>
      <w:r>
        <w:t>64</w:t>
      </w:r>
      <w:r>
        <w:rPr>
          <w:spacing w:val="-6"/>
        </w:rPr>
        <w:t xml:space="preserve"> </w:t>
      </w:r>
      <w:r>
        <w:t>and</w:t>
      </w:r>
      <w:r>
        <w:rPr>
          <w:spacing w:val="-5"/>
        </w:rPr>
        <w:t xml:space="preserve"> </w:t>
      </w:r>
      <w:r>
        <w:t>67,</w:t>
      </w:r>
      <w:r>
        <w:rPr>
          <w:spacing w:val="-3"/>
        </w:rPr>
        <w:t xml:space="preserve"> </w:t>
      </w:r>
      <w:r>
        <w:t>respectively).</w:t>
      </w:r>
      <w:r>
        <w:rPr>
          <w:spacing w:val="-7"/>
        </w:rPr>
        <w:t xml:space="preserve"> </w:t>
      </w:r>
      <w:r>
        <w:t>However,</w:t>
      </w:r>
      <w:r>
        <w:rPr>
          <w:spacing w:val="-7"/>
        </w:rPr>
        <w:t xml:space="preserve"> </w:t>
      </w:r>
      <w:r>
        <w:t>these two participants were attending mainstream sc</w:t>
      </w:r>
      <w:r>
        <w:t>hools and had no history of any developmental disorder. Therefore, it is unlikely that these participants had an undiagnosed ASD. However, to ensure that including these participants in the overall sample did not affect the</w:t>
      </w:r>
      <w:r>
        <w:rPr>
          <w:spacing w:val="-43"/>
        </w:rPr>
        <w:t xml:space="preserve"> </w:t>
      </w:r>
      <w:r>
        <w:t xml:space="preserve">results </w:t>
      </w:r>
      <w:r>
        <w:rPr>
          <w:spacing w:val="-3"/>
        </w:rPr>
        <w:t xml:space="preserve">of </w:t>
      </w:r>
      <w:r>
        <w:t>the study, all experimental analyses in this chapter were re-run after excluding them.</w:t>
      </w:r>
      <w:r>
        <w:rPr>
          <w:spacing w:val="3"/>
        </w:rPr>
        <w:t xml:space="preserve"> </w:t>
      </w:r>
      <w:r>
        <w:t>Key</w:t>
      </w:r>
    </w:p>
    <w:p w14:paraId="62A55011" w14:textId="77777777" w:rsidR="00C75312" w:rsidRDefault="00C75312">
      <w:pPr>
        <w:pStyle w:val="BodyText"/>
        <w:rPr>
          <w:sz w:val="20"/>
        </w:rPr>
      </w:pPr>
    </w:p>
    <w:p w14:paraId="7AFD8153" w14:textId="77777777" w:rsidR="00C75312" w:rsidRDefault="00BB293A">
      <w:pPr>
        <w:pStyle w:val="BodyText"/>
        <w:spacing w:before="8"/>
        <w:rPr>
          <w:sz w:val="10"/>
        </w:rPr>
      </w:pPr>
      <w:r>
        <w:pict w14:anchorId="1EB99781">
          <v:shape id="_x0000_s2779" style="position:absolute;margin-left:1in;margin-top:8.4pt;width:2in;height:.1pt;z-index:-251627520;mso-wrap-distance-left:0;mso-wrap-distance-right:0;mso-position-horizontal-relative:page" coordorigin="1440,168" coordsize="2880,0" path="m1440,168r2880,e" filled="f" strokeweight=".48pt">
            <v:path arrowok="t"/>
            <w10:wrap type="topAndBottom" anchorx="page"/>
          </v:shape>
        </w:pict>
      </w:r>
    </w:p>
    <w:p w14:paraId="6A575598" w14:textId="77777777" w:rsidR="00C75312" w:rsidRDefault="00BB293A">
      <w:pPr>
        <w:spacing w:before="62" w:line="480" w:lineRule="auto"/>
        <w:ind w:left="140" w:right="1426"/>
        <w:jc w:val="both"/>
        <w:rPr>
          <w:sz w:val="20"/>
        </w:rPr>
      </w:pPr>
      <w:r>
        <w:rPr>
          <w:position w:val="7"/>
          <w:sz w:val="13"/>
        </w:rPr>
        <w:t xml:space="preserve">4 </w:t>
      </w:r>
      <w:r>
        <w:rPr>
          <w:sz w:val="20"/>
        </w:rPr>
        <w:t xml:space="preserve">Fifty participants were originally recruited to take part in this study (ASD: </w:t>
      </w:r>
      <w:r>
        <w:rPr>
          <w:i/>
          <w:sz w:val="20"/>
        </w:rPr>
        <w:t xml:space="preserve">n </w:t>
      </w:r>
      <w:r>
        <w:rPr>
          <w:sz w:val="20"/>
        </w:rPr>
        <w:t xml:space="preserve">= 30, NT: </w:t>
      </w:r>
      <w:r>
        <w:rPr>
          <w:i/>
          <w:sz w:val="20"/>
        </w:rPr>
        <w:t xml:space="preserve">n </w:t>
      </w:r>
      <w:r>
        <w:rPr>
          <w:sz w:val="20"/>
        </w:rPr>
        <w:t>= 20). However, data from 10 participants with ASD had to be excluded either because their IQ was below the cut-off of 70 (</w:t>
      </w:r>
      <w:r>
        <w:rPr>
          <w:i/>
          <w:sz w:val="20"/>
        </w:rPr>
        <w:t xml:space="preserve">n </w:t>
      </w:r>
      <w:r>
        <w:rPr>
          <w:sz w:val="20"/>
        </w:rPr>
        <w:t xml:space="preserve">= 3), because of not passing the </w:t>
      </w:r>
      <w:proofErr w:type="spellStart"/>
      <w:r>
        <w:rPr>
          <w:sz w:val="20"/>
        </w:rPr>
        <w:t>colour</w:t>
      </w:r>
      <w:proofErr w:type="spellEnd"/>
      <w:r>
        <w:rPr>
          <w:sz w:val="20"/>
        </w:rPr>
        <w:t>-blindness test (</w:t>
      </w:r>
      <w:r>
        <w:rPr>
          <w:i/>
          <w:sz w:val="20"/>
        </w:rPr>
        <w:t xml:space="preserve">n </w:t>
      </w:r>
      <w:r>
        <w:rPr>
          <w:sz w:val="20"/>
        </w:rPr>
        <w:t>= 1), they could not remember either of the cues in the focal condition (</w:t>
      </w:r>
      <w:r>
        <w:rPr>
          <w:i/>
          <w:sz w:val="20"/>
        </w:rPr>
        <w:t xml:space="preserve">n </w:t>
      </w:r>
      <w:r>
        <w:rPr>
          <w:sz w:val="20"/>
        </w:rPr>
        <w:t xml:space="preserve">= 2), they could not recall one of the two cues in the </w:t>
      </w:r>
      <w:proofErr w:type="spellStart"/>
      <w:r>
        <w:rPr>
          <w:sz w:val="20"/>
        </w:rPr>
        <w:t>nonfocal</w:t>
      </w:r>
      <w:proofErr w:type="spellEnd"/>
      <w:r>
        <w:rPr>
          <w:sz w:val="20"/>
        </w:rPr>
        <w:t xml:space="preserve"> condition (</w:t>
      </w:r>
      <w:r>
        <w:rPr>
          <w:i/>
          <w:sz w:val="20"/>
        </w:rPr>
        <w:t xml:space="preserve">n </w:t>
      </w:r>
      <w:r>
        <w:rPr>
          <w:sz w:val="20"/>
        </w:rPr>
        <w:t>= 3), or to improve the matching with the NT group (</w:t>
      </w:r>
      <w:r>
        <w:rPr>
          <w:i/>
          <w:sz w:val="20"/>
        </w:rPr>
        <w:t xml:space="preserve">n </w:t>
      </w:r>
      <w:r>
        <w:rPr>
          <w:sz w:val="20"/>
        </w:rPr>
        <w:t>= 1).</w:t>
      </w:r>
    </w:p>
    <w:p w14:paraId="337B9F95" w14:textId="77777777" w:rsidR="00C75312" w:rsidRDefault="00C75312">
      <w:pPr>
        <w:spacing w:line="480" w:lineRule="auto"/>
        <w:jc w:val="both"/>
        <w:rPr>
          <w:sz w:val="20"/>
        </w:rPr>
        <w:sectPr w:rsidR="00C75312">
          <w:pgSz w:w="11900" w:h="16840"/>
          <w:pgMar w:top="1140" w:right="0" w:bottom="280" w:left="1300" w:header="715" w:footer="0" w:gutter="0"/>
          <w:cols w:space="720"/>
        </w:sectPr>
      </w:pPr>
    </w:p>
    <w:p w14:paraId="28A5D82B" w14:textId="77777777" w:rsidR="00C75312" w:rsidRDefault="00C75312">
      <w:pPr>
        <w:pStyle w:val="BodyText"/>
        <w:spacing w:before="5"/>
        <w:rPr>
          <w:sz w:val="17"/>
        </w:rPr>
      </w:pPr>
    </w:p>
    <w:p w14:paraId="7D62B692" w14:textId="77777777" w:rsidR="00C75312" w:rsidRDefault="00BB293A">
      <w:pPr>
        <w:pStyle w:val="BodyText"/>
        <w:spacing w:before="93" w:line="480" w:lineRule="auto"/>
        <w:ind w:left="140" w:right="1428"/>
        <w:jc w:val="both"/>
      </w:pPr>
      <w:r>
        <w:t>experimental results are reported after removing these participants</w:t>
      </w:r>
      <w:r>
        <w:rPr>
          <w:position w:val="8"/>
          <w:sz w:val="16"/>
        </w:rPr>
        <w:t>5</w:t>
      </w:r>
      <w:r>
        <w:t>. The results were almost identical with and without these NT participants included. The study was approved by the local ethics committee of the School of Psychology at the University of Kent and written informed consent was obtained from the participants’ parents prior to the study.</w:t>
      </w:r>
    </w:p>
    <w:p w14:paraId="4F02EDC8" w14:textId="77777777" w:rsidR="00C75312" w:rsidRDefault="00C75312">
      <w:pPr>
        <w:pStyle w:val="BodyText"/>
        <w:spacing w:before="1"/>
      </w:pPr>
    </w:p>
    <w:p w14:paraId="3E68FD7A" w14:textId="77777777" w:rsidR="00C75312" w:rsidRDefault="00BB293A">
      <w:pPr>
        <w:spacing w:before="1"/>
        <w:ind w:left="140"/>
        <w:rPr>
          <w:i/>
          <w:sz w:val="20"/>
        </w:rPr>
      </w:pPr>
      <w:r>
        <w:rPr>
          <w:i/>
          <w:sz w:val="20"/>
        </w:rPr>
        <w:t>Table 5. Sample characteristics</w:t>
      </w:r>
    </w:p>
    <w:p w14:paraId="5CD119C5" w14:textId="77777777" w:rsidR="00C75312" w:rsidRDefault="00BB293A">
      <w:pPr>
        <w:pStyle w:val="BodyText"/>
        <w:spacing w:before="2"/>
        <w:rPr>
          <w:i/>
          <w:sz w:val="21"/>
        </w:rPr>
      </w:pPr>
      <w:r>
        <w:pict w14:anchorId="50F601D6">
          <v:group id="_x0000_s2769" style="position:absolute;margin-left:1in;margin-top:14.15pt;width:451.2pt;height:.5pt;z-index:-251626496;mso-wrap-distance-left:0;mso-wrap-distance-right:0;mso-position-horizontal-relative:page" coordorigin="1440,283" coordsize="9024,10">
            <v:line id="_x0000_s2778" style="position:absolute" from="1440,288" to="3163,288" strokeweight=".48pt"/>
            <v:rect id="_x0000_s2777" style="position:absolute;left:3163;top:283;width:10;height:10" fillcolor="black" stroked="f"/>
            <v:line id="_x0000_s2776" style="position:absolute" from="3173,288" to="7075,288" strokeweight=".48pt"/>
            <v:rect id="_x0000_s2775" style="position:absolute;left:7075;top:283;width:10;height:10" fillcolor="black" stroked="f"/>
            <v:line id="_x0000_s2774" style="position:absolute" from="7085,288" to="8006,288" strokeweight=".48pt"/>
            <v:rect id="_x0000_s2773" style="position:absolute;left:8006;top:283;width:10;height:10" fillcolor="black" stroked="f"/>
            <v:line id="_x0000_s2772" style="position:absolute" from="8016,288" to="9024,288" strokeweight=".48pt"/>
            <v:rect id="_x0000_s2771" style="position:absolute;left:9024;top:283;width:10;height:10" fillcolor="black" stroked="f"/>
            <v:line id="_x0000_s2770" style="position:absolute" from="9034,288" to="10464,288" strokeweight=".48pt"/>
            <w10:wrap type="topAndBottom" anchorx="page"/>
          </v:group>
        </w:pict>
      </w:r>
    </w:p>
    <w:p w14:paraId="5CD67C59" w14:textId="77777777" w:rsidR="00C75312" w:rsidRDefault="00BB293A">
      <w:pPr>
        <w:spacing w:before="14"/>
        <w:ind w:left="3015"/>
        <w:rPr>
          <w:b/>
          <w:sz w:val="20"/>
        </w:rPr>
      </w:pPr>
      <w:r>
        <w:rPr>
          <w:b/>
          <w:sz w:val="20"/>
        </w:rPr>
        <w:t>Group means (SD)</w:t>
      </w:r>
    </w:p>
    <w:p w14:paraId="2B6D3DBF" w14:textId="77777777" w:rsidR="00C75312" w:rsidRDefault="00C75312">
      <w:pPr>
        <w:pStyle w:val="BodyText"/>
        <w:spacing w:before="4"/>
        <w:rPr>
          <w:b/>
          <w:sz w:val="13"/>
        </w:rPr>
      </w:pPr>
    </w:p>
    <w:tbl>
      <w:tblPr>
        <w:tblW w:w="0" w:type="auto"/>
        <w:tblInd w:w="140" w:type="dxa"/>
        <w:tblLayout w:type="fixed"/>
        <w:tblCellMar>
          <w:left w:w="0" w:type="dxa"/>
          <w:right w:w="0" w:type="dxa"/>
        </w:tblCellMar>
        <w:tblLook w:val="01E0" w:firstRow="1" w:lastRow="1" w:firstColumn="1" w:lastColumn="1" w:noHBand="0" w:noVBand="0"/>
      </w:tblPr>
      <w:tblGrid>
        <w:gridCol w:w="1730"/>
        <w:gridCol w:w="1956"/>
        <w:gridCol w:w="1956"/>
        <w:gridCol w:w="938"/>
        <w:gridCol w:w="1032"/>
        <w:gridCol w:w="1418"/>
      </w:tblGrid>
      <w:tr w:rsidR="00C75312" w14:paraId="69C0E066" w14:textId="77777777">
        <w:trPr>
          <w:trHeight w:val="426"/>
        </w:trPr>
        <w:tc>
          <w:tcPr>
            <w:tcW w:w="1730" w:type="dxa"/>
            <w:tcBorders>
              <w:bottom w:val="single" w:sz="4" w:space="0" w:color="000000"/>
            </w:tcBorders>
          </w:tcPr>
          <w:p w14:paraId="18E692F1" w14:textId="77777777" w:rsidR="00C75312" w:rsidRDefault="00C75312">
            <w:pPr>
              <w:pStyle w:val="TableParagraph"/>
              <w:rPr>
                <w:sz w:val="20"/>
              </w:rPr>
            </w:pPr>
          </w:p>
        </w:tc>
        <w:tc>
          <w:tcPr>
            <w:tcW w:w="1956" w:type="dxa"/>
            <w:tcBorders>
              <w:top w:val="single" w:sz="4" w:space="0" w:color="000000"/>
              <w:bottom w:val="single" w:sz="4" w:space="0" w:color="000000"/>
            </w:tcBorders>
          </w:tcPr>
          <w:p w14:paraId="609FF71F" w14:textId="77777777" w:rsidR="00C75312" w:rsidRDefault="00BB293A">
            <w:pPr>
              <w:pStyle w:val="TableParagraph"/>
              <w:spacing w:before="43"/>
              <w:ind w:left="365" w:right="362"/>
              <w:jc w:val="center"/>
              <w:rPr>
                <w:b/>
                <w:sz w:val="20"/>
              </w:rPr>
            </w:pPr>
            <w:r>
              <w:rPr>
                <w:b/>
                <w:sz w:val="20"/>
              </w:rPr>
              <w:t>ASD (</w:t>
            </w:r>
            <w:r>
              <w:rPr>
                <w:b/>
                <w:i/>
                <w:sz w:val="20"/>
              </w:rPr>
              <w:t xml:space="preserve">n </w:t>
            </w:r>
            <w:r>
              <w:rPr>
                <w:b/>
                <w:sz w:val="20"/>
              </w:rPr>
              <w:t>= 20)</w:t>
            </w:r>
          </w:p>
        </w:tc>
        <w:tc>
          <w:tcPr>
            <w:tcW w:w="1956" w:type="dxa"/>
            <w:tcBorders>
              <w:top w:val="single" w:sz="4" w:space="0" w:color="000000"/>
              <w:bottom w:val="single" w:sz="4" w:space="0" w:color="000000"/>
            </w:tcBorders>
          </w:tcPr>
          <w:p w14:paraId="73D85CB7" w14:textId="77777777" w:rsidR="00C75312" w:rsidRDefault="00BB293A">
            <w:pPr>
              <w:pStyle w:val="TableParagraph"/>
              <w:spacing w:before="43"/>
              <w:ind w:left="365" w:right="358"/>
              <w:jc w:val="center"/>
              <w:rPr>
                <w:b/>
                <w:sz w:val="20"/>
              </w:rPr>
            </w:pPr>
            <w:r>
              <w:rPr>
                <w:b/>
                <w:sz w:val="20"/>
              </w:rPr>
              <w:t>NT (</w:t>
            </w:r>
            <w:r>
              <w:rPr>
                <w:b/>
                <w:i/>
                <w:sz w:val="20"/>
              </w:rPr>
              <w:t xml:space="preserve">n </w:t>
            </w:r>
            <w:r>
              <w:rPr>
                <w:b/>
                <w:sz w:val="20"/>
              </w:rPr>
              <w:t>= 20)</w:t>
            </w:r>
          </w:p>
        </w:tc>
        <w:tc>
          <w:tcPr>
            <w:tcW w:w="938" w:type="dxa"/>
            <w:tcBorders>
              <w:bottom w:val="single" w:sz="4" w:space="0" w:color="000000"/>
            </w:tcBorders>
          </w:tcPr>
          <w:p w14:paraId="4E69CD5E" w14:textId="77777777" w:rsidR="00C75312" w:rsidRDefault="00BB293A">
            <w:pPr>
              <w:pStyle w:val="TableParagraph"/>
              <w:spacing w:before="43"/>
              <w:ind w:right="5"/>
              <w:jc w:val="center"/>
              <w:rPr>
                <w:b/>
                <w:i/>
                <w:sz w:val="20"/>
              </w:rPr>
            </w:pPr>
            <w:r>
              <w:rPr>
                <w:b/>
                <w:i/>
                <w:sz w:val="20"/>
              </w:rPr>
              <w:t>t</w:t>
            </w:r>
          </w:p>
        </w:tc>
        <w:tc>
          <w:tcPr>
            <w:tcW w:w="1032" w:type="dxa"/>
            <w:tcBorders>
              <w:bottom w:val="single" w:sz="4" w:space="0" w:color="000000"/>
            </w:tcBorders>
          </w:tcPr>
          <w:p w14:paraId="4BF876C6" w14:textId="77777777" w:rsidR="00C75312" w:rsidRDefault="00BB293A">
            <w:pPr>
              <w:pStyle w:val="TableParagraph"/>
              <w:spacing w:before="43"/>
              <w:ind w:right="31"/>
              <w:jc w:val="center"/>
              <w:rPr>
                <w:b/>
                <w:i/>
                <w:sz w:val="20"/>
              </w:rPr>
            </w:pPr>
            <w:r>
              <w:rPr>
                <w:b/>
                <w:i/>
                <w:sz w:val="20"/>
              </w:rPr>
              <w:t>p</w:t>
            </w:r>
          </w:p>
        </w:tc>
        <w:tc>
          <w:tcPr>
            <w:tcW w:w="1418" w:type="dxa"/>
            <w:tcBorders>
              <w:bottom w:val="single" w:sz="4" w:space="0" w:color="000000"/>
            </w:tcBorders>
          </w:tcPr>
          <w:p w14:paraId="15F16BCA" w14:textId="77777777" w:rsidR="00C75312" w:rsidRDefault="00BB293A">
            <w:pPr>
              <w:pStyle w:val="TableParagraph"/>
              <w:spacing w:before="43"/>
              <w:ind w:left="255" w:right="272"/>
              <w:jc w:val="center"/>
              <w:rPr>
                <w:b/>
                <w:i/>
                <w:sz w:val="20"/>
              </w:rPr>
            </w:pPr>
            <w:r>
              <w:rPr>
                <w:b/>
                <w:sz w:val="20"/>
              </w:rPr>
              <w:t xml:space="preserve">Cohen’s </w:t>
            </w:r>
            <w:r>
              <w:rPr>
                <w:b/>
                <w:i/>
                <w:sz w:val="20"/>
              </w:rPr>
              <w:t>d</w:t>
            </w:r>
          </w:p>
        </w:tc>
      </w:tr>
      <w:tr w:rsidR="00C75312" w14:paraId="2059C7B0" w14:textId="77777777">
        <w:trPr>
          <w:trHeight w:val="373"/>
        </w:trPr>
        <w:tc>
          <w:tcPr>
            <w:tcW w:w="1730" w:type="dxa"/>
            <w:tcBorders>
              <w:top w:val="single" w:sz="4" w:space="0" w:color="000000"/>
            </w:tcBorders>
          </w:tcPr>
          <w:p w14:paraId="276D95DA" w14:textId="77777777" w:rsidR="00C75312" w:rsidRDefault="00BB293A">
            <w:pPr>
              <w:pStyle w:val="TableParagraph"/>
              <w:spacing w:before="43"/>
              <w:ind w:left="112"/>
              <w:rPr>
                <w:sz w:val="20"/>
              </w:rPr>
            </w:pPr>
            <w:r>
              <w:rPr>
                <w:sz w:val="20"/>
              </w:rPr>
              <w:t>Age</w:t>
            </w:r>
          </w:p>
        </w:tc>
        <w:tc>
          <w:tcPr>
            <w:tcW w:w="1956" w:type="dxa"/>
            <w:tcBorders>
              <w:top w:val="single" w:sz="4" w:space="0" w:color="000000"/>
            </w:tcBorders>
          </w:tcPr>
          <w:p w14:paraId="321A9C25" w14:textId="77777777" w:rsidR="00C75312" w:rsidRDefault="00BB293A">
            <w:pPr>
              <w:pStyle w:val="TableParagraph"/>
              <w:spacing w:before="43"/>
              <w:ind w:left="365" w:right="362"/>
              <w:jc w:val="center"/>
              <w:rPr>
                <w:sz w:val="20"/>
              </w:rPr>
            </w:pPr>
            <w:r>
              <w:rPr>
                <w:sz w:val="20"/>
              </w:rPr>
              <w:t>11.65 (1.78)</w:t>
            </w:r>
          </w:p>
        </w:tc>
        <w:tc>
          <w:tcPr>
            <w:tcW w:w="1956" w:type="dxa"/>
            <w:tcBorders>
              <w:top w:val="single" w:sz="4" w:space="0" w:color="000000"/>
            </w:tcBorders>
          </w:tcPr>
          <w:p w14:paraId="41E50A03" w14:textId="77777777" w:rsidR="00C75312" w:rsidRDefault="00BB293A">
            <w:pPr>
              <w:pStyle w:val="TableParagraph"/>
              <w:spacing w:before="43"/>
              <w:ind w:left="365" w:right="358"/>
              <w:jc w:val="center"/>
              <w:rPr>
                <w:sz w:val="20"/>
              </w:rPr>
            </w:pPr>
            <w:r>
              <w:rPr>
                <w:sz w:val="20"/>
              </w:rPr>
              <w:t>11.50 (1.61)</w:t>
            </w:r>
          </w:p>
        </w:tc>
        <w:tc>
          <w:tcPr>
            <w:tcW w:w="938" w:type="dxa"/>
            <w:tcBorders>
              <w:top w:val="single" w:sz="4" w:space="0" w:color="000000"/>
            </w:tcBorders>
          </w:tcPr>
          <w:p w14:paraId="0ABDF560" w14:textId="77777777" w:rsidR="00C75312" w:rsidRDefault="00BB293A">
            <w:pPr>
              <w:pStyle w:val="TableParagraph"/>
              <w:spacing w:before="43"/>
              <w:ind w:left="223" w:right="220"/>
              <w:jc w:val="center"/>
              <w:rPr>
                <w:sz w:val="20"/>
              </w:rPr>
            </w:pPr>
            <w:r>
              <w:rPr>
                <w:sz w:val="20"/>
              </w:rPr>
              <w:t>0.28</w:t>
            </w:r>
          </w:p>
        </w:tc>
        <w:tc>
          <w:tcPr>
            <w:tcW w:w="1032" w:type="dxa"/>
            <w:tcBorders>
              <w:top w:val="single" w:sz="4" w:space="0" w:color="000000"/>
            </w:tcBorders>
          </w:tcPr>
          <w:p w14:paraId="347B2703" w14:textId="77777777" w:rsidR="00C75312" w:rsidRDefault="00BB293A">
            <w:pPr>
              <w:pStyle w:val="TableParagraph"/>
              <w:spacing w:before="43"/>
              <w:ind w:left="222" w:right="252"/>
              <w:jc w:val="center"/>
              <w:rPr>
                <w:sz w:val="20"/>
              </w:rPr>
            </w:pPr>
            <w:r>
              <w:rPr>
                <w:sz w:val="20"/>
              </w:rPr>
              <w:t>.78</w:t>
            </w:r>
          </w:p>
        </w:tc>
        <w:tc>
          <w:tcPr>
            <w:tcW w:w="1418" w:type="dxa"/>
            <w:tcBorders>
              <w:top w:val="single" w:sz="4" w:space="0" w:color="000000"/>
            </w:tcBorders>
          </w:tcPr>
          <w:p w14:paraId="73946E56" w14:textId="77777777" w:rsidR="00C75312" w:rsidRDefault="00BB293A">
            <w:pPr>
              <w:pStyle w:val="TableParagraph"/>
              <w:spacing w:before="43"/>
              <w:ind w:left="255" w:right="272"/>
              <w:jc w:val="center"/>
              <w:rPr>
                <w:sz w:val="20"/>
              </w:rPr>
            </w:pPr>
            <w:r>
              <w:rPr>
                <w:sz w:val="20"/>
              </w:rPr>
              <w:t>0.09</w:t>
            </w:r>
          </w:p>
        </w:tc>
      </w:tr>
      <w:tr w:rsidR="00C75312" w14:paraId="325BEB7F" w14:textId="77777777">
        <w:trPr>
          <w:trHeight w:val="424"/>
        </w:trPr>
        <w:tc>
          <w:tcPr>
            <w:tcW w:w="1730" w:type="dxa"/>
          </w:tcPr>
          <w:p w14:paraId="2F4E7AE3" w14:textId="77777777" w:rsidR="00C75312" w:rsidRDefault="00BB293A">
            <w:pPr>
              <w:pStyle w:val="TableParagraph"/>
              <w:spacing w:before="92"/>
              <w:ind w:left="112"/>
              <w:rPr>
                <w:sz w:val="20"/>
              </w:rPr>
            </w:pPr>
            <w:r>
              <w:rPr>
                <w:sz w:val="20"/>
              </w:rPr>
              <w:t>VIQ</w:t>
            </w:r>
          </w:p>
        </w:tc>
        <w:tc>
          <w:tcPr>
            <w:tcW w:w="1956" w:type="dxa"/>
          </w:tcPr>
          <w:p w14:paraId="70CD2908" w14:textId="77777777" w:rsidR="00C75312" w:rsidRDefault="00BB293A">
            <w:pPr>
              <w:pStyle w:val="TableParagraph"/>
              <w:spacing w:before="92"/>
              <w:ind w:left="363" w:right="364"/>
              <w:jc w:val="center"/>
              <w:rPr>
                <w:sz w:val="20"/>
              </w:rPr>
            </w:pPr>
            <w:r>
              <w:rPr>
                <w:sz w:val="20"/>
              </w:rPr>
              <w:t>102.20 (10.29)</w:t>
            </w:r>
          </w:p>
        </w:tc>
        <w:tc>
          <w:tcPr>
            <w:tcW w:w="1956" w:type="dxa"/>
          </w:tcPr>
          <w:p w14:paraId="09AC1E8E" w14:textId="77777777" w:rsidR="00C75312" w:rsidRDefault="00BB293A">
            <w:pPr>
              <w:pStyle w:val="TableParagraph"/>
              <w:spacing w:before="92"/>
              <w:ind w:left="365" w:right="362"/>
              <w:jc w:val="center"/>
              <w:rPr>
                <w:sz w:val="20"/>
              </w:rPr>
            </w:pPr>
            <w:r>
              <w:rPr>
                <w:sz w:val="20"/>
              </w:rPr>
              <w:t>102.95 (12.76)</w:t>
            </w:r>
          </w:p>
        </w:tc>
        <w:tc>
          <w:tcPr>
            <w:tcW w:w="938" w:type="dxa"/>
          </w:tcPr>
          <w:p w14:paraId="2B1CF0CC" w14:textId="77777777" w:rsidR="00C75312" w:rsidRDefault="00BB293A">
            <w:pPr>
              <w:pStyle w:val="TableParagraph"/>
              <w:spacing w:before="92"/>
              <w:ind w:left="223" w:right="220"/>
              <w:jc w:val="center"/>
              <w:rPr>
                <w:sz w:val="20"/>
              </w:rPr>
            </w:pPr>
            <w:r>
              <w:rPr>
                <w:sz w:val="20"/>
              </w:rPr>
              <w:t>0.21</w:t>
            </w:r>
          </w:p>
        </w:tc>
        <w:tc>
          <w:tcPr>
            <w:tcW w:w="1032" w:type="dxa"/>
          </w:tcPr>
          <w:p w14:paraId="104E9954" w14:textId="77777777" w:rsidR="00C75312" w:rsidRDefault="00BB293A">
            <w:pPr>
              <w:pStyle w:val="TableParagraph"/>
              <w:spacing w:before="92"/>
              <w:ind w:left="222" w:right="252"/>
              <w:jc w:val="center"/>
              <w:rPr>
                <w:sz w:val="20"/>
              </w:rPr>
            </w:pPr>
            <w:r>
              <w:rPr>
                <w:sz w:val="20"/>
              </w:rPr>
              <w:t>.84</w:t>
            </w:r>
          </w:p>
        </w:tc>
        <w:tc>
          <w:tcPr>
            <w:tcW w:w="1418" w:type="dxa"/>
          </w:tcPr>
          <w:p w14:paraId="325CEF7A" w14:textId="77777777" w:rsidR="00C75312" w:rsidRDefault="00BB293A">
            <w:pPr>
              <w:pStyle w:val="TableParagraph"/>
              <w:spacing w:before="92"/>
              <w:ind w:left="255" w:right="272"/>
              <w:jc w:val="center"/>
              <w:rPr>
                <w:sz w:val="20"/>
              </w:rPr>
            </w:pPr>
            <w:r>
              <w:rPr>
                <w:sz w:val="20"/>
              </w:rPr>
              <w:t>0.06</w:t>
            </w:r>
          </w:p>
        </w:tc>
      </w:tr>
      <w:tr w:rsidR="00C75312" w14:paraId="0B4C8158" w14:textId="77777777">
        <w:trPr>
          <w:trHeight w:val="424"/>
        </w:trPr>
        <w:tc>
          <w:tcPr>
            <w:tcW w:w="1730" w:type="dxa"/>
          </w:tcPr>
          <w:p w14:paraId="0B662841" w14:textId="77777777" w:rsidR="00C75312" w:rsidRDefault="00BB293A">
            <w:pPr>
              <w:pStyle w:val="TableParagraph"/>
              <w:spacing w:before="95"/>
              <w:ind w:left="112"/>
              <w:rPr>
                <w:sz w:val="20"/>
              </w:rPr>
            </w:pPr>
            <w:r>
              <w:rPr>
                <w:sz w:val="20"/>
              </w:rPr>
              <w:t>PIQ</w:t>
            </w:r>
          </w:p>
        </w:tc>
        <w:tc>
          <w:tcPr>
            <w:tcW w:w="1956" w:type="dxa"/>
          </w:tcPr>
          <w:p w14:paraId="6922F32B" w14:textId="77777777" w:rsidR="00C75312" w:rsidRDefault="00BB293A">
            <w:pPr>
              <w:pStyle w:val="TableParagraph"/>
              <w:spacing w:before="95"/>
              <w:ind w:left="363" w:right="364"/>
              <w:jc w:val="center"/>
              <w:rPr>
                <w:sz w:val="20"/>
              </w:rPr>
            </w:pPr>
            <w:r>
              <w:rPr>
                <w:sz w:val="20"/>
              </w:rPr>
              <w:t>100.35 (17.58)</w:t>
            </w:r>
          </w:p>
        </w:tc>
        <w:tc>
          <w:tcPr>
            <w:tcW w:w="1956" w:type="dxa"/>
          </w:tcPr>
          <w:p w14:paraId="7CD7A33E" w14:textId="77777777" w:rsidR="00C75312" w:rsidRDefault="00BB293A">
            <w:pPr>
              <w:pStyle w:val="TableParagraph"/>
              <w:spacing w:before="95"/>
              <w:ind w:left="365" w:right="362"/>
              <w:jc w:val="center"/>
              <w:rPr>
                <w:sz w:val="20"/>
              </w:rPr>
            </w:pPr>
            <w:r>
              <w:rPr>
                <w:sz w:val="20"/>
              </w:rPr>
              <w:t>108.80 (12.34)</w:t>
            </w:r>
          </w:p>
        </w:tc>
        <w:tc>
          <w:tcPr>
            <w:tcW w:w="938" w:type="dxa"/>
          </w:tcPr>
          <w:p w14:paraId="779E6D91" w14:textId="77777777" w:rsidR="00C75312" w:rsidRDefault="00BB293A">
            <w:pPr>
              <w:pStyle w:val="TableParagraph"/>
              <w:spacing w:before="95"/>
              <w:ind w:left="223" w:right="220"/>
              <w:jc w:val="center"/>
              <w:rPr>
                <w:sz w:val="20"/>
              </w:rPr>
            </w:pPr>
            <w:r>
              <w:rPr>
                <w:sz w:val="20"/>
              </w:rPr>
              <w:t>1.76</w:t>
            </w:r>
          </w:p>
        </w:tc>
        <w:tc>
          <w:tcPr>
            <w:tcW w:w="1032" w:type="dxa"/>
          </w:tcPr>
          <w:p w14:paraId="13DE512F" w14:textId="77777777" w:rsidR="00C75312" w:rsidRDefault="00BB293A">
            <w:pPr>
              <w:pStyle w:val="TableParagraph"/>
              <w:spacing w:before="95"/>
              <w:ind w:left="222" w:right="252"/>
              <w:jc w:val="center"/>
              <w:rPr>
                <w:sz w:val="20"/>
              </w:rPr>
            </w:pPr>
            <w:r>
              <w:rPr>
                <w:sz w:val="20"/>
              </w:rPr>
              <w:t>.09</w:t>
            </w:r>
          </w:p>
        </w:tc>
        <w:tc>
          <w:tcPr>
            <w:tcW w:w="1418" w:type="dxa"/>
          </w:tcPr>
          <w:p w14:paraId="52DD3524" w14:textId="77777777" w:rsidR="00C75312" w:rsidRDefault="00BB293A">
            <w:pPr>
              <w:pStyle w:val="TableParagraph"/>
              <w:spacing w:before="95"/>
              <w:ind w:left="255" w:right="272"/>
              <w:jc w:val="center"/>
              <w:rPr>
                <w:sz w:val="20"/>
              </w:rPr>
            </w:pPr>
            <w:r>
              <w:rPr>
                <w:sz w:val="20"/>
              </w:rPr>
              <w:t>0.57</w:t>
            </w:r>
          </w:p>
        </w:tc>
      </w:tr>
      <w:tr w:rsidR="00C75312" w14:paraId="0D5A063A" w14:textId="77777777">
        <w:trPr>
          <w:trHeight w:val="424"/>
        </w:trPr>
        <w:tc>
          <w:tcPr>
            <w:tcW w:w="1730" w:type="dxa"/>
          </w:tcPr>
          <w:p w14:paraId="110AC997" w14:textId="77777777" w:rsidR="00C75312" w:rsidRDefault="00BB293A">
            <w:pPr>
              <w:pStyle w:val="TableParagraph"/>
              <w:spacing w:before="92"/>
              <w:ind w:left="112"/>
              <w:rPr>
                <w:sz w:val="20"/>
              </w:rPr>
            </w:pPr>
            <w:r>
              <w:rPr>
                <w:sz w:val="20"/>
              </w:rPr>
              <w:t>FSIQ</w:t>
            </w:r>
          </w:p>
        </w:tc>
        <w:tc>
          <w:tcPr>
            <w:tcW w:w="1956" w:type="dxa"/>
          </w:tcPr>
          <w:p w14:paraId="65E4574E" w14:textId="77777777" w:rsidR="00C75312" w:rsidRDefault="00BB293A">
            <w:pPr>
              <w:pStyle w:val="TableParagraph"/>
              <w:spacing w:before="92"/>
              <w:ind w:left="363" w:right="364"/>
              <w:jc w:val="center"/>
              <w:rPr>
                <w:sz w:val="20"/>
              </w:rPr>
            </w:pPr>
            <w:r>
              <w:rPr>
                <w:sz w:val="20"/>
              </w:rPr>
              <w:t>101.20 (14.05)</w:t>
            </w:r>
          </w:p>
        </w:tc>
        <w:tc>
          <w:tcPr>
            <w:tcW w:w="1956" w:type="dxa"/>
          </w:tcPr>
          <w:p w14:paraId="03F6470C" w14:textId="77777777" w:rsidR="00C75312" w:rsidRDefault="00BB293A">
            <w:pPr>
              <w:pStyle w:val="TableParagraph"/>
              <w:spacing w:before="92"/>
              <w:ind w:left="365" w:right="362"/>
              <w:jc w:val="center"/>
              <w:rPr>
                <w:sz w:val="20"/>
              </w:rPr>
            </w:pPr>
            <w:r>
              <w:rPr>
                <w:sz w:val="20"/>
              </w:rPr>
              <w:t>106.60 (12.22)</w:t>
            </w:r>
          </w:p>
        </w:tc>
        <w:tc>
          <w:tcPr>
            <w:tcW w:w="938" w:type="dxa"/>
          </w:tcPr>
          <w:p w14:paraId="1A104691" w14:textId="77777777" w:rsidR="00C75312" w:rsidRDefault="00BB293A">
            <w:pPr>
              <w:pStyle w:val="TableParagraph"/>
              <w:spacing w:before="92"/>
              <w:ind w:left="223" w:right="220"/>
              <w:jc w:val="center"/>
              <w:rPr>
                <w:sz w:val="20"/>
              </w:rPr>
            </w:pPr>
            <w:r>
              <w:rPr>
                <w:sz w:val="20"/>
              </w:rPr>
              <w:t>1.30</w:t>
            </w:r>
          </w:p>
        </w:tc>
        <w:tc>
          <w:tcPr>
            <w:tcW w:w="1032" w:type="dxa"/>
          </w:tcPr>
          <w:p w14:paraId="7D6FECC8" w14:textId="77777777" w:rsidR="00C75312" w:rsidRDefault="00BB293A">
            <w:pPr>
              <w:pStyle w:val="TableParagraph"/>
              <w:spacing w:before="92"/>
              <w:ind w:left="222" w:right="252"/>
              <w:jc w:val="center"/>
              <w:rPr>
                <w:sz w:val="20"/>
              </w:rPr>
            </w:pPr>
            <w:r>
              <w:rPr>
                <w:sz w:val="20"/>
              </w:rPr>
              <w:t>.20</w:t>
            </w:r>
          </w:p>
        </w:tc>
        <w:tc>
          <w:tcPr>
            <w:tcW w:w="1418" w:type="dxa"/>
          </w:tcPr>
          <w:p w14:paraId="49DBB921" w14:textId="77777777" w:rsidR="00C75312" w:rsidRDefault="00BB293A">
            <w:pPr>
              <w:pStyle w:val="TableParagraph"/>
              <w:spacing w:before="92"/>
              <w:ind w:left="255" w:right="272"/>
              <w:jc w:val="center"/>
              <w:rPr>
                <w:sz w:val="20"/>
              </w:rPr>
            </w:pPr>
            <w:r>
              <w:rPr>
                <w:sz w:val="20"/>
              </w:rPr>
              <w:t>0.41</w:t>
            </w:r>
          </w:p>
        </w:tc>
      </w:tr>
      <w:tr w:rsidR="00C75312" w14:paraId="21459706" w14:textId="77777777">
        <w:trPr>
          <w:trHeight w:val="478"/>
        </w:trPr>
        <w:tc>
          <w:tcPr>
            <w:tcW w:w="1730" w:type="dxa"/>
            <w:tcBorders>
              <w:bottom w:val="single" w:sz="4" w:space="0" w:color="000000"/>
            </w:tcBorders>
          </w:tcPr>
          <w:p w14:paraId="51AD8D60" w14:textId="77777777" w:rsidR="00C75312" w:rsidRDefault="00BB293A">
            <w:pPr>
              <w:pStyle w:val="TableParagraph"/>
              <w:spacing w:before="95"/>
              <w:ind w:left="112"/>
              <w:rPr>
                <w:sz w:val="20"/>
              </w:rPr>
            </w:pPr>
            <w:r>
              <w:rPr>
                <w:sz w:val="20"/>
              </w:rPr>
              <w:t>SRS T-score</w:t>
            </w:r>
          </w:p>
        </w:tc>
        <w:tc>
          <w:tcPr>
            <w:tcW w:w="1956" w:type="dxa"/>
            <w:tcBorders>
              <w:bottom w:val="single" w:sz="4" w:space="0" w:color="000000"/>
            </w:tcBorders>
          </w:tcPr>
          <w:p w14:paraId="0A157F75" w14:textId="77777777" w:rsidR="00C75312" w:rsidRDefault="00BB293A">
            <w:pPr>
              <w:pStyle w:val="TableParagraph"/>
              <w:spacing w:before="95"/>
              <w:ind w:left="365" w:right="362"/>
              <w:jc w:val="center"/>
              <w:rPr>
                <w:sz w:val="20"/>
              </w:rPr>
            </w:pPr>
            <w:r>
              <w:rPr>
                <w:sz w:val="20"/>
              </w:rPr>
              <w:t>87.25 (4.81)</w:t>
            </w:r>
          </w:p>
        </w:tc>
        <w:tc>
          <w:tcPr>
            <w:tcW w:w="1956" w:type="dxa"/>
            <w:tcBorders>
              <w:bottom w:val="single" w:sz="4" w:space="0" w:color="000000"/>
            </w:tcBorders>
          </w:tcPr>
          <w:p w14:paraId="75C76E56" w14:textId="77777777" w:rsidR="00C75312" w:rsidRDefault="00BB293A">
            <w:pPr>
              <w:pStyle w:val="TableParagraph"/>
              <w:spacing w:before="95"/>
              <w:ind w:left="365" w:right="358"/>
              <w:jc w:val="center"/>
              <w:rPr>
                <w:sz w:val="20"/>
              </w:rPr>
            </w:pPr>
            <w:r>
              <w:rPr>
                <w:sz w:val="20"/>
              </w:rPr>
              <w:t>46.10 (8.98)</w:t>
            </w:r>
          </w:p>
        </w:tc>
        <w:tc>
          <w:tcPr>
            <w:tcW w:w="938" w:type="dxa"/>
            <w:tcBorders>
              <w:bottom w:val="single" w:sz="4" w:space="0" w:color="000000"/>
            </w:tcBorders>
          </w:tcPr>
          <w:p w14:paraId="7EE0DA57" w14:textId="77777777" w:rsidR="00C75312" w:rsidRDefault="00BB293A">
            <w:pPr>
              <w:pStyle w:val="TableParagraph"/>
              <w:spacing w:before="95"/>
              <w:ind w:left="223" w:right="224"/>
              <w:jc w:val="center"/>
              <w:rPr>
                <w:sz w:val="20"/>
              </w:rPr>
            </w:pPr>
            <w:r>
              <w:rPr>
                <w:sz w:val="20"/>
              </w:rPr>
              <w:t>18.07</w:t>
            </w:r>
          </w:p>
        </w:tc>
        <w:tc>
          <w:tcPr>
            <w:tcW w:w="1032" w:type="dxa"/>
            <w:tcBorders>
              <w:bottom w:val="single" w:sz="4" w:space="0" w:color="000000"/>
            </w:tcBorders>
          </w:tcPr>
          <w:p w14:paraId="13253A9D" w14:textId="77777777" w:rsidR="00C75312" w:rsidRDefault="00BB293A">
            <w:pPr>
              <w:pStyle w:val="TableParagraph"/>
              <w:spacing w:before="95"/>
              <w:ind w:left="227" w:right="252"/>
              <w:jc w:val="center"/>
              <w:rPr>
                <w:sz w:val="20"/>
              </w:rPr>
            </w:pPr>
            <w:r>
              <w:rPr>
                <w:sz w:val="20"/>
              </w:rPr>
              <w:t>&lt; .001</w:t>
            </w:r>
          </w:p>
        </w:tc>
        <w:tc>
          <w:tcPr>
            <w:tcW w:w="1418" w:type="dxa"/>
            <w:tcBorders>
              <w:bottom w:val="single" w:sz="4" w:space="0" w:color="000000"/>
            </w:tcBorders>
          </w:tcPr>
          <w:p w14:paraId="16464805" w14:textId="77777777" w:rsidR="00C75312" w:rsidRDefault="00BB293A">
            <w:pPr>
              <w:pStyle w:val="TableParagraph"/>
              <w:spacing w:before="95"/>
              <w:ind w:left="255" w:right="272"/>
              <w:jc w:val="center"/>
              <w:rPr>
                <w:sz w:val="20"/>
              </w:rPr>
            </w:pPr>
            <w:r>
              <w:rPr>
                <w:sz w:val="20"/>
              </w:rPr>
              <w:t>5.71</w:t>
            </w:r>
          </w:p>
        </w:tc>
      </w:tr>
    </w:tbl>
    <w:p w14:paraId="05BF854B" w14:textId="77777777" w:rsidR="00C75312" w:rsidRDefault="00BB293A">
      <w:pPr>
        <w:ind w:left="140" w:right="1538"/>
        <w:rPr>
          <w:sz w:val="20"/>
        </w:rPr>
      </w:pPr>
      <w:r>
        <w:rPr>
          <w:i/>
          <w:sz w:val="20"/>
        </w:rPr>
        <w:t xml:space="preserve">Note. </w:t>
      </w:r>
      <w:r>
        <w:rPr>
          <w:sz w:val="20"/>
        </w:rPr>
        <w:t>ASD = autism spectrum disorder; NT = neurotypical; VIQ = verbal intelligence quotient; PIQ = performance intelligence quotient; FSIQ = Full-scale intelligence quotient; SRS = Social Responsiveness Scale</w:t>
      </w:r>
    </w:p>
    <w:p w14:paraId="1F6945FF" w14:textId="77777777" w:rsidR="00C75312" w:rsidRDefault="00C75312">
      <w:pPr>
        <w:pStyle w:val="BodyText"/>
        <w:spacing w:before="7"/>
        <w:rPr>
          <w:sz w:val="20"/>
        </w:rPr>
      </w:pPr>
    </w:p>
    <w:p w14:paraId="24AF0082" w14:textId="77777777" w:rsidR="00C75312" w:rsidRDefault="00BB293A">
      <w:pPr>
        <w:pStyle w:val="Heading1"/>
      </w:pPr>
      <w:r>
        <w:t>Procedure</w:t>
      </w:r>
    </w:p>
    <w:p w14:paraId="68B34FE5" w14:textId="77777777" w:rsidR="00C75312" w:rsidRDefault="00C75312">
      <w:pPr>
        <w:pStyle w:val="BodyText"/>
        <w:spacing w:before="5"/>
        <w:rPr>
          <w:b/>
          <w:sz w:val="34"/>
        </w:rPr>
      </w:pPr>
    </w:p>
    <w:p w14:paraId="420CE7C5" w14:textId="77777777" w:rsidR="00C75312" w:rsidRDefault="00BB293A">
      <w:pPr>
        <w:pStyle w:val="BodyText"/>
        <w:spacing w:line="480" w:lineRule="auto"/>
        <w:ind w:left="140" w:right="1301" w:firstLine="720"/>
      </w:pPr>
      <w:r>
        <w:t xml:space="preserve">Tasks were presented using </w:t>
      </w:r>
      <w:proofErr w:type="spellStart"/>
      <w:r>
        <w:t>Psychtoolbox</w:t>
      </w:r>
      <w:proofErr w:type="spellEnd"/>
      <w:r>
        <w:t xml:space="preserve"> (version 3.0.11; Brainard, 1997; Kleiner et al., 2007; Pelli, 1997) running in </w:t>
      </w:r>
      <w:proofErr w:type="spellStart"/>
      <w:r>
        <w:t>Matlab</w:t>
      </w:r>
      <w:proofErr w:type="spellEnd"/>
      <w:r>
        <w:t xml:space="preserve"> 2014 (The MathWorks, Inc.).</w:t>
      </w:r>
    </w:p>
    <w:p w14:paraId="042459C5" w14:textId="77777777" w:rsidR="00C75312" w:rsidRDefault="00C75312">
      <w:pPr>
        <w:pStyle w:val="BodyText"/>
        <w:rPr>
          <w:sz w:val="20"/>
        </w:rPr>
      </w:pPr>
    </w:p>
    <w:p w14:paraId="01948EF2" w14:textId="77777777" w:rsidR="00C75312" w:rsidRDefault="00BB293A">
      <w:pPr>
        <w:pStyle w:val="BodyText"/>
        <w:spacing w:before="1"/>
        <w:rPr>
          <w:sz w:val="26"/>
        </w:rPr>
      </w:pPr>
      <w:r>
        <w:pict w14:anchorId="08B14926">
          <v:shape id="_x0000_s2768" style="position:absolute;margin-left:1in;margin-top:17.25pt;width:2in;height:.1pt;z-index:-251625472;mso-wrap-distance-left:0;mso-wrap-distance-right:0;mso-position-horizontal-relative:page" coordorigin="1440,345" coordsize="2880,0" path="m1440,345r2880,e" filled="f" strokeweight=".48pt">
            <v:path arrowok="t"/>
            <w10:wrap type="topAndBottom" anchorx="page"/>
          </v:shape>
        </w:pict>
      </w:r>
    </w:p>
    <w:p w14:paraId="3B3C8C1E" w14:textId="77777777" w:rsidR="00C75312" w:rsidRDefault="00BB293A">
      <w:pPr>
        <w:spacing w:before="62" w:line="480" w:lineRule="auto"/>
        <w:ind w:left="140" w:right="1428"/>
        <w:jc w:val="both"/>
        <w:rPr>
          <w:sz w:val="20"/>
        </w:rPr>
      </w:pPr>
      <w:r>
        <w:rPr>
          <w:position w:val="7"/>
          <w:sz w:val="13"/>
        </w:rPr>
        <w:t>5</w:t>
      </w:r>
      <w:r>
        <w:rPr>
          <w:spacing w:val="13"/>
          <w:position w:val="7"/>
          <w:sz w:val="13"/>
        </w:rPr>
        <w:t xml:space="preserve"> </w:t>
      </w:r>
      <w:r>
        <w:rPr>
          <w:sz w:val="20"/>
        </w:rPr>
        <w:t>As</w:t>
      </w:r>
      <w:r>
        <w:rPr>
          <w:spacing w:val="-9"/>
          <w:sz w:val="20"/>
        </w:rPr>
        <w:t xml:space="preserve"> </w:t>
      </w:r>
      <w:r>
        <w:rPr>
          <w:sz w:val="20"/>
        </w:rPr>
        <w:t>noted</w:t>
      </w:r>
      <w:r>
        <w:rPr>
          <w:spacing w:val="-12"/>
          <w:sz w:val="20"/>
        </w:rPr>
        <w:t xml:space="preserve"> </w:t>
      </w:r>
      <w:r>
        <w:rPr>
          <w:sz w:val="20"/>
        </w:rPr>
        <w:t>on</w:t>
      </w:r>
      <w:r>
        <w:rPr>
          <w:spacing w:val="-12"/>
          <w:sz w:val="20"/>
        </w:rPr>
        <w:t xml:space="preserve"> </w:t>
      </w:r>
      <w:r>
        <w:rPr>
          <w:sz w:val="20"/>
        </w:rPr>
        <w:t>p.</w:t>
      </w:r>
      <w:r>
        <w:rPr>
          <w:spacing w:val="-10"/>
          <w:sz w:val="20"/>
        </w:rPr>
        <w:t xml:space="preserve"> </w:t>
      </w:r>
      <w:r>
        <w:rPr>
          <w:sz w:val="20"/>
        </w:rPr>
        <w:t>52,</w:t>
      </w:r>
      <w:r>
        <w:rPr>
          <w:spacing w:val="-9"/>
          <w:sz w:val="20"/>
        </w:rPr>
        <w:t xml:space="preserve"> </w:t>
      </w:r>
      <w:r>
        <w:rPr>
          <w:sz w:val="20"/>
        </w:rPr>
        <w:t>two</w:t>
      </w:r>
      <w:r>
        <w:rPr>
          <w:spacing w:val="-7"/>
          <w:sz w:val="20"/>
        </w:rPr>
        <w:t xml:space="preserve"> </w:t>
      </w:r>
      <w:r>
        <w:rPr>
          <w:spacing w:val="-4"/>
          <w:sz w:val="20"/>
        </w:rPr>
        <w:t>NT</w:t>
      </w:r>
      <w:r>
        <w:rPr>
          <w:spacing w:val="-10"/>
          <w:sz w:val="20"/>
        </w:rPr>
        <w:t xml:space="preserve"> </w:t>
      </w:r>
      <w:r>
        <w:rPr>
          <w:sz w:val="20"/>
        </w:rPr>
        <w:t>participants</w:t>
      </w:r>
      <w:r>
        <w:rPr>
          <w:spacing w:val="-14"/>
          <w:sz w:val="20"/>
        </w:rPr>
        <w:t xml:space="preserve"> </w:t>
      </w:r>
      <w:r>
        <w:rPr>
          <w:sz w:val="20"/>
        </w:rPr>
        <w:t>scored</w:t>
      </w:r>
      <w:r>
        <w:rPr>
          <w:spacing w:val="-12"/>
          <w:sz w:val="20"/>
        </w:rPr>
        <w:t xml:space="preserve"> </w:t>
      </w:r>
      <w:r>
        <w:rPr>
          <w:sz w:val="20"/>
        </w:rPr>
        <w:t>above</w:t>
      </w:r>
      <w:r>
        <w:rPr>
          <w:spacing w:val="-9"/>
          <w:sz w:val="20"/>
        </w:rPr>
        <w:t xml:space="preserve"> </w:t>
      </w:r>
      <w:r>
        <w:rPr>
          <w:sz w:val="20"/>
        </w:rPr>
        <w:t>cut-off</w:t>
      </w:r>
      <w:r>
        <w:rPr>
          <w:spacing w:val="-12"/>
          <w:sz w:val="20"/>
        </w:rPr>
        <w:t xml:space="preserve"> </w:t>
      </w:r>
      <w:r>
        <w:rPr>
          <w:spacing w:val="-3"/>
          <w:sz w:val="20"/>
        </w:rPr>
        <w:t>on</w:t>
      </w:r>
      <w:r>
        <w:rPr>
          <w:spacing w:val="-7"/>
          <w:sz w:val="20"/>
        </w:rPr>
        <w:t xml:space="preserve"> </w:t>
      </w:r>
      <w:r>
        <w:rPr>
          <w:sz w:val="20"/>
        </w:rPr>
        <w:t>the</w:t>
      </w:r>
      <w:r>
        <w:rPr>
          <w:spacing w:val="-6"/>
          <w:sz w:val="20"/>
        </w:rPr>
        <w:t xml:space="preserve"> </w:t>
      </w:r>
      <w:r>
        <w:rPr>
          <w:spacing w:val="-3"/>
          <w:sz w:val="20"/>
        </w:rPr>
        <w:t>SRS.</w:t>
      </w:r>
      <w:r>
        <w:rPr>
          <w:spacing w:val="30"/>
          <w:sz w:val="20"/>
        </w:rPr>
        <w:t xml:space="preserve"> </w:t>
      </w:r>
      <w:r>
        <w:rPr>
          <w:sz w:val="20"/>
        </w:rPr>
        <w:t>When</w:t>
      </w:r>
      <w:r>
        <w:rPr>
          <w:spacing w:val="-12"/>
          <w:sz w:val="20"/>
        </w:rPr>
        <w:t xml:space="preserve"> </w:t>
      </w:r>
      <w:r>
        <w:rPr>
          <w:sz w:val="20"/>
        </w:rPr>
        <w:t>the</w:t>
      </w:r>
      <w:r>
        <w:rPr>
          <w:spacing w:val="-10"/>
          <w:sz w:val="20"/>
        </w:rPr>
        <w:t xml:space="preserve"> </w:t>
      </w:r>
      <w:r>
        <w:rPr>
          <w:sz w:val="20"/>
        </w:rPr>
        <w:t>ANOVA</w:t>
      </w:r>
      <w:r>
        <w:rPr>
          <w:spacing w:val="-9"/>
          <w:sz w:val="20"/>
        </w:rPr>
        <w:t xml:space="preserve"> </w:t>
      </w:r>
      <w:r>
        <w:rPr>
          <w:sz w:val="20"/>
        </w:rPr>
        <w:t>concerning</w:t>
      </w:r>
      <w:r>
        <w:rPr>
          <w:spacing w:val="-7"/>
          <w:sz w:val="20"/>
        </w:rPr>
        <w:t xml:space="preserve"> </w:t>
      </w:r>
      <w:r>
        <w:rPr>
          <w:i/>
          <w:sz w:val="20"/>
        </w:rPr>
        <w:t>ongoing task performance</w:t>
      </w:r>
      <w:r>
        <w:rPr>
          <w:sz w:val="20"/>
        </w:rPr>
        <w:t xml:space="preserve">, reported on p. 61, was re-run with these two participants excluded, the results were almost identical. There a significant main effect of Condition, </w:t>
      </w:r>
      <w:r>
        <w:rPr>
          <w:i/>
          <w:sz w:val="20"/>
        </w:rPr>
        <w:t>F</w:t>
      </w:r>
      <w:r>
        <w:rPr>
          <w:sz w:val="20"/>
        </w:rPr>
        <w:t xml:space="preserve">(1, 36) = 13.94, </w:t>
      </w:r>
      <w:r>
        <w:rPr>
          <w:i/>
          <w:sz w:val="20"/>
        </w:rPr>
        <w:t xml:space="preserve">p </w:t>
      </w:r>
      <w:r>
        <w:rPr>
          <w:sz w:val="20"/>
        </w:rPr>
        <w:t xml:space="preserve">= .001, </w:t>
      </w:r>
      <w:r>
        <w:rPr>
          <w:rFonts w:ascii="Cambria Math" w:hAnsi="Cambria Math"/>
          <w:spacing w:val="4"/>
          <w:w w:val="115"/>
          <w:sz w:val="20"/>
        </w:rPr>
        <w:t>!</w:t>
      </w:r>
      <w:r>
        <w:rPr>
          <w:rFonts w:ascii="Cambria Math" w:hAnsi="Cambria Math"/>
          <w:spacing w:val="4"/>
          <w:w w:val="115"/>
          <w:position w:val="7"/>
          <w:sz w:val="14"/>
        </w:rPr>
        <w:t>#</w:t>
      </w:r>
      <w:r>
        <w:rPr>
          <w:spacing w:val="4"/>
          <w:w w:val="115"/>
          <w:sz w:val="20"/>
        </w:rPr>
        <w:t xml:space="preserve">= </w:t>
      </w:r>
      <w:r>
        <w:rPr>
          <w:sz w:val="20"/>
        </w:rPr>
        <w:t xml:space="preserve">.28 (note: in the original analysis p &lt; 0.001, </w:t>
      </w:r>
      <w:r>
        <w:rPr>
          <w:rFonts w:ascii="Cambria Math" w:hAnsi="Cambria Math"/>
          <w:w w:val="115"/>
          <w:sz w:val="20"/>
        </w:rPr>
        <w:t>!</w:t>
      </w:r>
      <w:r>
        <w:rPr>
          <w:rFonts w:ascii="Cambria Math" w:hAnsi="Cambria Math"/>
          <w:w w:val="115"/>
          <w:position w:val="7"/>
          <w:sz w:val="14"/>
        </w:rPr>
        <w:t xml:space="preserve">#    </w:t>
      </w:r>
      <w:r>
        <w:rPr>
          <w:sz w:val="20"/>
        </w:rPr>
        <w:t xml:space="preserve">= .29), but no significant main effect of Group or Group × Condition interaction, all </w:t>
      </w:r>
      <w:proofErr w:type="spellStart"/>
      <w:r>
        <w:rPr>
          <w:i/>
          <w:sz w:val="20"/>
        </w:rPr>
        <w:t>p</w:t>
      </w:r>
      <w:r>
        <w:rPr>
          <w:sz w:val="20"/>
        </w:rPr>
        <w:t>s</w:t>
      </w:r>
      <w:proofErr w:type="spellEnd"/>
      <w:r>
        <w:rPr>
          <w:spacing w:val="35"/>
          <w:sz w:val="20"/>
        </w:rPr>
        <w:t xml:space="preserve"> </w:t>
      </w:r>
      <w:r>
        <w:rPr>
          <w:sz w:val="20"/>
        </w:rPr>
        <w:t>≥</w:t>
      </w:r>
    </w:p>
    <w:p w14:paraId="1CD82934" w14:textId="77777777" w:rsidR="00C75312" w:rsidRDefault="00BB293A">
      <w:pPr>
        <w:spacing w:before="11" w:line="114" w:lineRule="exact"/>
        <w:ind w:left="140"/>
        <w:jc w:val="both"/>
        <w:rPr>
          <w:sz w:val="20"/>
        </w:rPr>
      </w:pPr>
      <w:r>
        <w:pict w14:anchorId="144FDCDF">
          <v:shape id="_x0000_s2767" type="#_x0000_t202" style="position:absolute;left:0;text-align:left;margin-left:412.3pt;margin-top:-43.2pt;width:4.4pt;height:8.2pt;z-index:-260610048;mso-position-horizontal-relative:page" filled="f" stroked="f">
            <v:textbox inset="0,0,0,0">
              <w:txbxContent>
                <w:p w14:paraId="5DC0ADAC" w14:textId="77777777" w:rsidR="00C75312" w:rsidRDefault="00BB293A">
                  <w:pPr>
                    <w:spacing w:line="163" w:lineRule="exact"/>
                    <w:rPr>
                      <w:rFonts w:ascii="Cambria Math"/>
                      <w:sz w:val="14"/>
                    </w:rPr>
                  </w:pPr>
                  <w:r>
                    <w:rPr>
                      <w:rFonts w:ascii="Cambria Math"/>
                      <w:w w:val="159"/>
                      <w:sz w:val="14"/>
                    </w:rPr>
                    <w:t>"</w:t>
                  </w:r>
                </w:p>
              </w:txbxContent>
            </v:textbox>
            <w10:wrap anchorx="page"/>
          </v:shape>
        </w:pict>
      </w:r>
      <w:r>
        <w:pict w14:anchorId="56D914FA">
          <v:shape id="_x0000_s2766" type="#_x0000_t202" style="position:absolute;left:0;text-align:left;margin-left:155.75pt;margin-top:-18.45pt;width:4.4pt;height:8.2pt;z-index:-260609024;mso-position-horizontal-relative:page" filled="f" stroked="f">
            <v:textbox inset="0,0,0,0">
              <w:txbxContent>
                <w:p w14:paraId="2551FAC3" w14:textId="77777777" w:rsidR="00C75312" w:rsidRDefault="00BB293A">
                  <w:pPr>
                    <w:spacing w:line="163" w:lineRule="exact"/>
                    <w:rPr>
                      <w:rFonts w:ascii="Cambria Math"/>
                      <w:sz w:val="14"/>
                    </w:rPr>
                  </w:pPr>
                  <w:r>
                    <w:rPr>
                      <w:rFonts w:ascii="Cambria Math"/>
                      <w:w w:val="159"/>
                      <w:sz w:val="14"/>
                    </w:rPr>
                    <w:t>"</w:t>
                  </w:r>
                </w:p>
              </w:txbxContent>
            </v:textbox>
            <w10:wrap anchorx="page"/>
          </v:shape>
        </w:pict>
      </w:r>
      <w:r>
        <w:rPr>
          <w:sz w:val="20"/>
        </w:rPr>
        <w:t>.40,</w:t>
      </w:r>
      <w:r>
        <w:rPr>
          <w:spacing w:val="-9"/>
          <w:sz w:val="20"/>
        </w:rPr>
        <w:t xml:space="preserve"> </w:t>
      </w:r>
      <w:r>
        <w:rPr>
          <w:sz w:val="20"/>
        </w:rPr>
        <w:t>all</w:t>
      </w:r>
      <w:r>
        <w:rPr>
          <w:spacing w:val="-9"/>
          <w:sz w:val="20"/>
        </w:rPr>
        <w:t xml:space="preserve"> </w:t>
      </w:r>
      <w:r>
        <w:rPr>
          <w:rFonts w:ascii="Cambria Math" w:hAnsi="Cambria Math"/>
          <w:w w:val="110"/>
          <w:sz w:val="20"/>
        </w:rPr>
        <w:t>!</w:t>
      </w:r>
      <w:r>
        <w:rPr>
          <w:rFonts w:ascii="Cambria Math" w:hAnsi="Cambria Math"/>
          <w:w w:val="110"/>
          <w:position w:val="7"/>
          <w:sz w:val="14"/>
        </w:rPr>
        <w:t>#</w:t>
      </w:r>
      <w:r>
        <w:rPr>
          <w:rFonts w:ascii="Cambria Math" w:hAnsi="Cambria Math"/>
          <w:spacing w:val="23"/>
          <w:w w:val="110"/>
          <w:position w:val="7"/>
          <w:sz w:val="14"/>
        </w:rPr>
        <w:t xml:space="preserve"> </w:t>
      </w:r>
      <w:r>
        <w:rPr>
          <w:sz w:val="20"/>
        </w:rPr>
        <w:t>≤</w:t>
      </w:r>
      <w:r>
        <w:rPr>
          <w:spacing w:val="-16"/>
          <w:sz w:val="20"/>
        </w:rPr>
        <w:t xml:space="preserve"> </w:t>
      </w:r>
      <w:r>
        <w:rPr>
          <w:sz w:val="20"/>
        </w:rPr>
        <w:t>.02,</w:t>
      </w:r>
      <w:r>
        <w:rPr>
          <w:spacing w:val="-8"/>
          <w:sz w:val="20"/>
        </w:rPr>
        <w:t xml:space="preserve"> </w:t>
      </w:r>
      <w:r>
        <w:rPr>
          <w:sz w:val="20"/>
        </w:rPr>
        <w:t>note:</w:t>
      </w:r>
      <w:r>
        <w:rPr>
          <w:spacing w:val="-8"/>
          <w:sz w:val="20"/>
        </w:rPr>
        <w:t xml:space="preserve"> </w:t>
      </w:r>
      <w:r>
        <w:rPr>
          <w:sz w:val="20"/>
        </w:rPr>
        <w:t>in</w:t>
      </w:r>
      <w:r>
        <w:rPr>
          <w:spacing w:val="-15"/>
          <w:sz w:val="20"/>
        </w:rPr>
        <w:t xml:space="preserve"> </w:t>
      </w:r>
      <w:r>
        <w:rPr>
          <w:sz w:val="20"/>
        </w:rPr>
        <w:t>the</w:t>
      </w:r>
      <w:r>
        <w:rPr>
          <w:spacing w:val="-8"/>
          <w:sz w:val="20"/>
        </w:rPr>
        <w:t xml:space="preserve"> </w:t>
      </w:r>
      <w:r>
        <w:rPr>
          <w:sz w:val="20"/>
        </w:rPr>
        <w:t>original</w:t>
      </w:r>
      <w:r>
        <w:rPr>
          <w:spacing w:val="-8"/>
          <w:sz w:val="20"/>
        </w:rPr>
        <w:t xml:space="preserve"> </w:t>
      </w:r>
      <w:r>
        <w:rPr>
          <w:sz w:val="20"/>
        </w:rPr>
        <w:t>analysis</w:t>
      </w:r>
      <w:r>
        <w:rPr>
          <w:spacing w:val="-13"/>
          <w:sz w:val="20"/>
        </w:rPr>
        <w:t xml:space="preserve"> </w:t>
      </w:r>
      <w:r>
        <w:rPr>
          <w:sz w:val="20"/>
        </w:rPr>
        <w:t>all</w:t>
      </w:r>
      <w:r>
        <w:rPr>
          <w:spacing w:val="-8"/>
          <w:sz w:val="20"/>
        </w:rPr>
        <w:t xml:space="preserve"> </w:t>
      </w:r>
      <w:proofErr w:type="spellStart"/>
      <w:r>
        <w:rPr>
          <w:i/>
          <w:sz w:val="20"/>
        </w:rPr>
        <w:t>p</w:t>
      </w:r>
      <w:r>
        <w:rPr>
          <w:sz w:val="20"/>
        </w:rPr>
        <w:t>s</w:t>
      </w:r>
      <w:proofErr w:type="spellEnd"/>
      <w:r>
        <w:rPr>
          <w:spacing w:val="-12"/>
          <w:sz w:val="20"/>
        </w:rPr>
        <w:t xml:space="preserve"> </w:t>
      </w:r>
      <w:r>
        <w:rPr>
          <w:sz w:val="20"/>
        </w:rPr>
        <w:t>≥</w:t>
      </w:r>
      <w:r>
        <w:rPr>
          <w:spacing w:val="-10"/>
          <w:sz w:val="20"/>
        </w:rPr>
        <w:t xml:space="preserve"> </w:t>
      </w:r>
      <w:r>
        <w:rPr>
          <w:sz w:val="20"/>
        </w:rPr>
        <w:t>.71,</w:t>
      </w:r>
      <w:r>
        <w:rPr>
          <w:spacing w:val="-8"/>
          <w:sz w:val="20"/>
        </w:rPr>
        <w:t xml:space="preserve"> </w:t>
      </w:r>
      <w:r>
        <w:rPr>
          <w:sz w:val="20"/>
        </w:rPr>
        <w:t>all</w:t>
      </w:r>
      <w:r>
        <w:rPr>
          <w:spacing w:val="-14"/>
          <w:sz w:val="20"/>
        </w:rPr>
        <w:t xml:space="preserve"> </w:t>
      </w:r>
      <w:r>
        <w:rPr>
          <w:rFonts w:ascii="Cambria Math" w:hAnsi="Cambria Math"/>
          <w:w w:val="110"/>
          <w:sz w:val="20"/>
        </w:rPr>
        <w:t>!</w:t>
      </w:r>
      <w:r>
        <w:rPr>
          <w:rFonts w:ascii="Cambria Math" w:hAnsi="Cambria Math"/>
          <w:w w:val="110"/>
          <w:position w:val="7"/>
          <w:sz w:val="14"/>
        </w:rPr>
        <w:t xml:space="preserve">#   </w:t>
      </w:r>
      <w:r>
        <w:rPr>
          <w:sz w:val="20"/>
        </w:rPr>
        <w:t>≤</w:t>
      </w:r>
      <w:r>
        <w:rPr>
          <w:spacing w:val="-10"/>
          <w:sz w:val="20"/>
        </w:rPr>
        <w:t xml:space="preserve"> </w:t>
      </w:r>
      <w:r>
        <w:rPr>
          <w:sz w:val="20"/>
        </w:rPr>
        <w:t>.004).</w:t>
      </w:r>
      <w:r>
        <w:rPr>
          <w:spacing w:val="32"/>
          <w:sz w:val="20"/>
        </w:rPr>
        <w:t xml:space="preserve"> </w:t>
      </w:r>
      <w:r>
        <w:rPr>
          <w:sz w:val="20"/>
        </w:rPr>
        <w:t>Hence,</w:t>
      </w:r>
      <w:r>
        <w:rPr>
          <w:spacing w:val="-8"/>
          <w:sz w:val="20"/>
        </w:rPr>
        <w:t xml:space="preserve"> </w:t>
      </w:r>
      <w:r>
        <w:rPr>
          <w:sz w:val="20"/>
        </w:rPr>
        <w:t>the</w:t>
      </w:r>
      <w:r>
        <w:rPr>
          <w:spacing w:val="-4"/>
          <w:sz w:val="20"/>
        </w:rPr>
        <w:t xml:space="preserve"> </w:t>
      </w:r>
      <w:r>
        <w:rPr>
          <w:sz w:val="20"/>
        </w:rPr>
        <w:t>ASD</w:t>
      </w:r>
      <w:r>
        <w:rPr>
          <w:spacing w:val="-12"/>
          <w:sz w:val="20"/>
        </w:rPr>
        <w:t xml:space="preserve"> </w:t>
      </w:r>
      <w:r>
        <w:rPr>
          <w:sz w:val="20"/>
        </w:rPr>
        <w:t>and</w:t>
      </w:r>
      <w:r>
        <w:rPr>
          <w:spacing w:val="-10"/>
          <w:sz w:val="20"/>
        </w:rPr>
        <w:t xml:space="preserve"> </w:t>
      </w:r>
      <w:r>
        <w:rPr>
          <w:sz w:val="20"/>
        </w:rPr>
        <w:t>NT</w:t>
      </w:r>
      <w:r>
        <w:rPr>
          <w:spacing w:val="-8"/>
          <w:sz w:val="20"/>
        </w:rPr>
        <w:t xml:space="preserve"> </w:t>
      </w:r>
      <w:r>
        <w:rPr>
          <w:sz w:val="20"/>
        </w:rPr>
        <w:t>groups</w:t>
      </w:r>
      <w:r>
        <w:rPr>
          <w:spacing w:val="-7"/>
          <w:sz w:val="20"/>
        </w:rPr>
        <w:t xml:space="preserve"> </w:t>
      </w:r>
      <w:r>
        <w:rPr>
          <w:sz w:val="20"/>
        </w:rPr>
        <w:t>remained</w:t>
      </w:r>
    </w:p>
    <w:p w14:paraId="2BB167B7" w14:textId="77777777" w:rsidR="00C75312" w:rsidRDefault="00BB293A">
      <w:pPr>
        <w:tabs>
          <w:tab w:val="left" w:pos="5002"/>
        </w:tabs>
        <w:spacing w:line="163" w:lineRule="exact"/>
        <w:ind w:left="826"/>
        <w:rPr>
          <w:rFonts w:ascii="Cambria Math"/>
          <w:sz w:val="14"/>
        </w:rPr>
      </w:pPr>
      <w:r>
        <w:rPr>
          <w:rFonts w:ascii="Cambria Math"/>
          <w:w w:val="160"/>
          <w:sz w:val="14"/>
        </w:rPr>
        <w:t>"</w:t>
      </w:r>
      <w:r>
        <w:rPr>
          <w:rFonts w:ascii="Cambria Math"/>
          <w:w w:val="160"/>
          <w:sz w:val="14"/>
        </w:rPr>
        <w:tab/>
        <w:t>"</w:t>
      </w:r>
    </w:p>
    <w:p w14:paraId="4FE49752" w14:textId="77777777" w:rsidR="00C75312" w:rsidRDefault="00C75312">
      <w:pPr>
        <w:pStyle w:val="BodyText"/>
        <w:spacing w:before="1"/>
        <w:rPr>
          <w:rFonts w:ascii="Cambria Math"/>
          <w:sz w:val="11"/>
        </w:rPr>
      </w:pPr>
    </w:p>
    <w:p w14:paraId="0F8DF557" w14:textId="77777777" w:rsidR="00C75312" w:rsidRDefault="00BB293A">
      <w:pPr>
        <w:spacing w:before="94" w:line="480" w:lineRule="auto"/>
        <w:ind w:left="140" w:right="1301"/>
        <w:rPr>
          <w:sz w:val="20"/>
        </w:rPr>
      </w:pPr>
      <w:r>
        <w:rPr>
          <w:sz w:val="20"/>
        </w:rPr>
        <w:t xml:space="preserve">matched for ongoing task performance. When the ANOVA concerning </w:t>
      </w:r>
      <w:r>
        <w:rPr>
          <w:i/>
          <w:sz w:val="20"/>
        </w:rPr>
        <w:t>PM performance</w:t>
      </w:r>
      <w:r>
        <w:rPr>
          <w:sz w:val="20"/>
        </w:rPr>
        <w:t>, reported on pp. 61-63, was re-run with these two participants excluded, the results were almost identical.  There was a significant</w:t>
      </w:r>
      <w:r>
        <w:rPr>
          <w:spacing w:val="25"/>
          <w:sz w:val="20"/>
        </w:rPr>
        <w:t xml:space="preserve"> </w:t>
      </w:r>
      <w:r>
        <w:rPr>
          <w:sz w:val="20"/>
        </w:rPr>
        <w:t>main</w:t>
      </w:r>
    </w:p>
    <w:p w14:paraId="5409C832" w14:textId="77777777" w:rsidR="00C75312" w:rsidRDefault="00BB293A">
      <w:pPr>
        <w:spacing w:line="104" w:lineRule="exact"/>
        <w:ind w:left="140"/>
        <w:rPr>
          <w:sz w:val="20"/>
        </w:rPr>
      </w:pPr>
      <w:r>
        <w:rPr>
          <w:w w:val="105"/>
          <w:sz w:val="20"/>
        </w:rPr>
        <w:t>effect</w:t>
      </w:r>
      <w:r>
        <w:rPr>
          <w:spacing w:val="-12"/>
          <w:w w:val="105"/>
          <w:sz w:val="20"/>
        </w:rPr>
        <w:t xml:space="preserve"> </w:t>
      </w:r>
      <w:r>
        <w:rPr>
          <w:w w:val="105"/>
          <w:sz w:val="20"/>
        </w:rPr>
        <w:t>of</w:t>
      </w:r>
      <w:r>
        <w:rPr>
          <w:spacing w:val="-12"/>
          <w:w w:val="105"/>
          <w:sz w:val="20"/>
        </w:rPr>
        <w:t xml:space="preserve"> </w:t>
      </w:r>
      <w:r>
        <w:rPr>
          <w:w w:val="105"/>
          <w:sz w:val="20"/>
        </w:rPr>
        <w:t>Condition</w:t>
      </w:r>
      <w:r>
        <w:rPr>
          <w:spacing w:val="-13"/>
          <w:w w:val="105"/>
          <w:sz w:val="20"/>
        </w:rPr>
        <w:t xml:space="preserve"> </w:t>
      </w:r>
      <w:r>
        <w:rPr>
          <w:i/>
          <w:w w:val="105"/>
          <w:sz w:val="20"/>
        </w:rPr>
        <w:t>F</w:t>
      </w:r>
      <w:r>
        <w:rPr>
          <w:w w:val="105"/>
          <w:sz w:val="20"/>
        </w:rPr>
        <w:t>(1,36)</w:t>
      </w:r>
      <w:r>
        <w:rPr>
          <w:spacing w:val="-13"/>
          <w:w w:val="105"/>
          <w:sz w:val="20"/>
        </w:rPr>
        <w:t xml:space="preserve"> </w:t>
      </w:r>
      <w:r>
        <w:rPr>
          <w:w w:val="105"/>
          <w:sz w:val="20"/>
        </w:rPr>
        <w:t>=</w:t>
      </w:r>
      <w:r>
        <w:rPr>
          <w:spacing w:val="-11"/>
          <w:w w:val="105"/>
          <w:sz w:val="20"/>
        </w:rPr>
        <w:t xml:space="preserve"> </w:t>
      </w:r>
      <w:r>
        <w:rPr>
          <w:w w:val="105"/>
          <w:sz w:val="20"/>
        </w:rPr>
        <w:t>9.41,</w:t>
      </w:r>
      <w:r>
        <w:rPr>
          <w:spacing w:val="-11"/>
          <w:w w:val="105"/>
          <w:sz w:val="20"/>
        </w:rPr>
        <w:t xml:space="preserve"> </w:t>
      </w:r>
      <w:r>
        <w:rPr>
          <w:i/>
          <w:w w:val="105"/>
          <w:sz w:val="20"/>
        </w:rPr>
        <w:t>p</w:t>
      </w:r>
      <w:r>
        <w:rPr>
          <w:i/>
          <w:spacing w:val="-12"/>
          <w:w w:val="105"/>
          <w:sz w:val="20"/>
        </w:rPr>
        <w:t xml:space="preserve"> </w:t>
      </w:r>
      <w:r>
        <w:rPr>
          <w:w w:val="105"/>
          <w:sz w:val="20"/>
        </w:rPr>
        <w:t>=</w:t>
      </w:r>
      <w:r>
        <w:rPr>
          <w:spacing w:val="-12"/>
          <w:w w:val="105"/>
          <w:sz w:val="20"/>
        </w:rPr>
        <w:t xml:space="preserve"> </w:t>
      </w:r>
      <w:r>
        <w:rPr>
          <w:w w:val="105"/>
          <w:sz w:val="20"/>
        </w:rPr>
        <w:t>.004,</w:t>
      </w:r>
      <w:r>
        <w:rPr>
          <w:spacing w:val="-14"/>
          <w:w w:val="105"/>
          <w:sz w:val="20"/>
        </w:rPr>
        <w:t xml:space="preserve"> </w:t>
      </w:r>
      <w:r>
        <w:rPr>
          <w:rFonts w:ascii="Cambria Math"/>
          <w:w w:val="110"/>
          <w:sz w:val="20"/>
        </w:rPr>
        <w:t>!</w:t>
      </w:r>
      <w:r>
        <w:rPr>
          <w:rFonts w:ascii="Cambria Math"/>
          <w:w w:val="110"/>
          <w:position w:val="7"/>
          <w:sz w:val="14"/>
        </w:rPr>
        <w:t>#</w:t>
      </w:r>
      <w:r>
        <w:rPr>
          <w:rFonts w:ascii="Cambria Math"/>
          <w:spacing w:val="18"/>
          <w:w w:val="110"/>
          <w:position w:val="7"/>
          <w:sz w:val="14"/>
        </w:rPr>
        <w:t xml:space="preserve"> </w:t>
      </w:r>
      <w:r>
        <w:rPr>
          <w:w w:val="105"/>
          <w:sz w:val="20"/>
        </w:rPr>
        <w:t>=</w:t>
      </w:r>
      <w:r>
        <w:rPr>
          <w:spacing w:val="-11"/>
          <w:w w:val="105"/>
          <w:sz w:val="20"/>
        </w:rPr>
        <w:t xml:space="preserve"> </w:t>
      </w:r>
      <w:r>
        <w:rPr>
          <w:w w:val="105"/>
          <w:sz w:val="20"/>
        </w:rPr>
        <w:t>.21</w:t>
      </w:r>
      <w:r>
        <w:rPr>
          <w:spacing w:val="-13"/>
          <w:w w:val="105"/>
          <w:sz w:val="20"/>
        </w:rPr>
        <w:t xml:space="preserve"> </w:t>
      </w:r>
      <w:r>
        <w:rPr>
          <w:w w:val="105"/>
          <w:sz w:val="20"/>
        </w:rPr>
        <w:t>(note:</w:t>
      </w:r>
      <w:r>
        <w:rPr>
          <w:spacing w:val="-11"/>
          <w:w w:val="105"/>
          <w:sz w:val="20"/>
        </w:rPr>
        <w:t xml:space="preserve"> </w:t>
      </w:r>
      <w:r>
        <w:rPr>
          <w:w w:val="105"/>
          <w:sz w:val="20"/>
        </w:rPr>
        <w:t>in</w:t>
      </w:r>
      <w:r>
        <w:rPr>
          <w:spacing w:val="-13"/>
          <w:w w:val="105"/>
          <w:sz w:val="20"/>
        </w:rPr>
        <w:t xml:space="preserve"> </w:t>
      </w:r>
      <w:r>
        <w:rPr>
          <w:w w:val="105"/>
          <w:sz w:val="20"/>
        </w:rPr>
        <w:t>the</w:t>
      </w:r>
      <w:r>
        <w:rPr>
          <w:spacing w:val="-11"/>
          <w:w w:val="105"/>
          <w:sz w:val="20"/>
        </w:rPr>
        <w:t xml:space="preserve"> </w:t>
      </w:r>
      <w:r>
        <w:rPr>
          <w:w w:val="105"/>
          <w:sz w:val="20"/>
        </w:rPr>
        <w:t>original</w:t>
      </w:r>
      <w:r>
        <w:rPr>
          <w:spacing w:val="-12"/>
          <w:w w:val="105"/>
          <w:sz w:val="20"/>
        </w:rPr>
        <w:t xml:space="preserve"> </w:t>
      </w:r>
      <w:r>
        <w:rPr>
          <w:w w:val="105"/>
          <w:sz w:val="20"/>
        </w:rPr>
        <w:t>analysis</w:t>
      </w:r>
      <w:r>
        <w:rPr>
          <w:spacing w:val="-10"/>
          <w:w w:val="105"/>
          <w:sz w:val="20"/>
        </w:rPr>
        <w:t xml:space="preserve"> </w:t>
      </w:r>
      <w:r>
        <w:rPr>
          <w:i/>
          <w:w w:val="105"/>
          <w:sz w:val="20"/>
        </w:rPr>
        <w:t>p</w:t>
      </w:r>
      <w:r>
        <w:rPr>
          <w:i/>
          <w:spacing w:val="-13"/>
          <w:w w:val="105"/>
          <w:sz w:val="20"/>
        </w:rPr>
        <w:t xml:space="preserve"> </w:t>
      </w:r>
      <w:r>
        <w:rPr>
          <w:w w:val="105"/>
          <w:sz w:val="20"/>
        </w:rPr>
        <w:t>=</w:t>
      </w:r>
      <w:r>
        <w:rPr>
          <w:spacing w:val="-11"/>
          <w:w w:val="105"/>
          <w:sz w:val="20"/>
        </w:rPr>
        <w:t xml:space="preserve"> </w:t>
      </w:r>
      <w:r>
        <w:rPr>
          <w:w w:val="105"/>
          <w:sz w:val="20"/>
        </w:rPr>
        <w:t>.01,</w:t>
      </w:r>
      <w:r>
        <w:rPr>
          <w:spacing w:val="-14"/>
          <w:w w:val="105"/>
          <w:sz w:val="20"/>
        </w:rPr>
        <w:t xml:space="preserve"> </w:t>
      </w:r>
      <w:r>
        <w:rPr>
          <w:rFonts w:ascii="Cambria Math"/>
          <w:w w:val="110"/>
          <w:sz w:val="20"/>
        </w:rPr>
        <w:t>!</w:t>
      </w:r>
      <w:r>
        <w:rPr>
          <w:rFonts w:ascii="Cambria Math"/>
          <w:w w:val="110"/>
          <w:position w:val="7"/>
          <w:sz w:val="14"/>
        </w:rPr>
        <w:t>#</w:t>
      </w:r>
      <w:r>
        <w:rPr>
          <w:rFonts w:ascii="Cambria Math"/>
          <w:spacing w:val="18"/>
          <w:w w:val="110"/>
          <w:position w:val="7"/>
          <w:sz w:val="14"/>
        </w:rPr>
        <w:t xml:space="preserve"> </w:t>
      </w:r>
      <w:r>
        <w:rPr>
          <w:w w:val="105"/>
          <w:sz w:val="20"/>
        </w:rPr>
        <w:t>=</w:t>
      </w:r>
      <w:r>
        <w:rPr>
          <w:spacing w:val="-12"/>
          <w:w w:val="105"/>
          <w:sz w:val="20"/>
        </w:rPr>
        <w:t xml:space="preserve"> </w:t>
      </w:r>
      <w:r>
        <w:rPr>
          <w:w w:val="105"/>
          <w:sz w:val="20"/>
        </w:rPr>
        <w:t>.16).The</w:t>
      </w:r>
      <w:r>
        <w:rPr>
          <w:spacing w:val="-7"/>
          <w:w w:val="105"/>
          <w:sz w:val="20"/>
        </w:rPr>
        <w:t xml:space="preserve"> </w:t>
      </w:r>
      <w:r>
        <w:rPr>
          <w:w w:val="105"/>
          <w:sz w:val="20"/>
        </w:rPr>
        <w:t>main</w:t>
      </w:r>
    </w:p>
    <w:p w14:paraId="16520BD8" w14:textId="77777777" w:rsidR="00C75312" w:rsidRDefault="00BB293A">
      <w:pPr>
        <w:tabs>
          <w:tab w:val="left" w:pos="7709"/>
        </w:tabs>
        <w:spacing w:line="163" w:lineRule="exact"/>
        <w:ind w:left="3893"/>
        <w:rPr>
          <w:rFonts w:ascii="Cambria Math"/>
          <w:sz w:val="14"/>
        </w:rPr>
      </w:pPr>
      <w:r>
        <w:rPr>
          <w:rFonts w:ascii="Cambria Math"/>
          <w:w w:val="160"/>
          <w:sz w:val="14"/>
        </w:rPr>
        <w:t>"</w:t>
      </w:r>
      <w:r>
        <w:rPr>
          <w:rFonts w:ascii="Cambria Math"/>
          <w:w w:val="160"/>
          <w:sz w:val="14"/>
        </w:rPr>
        <w:tab/>
        <w:t>"</w:t>
      </w:r>
    </w:p>
    <w:p w14:paraId="649D239A" w14:textId="77777777" w:rsidR="00C75312" w:rsidRDefault="00C75312">
      <w:pPr>
        <w:pStyle w:val="BodyText"/>
        <w:spacing w:before="10"/>
        <w:rPr>
          <w:rFonts w:ascii="Cambria Math"/>
          <w:sz w:val="9"/>
        </w:rPr>
      </w:pPr>
    </w:p>
    <w:p w14:paraId="7B6BA561" w14:textId="77777777" w:rsidR="00C75312" w:rsidRDefault="00BB293A">
      <w:pPr>
        <w:spacing w:before="101"/>
        <w:ind w:left="140"/>
        <w:rPr>
          <w:sz w:val="20"/>
        </w:rPr>
      </w:pPr>
      <w:r>
        <w:pict w14:anchorId="61069CFA">
          <v:shape id="_x0000_s2765" type="#_x0000_t202" style="position:absolute;left:0;text-align:left;margin-left:492.25pt;margin-top:10.75pt;width:4.4pt;height:8.2pt;z-index:-260608000;mso-position-horizontal-relative:page" filled="f" stroked="f">
            <v:textbox inset="0,0,0,0">
              <w:txbxContent>
                <w:p w14:paraId="0F306E3A" w14:textId="77777777" w:rsidR="00C75312" w:rsidRDefault="00BB293A">
                  <w:pPr>
                    <w:spacing w:line="163" w:lineRule="exact"/>
                    <w:rPr>
                      <w:rFonts w:ascii="Cambria Math"/>
                      <w:sz w:val="14"/>
                    </w:rPr>
                  </w:pPr>
                  <w:r>
                    <w:rPr>
                      <w:rFonts w:ascii="Cambria Math"/>
                      <w:w w:val="159"/>
                      <w:sz w:val="14"/>
                    </w:rPr>
                    <w:t>"</w:t>
                  </w:r>
                </w:p>
              </w:txbxContent>
            </v:textbox>
            <w10:wrap anchorx="page"/>
          </v:shape>
        </w:pict>
      </w:r>
      <w:r>
        <w:rPr>
          <w:sz w:val="20"/>
        </w:rPr>
        <w:t xml:space="preserve">effect of Group as well as the Group × Condition interaction remained non-significant (all </w:t>
      </w:r>
      <w:proofErr w:type="spellStart"/>
      <w:r>
        <w:rPr>
          <w:i/>
          <w:sz w:val="20"/>
        </w:rPr>
        <w:t>p</w:t>
      </w:r>
      <w:r>
        <w:rPr>
          <w:sz w:val="20"/>
        </w:rPr>
        <w:t>s</w:t>
      </w:r>
      <w:proofErr w:type="spellEnd"/>
      <w:r>
        <w:rPr>
          <w:sz w:val="20"/>
        </w:rPr>
        <w:t xml:space="preserve"> ≥ .40, all </w:t>
      </w:r>
      <w:r>
        <w:rPr>
          <w:rFonts w:ascii="Cambria Math" w:hAnsi="Cambria Math"/>
          <w:w w:val="110"/>
          <w:sz w:val="20"/>
        </w:rPr>
        <w:t>!</w:t>
      </w:r>
      <w:r>
        <w:rPr>
          <w:rFonts w:ascii="Cambria Math" w:hAnsi="Cambria Math"/>
          <w:w w:val="110"/>
          <w:position w:val="7"/>
          <w:sz w:val="14"/>
        </w:rPr>
        <w:t xml:space="preserve"># </w:t>
      </w:r>
      <w:r>
        <w:rPr>
          <w:sz w:val="20"/>
        </w:rPr>
        <w:t>≤ .02;</w:t>
      </w:r>
    </w:p>
    <w:p w14:paraId="6BB483A8" w14:textId="77777777" w:rsidR="00C75312" w:rsidRDefault="00C75312">
      <w:pPr>
        <w:pStyle w:val="BodyText"/>
        <w:spacing w:before="3"/>
        <w:rPr>
          <w:sz w:val="12"/>
        </w:rPr>
      </w:pPr>
    </w:p>
    <w:p w14:paraId="072BA2F8" w14:textId="77777777" w:rsidR="00C75312" w:rsidRDefault="00BB293A">
      <w:pPr>
        <w:spacing w:before="101"/>
        <w:ind w:left="140"/>
        <w:rPr>
          <w:sz w:val="20"/>
        </w:rPr>
      </w:pPr>
      <w:r>
        <w:pict w14:anchorId="55C0FAB6">
          <v:shape id="_x0000_s2764" type="#_x0000_t202" style="position:absolute;left:0;text-align:left;margin-left:254.9pt;margin-top:10.75pt;width:4.4pt;height:8.2pt;z-index:-260606976;mso-position-horizontal-relative:page" filled="f" stroked="f">
            <v:textbox inset="0,0,0,0">
              <w:txbxContent>
                <w:p w14:paraId="5D54F18A" w14:textId="77777777" w:rsidR="00C75312" w:rsidRDefault="00BB293A">
                  <w:pPr>
                    <w:spacing w:line="163" w:lineRule="exact"/>
                    <w:rPr>
                      <w:rFonts w:ascii="Cambria Math"/>
                      <w:sz w:val="14"/>
                    </w:rPr>
                  </w:pPr>
                  <w:r>
                    <w:rPr>
                      <w:rFonts w:ascii="Cambria Math"/>
                      <w:w w:val="159"/>
                      <w:sz w:val="14"/>
                    </w:rPr>
                    <w:t>"</w:t>
                  </w:r>
                </w:p>
              </w:txbxContent>
            </v:textbox>
            <w10:wrap anchorx="page"/>
          </v:shape>
        </w:pict>
      </w:r>
      <w:r>
        <w:rPr>
          <w:sz w:val="20"/>
        </w:rPr>
        <w:t xml:space="preserve">note: in the original analysis all </w:t>
      </w:r>
      <w:proofErr w:type="spellStart"/>
      <w:r>
        <w:rPr>
          <w:i/>
          <w:sz w:val="20"/>
        </w:rPr>
        <w:t>p</w:t>
      </w:r>
      <w:r>
        <w:rPr>
          <w:sz w:val="20"/>
        </w:rPr>
        <w:t>s</w:t>
      </w:r>
      <w:proofErr w:type="spellEnd"/>
      <w:r>
        <w:rPr>
          <w:sz w:val="20"/>
        </w:rPr>
        <w:t xml:space="preserve"> ≥ .56, all </w:t>
      </w:r>
      <w:r>
        <w:rPr>
          <w:rFonts w:ascii="Cambria Math" w:hAnsi="Cambria Math"/>
          <w:w w:val="110"/>
          <w:sz w:val="20"/>
        </w:rPr>
        <w:t>!</w:t>
      </w:r>
      <w:r>
        <w:rPr>
          <w:rFonts w:ascii="Cambria Math" w:hAnsi="Cambria Math"/>
          <w:w w:val="110"/>
          <w:position w:val="7"/>
          <w:sz w:val="14"/>
        </w:rPr>
        <w:t xml:space="preserve"># </w:t>
      </w:r>
      <w:r>
        <w:rPr>
          <w:sz w:val="20"/>
        </w:rPr>
        <w:t>≤ .01).</w:t>
      </w:r>
    </w:p>
    <w:p w14:paraId="3017BCF7" w14:textId="77777777" w:rsidR="00C75312" w:rsidRDefault="00C75312">
      <w:pPr>
        <w:rPr>
          <w:sz w:val="20"/>
        </w:rPr>
        <w:sectPr w:rsidR="00C75312">
          <w:pgSz w:w="11900" w:h="16840"/>
          <w:pgMar w:top="1140" w:right="0" w:bottom="280" w:left="1300" w:header="715" w:footer="0" w:gutter="0"/>
          <w:cols w:space="720"/>
        </w:sectPr>
      </w:pPr>
    </w:p>
    <w:p w14:paraId="19B92467" w14:textId="77777777" w:rsidR="00C75312" w:rsidRDefault="00C75312">
      <w:pPr>
        <w:pStyle w:val="BodyText"/>
        <w:spacing w:before="2"/>
        <w:rPr>
          <w:sz w:val="18"/>
        </w:rPr>
      </w:pPr>
    </w:p>
    <w:p w14:paraId="6EB640A2" w14:textId="77777777" w:rsidR="00C75312" w:rsidRDefault="00BB293A">
      <w:pPr>
        <w:pStyle w:val="BodyText"/>
        <w:spacing w:before="90" w:line="480" w:lineRule="auto"/>
        <w:ind w:left="140" w:right="1428" w:firstLine="720"/>
        <w:jc w:val="both"/>
      </w:pPr>
      <w:r>
        <w:rPr>
          <w:b/>
        </w:rPr>
        <w:t xml:space="preserve">PM task. </w:t>
      </w:r>
      <w:r>
        <w:t>The ongoing task involved making judgements about visually-presented shapes and consisted of 80 trials. Following a 2-second fixation period at the beginning of each trial, several different-</w:t>
      </w:r>
      <w:proofErr w:type="spellStart"/>
      <w:r>
        <w:t>coloured</w:t>
      </w:r>
      <w:proofErr w:type="spellEnd"/>
      <w:r>
        <w:t xml:space="preserve"> geometric shapes (between three and eight) were displayed</w:t>
      </w:r>
      <w:r>
        <w:rPr>
          <w:spacing w:val="-6"/>
        </w:rPr>
        <w:t xml:space="preserve"> </w:t>
      </w:r>
      <w:r>
        <w:t>on</w:t>
      </w:r>
      <w:r>
        <w:rPr>
          <w:spacing w:val="-5"/>
        </w:rPr>
        <w:t xml:space="preserve"> </w:t>
      </w:r>
      <w:r>
        <w:t>the</w:t>
      </w:r>
      <w:r>
        <w:rPr>
          <w:spacing w:val="-7"/>
        </w:rPr>
        <w:t xml:space="preserve"> </w:t>
      </w:r>
      <w:r>
        <w:t>screen</w:t>
      </w:r>
      <w:r>
        <w:rPr>
          <w:spacing w:val="-10"/>
        </w:rPr>
        <w:t xml:space="preserve"> </w:t>
      </w:r>
      <w:r>
        <w:t>in</w:t>
      </w:r>
      <w:r>
        <w:rPr>
          <w:spacing w:val="-10"/>
        </w:rPr>
        <w:t xml:space="preserve"> </w:t>
      </w:r>
      <w:r>
        <w:t>random</w:t>
      </w:r>
      <w:r>
        <w:rPr>
          <w:spacing w:val="-4"/>
        </w:rPr>
        <w:t xml:space="preserve"> </w:t>
      </w:r>
      <w:r>
        <w:t>positions.</w:t>
      </w:r>
      <w:r>
        <w:rPr>
          <w:spacing w:val="43"/>
        </w:rPr>
        <w:t xml:space="preserve"> </w:t>
      </w:r>
      <w:r>
        <w:t>On</w:t>
      </w:r>
      <w:r>
        <w:rPr>
          <w:spacing w:val="-5"/>
        </w:rPr>
        <w:t xml:space="preserve"> </w:t>
      </w:r>
      <w:r>
        <w:t>each</w:t>
      </w:r>
      <w:r>
        <w:rPr>
          <w:spacing w:val="-5"/>
        </w:rPr>
        <w:t xml:space="preserve"> </w:t>
      </w:r>
      <w:r>
        <w:t>trial,</w:t>
      </w:r>
      <w:r>
        <w:rPr>
          <w:spacing w:val="-3"/>
        </w:rPr>
        <w:t xml:space="preserve"> </w:t>
      </w:r>
      <w:r>
        <w:t>no</w:t>
      </w:r>
      <w:r>
        <w:rPr>
          <w:spacing w:val="-10"/>
        </w:rPr>
        <w:t xml:space="preserve"> </w:t>
      </w:r>
      <w:r>
        <w:t>shape</w:t>
      </w:r>
      <w:r>
        <w:rPr>
          <w:spacing w:val="-6"/>
        </w:rPr>
        <w:t xml:space="preserve"> </w:t>
      </w:r>
      <w:r>
        <w:t>appeared</w:t>
      </w:r>
      <w:r>
        <w:rPr>
          <w:spacing w:val="-6"/>
        </w:rPr>
        <w:t xml:space="preserve"> </w:t>
      </w:r>
      <w:r>
        <w:t>twice</w:t>
      </w:r>
      <w:r>
        <w:rPr>
          <w:spacing w:val="-11"/>
        </w:rPr>
        <w:t xml:space="preserve"> </w:t>
      </w:r>
      <w:r>
        <w:t>or</w:t>
      </w:r>
      <w:r>
        <w:rPr>
          <w:spacing w:val="-8"/>
        </w:rPr>
        <w:t xml:space="preserve"> </w:t>
      </w:r>
      <w:r>
        <w:t>had</w:t>
      </w:r>
      <w:r>
        <w:rPr>
          <w:spacing w:val="-5"/>
        </w:rPr>
        <w:t xml:space="preserve"> </w:t>
      </w:r>
      <w:r>
        <w:t xml:space="preserve">the same </w:t>
      </w:r>
      <w:proofErr w:type="spellStart"/>
      <w:r>
        <w:t>colour</w:t>
      </w:r>
      <w:proofErr w:type="spellEnd"/>
      <w:r>
        <w:t xml:space="preserve"> (e.g., a red square, a blue triangle, an orange pentagon). Participants had to respond using the number keys (three to eight) on the keyboard, indicating the</w:t>
      </w:r>
      <w:r>
        <w:t xml:space="preserve"> number of shapes</w:t>
      </w:r>
      <w:r>
        <w:rPr>
          <w:spacing w:val="-7"/>
        </w:rPr>
        <w:t xml:space="preserve"> </w:t>
      </w:r>
      <w:r>
        <w:t>displayed</w:t>
      </w:r>
      <w:r>
        <w:rPr>
          <w:spacing w:val="-6"/>
        </w:rPr>
        <w:t xml:space="preserve"> </w:t>
      </w:r>
      <w:r>
        <w:t>on</w:t>
      </w:r>
      <w:r>
        <w:rPr>
          <w:spacing w:val="-5"/>
        </w:rPr>
        <w:t xml:space="preserve"> </w:t>
      </w:r>
      <w:r>
        <w:t>each</w:t>
      </w:r>
      <w:r>
        <w:rPr>
          <w:spacing w:val="-5"/>
        </w:rPr>
        <w:t xml:space="preserve"> </w:t>
      </w:r>
      <w:r>
        <w:t>trial.</w:t>
      </w:r>
      <w:r>
        <w:rPr>
          <w:spacing w:val="45"/>
        </w:rPr>
        <w:t xml:space="preserve"> </w:t>
      </w:r>
      <w:r>
        <w:t>A</w:t>
      </w:r>
      <w:r>
        <w:rPr>
          <w:spacing w:val="-10"/>
        </w:rPr>
        <w:t xml:space="preserve"> </w:t>
      </w:r>
      <w:r>
        <w:t>new</w:t>
      </w:r>
      <w:r>
        <w:rPr>
          <w:spacing w:val="-10"/>
        </w:rPr>
        <w:t xml:space="preserve"> </w:t>
      </w:r>
      <w:r>
        <w:t>trial</w:t>
      </w:r>
      <w:r>
        <w:rPr>
          <w:spacing w:val="-9"/>
        </w:rPr>
        <w:t xml:space="preserve"> </w:t>
      </w:r>
      <w:r>
        <w:t>started</w:t>
      </w:r>
      <w:r>
        <w:rPr>
          <w:spacing w:val="-14"/>
        </w:rPr>
        <w:t xml:space="preserve"> </w:t>
      </w:r>
      <w:r>
        <w:t>once</w:t>
      </w:r>
      <w:r>
        <w:rPr>
          <w:spacing w:val="-6"/>
        </w:rPr>
        <w:t xml:space="preserve"> </w:t>
      </w:r>
      <w:r>
        <w:t>a</w:t>
      </w:r>
      <w:r>
        <w:rPr>
          <w:spacing w:val="-11"/>
        </w:rPr>
        <w:t xml:space="preserve"> </w:t>
      </w:r>
      <w:r>
        <w:t>response</w:t>
      </w:r>
      <w:r>
        <w:rPr>
          <w:spacing w:val="-6"/>
        </w:rPr>
        <w:t xml:space="preserve"> </w:t>
      </w:r>
      <w:r>
        <w:t>was</w:t>
      </w:r>
      <w:r>
        <w:rPr>
          <w:spacing w:val="-7"/>
        </w:rPr>
        <w:t xml:space="preserve"> </w:t>
      </w:r>
      <w:r>
        <w:t>registered</w:t>
      </w:r>
      <w:r>
        <w:rPr>
          <w:spacing w:val="-5"/>
        </w:rPr>
        <w:t xml:space="preserve"> </w:t>
      </w:r>
      <w:r>
        <w:rPr>
          <w:spacing w:val="-3"/>
        </w:rPr>
        <w:t>or</w:t>
      </w:r>
      <w:r>
        <w:rPr>
          <w:spacing w:val="-8"/>
        </w:rPr>
        <w:t xml:space="preserve"> </w:t>
      </w:r>
      <w:r>
        <w:t>after</w:t>
      </w:r>
      <w:r>
        <w:rPr>
          <w:spacing w:val="-8"/>
        </w:rPr>
        <w:t xml:space="preserve"> </w:t>
      </w:r>
      <w:r>
        <w:t>a</w:t>
      </w:r>
      <w:r>
        <w:rPr>
          <w:spacing w:val="-10"/>
        </w:rPr>
        <w:t xml:space="preserve"> </w:t>
      </w:r>
      <w:r>
        <w:t xml:space="preserve">10- second time window had elapsed. This ongoing </w:t>
      </w:r>
      <w:r>
        <w:rPr>
          <w:spacing w:val="-3"/>
        </w:rPr>
        <w:t xml:space="preserve">task </w:t>
      </w:r>
      <w:r>
        <w:t>was completed by all participants in two conditions (</w:t>
      </w:r>
      <w:r>
        <w:rPr>
          <w:i/>
        </w:rPr>
        <w:t xml:space="preserve">focal </w:t>
      </w:r>
      <w:r>
        <w:t xml:space="preserve">vs. </w:t>
      </w:r>
      <w:proofErr w:type="spellStart"/>
      <w:r>
        <w:rPr>
          <w:i/>
        </w:rPr>
        <w:t>nonfocal</w:t>
      </w:r>
      <w:proofErr w:type="spellEnd"/>
      <w:r>
        <w:rPr>
          <w:i/>
        </w:rPr>
        <w:t xml:space="preserve"> </w:t>
      </w:r>
      <w:r>
        <w:t>PM cues) in counterbalanced order. For an illustration of the experimental task in the two conditions see Figure 5. Participants did not complete a longer single block of only the ongoing task, which is a common strategy to explore the costs of remembering a delayed intention on t</w:t>
      </w:r>
      <w:r>
        <w:t>op of the ongoing task using reaction time analyses (Burgess</w:t>
      </w:r>
      <w:r>
        <w:rPr>
          <w:spacing w:val="-11"/>
        </w:rPr>
        <w:t xml:space="preserve"> </w:t>
      </w:r>
      <w:r>
        <w:t>et</w:t>
      </w:r>
      <w:r>
        <w:rPr>
          <w:spacing w:val="-8"/>
        </w:rPr>
        <w:t xml:space="preserve"> </w:t>
      </w:r>
      <w:r>
        <w:t>al.,</w:t>
      </w:r>
      <w:r>
        <w:rPr>
          <w:spacing w:val="-5"/>
        </w:rPr>
        <w:t xml:space="preserve"> </w:t>
      </w:r>
      <w:r>
        <w:t>2001;</w:t>
      </w:r>
      <w:r>
        <w:rPr>
          <w:spacing w:val="-8"/>
        </w:rPr>
        <w:t xml:space="preserve"> </w:t>
      </w:r>
      <w:r>
        <w:t>R.</w:t>
      </w:r>
      <w:r>
        <w:rPr>
          <w:spacing w:val="-11"/>
        </w:rPr>
        <w:t xml:space="preserve"> </w:t>
      </w:r>
      <w:r>
        <w:t>E.</w:t>
      </w:r>
      <w:r>
        <w:rPr>
          <w:spacing w:val="-10"/>
        </w:rPr>
        <w:t xml:space="preserve"> </w:t>
      </w:r>
      <w:r>
        <w:t>Smith,</w:t>
      </w:r>
      <w:r>
        <w:rPr>
          <w:spacing w:val="-11"/>
        </w:rPr>
        <w:t xml:space="preserve"> </w:t>
      </w:r>
      <w:r>
        <w:t>2003).</w:t>
      </w:r>
      <w:r>
        <w:rPr>
          <w:spacing w:val="42"/>
        </w:rPr>
        <w:t xml:space="preserve"> </w:t>
      </w:r>
      <w:r>
        <w:t>This</w:t>
      </w:r>
      <w:r>
        <w:rPr>
          <w:spacing w:val="-11"/>
        </w:rPr>
        <w:t xml:space="preserve"> </w:t>
      </w:r>
      <w:r>
        <w:t>type</w:t>
      </w:r>
      <w:r>
        <w:rPr>
          <w:spacing w:val="-13"/>
        </w:rPr>
        <w:t xml:space="preserve"> </w:t>
      </w:r>
      <w:r>
        <w:t>of</w:t>
      </w:r>
      <w:r>
        <w:rPr>
          <w:spacing w:val="-7"/>
        </w:rPr>
        <w:t xml:space="preserve"> </w:t>
      </w:r>
      <w:r>
        <w:t>analysis</w:t>
      </w:r>
      <w:r>
        <w:rPr>
          <w:spacing w:val="-10"/>
        </w:rPr>
        <w:t xml:space="preserve"> </w:t>
      </w:r>
      <w:r>
        <w:t>was</w:t>
      </w:r>
      <w:r>
        <w:rPr>
          <w:spacing w:val="-11"/>
        </w:rPr>
        <w:t xml:space="preserve"> </w:t>
      </w:r>
      <w:r>
        <w:t>not</w:t>
      </w:r>
      <w:r>
        <w:rPr>
          <w:spacing w:val="-8"/>
        </w:rPr>
        <w:t xml:space="preserve"> </w:t>
      </w:r>
      <w:r>
        <w:t>the</w:t>
      </w:r>
      <w:r>
        <w:rPr>
          <w:spacing w:val="-9"/>
        </w:rPr>
        <w:t xml:space="preserve"> </w:t>
      </w:r>
      <w:r>
        <w:t>focus</w:t>
      </w:r>
      <w:r>
        <w:rPr>
          <w:spacing w:val="-11"/>
        </w:rPr>
        <w:t xml:space="preserve"> </w:t>
      </w:r>
      <w:r>
        <w:t>of</w:t>
      </w:r>
      <w:r>
        <w:rPr>
          <w:spacing w:val="-7"/>
        </w:rPr>
        <w:t xml:space="preserve"> </w:t>
      </w:r>
      <w:r>
        <w:t>the</w:t>
      </w:r>
      <w:r>
        <w:rPr>
          <w:spacing w:val="-9"/>
        </w:rPr>
        <w:t xml:space="preserve"> </w:t>
      </w:r>
      <w:r>
        <w:t>present study</w:t>
      </w:r>
      <w:r>
        <w:rPr>
          <w:spacing w:val="-2"/>
        </w:rPr>
        <w:t xml:space="preserve"> </w:t>
      </w:r>
      <w:r>
        <w:t>as</w:t>
      </w:r>
      <w:r>
        <w:rPr>
          <w:spacing w:val="-3"/>
        </w:rPr>
        <w:t xml:space="preserve"> </w:t>
      </w:r>
      <w:r>
        <w:t>previous</w:t>
      </w:r>
      <w:r>
        <w:rPr>
          <w:spacing w:val="-8"/>
        </w:rPr>
        <w:t xml:space="preserve"> </w:t>
      </w:r>
      <w:r>
        <w:t>studies</w:t>
      </w:r>
      <w:r>
        <w:rPr>
          <w:spacing w:val="-3"/>
        </w:rPr>
        <w:t xml:space="preserve"> </w:t>
      </w:r>
      <w:r>
        <w:t>of</w:t>
      </w:r>
      <w:r>
        <w:rPr>
          <w:spacing w:val="-4"/>
        </w:rPr>
        <w:t xml:space="preserve"> </w:t>
      </w:r>
      <w:r>
        <w:t>PM</w:t>
      </w:r>
      <w:r>
        <w:rPr>
          <w:spacing w:val="-8"/>
        </w:rPr>
        <w:t xml:space="preserve"> </w:t>
      </w:r>
      <w:r>
        <w:t>(time-based</w:t>
      </w:r>
      <w:r>
        <w:rPr>
          <w:spacing w:val="-1"/>
        </w:rPr>
        <w:t xml:space="preserve"> </w:t>
      </w:r>
      <w:r>
        <w:t>PM:</w:t>
      </w:r>
      <w:r>
        <w:rPr>
          <w:spacing w:val="-5"/>
        </w:rPr>
        <w:t xml:space="preserve"> </w:t>
      </w:r>
      <w:proofErr w:type="spellStart"/>
      <w:r>
        <w:t>Altgassen</w:t>
      </w:r>
      <w:proofErr w:type="spellEnd"/>
      <w:r>
        <w:rPr>
          <w:spacing w:val="-1"/>
        </w:rPr>
        <w:t xml:space="preserve"> </w:t>
      </w:r>
      <w:r>
        <w:t>et</w:t>
      </w:r>
      <w:r>
        <w:rPr>
          <w:spacing w:val="-1"/>
        </w:rPr>
        <w:t xml:space="preserve"> </w:t>
      </w:r>
      <w:r>
        <w:t>al.</w:t>
      </w:r>
      <w:r>
        <w:rPr>
          <w:spacing w:val="-4"/>
        </w:rPr>
        <w:t xml:space="preserve"> </w:t>
      </w:r>
      <w:r>
        <w:t>2009,</w:t>
      </w:r>
      <w:r>
        <w:rPr>
          <w:spacing w:val="-3"/>
        </w:rPr>
        <w:t xml:space="preserve"> </w:t>
      </w:r>
      <w:r>
        <w:t>event-based</w:t>
      </w:r>
      <w:r>
        <w:rPr>
          <w:spacing w:val="-1"/>
        </w:rPr>
        <w:t xml:space="preserve"> </w:t>
      </w:r>
      <w:r>
        <w:t>PM</w:t>
      </w:r>
      <w:r>
        <w:rPr>
          <w:spacing w:val="-3"/>
        </w:rPr>
        <w:t xml:space="preserve"> </w:t>
      </w:r>
      <w:r>
        <w:t xml:space="preserve">using </w:t>
      </w:r>
      <w:proofErr w:type="spellStart"/>
      <w:r>
        <w:t>nonfocal</w:t>
      </w:r>
      <w:proofErr w:type="spellEnd"/>
      <w:r>
        <w:t xml:space="preserve"> cues: </w:t>
      </w:r>
      <w:proofErr w:type="spellStart"/>
      <w:r>
        <w:t>Altgassen</w:t>
      </w:r>
      <w:proofErr w:type="spellEnd"/>
      <w:r>
        <w:t xml:space="preserve"> et al. 2010) did not find any indication </w:t>
      </w:r>
      <w:r>
        <w:rPr>
          <w:spacing w:val="-3"/>
        </w:rPr>
        <w:t xml:space="preserve">of </w:t>
      </w:r>
      <w:r>
        <w:t>intention costs for both accuracy and reaction time measures. Based on these findings, we did not predict differential intention costs between groups or</w:t>
      </w:r>
      <w:r>
        <w:rPr>
          <w:spacing w:val="2"/>
        </w:rPr>
        <w:t xml:space="preserve"> </w:t>
      </w:r>
      <w:r>
        <w:t>conditions.</w:t>
      </w:r>
    </w:p>
    <w:p w14:paraId="60DA700D" w14:textId="77777777" w:rsidR="00C75312" w:rsidRDefault="00BB293A">
      <w:pPr>
        <w:pStyle w:val="BodyText"/>
        <w:spacing w:before="121" w:line="480" w:lineRule="auto"/>
        <w:ind w:left="140" w:right="1425" w:firstLine="720"/>
        <w:jc w:val="both"/>
      </w:pPr>
      <w:r>
        <w:t xml:space="preserve">Each PM condition contained two possible PM cues. Previous event-based PM studies using several PM cues partly found PM impairment in ASD (e.g., </w:t>
      </w:r>
      <w:proofErr w:type="spellStart"/>
      <w:r>
        <w:t>Brandimonte</w:t>
      </w:r>
      <w:proofErr w:type="spellEnd"/>
      <w:r>
        <w:t xml:space="preserve"> et al., 2011; Kretschmer et al.,2014) but did not control for retrospective memory failure. In this study it was ensure to check for retrospective memory failures after each condition.</w:t>
      </w:r>
    </w:p>
    <w:p w14:paraId="37097D76" w14:textId="77777777" w:rsidR="00C75312" w:rsidRDefault="00BB293A">
      <w:pPr>
        <w:pStyle w:val="BodyText"/>
        <w:spacing w:before="120" w:line="480" w:lineRule="auto"/>
        <w:ind w:left="140" w:right="1428" w:firstLine="720"/>
        <w:jc w:val="both"/>
      </w:pPr>
      <w:r>
        <w:t xml:space="preserve">In the focal condition, two visual PM cues were used, as they had to be part of the processing of the ongoing task which required visual processing. In contrast, in the </w:t>
      </w:r>
      <w:proofErr w:type="spellStart"/>
      <w:r>
        <w:t>nonfocal</w:t>
      </w:r>
      <w:proofErr w:type="spellEnd"/>
      <w:r>
        <w:t xml:space="preserve"> condition, a visual and an auditory PM cue were used. It was not possible to match conditions for cue modality due to the definition of cue focality. Cue focality indicates whether a cue is</w:t>
      </w:r>
    </w:p>
    <w:p w14:paraId="021EF070" w14:textId="77777777" w:rsidR="00C75312" w:rsidRDefault="00C75312">
      <w:pPr>
        <w:spacing w:line="480" w:lineRule="auto"/>
        <w:jc w:val="both"/>
        <w:sectPr w:rsidR="00C75312">
          <w:pgSz w:w="11900" w:h="16840"/>
          <w:pgMar w:top="1140" w:right="0" w:bottom="280" w:left="1300" w:header="715" w:footer="0" w:gutter="0"/>
          <w:cols w:space="720"/>
        </w:sectPr>
      </w:pPr>
    </w:p>
    <w:p w14:paraId="77FAA09F" w14:textId="77777777" w:rsidR="00C75312" w:rsidRDefault="00C75312">
      <w:pPr>
        <w:pStyle w:val="BodyText"/>
        <w:spacing w:before="2"/>
        <w:rPr>
          <w:sz w:val="18"/>
        </w:rPr>
      </w:pPr>
    </w:p>
    <w:p w14:paraId="64F0ECD9" w14:textId="77777777" w:rsidR="00C75312" w:rsidRDefault="00BB293A">
      <w:pPr>
        <w:pStyle w:val="BodyText"/>
        <w:spacing w:before="90" w:line="480" w:lineRule="auto"/>
        <w:ind w:left="140" w:right="1424"/>
        <w:jc w:val="both"/>
      </w:pPr>
      <w:r>
        <w:t xml:space="preserve">processed as part </w:t>
      </w:r>
      <w:r>
        <w:rPr>
          <w:spacing w:val="-3"/>
        </w:rPr>
        <w:t xml:space="preserve">of </w:t>
      </w:r>
      <w:r>
        <w:t>the ongoing task (focal) or whether it is unrelated to the ongoing task (</w:t>
      </w:r>
      <w:proofErr w:type="spellStart"/>
      <w:r>
        <w:t>nonfocal</w:t>
      </w:r>
      <w:proofErr w:type="spellEnd"/>
      <w:r>
        <w:t xml:space="preserve">). Hence, to implement two different modalities for focal cues, the ongoing task would have needed to involve a switch between two different tasks, sometimes focusing on visual and sometimes focusing on auditory stimuli. However, in the </w:t>
      </w:r>
      <w:proofErr w:type="spellStart"/>
      <w:r>
        <w:t>nonfocal</w:t>
      </w:r>
      <w:proofErr w:type="spellEnd"/>
      <w:r>
        <w:t xml:space="preserve"> condition, an ongoing</w:t>
      </w:r>
      <w:r>
        <w:rPr>
          <w:spacing w:val="-5"/>
        </w:rPr>
        <w:t xml:space="preserve"> </w:t>
      </w:r>
      <w:r>
        <w:t>task</w:t>
      </w:r>
      <w:r>
        <w:rPr>
          <w:spacing w:val="-4"/>
        </w:rPr>
        <w:t xml:space="preserve"> </w:t>
      </w:r>
      <w:r>
        <w:t>involving</w:t>
      </w:r>
      <w:r>
        <w:rPr>
          <w:spacing w:val="-10"/>
        </w:rPr>
        <w:t xml:space="preserve"> </w:t>
      </w:r>
      <w:r>
        <w:t>a</w:t>
      </w:r>
      <w:r>
        <w:rPr>
          <w:spacing w:val="-5"/>
        </w:rPr>
        <w:t xml:space="preserve"> </w:t>
      </w:r>
      <w:r>
        <w:t>switch</w:t>
      </w:r>
      <w:r>
        <w:rPr>
          <w:spacing w:val="-10"/>
        </w:rPr>
        <w:t xml:space="preserve"> </w:t>
      </w:r>
      <w:r>
        <w:t>would</w:t>
      </w:r>
      <w:r>
        <w:rPr>
          <w:spacing w:val="-9"/>
        </w:rPr>
        <w:t xml:space="preserve"> </w:t>
      </w:r>
      <w:r>
        <w:t>have</w:t>
      </w:r>
      <w:r>
        <w:rPr>
          <w:spacing w:val="-6"/>
        </w:rPr>
        <w:t xml:space="preserve"> </w:t>
      </w:r>
      <w:r>
        <w:t>meant</w:t>
      </w:r>
      <w:r>
        <w:rPr>
          <w:spacing w:val="-13"/>
        </w:rPr>
        <w:t xml:space="preserve"> </w:t>
      </w:r>
      <w:r>
        <w:t>that</w:t>
      </w:r>
      <w:r>
        <w:rPr>
          <w:spacing w:val="-3"/>
        </w:rPr>
        <w:t xml:space="preserve"> </w:t>
      </w:r>
      <w:r>
        <w:t>the</w:t>
      </w:r>
      <w:r>
        <w:rPr>
          <w:spacing w:val="-11"/>
        </w:rPr>
        <w:t xml:space="preserve"> </w:t>
      </w:r>
      <w:r>
        <w:t>auditory</w:t>
      </w:r>
      <w:r>
        <w:rPr>
          <w:spacing w:val="-9"/>
        </w:rPr>
        <w:t xml:space="preserve"> </w:t>
      </w:r>
      <w:r>
        <w:t>cue</w:t>
      </w:r>
      <w:r>
        <w:rPr>
          <w:spacing w:val="-6"/>
        </w:rPr>
        <w:t xml:space="preserve"> </w:t>
      </w:r>
      <w:r>
        <w:t>would</w:t>
      </w:r>
      <w:r>
        <w:rPr>
          <w:spacing w:val="-9"/>
        </w:rPr>
        <w:t xml:space="preserve"> </w:t>
      </w:r>
      <w:r>
        <w:t>not</w:t>
      </w:r>
      <w:r>
        <w:rPr>
          <w:spacing w:val="-8"/>
        </w:rPr>
        <w:t xml:space="preserve"> </w:t>
      </w:r>
      <w:r>
        <w:t>be</w:t>
      </w:r>
      <w:r>
        <w:rPr>
          <w:spacing w:val="-11"/>
        </w:rPr>
        <w:t xml:space="preserve"> </w:t>
      </w:r>
      <w:proofErr w:type="spellStart"/>
      <w:r>
        <w:t>nonfocal</w:t>
      </w:r>
      <w:proofErr w:type="spellEnd"/>
      <w:r>
        <w:t xml:space="preserve"> anymore. Furthermore, an ongoing task involving task-switching could have negatively impacted the ASD group due to problems when switching task across modalities (Reed &amp; McCarthy, 2012). This might have negatively affected matching groups on ongoing task performance, which would have influenced the interpretation of group differences in PM </w:t>
      </w:r>
      <w:r>
        <w:rPr>
          <w:spacing w:val="-3"/>
        </w:rPr>
        <w:t xml:space="preserve">if </w:t>
      </w:r>
      <w:r>
        <w:t>they had been found. Therefore, the PM cues were implanted as follows.</w:t>
      </w:r>
    </w:p>
    <w:p w14:paraId="09BB1FC5" w14:textId="77777777" w:rsidR="00C75312" w:rsidRDefault="00BB293A">
      <w:pPr>
        <w:pStyle w:val="BodyText"/>
        <w:spacing w:before="120" w:line="477" w:lineRule="auto"/>
        <w:ind w:left="140" w:right="1427" w:firstLine="720"/>
        <w:jc w:val="both"/>
      </w:pPr>
      <w:r>
        <w:t xml:space="preserve">In a </w:t>
      </w:r>
      <w:proofErr w:type="spellStart"/>
      <w:r>
        <w:rPr>
          <w:i/>
        </w:rPr>
        <w:t>nonfocal</w:t>
      </w:r>
      <w:proofErr w:type="spellEnd"/>
      <w:r>
        <w:rPr>
          <w:i/>
        </w:rPr>
        <w:t xml:space="preserve"> </w:t>
      </w:r>
      <w:r>
        <w:t xml:space="preserve">condition, participants were required to judge the number of shapes on each trial </w:t>
      </w:r>
      <w:r>
        <w:rPr>
          <w:spacing w:val="-3"/>
        </w:rPr>
        <w:t xml:space="preserve">of </w:t>
      </w:r>
      <w:r>
        <w:t xml:space="preserve">the ongoing task, as described above. On each trial, the background </w:t>
      </w:r>
      <w:proofErr w:type="spellStart"/>
      <w:r>
        <w:t>colour</w:t>
      </w:r>
      <w:proofErr w:type="spellEnd"/>
      <w:r>
        <w:t xml:space="preserve"> </w:t>
      </w:r>
      <w:r>
        <w:rPr>
          <w:spacing w:val="-3"/>
        </w:rPr>
        <w:t xml:space="preserve">of </w:t>
      </w:r>
      <w:r>
        <w:t xml:space="preserve">the screen changed (possible </w:t>
      </w:r>
      <w:proofErr w:type="spellStart"/>
      <w:r>
        <w:t>colours</w:t>
      </w:r>
      <w:proofErr w:type="spellEnd"/>
      <w:r>
        <w:t>: blue, green, orange, purple, or yellow). Also, while participants were completing the task, three different background tones (275Hz, 750Hz, 1012.5Hz)</w:t>
      </w:r>
      <w:r>
        <w:rPr>
          <w:spacing w:val="-8"/>
        </w:rPr>
        <w:t xml:space="preserve"> </w:t>
      </w:r>
      <w:r>
        <w:t>were</w:t>
      </w:r>
      <w:r>
        <w:rPr>
          <w:spacing w:val="-11"/>
        </w:rPr>
        <w:t xml:space="preserve"> </w:t>
      </w:r>
      <w:r>
        <w:t>played</w:t>
      </w:r>
      <w:r>
        <w:rPr>
          <w:spacing w:val="-10"/>
        </w:rPr>
        <w:t xml:space="preserve"> </w:t>
      </w:r>
      <w:r>
        <w:t>continuously</w:t>
      </w:r>
      <w:r>
        <w:rPr>
          <w:spacing w:val="-9"/>
        </w:rPr>
        <w:t xml:space="preserve"> </w:t>
      </w:r>
      <w:r>
        <w:t>in</w:t>
      </w:r>
      <w:r>
        <w:rPr>
          <w:spacing w:val="-14"/>
        </w:rPr>
        <w:t xml:space="preserve"> </w:t>
      </w:r>
      <w:r>
        <w:t>random</w:t>
      </w:r>
      <w:r>
        <w:rPr>
          <w:spacing w:val="-9"/>
        </w:rPr>
        <w:t xml:space="preserve"> </w:t>
      </w:r>
      <w:r>
        <w:t>order</w:t>
      </w:r>
      <w:r>
        <w:rPr>
          <w:spacing w:val="-7"/>
        </w:rPr>
        <w:t xml:space="preserve"> </w:t>
      </w:r>
      <w:r>
        <w:t>over</w:t>
      </w:r>
      <w:r>
        <w:rPr>
          <w:spacing w:val="-8"/>
        </w:rPr>
        <w:t xml:space="preserve"> </w:t>
      </w:r>
      <w:r>
        <w:t>the</w:t>
      </w:r>
      <w:r>
        <w:rPr>
          <w:spacing w:val="-11"/>
        </w:rPr>
        <w:t xml:space="preserve"> </w:t>
      </w:r>
      <w:r>
        <w:t>computer</w:t>
      </w:r>
      <w:r>
        <w:rPr>
          <w:spacing w:val="-13"/>
        </w:rPr>
        <w:t xml:space="preserve"> </w:t>
      </w:r>
      <w:r>
        <w:t>speakers.</w:t>
      </w:r>
      <w:r>
        <w:rPr>
          <w:spacing w:val="45"/>
        </w:rPr>
        <w:t xml:space="preserve"> </w:t>
      </w:r>
      <w:r>
        <w:t>Tones</w:t>
      </w:r>
      <w:r>
        <w:rPr>
          <w:spacing w:val="-12"/>
        </w:rPr>
        <w:t xml:space="preserve"> </w:t>
      </w:r>
      <w:r>
        <w:t>were presented at a rate of one every two seconds and each lasted 600ms. In t</w:t>
      </w:r>
      <w:r>
        <w:t xml:space="preserve">his condition, the </w:t>
      </w:r>
      <w:r>
        <w:rPr>
          <w:i/>
        </w:rPr>
        <w:t>PM instruction</w:t>
      </w:r>
      <w:r>
        <w:rPr>
          <w:i/>
          <w:spacing w:val="-6"/>
        </w:rPr>
        <w:t xml:space="preserve"> </w:t>
      </w:r>
      <w:r>
        <w:t>was</w:t>
      </w:r>
      <w:r>
        <w:rPr>
          <w:spacing w:val="-7"/>
        </w:rPr>
        <w:t xml:space="preserve"> </w:t>
      </w:r>
      <w:r>
        <w:t>to</w:t>
      </w:r>
      <w:r>
        <w:rPr>
          <w:spacing w:val="-5"/>
        </w:rPr>
        <w:t xml:space="preserve"> </w:t>
      </w:r>
      <w:r>
        <w:t>press</w:t>
      </w:r>
      <w:r>
        <w:rPr>
          <w:spacing w:val="-8"/>
        </w:rPr>
        <w:t xml:space="preserve"> </w:t>
      </w:r>
      <w:r>
        <w:t>a</w:t>
      </w:r>
      <w:r>
        <w:rPr>
          <w:spacing w:val="-6"/>
        </w:rPr>
        <w:t xml:space="preserve"> </w:t>
      </w:r>
      <w:r>
        <w:t>specific</w:t>
      </w:r>
      <w:r>
        <w:rPr>
          <w:spacing w:val="-6"/>
        </w:rPr>
        <w:t xml:space="preserve"> </w:t>
      </w:r>
      <w:r>
        <w:t>keyboard</w:t>
      </w:r>
      <w:r>
        <w:rPr>
          <w:spacing w:val="-5"/>
        </w:rPr>
        <w:t xml:space="preserve"> </w:t>
      </w:r>
      <w:r>
        <w:t>key</w:t>
      </w:r>
      <w:r>
        <w:rPr>
          <w:spacing w:val="-6"/>
        </w:rPr>
        <w:t xml:space="preserve"> </w:t>
      </w:r>
      <w:r>
        <w:t>(rather</w:t>
      </w:r>
      <w:r>
        <w:rPr>
          <w:spacing w:val="-3"/>
        </w:rPr>
        <w:t xml:space="preserve"> </w:t>
      </w:r>
      <w:r>
        <w:t>than</w:t>
      </w:r>
      <w:r>
        <w:rPr>
          <w:spacing w:val="-5"/>
        </w:rPr>
        <w:t xml:space="preserve"> </w:t>
      </w:r>
      <w:r>
        <w:t>judging</w:t>
      </w:r>
      <w:r>
        <w:rPr>
          <w:spacing w:val="-11"/>
        </w:rPr>
        <w:t xml:space="preserve"> </w:t>
      </w:r>
      <w:r>
        <w:t>numbers</w:t>
      </w:r>
      <w:r>
        <w:rPr>
          <w:spacing w:val="-7"/>
        </w:rPr>
        <w:t xml:space="preserve"> </w:t>
      </w:r>
      <w:r>
        <w:t>of</w:t>
      </w:r>
      <w:r>
        <w:rPr>
          <w:spacing w:val="-8"/>
        </w:rPr>
        <w:t xml:space="preserve"> </w:t>
      </w:r>
      <w:r>
        <w:t>shapes)</w:t>
      </w:r>
      <w:r>
        <w:rPr>
          <w:spacing w:val="-3"/>
        </w:rPr>
        <w:t xml:space="preserve"> </w:t>
      </w:r>
      <w:r>
        <w:t xml:space="preserve">every time either a) the background </w:t>
      </w:r>
      <w:proofErr w:type="spellStart"/>
      <w:r>
        <w:t>colour</w:t>
      </w:r>
      <w:proofErr w:type="spellEnd"/>
      <w:r>
        <w:t xml:space="preserve"> of the screen was yellow (PM background </w:t>
      </w:r>
      <w:proofErr w:type="spellStart"/>
      <w:r>
        <w:t>colour</w:t>
      </w:r>
      <w:proofErr w:type="spellEnd"/>
      <w:r>
        <w:t xml:space="preserve"> cue; </w:t>
      </w:r>
      <w:proofErr w:type="spellStart"/>
      <w:r>
        <w:rPr>
          <w:position w:val="2"/>
        </w:rPr>
        <w:t>PM</w:t>
      </w:r>
      <w:r>
        <w:rPr>
          <w:position w:val="2"/>
          <w:vertAlign w:val="subscript"/>
        </w:rPr>
        <w:t>background</w:t>
      </w:r>
      <w:proofErr w:type="spellEnd"/>
      <w:r>
        <w:rPr>
          <w:position w:val="2"/>
        </w:rPr>
        <w:t xml:space="preserve">), </w:t>
      </w:r>
      <w:r>
        <w:rPr>
          <w:spacing w:val="-3"/>
          <w:position w:val="2"/>
        </w:rPr>
        <w:t xml:space="preserve">or </w:t>
      </w:r>
      <w:r>
        <w:rPr>
          <w:position w:val="2"/>
        </w:rPr>
        <w:t xml:space="preserve">b) the 750Hz tone sounded in the background (PM sound cue; </w:t>
      </w:r>
      <w:proofErr w:type="spellStart"/>
      <w:r>
        <w:rPr>
          <w:position w:val="2"/>
        </w:rPr>
        <w:t>PM</w:t>
      </w:r>
      <w:r>
        <w:rPr>
          <w:position w:val="2"/>
          <w:vertAlign w:val="subscript"/>
        </w:rPr>
        <w:t>sound</w:t>
      </w:r>
      <w:proofErr w:type="spellEnd"/>
      <w:r>
        <w:rPr>
          <w:position w:val="2"/>
        </w:rPr>
        <w:t xml:space="preserve">). In </w:t>
      </w:r>
      <w:r>
        <w:t>other</w:t>
      </w:r>
      <w:r>
        <w:rPr>
          <w:spacing w:val="-4"/>
        </w:rPr>
        <w:t xml:space="preserve"> </w:t>
      </w:r>
      <w:r>
        <w:t>words,</w:t>
      </w:r>
      <w:r>
        <w:rPr>
          <w:spacing w:val="-7"/>
        </w:rPr>
        <w:t xml:space="preserve"> </w:t>
      </w:r>
      <w:r>
        <w:t>participants</w:t>
      </w:r>
      <w:r>
        <w:rPr>
          <w:spacing w:val="-7"/>
        </w:rPr>
        <w:t xml:space="preserve"> </w:t>
      </w:r>
      <w:r>
        <w:t>had</w:t>
      </w:r>
      <w:r>
        <w:rPr>
          <w:spacing w:val="-5"/>
        </w:rPr>
        <w:t xml:space="preserve"> </w:t>
      </w:r>
      <w:r>
        <w:t>to</w:t>
      </w:r>
      <w:r>
        <w:rPr>
          <w:spacing w:val="-10"/>
        </w:rPr>
        <w:t xml:space="preserve"> </w:t>
      </w:r>
      <w:r>
        <w:t>interrupt</w:t>
      </w:r>
      <w:r>
        <w:rPr>
          <w:spacing w:val="-9"/>
        </w:rPr>
        <w:t xml:space="preserve"> </w:t>
      </w:r>
      <w:r>
        <w:t>their</w:t>
      </w:r>
      <w:r>
        <w:rPr>
          <w:spacing w:val="-4"/>
        </w:rPr>
        <w:t xml:space="preserve"> </w:t>
      </w:r>
      <w:r>
        <w:t>ongoing</w:t>
      </w:r>
      <w:r>
        <w:rPr>
          <w:spacing w:val="-5"/>
        </w:rPr>
        <w:t xml:space="preserve"> </w:t>
      </w:r>
      <w:r>
        <w:t>task</w:t>
      </w:r>
      <w:r>
        <w:rPr>
          <w:spacing w:val="-5"/>
        </w:rPr>
        <w:t xml:space="preserve"> </w:t>
      </w:r>
      <w:r>
        <w:t>performance</w:t>
      </w:r>
      <w:r>
        <w:rPr>
          <w:spacing w:val="-6"/>
        </w:rPr>
        <w:t xml:space="preserve"> </w:t>
      </w:r>
      <w:r>
        <w:t>and</w:t>
      </w:r>
      <w:r>
        <w:rPr>
          <w:spacing w:val="-5"/>
        </w:rPr>
        <w:t xml:space="preserve"> </w:t>
      </w:r>
      <w:r>
        <w:t>complete</w:t>
      </w:r>
      <w:r>
        <w:rPr>
          <w:spacing w:val="-6"/>
        </w:rPr>
        <w:t xml:space="preserve"> </w:t>
      </w:r>
      <w:r>
        <w:t>the</w:t>
      </w:r>
      <w:r>
        <w:rPr>
          <w:spacing w:val="-11"/>
        </w:rPr>
        <w:t xml:space="preserve"> </w:t>
      </w:r>
      <w:r>
        <w:t>PM instruction every time one of these PM cues occurred. There were 80 trials in this condition, of which eight contained a PM cue (four trials had a yellow background; four trials were accompanied by the 750Hz</w:t>
      </w:r>
      <w:r>
        <w:rPr>
          <w:spacing w:val="5"/>
        </w:rPr>
        <w:t xml:space="preserve"> </w:t>
      </w:r>
      <w:r>
        <w:t>tone).</w:t>
      </w:r>
    </w:p>
    <w:p w14:paraId="6ABE815C" w14:textId="77777777" w:rsidR="00C75312" w:rsidRDefault="00BB293A">
      <w:pPr>
        <w:pStyle w:val="BodyText"/>
        <w:spacing w:before="137" w:line="480" w:lineRule="auto"/>
        <w:ind w:left="140" w:right="1429" w:firstLine="720"/>
        <w:jc w:val="both"/>
      </w:pPr>
      <w:r>
        <w:t xml:space="preserve">In a </w:t>
      </w:r>
      <w:r>
        <w:rPr>
          <w:i/>
        </w:rPr>
        <w:t>focal condition</w:t>
      </w:r>
      <w:r>
        <w:t xml:space="preserve">, participants were required to judge the number of shapes on each trial of the ongoing task. The background </w:t>
      </w:r>
      <w:proofErr w:type="spellStart"/>
      <w:r>
        <w:t>colour</w:t>
      </w:r>
      <w:proofErr w:type="spellEnd"/>
      <w:r>
        <w:t xml:space="preserve"> of the screen was grey on each trial. To</w:t>
      </w:r>
    </w:p>
    <w:p w14:paraId="29759A7D" w14:textId="77777777" w:rsidR="00C75312" w:rsidRDefault="00C75312">
      <w:pPr>
        <w:spacing w:line="480" w:lineRule="auto"/>
        <w:jc w:val="both"/>
        <w:sectPr w:rsidR="00C75312">
          <w:pgSz w:w="11900" w:h="16840"/>
          <w:pgMar w:top="1140" w:right="0" w:bottom="280" w:left="1300" w:header="715" w:footer="0" w:gutter="0"/>
          <w:cols w:space="720"/>
        </w:sectPr>
      </w:pPr>
    </w:p>
    <w:p w14:paraId="1FB46EC0" w14:textId="77777777" w:rsidR="00C75312" w:rsidRDefault="00C75312">
      <w:pPr>
        <w:pStyle w:val="BodyText"/>
        <w:spacing w:before="2"/>
        <w:rPr>
          <w:sz w:val="18"/>
        </w:rPr>
      </w:pPr>
    </w:p>
    <w:p w14:paraId="68097E36" w14:textId="77777777" w:rsidR="00C75312" w:rsidRDefault="00BB293A">
      <w:pPr>
        <w:pStyle w:val="BodyText"/>
        <w:spacing w:before="90" w:line="475" w:lineRule="auto"/>
        <w:ind w:left="140" w:right="1427"/>
        <w:jc w:val="both"/>
      </w:pPr>
      <w:r>
        <w:rPr>
          <w:noProof/>
        </w:rPr>
        <w:drawing>
          <wp:anchor distT="0" distB="0" distL="0" distR="0" simplePos="0" relativeHeight="37" behindDoc="0" locked="0" layoutInCell="1" allowOverlap="1" wp14:anchorId="675EF46D" wp14:editId="40D3F169">
            <wp:simplePos x="0" y="0"/>
            <wp:positionH relativeFrom="page">
              <wp:posOffset>914400</wp:posOffset>
            </wp:positionH>
            <wp:positionV relativeFrom="paragraph">
              <wp:posOffset>3286785</wp:posOffset>
            </wp:positionV>
            <wp:extent cx="5975745" cy="214312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5975745" cy="2143125"/>
                    </a:xfrm>
                    <a:prstGeom prst="rect">
                      <a:avLst/>
                    </a:prstGeom>
                  </pic:spPr>
                </pic:pic>
              </a:graphicData>
            </a:graphic>
          </wp:anchor>
        </w:drawing>
      </w:r>
      <w:r>
        <w:t>control for background noise, background tones were presented in this condition (370Hz, 495Hz,</w:t>
      </w:r>
      <w:r>
        <w:rPr>
          <w:spacing w:val="-2"/>
        </w:rPr>
        <w:t xml:space="preserve"> </w:t>
      </w:r>
      <w:r>
        <w:t>637.5Hz)</w:t>
      </w:r>
      <w:r>
        <w:rPr>
          <w:spacing w:val="-8"/>
        </w:rPr>
        <w:t xml:space="preserve"> </w:t>
      </w:r>
      <w:r>
        <w:t>at</w:t>
      </w:r>
      <w:r>
        <w:rPr>
          <w:spacing w:val="-3"/>
        </w:rPr>
        <w:t xml:space="preserve"> </w:t>
      </w:r>
      <w:r>
        <w:t>the</w:t>
      </w:r>
      <w:r>
        <w:rPr>
          <w:spacing w:val="-6"/>
        </w:rPr>
        <w:t xml:space="preserve"> </w:t>
      </w:r>
      <w:r>
        <w:t>same</w:t>
      </w:r>
      <w:r>
        <w:rPr>
          <w:spacing w:val="-5"/>
        </w:rPr>
        <w:t xml:space="preserve"> </w:t>
      </w:r>
      <w:r>
        <w:t>rate</w:t>
      </w:r>
      <w:r>
        <w:rPr>
          <w:spacing w:val="-6"/>
        </w:rPr>
        <w:t xml:space="preserve"> </w:t>
      </w:r>
      <w:r>
        <w:t>as</w:t>
      </w:r>
      <w:r>
        <w:rPr>
          <w:spacing w:val="-6"/>
        </w:rPr>
        <w:t xml:space="preserve"> </w:t>
      </w:r>
      <w:r>
        <w:t>in</w:t>
      </w:r>
      <w:r>
        <w:rPr>
          <w:spacing w:val="-5"/>
        </w:rPr>
        <w:t xml:space="preserve"> </w:t>
      </w:r>
      <w:r>
        <w:t>the</w:t>
      </w:r>
      <w:r>
        <w:rPr>
          <w:spacing w:val="-10"/>
        </w:rPr>
        <w:t xml:space="preserve"> </w:t>
      </w:r>
      <w:proofErr w:type="spellStart"/>
      <w:r>
        <w:t>nonfocal</w:t>
      </w:r>
      <w:proofErr w:type="spellEnd"/>
      <w:r>
        <w:rPr>
          <w:spacing w:val="-4"/>
        </w:rPr>
        <w:t xml:space="preserve"> </w:t>
      </w:r>
      <w:r>
        <w:t>condition,</w:t>
      </w:r>
      <w:r>
        <w:rPr>
          <w:spacing w:val="-6"/>
        </w:rPr>
        <w:t xml:space="preserve"> </w:t>
      </w:r>
      <w:r>
        <w:t>but</w:t>
      </w:r>
      <w:r>
        <w:rPr>
          <w:spacing w:val="-4"/>
        </w:rPr>
        <w:t xml:space="preserve"> </w:t>
      </w:r>
      <w:r>
        <w:t>participants</w:t>
      </w:r>
      <w:r>
        <w:rPr>
          <w:spacing w:val="-6"/>
        </w:rPr>
        <w:t xml:space="preserve"> </w:t>
      </w:r>
      <w:r>
        <w:t>were</w:t>
      </w:r>
      <w:r>
        <w:rPr>
          <w:spacing w:val="-6"/>
        </w:rPr>
        <w:t xml:space="preserve"> </w:t>
      </w:r>
      <w:r>
        <w:t xml:space="preserve">instructed to ignore the tones. In this condition, the </w:t>
      </w:r>
      <w:r>
        <w:rPr>
          <w:i/>
        </w:rPr>
        <w:t xml:space="preserve">PM task </w:t>
      </w:r>
      <w:r>
        <w:t xml:space="preserve">was to press a specific keyboard key (rather than judging numbers of shapes) every time either a) exactly six shapes appeared on screen </w:t>
      </w:r>
      <w:r>
        <w:rPr>
          <w:position w:val="2"/>
        </w:rPr>
        <w:t xml:space="preserve">(PM amount cue; </w:t>
      </w:r>
      <w:proofErr w:type="spellStart"/>
      <w:r>
        <w:rPr>
          <w:position w:val="2"/>
        </w:rPr>
        <w:t>PM</w:t>
      </w:r>
      <w:r>
        <w:rPr>
          <w:position w:val="2"/>
          <w:vertAlign w:val="subscript"/>
        </w:rPr>
        <w:t>amount</w:t>
      </w:r>
      <w:proofErr w:type="spellEnd"/>
      <w:r>
        <w:rPr>
          <w:position w:val="2"/>
        </w:rPr>
        <w:t xml:space="preserve">), </w:t>
      </w:r>
      <w:r>
        <w:rPr>
          <w:i/>
          <w:position w:val="2"/>
        </w:rPr>
        <w:t xml:space="preserve">or </w:t>
      </w:r>
      <w:r>
        <w:rPr>
          <w:spacing w:val="-3"/>
          <w:position w:val="2"/>
        </w:rPr>
        <w:t xml:space="preserve">b) </w:t>
      </w:r>
      <w:r>
        <w:rPr>
          <w:position w:val="2"/>
        </w:rPr>
        <w:t xml:space="preserve">a diamond shape appeared on screen (PM shape cue; </w:t>
      </w:r>
      <w:proofErr w:type="spellStart"/>
      <w:r>
        <w:rPr>
          <w:position w:val="2"/>
        </w:rPr>
        <w:t>PM</w:t>
      </w:r>
      <w:r>
        <w:rPr>
          <w:position w:val="2"/>
          <w:vertAlign w:val="subscript"/>
        </w:rPr>
        <w:t>shape</w:t>
      </w:r>
      <w:proofErr w:type="spellEnd"/>
      <w:r>
        <w:rPr>
          <w:position w:val="2"/>
        </w:rPr>
        <w:t xml:space="preserve">). In other words, participants had to interrupt their ongoing task performance and </w:t>
      </w:r>
      <w:r>
        <w:t>complete the PM instruction every time one of these PM cues occurred. There were 80 trials in</w:t>
      </w:r>
      <w:r>
        <w:rPr>
          <w:spacing w:val="-10"/>
        </w:rPr>
        <w:t xml:space="preserve"> </w:t>
      </w:r>
      <w:r>
        <w:t>this</w:t>
      </w:r>
      <w:r>
        <w:rPr>
          <w:spacing w:val="-17"/>
        </w:rPr>
        <w:t xml:space="preserve"> </w:t>
      </w:r>
      <w:r>
        <w:t>condition,</w:t>
      </w:r>
      <w:r>
        <w:rPr>
          <w:spacing w:val="-12"/>
        </w:rPr>
        <w:t xml:space="preserve"> </w:t>
      </w:r>
      <w:r>
        <w:t>of</w:t>
      </w:r>
      <w:r>
        <w:rPr>
          <w:spacing w:val="-12"/>
        </w:rPr>
        <w:t xml:space="preserve"> </w:t>
      </w:r>
      <w:r>
        <w:t>which</w:t>
      </w:r>
      <w:r>
        <w:rPr>
          <w:spacing w:val="-14"/>
        </w:rPr>
        <w:t xml:space="preserve"> </w:t>
      </w:r>
      <w:r>
        <w:t>eight</w:t>
      </w:r>
      <w:r>
        <w:rPr>
          <w:spacing w:val="-14"/>
        </w:rPr>
        <w:t xml:space="preserve"> </w:t>
      </w:r>
      <w:r>
        <w:t>contained</w:t>
      </w:r>
      <w:r>
        <w:rPr>
          <w:spacing w:val="-10"/>
        </w:rPr>
        <w:t xml:space="preserve"> </w:t>
      </w:r>
      <w:r>
        <w:t>a</w:t>
      </w:r>
      <w:r>
        <w:rPr>
          <w:spacing w:val="-14"/>
        </w:rPr>
        <w:t xml:space="preserve"> </w:t>
      </w:r>
      <w:r>
        <w:t>PM</w:t>
      </w:r>
      <w:r>
        <w:rPr>
          <w:spacing w:val="-12"/>
        </w:rPr>
        <w:t xml:space="preserve"> </w:t>
      </w:r>
      <w:r>
        <w:t>cue</w:t>
      </w:r>
      <w:r>
        <w:rPr>
          <w:spacing w:val="-11"/>
        </w:rPr>
        <w:t xml:space="preserve"> </w:t>
      </w:r>
      <w:r>
        <w:t>(four</w:t>
      </w:r>
      <w:r>
        <w:rPr>
          <w:spacing w:val="-13"/>
        </w:rPr>
        <w:t xml:space="preserve"> </w:t>
      </w:r>
      <w:r>
        <w:t>trials</w:t>
      </w:r>
      <w:r>
        <w:rPr>
          <w:spacing w:val="-11"/>
        </w:rPr>
        <w:t xml:space="preserve"> </w:t>
      </w:r>
      <w:r>
        <w:t>contained</w:t>
      </w:r>
      <w:r>
        <w:rPr>
          <w:spacing w:val="-14"/>
        </w:rPr>
        <w:t xml:space="preserve"> </w:t>
      </w:r>
      <w:r>
        <w:t>six</w:t>
      </w:r>
      <w:r>
        <w:rPr>
          <w:spacing w:val="-14"/>
        </w:rPr>
        <w:t xml:space="preserve"> </w:t>
      </w:r>
      <w:r>
        <w:t>shapes;</w:t>
      </w:r>
      <w:r>
        <w:rPr>
          <w:spacing w:val="-9"/>
        </w:rPr>
        <w:t xml:space="preserve"> </w:t>
      </w:r>
      <w:r>
        <w:t>four</w:t>
      </w:r>
      <w:r>
        <w:rPr>
          <w:spacing w:val="-12"/>
        </w:rPr>
        <w:t xml:space="preserve"> </w:t>
      </w:r>
      <w:r>
        <w:t>trials contained a</w:t>
      </w:r>
      <w:r>
        <w:rPr>
          <w:spacing w:val="2"/>
        </w:rPr>
        <w:t xml:space="preserve"> </w:t>
      </w:r>
      <w:r>
        <w:t>diamond).</w:t>
      </w:r>
    </w:p>
    <w:p w14:paraId="4F3BBBE0" w14:textId="77777777" w:rsidR="00C75312" w:rsidRDefault="00BB293A">
      <w:pPr>
        <w:spacing w:before="134"/>
        <w:ind w:left="140" w:right="1454"/>
        <w:jc w:val="both"/>
        <w:rPr>
          <w:i/>
          <w:sz w:val="20"/>
        </w:rPr>
      </w:pPr>
      <w:r>
        <w:rPr>
          <w:i/>
          <w:sz w:val="20"/>
        </w:rPr>
        <w:t xml:space="preserve">Figure 5. Depiction of possible trials and outcomes a) during the focal PM condition and b) during the </w:t>
      </w:r>
      <w:proofErr w:type="spellStart"/>
      <w:r>
        <w:rPr>
          <w:i/>
          <w:sz w:val="20"/>
        </w:rPr>
        <w:t>nonfocal</w:t>
      </w:r>
      <w:proofErr w:type="spellEnd"/>
      <w:r>
        <w:rPr>
          <w:i/>
          <w:sz w:val="20"/>
        </w:rPr>
        <w:t xml:space="preserve"> PM condition.</w:t>
      </w:r>
    </w:p>
    <w:p w14:paraId="41A36D8C" w14:textId="77777777" w:rsidR="00C75312" w:rsidRDefault="00C75312">
      <w:pPr>
        <w:pStyle w:val="BodyText"/>
        <w:spacing w:before="9"/>
        <w:rPr>
          <w:i/>
        </w:rPr>
      </w:pPr>
    </w:p>
    <w:p w14:paraId="35AE604A" w14:textId="77777777" w:rsidR="00C75312" w:rsidRDefault="00BB293A">
      <w:pPr>
        <w:pStyle w:val="BodyText"/>
        <w:spacing w:line="480" w:lineRule="auto"/>
        <w:ind w:left="140" w:right="1427" w:firstLine="720"/>
        <w:jc w:val="both"/>
      </w:pPr>
      <w:r>
        <w:t>Prior to the start of each condition, participants were instructed verbally about the ongoing</w:t>
      </w:r>
      <w:r>
        <w:rPr>
          <w:spacing w:val="-5"/>
        </w:rPr>
        <w:t xml:space="preserve"> </w:t>
      </w:r>
      <w:r>
        <w:t>task,</w:t>
      </w:r>
      <w:r>
        <w:rPr>
          <w:spacing w:val="-1"/>
        </w:rPr>
        <w:t xml:space="preserve"> </w:t>
      </w:r>
      <w:r>
        <w:t>followed</w:t>
      </w:r>
      <w:r>
        <w:rPr>
          <w:spacing w:val="-5"/>
        </w:rPr>
        <w:t xml:space="preserve"> </w:t>
      </w:r>
      <w:r>
        <w:t>by</w:t>
      </w:r>
      <w:r>
        <w:rPr>
          <w:spacing w:val="-4"/>
        </w:rPr>
        <w:t xml:space="preserve"> </w:t>
      </w:r>
      <w:r>
        <w:t>five</w:t>
      </w:r>
      <w:r>
        <w:rPr>
          <w:spacing w:val="-5"/>
        </w:rPr>
        <w:t xml:space="preserve"> </w:t>
      </w:r>
      <w:r>
        <w:t>practice</w:t>
      </w:r>
      <w:r>
        <w:rPr>
          <w:spacing w:val="-6"/>
        </w:rPr>
        <w:t xml:space="preserve"> </w:t>
      </w:r>
      <w:r>
        <w:t>trials</w:t>
      </w:r>
      <w:r>
        <w:rPr>
          <w:spacing w:val="-6"/>
        </w:rPr>
        <w:t xml:space="preserve"> </w:t>
      </w:r>
      <w:r>
        <w:t>to</w:t>
      </w:r>
      <w:r>
        <w:rPr>
          <w:spacing w:val="-4"/>
        </w:rPr>
        <w:t xml:space="preserve"> </w:t>
      </w:r>
      <w:proofErr w:type="spellStart"/>
      <w:r>
        <w:t>familiarise</w:t>
      </w:r>
      <w:proofErr w:type="spellEnd"/>
      <w:r>
        <w:rPr>
          <w:spacing w:val="-6"/>
        </w:rPr>
        <w:t xml:space="preserve"> </w:t>
      </w:r>
      <w:r>
        <w:t>them</w:t>
      </w:r>
      <w:r>
        <w:rPr>
          <w:spacing w:val="-3"/>
        </w:rPr>
        <w:t xml:space="preserve"> </w:t>
      </w:r>
      <w:r>
        <w:t>with</w:t>
      </w:r>
      <w:r>
        <w:rPr>
          <w:spacing w:val="-4"/>
        </w:rPr>
        <w:t xml:space="preserve"> </w:t>
      </w:r>
      <w:r>
        <w:t>the</w:t>
      </w:r>
      <w:r>
        <w:rPr>
          <w:spacing w:val="-6"/>
        </w:rPr>
        <w:t xml:space="preserve"> </w:t>
      </w:r>
      <w:r>
        <w:t>ongoing</w:t>
      </w:r>
      <w:r>
        <w:rPr>
          <w:spacing w:val="-4"/>
        </w:rPr>
        <w:t xml:space="preserve"> </w:t>
      </w:r>
      <w:r>
        <w:t>task</w:t>
      </w:r>
      <w:r>
        <w:rPr>
          <w:spacing w:val="-4"/>
        </w:rPr>
        <w:t xml:space="preserve"> </w:t>
      </w:r>
      <w:r>
        <w:t>and</w:t>
      </w:r>
      <w:r>
        <w:rPr>
          <w:spacing w:val="-5"/>
        </w:rPr>
        <w:t xml:space="preserve"> </w:t>
      </w:r>
      <w:r>
        <w:t xml:space="preserve">the sounds in the background, before they were given the PM instructions. Moreover, it was ensured that the participants could discriminate between the three beep sounds used in the </w:t>
      </w:r>
      <w:proofErr w:type="spellStart"/>
      <w:r>
        <w:t>nonfocal</w:t>
      </w:r>
      <w:proofErr w:type="spellEnd"/>
      <w:r>
        <w:t xml:space="preserve"> condition using a short discrimination task. Participants were instructed to listen carefully to each sound, which sounded three times, so that they could get a general understanding of the sounds. Subsequently, the sounds were played in random order (nine trials) and participants had to indicate which of the three soun</w:t>
      </w:r>
      <w:r>
        <w:t>ds they heard.</w:t>
      </w:r>
      <w:r>
        <w:rPr>
          <w:spacing w:val="16"/>
        </w:rPr>
        <w:t xml:space="preserve"> </w:t>
      </w:r>
      <w:r>
        <w:t>Participants had</w:t>
      </w:r>
    </w:p>
    <w:p w14:paraId="7DB0B4D8" w14:textId="77777777" w:rsidR="00C75312" w:rsidRDefault="00C75312">
      <w:pPr>
        <w:spacing w:line="480" w:lineRule="auto"/>
        <w:jc w:val="both"/>
        <w:sectPr w:rsidR="00C75312">
          <w:pgSz w:w="11900" w:h="16840"/>
          <w:pgMar w:top="1140" w:right="0" w:bottom="280" w:left="1300" w:header="715" w:footer="0" w:gutter="0"/>
          <w:cols w:space="720"/>
        </w:sectPr>
      </w:pPr>
    </w:p>
    <w:p w14:paraId="7F16CAFC" w14:textId="77777777" w:rsidR="00C75312" w:rsidRDefault="00C75312">
      <w:pPr>
        <w:pStyle w:val="BodyText"/>
        <w:spacing w:before="2"/>
        <w:rPr>
          <w:sz w:val="18"/>
        </w:rPr>
      </w:pPr>
    </w:p>
    <w:p w14:paraId="287623F4" w14:textId="77777777" w:rsidR="00C75312" w:rsidRDefault="00BB293A">
      <w:pPr>
        <w:pStyle w:val="BodyText"/>
        <w:spacing w:before="90" w:line="480" w:lineRule="auto"/>
        <w:ind w:left="140" w:right="1424"/>
        <w:jc w:val="both"/>
      </w:pPr>
      <w:r>
        <w:t>to</w:t>
      </w:r>
      <w:r>
        <w:rPr>
          <w:spacing w:val="-6"/>
        </w:rPr>
        <w:t xml:space="preserve"> </w:t>
      </w:r>
      <w:r>
        <w:t>correctly</w:t>
      </w:r>
      <w:r>
        <w:rPr>
          <w:spacing w:val="-5"/>
        </w:rPr>
        <w:t xml:space="preserve"> </w:t>
      </w:r>
      <w:r>
        <w:t>identify</w:t>
      </w:r>
      <w:r>
        <w:rPr>
          <w:spacing w:val="-11"/>
        </w:rPr>
        <w:t xml:space="preserve"> </w:t>
      </w:r>
      <w:r>
        <w:t>each</w:t>
      </w:r>
      <w:r>
        <w:rPr>
          <w:spacing w:val="-5"/>
        </w:rPr>
        <w:t xml:space="preserve"> </w:t>
      </w:r>
      <w:r>
        <w:t>sound</w:t>
      </w:r>
      <w:r>
        <w:rPr>
          <w:spacing w:val="-5"/>
        </w:rPr>
        <w:t xml:space="preserve"> </w:t>
      </w:r>
      <w:r>
        <w:t>in</w:t>
      </w:r>
      <w:r>
        <w:rPr>
          <w:spacing w:val="-11"/>
        </w:rPr>
        <w:t xml:space="preserve"> </w:t>
      </w:r>
      <w:r>
        <w:t>at</w:t>
      </w:r>
      <w:r>
        <w:rPr>
          <w:spacing w:val="-9"/>
        </w:rPr>
        <w:t xml:space="preserve"> </w:t>
      </w:r>
      <w:r>
        <w:t>least</w:t>
      </w:r>
      <w:r>
        <w:rPr>
          <w:spacing w:val="-4"/>
        </w:rPr>
        <w:t xml:space="preserve"> </w:t>
      </w:r>
      <w:r>
        <w:t>seven</w:t>
      </w:r>
      <w:r>
        <w:rPr>
          <w:spacing w:val="-6"/>
        </w:rPr>
        <w:t xml:space="preserve"> </w:t>
      </w:r>
      <w:r>
        <w:t>out</w:t>
      </w:r>
      <w:r>
        <w:rPr>
          <w:spacing w:val="-4"/>
        </w:rPr>
        <w:t xml:space="preserve"> </w:t>
      </w:r>
      <w:r>
        <w:t>of</w:t>
      </w:r>
      <w:r>
        <w:rPr>
          <w:spacing w:val="-9"/>
        </w:rPr>
        <w:t xml:space="preserve"> </w:t>
      </w:r>
      <w:r>
        <w:t>the</w:t>
      </w:r>
      <w:r>
        <w:rPr>
          <w:spacing w:val="-11"/>
        </w:rPr>
        <w:t xml:space="preserve"> </w:t>
      </w:r>
      <w:r>
        <w:t>nine</w:t>
      </w:r>
      <w:r>
        <w:rPr>
          <w:spacing w:val="-11"/>
        </w:rPr>
        <w:t xml:space="preserve"> </w:t>
      </w:r>
      <w:r>
        <w:t>trials</w:t>
      </w:r>
      <w:r>
        <w:rPr>
          <w:spacing w:val="-12"/>
        </w:rPr>
        <w:t xml:space="preserve"> </w:t>
      </w:r>
      <w:r>
        <w:t>to</w:t>
      </w:r>
      <w:r>
        <w:rPr>
          <w:spacing w:val="-10"/>
        </w:rPr>
        <w:t xml:space="preserve"> </w:t>
      </w:r>
      <w:r>
        <w:t>pass</w:t>
      </w:r>
      <w:r>
        <w:rPr>
          <w:spacing w:val="-8"/>
        </w:rPr>
        <w:t xml:space="preserve"> </w:t>
      </w:r>
      <w:r>
        <w:t>the</w:t>
      </w:r>
      <w:r>
        <w:rPr>
          <w:spacing w:val="-6"/>
        </w:rPr>
        <w:t xml:space="preserve"> </w:t>
      </w:r>
      <w:r>
        <w:t>discrimination task. If participants had identified fewer sounds correctly (which was the case for two participants from each group), they completed another set of practice trials. All participants in the</w:t>
      </w:r>
      <w:r>
        <w:rPr>
          <w:spacing w:val="-1"/>
        </w:rPr>
        <w:t xml:space="preserve"> </w:t>
      </w:r>
      <w:r>
        <w:t>second set</w:t>
      </w:r>
      <w:r>
        <w:rPr>
          <w:spacing w:val="-3"/>
        </w:rPr>
        <w:t xml:space="preserve"> </w:t>
      </w:r>
      <w:r>
        <w:t>of</w:t>
      </w:r>
      <w:r>
        <w:rPr>
          <w:spacing w:val="-3"/>
        </w:rPr>
        <w:t xml:space="preserve"> </w:t>
      </w:r>
      <w:r>
        <w:t>practice</w:t>
      </w:r>
      <w:r>
        <w:rPr>
          <w:spacing w:val="-6"/>
        </w:rPr>
        <w:t xml:space="preserve"> </w:t>
      </w:r>
      <w:r>
        <w:t>trial</w:t>
      </w:r>
      <w:r>
        <w:rPr>
          <w:spacing w:val="-3"/>
        </w:rPr>
        <w:t xml:space="preserve"> </w:t>
      </w:r>
      <w:r>
        <w:t>had</w:t>
      </w:r>
      <w:r>
        <w:rPr>
          <w:spacing w:val="-5"/>
        </w:rPr>
        <w:t xml:space="preserve"> </w:t>
      </w:r>
      <w:r>
        <w:t>at</w:t>
      </w:r>
      <w:r>
        <w:rPr>
          <w:spacing w:val="-3"/>
        </w:rPr>
        <w:t xml:space="preserve"> </w:t>
      </w:r>
      <w:r>
        <w:t>most</w:t>
      </w:r>
      <w:r>
        <w:rPr>
          <w:spacing w:val="-4"/>
        </w:rPr>
        <w:t xml:space="preserve"> </w:t>
      </w:r>
      <w:r>
        <w:t>one</w:t>
      </w:r>
      <w:r>
        <w:rPr>
          <w:spacing w:val="-5"/>
        </w:rPr>
        <w:t xml:space="preserve"> </w:t>
      </w:r>
      <w:r>
        <w:t>error</w:t>
      </w:r>
      <w:r>
        <w:rPr>
          <w:spacing w:val="2"/>
        </w:rPr>
        <w:t xml:space="preserve"> </w:t>
      </w:r>
      <w:r>
        <w:t>and</w:t>
      </w:r>
      <w:r>
        <w:rPr>
          <w:spacing w:val="-5"/>
        </w:rPr>
        <w:t xml:space="preserve"> </w:t>
      </w:r>
      <w:r>
        <w:t>completed</w:t>
      </w:r>
      <w:r>
        <w:rPr>
          <w:spacing w:val="-4"/>
        </w:rPr>
        <w:t xml:space="preserve"> </w:t>
      </w:r>
      <w:r>
        <w:t>the</w:t>
      </w:r>
      <w:r>
        <w:rPr>
          <w:spacing w:val="-6"/>
        </w:rPr>
        <w:t xml:space="preserve"> </w:t>
      </w:r>
      <w:proofErr w:type="spellStart"/>
      <w:r>
        <w:t>nonfocal</w:t>
      </w:r>
      <w:proofErr w:type="spellEnd"/>
      <w:r>
        <w:rPr>
          <w:spacing w:val="-3"/>
        </w:rPr>
        <w:t xml:space="preserve"> </w:t>
      </w:r>
      <w:r>
        <w:t>PM</w:t>
      </w:r>
      <w:r>
        <w:rPr>
          <w:spacing w:val="-7"/>
        </w:rPr>
        <w:t xml:space="preserve"> </w:t>
      </w:r>
      <w:r>
        <w:t xml:space="preserve">condition afterwards. After the completion of each condition, participants’ memory for the PM instruction was verified; participants were asked to tell the experimenter what they had to remember to do while doing the ongoing task. In order to pass participants had to name </w:t>
      </w:r>
      <w:r>
        <w:rPr>
          <w:i/>
        </w:rPr>
        <w:t xml:space="preserve">both </w:t>
      </w:r>
      <w:r>
        <w:t xml:space="preserve">cues and the pre-specified keyboard key. If participants were unable to remember the instructions spontaneously, they were prompted </w:t>
      </w:r>
      <w:r>
        <w:rPr>
          <w:spacing w:val="-3"/>
        </w:rPr>
        <w:t xml:space="preserve">by </w:t>
      </w:r>
      <w:r>
        <w:t>the experimenter who stated that a certain keyboard key should have been pressed on specific occasi</w:t>
      </w:r>
      <w:r>
        <w:t>ons during the task. Participants were</w:t>
      </w:r>
      <w:r>
        <w:rPr>
          <w:spacing w:val="-6"/>
        </w:rPr>
        <w:t xml:space="preserve"> </w:t>
      </w:r>
      <w:r>
        <w:t>then</w:t>
      </w:r>
      <w:r>
        <w:rPr>
          <w:spacing w:val="-5"/>
        </w:rPr>
        <w:t xml:space="preserve"> </w:t>
      </w:r>
      <w:r>
        <w:t>asked</w:t>
      </w:r>
      <w:r>
        <w:rPr>
          <w:spacing w:val="-5"/>
        </w:rPr>
        <w:t xml:space="preserve"> </w:t>
      </w:r>
      <w:r>
        <w:t>to</w:t>
      </w:r>
      <w:r>
        <w:rPr>
          <w:spacing w:val="-5"/>
        </w:rPr>
        <w:t xml:space="preserve"> </w:t>
      </w:r>
      <w:r>
        <w:t>recall</w:t>
      </w:r>
      <w:r>
        <w:rPr>
          <w:spacing w:val="-3"/>
        </w:rPr>
        <w:t xml:space="preserve"> </w:t>
      </w:r>
      <w:r>
        <w:t>what</w:t>
      </w:r>
      <w:r>
        <w:rPr>
          <w:spacing w:val="-4"/>
        </w:rPr>
        <w:t xml:space="preserve"> </w:t>
      </w:r>
      <w:r>
        <w:t>the</w:t>
      </w:r>
      <w:r>
        <w:rPr>
          <w:spacing w:val="-6"/>
        </w:rPr>
        <w:t xml:space="preserve"> </w:t>
      </w:r>
      <w:r>
        <w:t>key</w:t>
      </w:r>
      <w:r>
        <w:rPr>
          <w:spacing w:val="-5"/>
        </w:rPr>
        <w:t xml:space="preserve"> </w:t>
      </w:r>
      <w:r>
        <w:t>was</w:t>
      </w:r>
      <w:r>
        <w:rPr>
          <w:spacing w:val="-6"/>
        </w:rPr>
        <w:t xml:space="preserve"> </w:t>
      </w:r>
      <w:r>
        <w:t>and</w:t>
      </w:r>
      <w:r>
        <w:rPr>
          <w:spacing w:val="-5"/>
        </w:rPr>
        <w:t xml:space="preserve"> </w:t>
      </w:r>
      <w:r>
        <w:t>on</w:t>
      </w:r>
      <w:r>
        <w:rPr>
          <w:spacing w:val="-10"/>
        </w:rPr>
        <w:t xml:space="preserve"> </w:t>
      </w:r>
      <w:r>
        <w:t>what</w:t>
      </w:r>
      <w:r>
        <w:rPr>
          <w:spacing w:val="-4"/>
        </w:rPr>
        <w:t xml:space="preserve"> </w:t>
      </w:r>
      <w:r>
        <w:t>occasions</w:t>
      </w:r>
      <w:r>
        <w:rPr>
          <w:spacing w:val="-6"/>
        </w:rPr>
        <w:t xml:space="preserve"> </w:t>
      </w:r>
      <w:r>
        <w:t>it</w:t>
      </w:r>
      <w:r>
        <w:rPr>
          <w:spacing w:val="-4"/>
        </w:rPr>
        <w:t xml:space="preserve"> </w:t>
      </w:r>
      <w:r>
        <w:t>should</w:t>
      </w:r>
      <w:r>
        <w:rPr>
          <w:spacing w:val="-5"/>
        </w:rPr>
        <w:t xml:space="preserve"> </w:t>
      </w:r>
      <w:r>
        <w:t>have</w:t>
      </w:r>
      <w:r>
        <w:rPr>
          <w:spacing w:val="-6"/>
        </w:rPr>
        <w:t xml:space="preserve"> </w:t>
      </w:r>
      <w:r>
        <w:t>been</w:t>
      </w:r>
      <w:r>
        <w:rPr>
          <w:spacing w:val="-4"/>
        </w:rPr>
        <w:t xml:space="preserve"> </w:t>
      </w:r>
      <w:r>
        <w:t xml:space="preserve">pressed. No participant failed to recall the PM instructions after prompting and there were no group differences in rates </w:t>
      </w:r>
      <w:r>
        <w:rPr>
          <w:spacing w:val="-3"/>
        </w:rPr>
        <w:t xml:space="preserve">of </w:t>
      </w:r>
      <w:r>
        <w:t xml:space="preserve">spontaneous remembering </w:t>
      </w:r>
      <w:r>
        <w:rPr>
          <w:spacing w:val="-3"/>
        </w:rPr>
        <w:t xml:space="preserve">of </w:t>
      </w:r>
      <w:r>
        <w:t>the instruction in either focal (</w:t>
      </w:r>
      <w:r>
        <w:rPr>
          <w:rFonts w:ascii="Cambria" w:hAnsi="Cambria"/>
          <w:i/>
        </w:rPr>
        <w:t>χ</w:t>
      </w:r>
      <w:r>
        <w:rPr>
          <w:i/>
          <w:position w:val="8"/>
          <w:sz w:val="16"/>
        </w:rPr>
        <w:t>2</w:t>
      </w:r>
      <w:r>
        <w:t xml:space="preserve">(1) = 0.36 </w:t>
      </w:r>
      <w:r>
        <w:rPr>
          <w:i/>
        </w:rPr>
        <w:t xml:space="preserve">p </w:t>
      </w:r>
      <w:r>
        <w:t xml:space="preserve">= .55, φ = .10), </w:t>
      </w:r>
      <w:r>
        <w:rPr>
          <w:spacing w:val="-3"/>
        </w:rPr>
        <w:t xml:space="preserve">or </w:t>
      </w:r>
      <w:proofErr w:type="spellStart"/>
      <w:r>
        <w:t>nonfocal</w:t>
      </w:r>
      <w:proofErr w:type="spellEnd"/>
      <w:r>
        <w:t xml:space="preserve"> (</w:t>
      </w:r>
      <w:r>
        <w:rPr>
          <w:rFonts w:ascii="Cambria" w:hAnsi="Cambria"/>
          <w:i/>
        </w:rPr>
        <w:t>χ</w:t>
      </w:r>
      <w:r>
        <w:rPr>
          <w:i/>
          <w:position w:val="8"/>
          <w:sz w:val="16"/>
        </w:rPr>
        <w:t>2</w:t>
      </w:r>
      <w:r>
        <w:t xml:space="preserve">(1) = 0.23 </w:t>
      </w:r>
      <w:r>
        <w:rPr>
          <w:i/>
        </w:rPr>
        <w:t xml:space="preserve">p </w:t>
      </w:r>
      <w:r>
        <w:t>= .63, φ =.08), conditions (see Table</w:t>
      </w:r>
      <w:r>
        <w:rPr>
          <w:spacing w:val="1"/>
        </w:rPr>
        <w:t xml:space="preserve"> </w:t>
      </w:r>
      <w:r>
        <w:rPr>
          <w:spacing w:val="-3"/>
        </w:rPr>
        <w:t>6).</w:t>
      </w:r>
    </w:p>
    <w:p w14:paraId="574E0B99" w14:textId="77777777" w:rsidR="00C75312" w:rsidRDefault="00BB293A">
      <w:pPr>
        <w:spacing w:before="114"/>
        <w:ind w:left="140" w:right="1835"/>
        <w:rPr>
          <w:i/>
          <w:sz w:val="20"/>
        </w:rPr>
      </w:pPr>
      <w:r>
        <w:rPr>
          <w:i/>
          <w:sz w:val="20"/>
        </w:rPr>
        <w:t>Table 6. Number of participants in each group passing the PM instruction memory check spontaneously vs. needing a general prompt in order to pass</w:t>
      </w:r>
    </w:p>
    <w:p w14:paraId="681FE31E" w14:textId="77777777" w:rsidR="00C75312" w:rsidRDefault="00BB293A">
      <w:pPr>
        <w:pStyle w:val="BodyText"/>
        <w:spacing w:before="2"/>
        <w:rPr>
          <w:i/>
          <w:sz w:val="14"/>
        </w:rPr>
      </w:pPr>
      <w:r>
        <w:pict w14:anchorId="1DE10DA2">
          <v:group id="_x0000_s2758" style="position:absolute;margin-left:1in;margin-top:10.15pt;width:451.2pt;height:.5pt;z-index:-251619328;mso-wrap-distance-left:0;mso-wrap-distance-right:0;mso-position-horizontal-relative:page" coordorigin="1440,203" coordsize="9024,10">
            <v:line id="_x0000_s2763" style="position:absolute" from="1440,208" to="5390,208" strokeweight=".48pt"/>
            <v:rect id="_x0000_s2762" style="position:absolute;left:5390;top:202;width:10;height:10" fillcolor="black" stroked="f"/>
            <v:line id="_x0000_s2761" style="position:absolute" from="5400,208" to="7694,208" strokeweight=".48pt"/>
            <v:rect id="_x0000_s2760" style="position:absolute;left:7694;top:202;width:10;height:10" fillcolor="black" stroked="f"/>
            <v:line id="_x0000_s2759" style="position:absolute" from="7704,208" to="10464,208" strokeweight=".48pt"/>
            <w10:wrap type="topAndBottom" anchorx="page"/>
          </v:group>
        </w:pict>
      </w:r>
    </w:p>
    <w:p w14:paraId="2A58DD60" w14:textId="77777777" w:rsidR="00C75312" w:rsidRDefault="00BB293A">
      <w:pPr>
        <w:tabs>
          <w:tab w:val="left" w:pos="6970"/>
        </w:tabs>
        <w:spacing w:before="14"/>
        <w:ind w:left="4584"/>
        <w:rPr>
          <w:b/>
          <w:sz w:val="20"/>
        </w:rPr>
      </w:pPr>
      <w:r>
        <w:rPr>
          <w:b/>
          <w:sz w:val="20"/>
        </w:rPr>
        <w:t>Focal</w:t>
      </w:r>
      <w:r>
        <w:rPr>
          <w:b/>
          <w:spacing w:val="-1"/>
          <w:sz w:val="20"/>
        </w:rPr>
        <w:t xml:space="preserve"> </w:t>
      </w:r>
      <w:r>
        <w:rPr>
          <w:b/>
          <w:sz w:val="20"/>
        </w:rPr>
        <w:t>condition</w:t>
      </w:r>
      <w:r>
        <w:rPr>
          <w:b/>
          <w:sz w:val="20"/>
        </w:rPr>
        <w:tab/>
      </w:r>
      <w:proofErr w:type="spellStart"/>
      <w:r>
        <w:rPr>
          <w:b/>
          <w:sz w:val="20"/>
        </w:rPr>
        <w:t>Nonfocal</w:t>
      </w:r>
      <w:proofErr w:type="spellEnd"/>
      <w:r>
        <w:rPr>
          <w:b/>
          <w:spacing w:val="-1"/>
          <w:sz w:val="20"/>
        </w:rPr>
        <w:t xml:space="preserve"> </w:t>
      </w:r>
      <w:r>
        <w:rPr>
          <w:b/>
          <w:sz w:val="20"/>
        </w:rPr>
        <w:t>condition</w:t>
      </w:r>
    </w:p>
    <w:p w14:paraId="2E317FCC" w14:textId="77777777" w:rsidR="00C75312" w:rsidRDefault="00C75312">
      <w:pPr>
        <w:pStyle w:val="BodyText"/>
        <w:spacing w:before="4"/>
        <w:rPr>
          <w:b/>
          <w:sz w:val="13"/>
        </w:rPr>
      </w:pPr>
    </w:p>
    <w:tbl>
      <w:tblPr>
        <w:tblW w:w="0" w:type="auto"/>
        <w:tblInd w:w="118" w:type="dxa"/>
        <w:tblLayout w:type="fixed"/>
        <w:tblCellMar>
          <w:left w:w="0" w:type="dxa"/>
          <w:right w:w="0" w:type="dxa"/>
        </w:tblCellMar>
        <w:tblLook w:val="01E0" w:firstRow="1" w:lastRow="1" w:firstColumn="1" w:lastColumn="1" w:noHBand="0" w:noVBand="0"/>
      </w:tblPr>
      <w:tblGrid>
        <w:gridCol w:w="3979"/>
        <w:gridCol w:w="1256"/>
        <w:gridCol w:w="1150"/>
        <w:gridCol w:w="1400"/>
        <w:gridCol w:w="1295"/>
      </w:tblGrid>
      <w:tr w:rsidR="00C75312" w14:paraId="2A3FE4CF" w14:textId="77777777">
        <w:trPr>
          <w:trHeight w:val="426"/>
        </w:trPr>
        <w:tc>
          <w:tcPr>
            <w:tcW w:w="3979" w:type="dxa"/>
            <w:tcBorders>
              <w:bottom w:val="single" w:sz="4" w:space="0" w:color="000000"/>
            </w:tcBorders>
          </w:tcPr>
          <w:p w14:paraId="3C00795F" w14:textId="77777777" w:rsidR="00C75312" w:rsidRDefault="00C75312">
            <w:pPr>
              <w:pStyle w:val="TableParagraph"/>
            </w:pPr>
          </w:p>
        </w:tc>
        <w:tc>
          <w:tcPr>
            <w:tcW w:w="1256" w:type="dxa"/>
            <w:tcBorders>
              <w:top w:val="single" w:sz="4" w:space="0" w:color="000000"/>
              <w:bottom w:val="single" w:sz="4" w:space="0" w:color="000000"/>
            </w:tcBorders>
          </w:tcPr>
          <w:p w14:paraId="793CF731" w14:textId="77777777" w:rsidR="00C75312" w:rsidRDefault="00BB293A">
            <w:pPr>
              <w:pStyle w:val="TableParagraph"/>
              <w:spacing w:before="48"/>
              <w:ind w:left="426" w:right="389"/>
              <w:jc w:val="center"/>
              <w:rPr>
                <w:sz w:val="20"/>
              </w:rPr>
            </w:pPr>
            <w:r>
              <w:rPr>
                <w:sz w:val="20"/>
              </w:rPr>
              <w:t>ASD</w:t>
            </w:r>
          </w:p>
        </w:tc>
        <w:tc>
          <w:tcPr>
            <w:tcW w:w="1150" w:type="dxa"/>
            <w:tcBorders>
              <w:top w:val="single" w:sz="4" w:space="0" w:color="000000"/>
              <w:bottom w:val="single" w:sz="4" w:space="0" w:color="000000"/>
            </w:tcBorders>
          </w:tcPr>
          <w:p w14:paraId="32E41028" w14:textId="77777777" w:rsidR="00C75312" w:rsidRDefault="00BB293A">
            <w:pPr>
              <w:pStyle w:val="TableParagraph"/>
              <w:spacing w:before="48"/>
              <w:ind w:right="472"/>
              <w:jc w:val="right"/>
              <w:rPr>
                <w:sz w:val="20"/>
              </w:rPr>
            </w:pPr>
            <w:r>
              <w:rPr>
                <w:sz w:val="20"/>
              </w:rPr>
              <w:t>NT</w:t>
            </w:r>
          </w:p>
        </w:tc>
        <w:tc>
          <w:tcPr>
            <w:tcW w:w="1400" w:type="dxa"/>
            <w:tcBorders>
              <w:top w:val="single" w:sz="4" w:space="0" w:color="000000"/>
              <w:bottom w:val="single" w:sz="4" w:space="0" w:color="000000"/>
            </w:tcBorders>
          </w:tcPr>
          <w:p w14:paraId="724CA406" w14:textId="77777777" w:rsidR="00C75312" w:rsidRDefault="00BB293A">
            <w:pPr>
              <w:pStyle w:val="TableParagraph"/>
              <w:spacing w:before="48"/>
              <w:ind w:left="455" w:right="504"/>
              <w:jc w:val="center"/>
              <w:rPr>
                <w:sz w:val="20"/>
              </w:rPr>
            </w:pPr>
            <w:r>
              <w:rPr>
                <w:sz w:val="20"/>
              </w:rPr>
              <w:t>ASD</w:t>
            </w:r>
          </w:p>
        </w:tc>
        <w:tc>
          <w:tcPr>
            <w:tcW w:w="1295" w:type="dxa"/>
            <w:tcBorders>
              <w:top w:val="single" w:sz="4" w:space="0" w:color="000000"/>
              <w:bottom w:val="single" w:sz="4" w:space="0" w:color="000000"/>
            </w:tcBorders>
          </w:tcPr>
          <w:p w14:paraId="013D5DB0" w14:textId="77777777" w:rsidR="00C75312" w:rsidRDefault="00BB293A">
            <w:pPr>
              <w:pStyle w:val="TableParagraph"/>
              <w:spacing w:before="48"/>
              <w:ind w:left="503" w:right="485"/>
              <w:jc w:val="center"/>
              <w:rPr>
                <w:sz w:val="20"/>
              </w:rPr>
            </w:pPr>
            <w:r>
              <w:rPr>
                <w:sz w:val="20"/>
              </w:rPr>
              <w:t>NT</w:t>
            </w:r>
          </w:p>
        </w:tc>
      </w:tr>
      <w:tr w:rsidR="00C75312" w14:paraId="2FF5C53C" w14:textId="77777777">
        <w:trPr>
          <w:trHeight w:val="426"/>
        </w:trPr>
        <w:tc>
          <w:tcPr>
            <w:tcW w:w="3979" w:type="dxa"/>
            <w:tcBorders>
              <w:top w:val="single" w:sz="4" w:space="0" w:color="000000"/>
              <w:bottom w:val="single" w:sz="4" w:space="0" w:color="000000"/>
            </w:tcBorders>
          </w:tcPr>
          <w:p w14:paraId="703991B2" w14:textId="77777777" w:rsidR="00C75312" w:rsidRDefault="00BB293A">
            <w:pPr>
              <w:pStyle w:val="TableParagraph"/>
              <w:spacing w:before="43"/>
              <w:ind w:left="134"/>
              <w:rPr>
                <w:sz w:val="20"/>
              </w:rPr>
            </w:pPr>
            <w:r>
              <w:rPr>
                <w:sz w:val="20"/>
              </w:rPr>
              <w:t>Spontaneously remembered</w:t>
            </w:r>
          </w:p>
        </w:tc>
        <w:tc>
          <w:tcPr>
            <w:tcW w:w="1256" w:type="dxa"/>
            <w:tcBorders>
              <w:top w:val="single" w:sz="4" w:space="0" w:color="000000"/>
              <w:bottom w:val="single" w:sz="4" w:space="0" w:color="000000"/>
            </w:tcBorders>
          </w:tcPr>
          <w:p w14:paraId="6B973D5B" w14:textId="77777777" w:rsidR="00C75312" w:rsidRDefault="00BB293A">
            <w:pPr>
              <w:pStyle w:val="TableParagraph"/>
              <w:spacing w:before="43"/>
              <w:ind w:left="426" w:right="386"/>
              <w:jc w:val="center"/>
              <w:rPr>
                <w:sz w:val="20"/>
              </w:rPr>
            </w:pPr>
            <w:r>
              <w:rPr>
                <w:sz w:val="20"/>
              </w:rPr>
              <w:t>18</w:t>
            </w:r>
          </w:p>
        </w:tc>
        <w:tc>
          <w:tcPr>
            <w:tcW w:w="1150" w:type="dxa"/>
            <w:tcBorders>
              <w:top w:val="single" w:sz="4" w:space="0" w:color="000000"/>
              <w:bottom w:val="single" w:sz="4" w:space="0" w:color="000000"/>
            </w:tcBorders>
          </w:tcPr>
          <w:p w14:paraId="2419ACA5" w14:textId="77777777" w:rsidR="00C75312" w:rsidRDefault="00BB293A">
            <w:pPr>
              <w:pStyle w:val="TableParagraph"/>
              <w:spacing w:before="43"/>
              <w:ind w:right="504"/>
              <w:jc w:val="right"/>
              <w:rPr>
                <w:sz w:val="20"/>
              </w:rPr>
            </w:pPr>
            <w:r>
              <w:rPr>
                <w:sz w:val="20"/>
              </w:rPr>
              <w:t>19</w:t>
            </w:r>
          </w:p>
        </w:tc>
        <w:tc>
          <w:tcPr>
            <w:tcW w:w="1400" w:type="dxa"/>
            <w:tcBorders>
              <w:top w:val="single" w:sz="4" w:space="0" w:color="000000"/>
              <w:bottom w:val="single" w:sz="4" w:space="0" w:color="000000"/>
            </w:tcBorders>
          </w:tcPr>
          <w:p w14:paraId="0800EEAA" w14:textId="77777777" w:rsidR="00C75312" w:rsidRDefault="00BB293A">
            <w:pPr>
              <w:pStyle w:val="TableParagraph"/>
              <w:spacing w:before="43"/>
              <w:ind w:left="447" w:right="504"/>
              <w:jc w:val="center"/>
              <w:rPr>
                <w:sz w:val="20"/>
              </w:rPr>
            </w:pPr>
            <w:r>
              <w:rPr>
                <w:sz w:val="20"/>
              </w:rPr>
              <w:t>18</w:t>
            </w:r>
          </w:p>
        </w:tc>
        <w:tc>
          <w:tcPr>
            <w:tcW w:w="1295" w:type="dxa"/>
            <w:tcBorders>
              <w:top w:val="single" w:sz="4" w:space="0" w:color="000000"/>
              <w:bottom w:val="single" w:sz="4" w:space="0" w:color="000000"/>
            </w:tcBorders>
          </w:tcPr>
          <w:p w14:paraId="26D0B67E" w14:textId="77777777" w:rsidR="00C75312" w:rsidRDefault="00BB293A">
            <w:pPr>
              <w:pStyle w:val="TableParagraph"/>
              <w:spacing w:before="43"/>
              <w:ind w:left="503" w:right="482"/>
              <w:jc w:val="center"/>
              <w:rPr>
                <w:sz w:val="20"/>
              </w:rPr>
            </w:pPr>
            <w:r>
              <w:rPr>
                <w:sz w:val="20"/>
              </w:rPr>
              <w:t>17</w:t>
            </w:r>
          </w:p>
        </w:tc>
      </w:tr>
      <w:tr w:rsidR="00C75312" w14:paraId="3E9AAB00" w14:textId="77777777">
        <w:trPr>
          <w:trHeight w:val="421"/>
        </w:trPr>
        <w:tc>
          <w:tcPr>
            <w:tcW w:w="3979" w:type="dxa"/>
            <w:tcBorders>
              <w:top w:val="single" w:sz="4" w:space="0" w:color="000000"/>
              <w:bottom w:val="single" w:sz="4" w:space="0" w:color="000000"/>
            </w:tcBorders>
          </w:tcPr>
          <w:p w14:paraId="029C50E3" w14:textId="77777777" w:rsidR="00C75312" w:rsidRDefault="00BB293A">
            <w:pPr>
              <w:pStyle w:val="TableParagraph"/>
              <w:spacing w:before="43"/>
              <w:ind w:left="134"/>
              <w:rPr>
                <w:sz w:val="20"/>
              </w:rPr>
            </w:pPr>
            <w:r>
              <w:rPr>
                <w:sz w:val="20"/>
              </w:rPr>
              <w:t>Remembered after prompted</w:t>
            </w:r>
          </w:p>
        </w:tc>
        <w:tc>
          <w:tcPr>
            <w:tcW w:w="1256" w:type="dxa"/>
            <w:tcBorders>
              <w:top w:val="single" w:sz="4" w:space="0" w:color="000000"/>
              <w:bottom w:val="single" w:sz="4" w:space="0" w:color="000000"/>
            </w:tcBorders>
          </w:tcPr>
          <w:p w14:paraId="41D7CFE2" w14:textId="77777777" w:rsidR="00C75312" w:rsidRDefault="00BB293A">
            <w:pPr>
              <w:pStyle w:val="TableParagraph"/>
              <w:spacing w:before="43"/>
              <w:ind w:left="35"/>
              <w:jc w:val="center"/>
              <w:rPr>
                <w:sz w:val="20"/>
              </w:rPr>
            </w:pPr>
            <w:r>
              <w:rPr>
                <w:sz w:val="20"/>
              </w:rPr>
              <w:t>2</w:t>
            </w:r>
          </w:p>
        </w:tc>
        <w:tc>
          <w:tcPr>
            <w:tcW w:w="1150" w:type="dxa"/>
            <w:tcBorders>
              <w:top w:val="single" w:sz="4" w:space="0" w:color="000000"/>
              <w:bottom w:val="single" w:sz="4" w:space="0" w:color="000000"/>
            </w:tcBorders>
          </w:tcPr>
          <w:p w14:paraId="0F4EEC85" w14:textId="77777777" w:rsidR="00C75312" w:rsidRDefault="00BB293A">
            <w:pPr>
              <w:pStyle w:val="TableParagraph"/>
              <w:spacing w:before="43"/>
              <w:ind w:right="64"/>
              <w:jc w:val="center"/>
              <w:rPr>
                <w:sz w:val="20"/>
              </w:rPr>
            </w:pPr>
            <w:r>
              <w:rPr>
                <w:sz w:val="20"/>
              </w:rPr>
              <w:t>1</w:t>
            </w:r>
          </w:p>
        </w:tc>
        <w:tc>
          <w:tcPr>
            <w:tcW w:w="1400" w:type="dxa"/>
            <w:tcBorders>
              <w:top w:val="single" w:sz="4" w:space="0" w:color="000000"/>
              <w:bottom w:val="single" w:sz="4" w:space="0" w:color="000000"/>
            </w:tcBorders>
          </w:tcPr>
          <w:p w14:paraId="61D46582" w14:textId="77777777" w:rsidR="00C75312" w:rsidRDefault="00BB293A">
            <w:pPr>
              <w:pStyle w:val="TableParagraph"/>
              <w:spacing w:before="43"/>
              <w:ind w:right="51"/>
              <w:jc w:val="center"/>
              <w:rPr>
                <w:sz w:val="20"/>
              </w:rPr>
            </w:pPr>
            <w:r>
              <w:rPr>
                <w:sz w:val="20"/>
              </w:rPr>
              <w:t>2</w:t>
            </w:r>
          </w:p>
        </w:tc>
        <w:tc>
          <w:tcPr>
            <w:tcW w:w="1295" w:type="dxa"/>
            <w:tcBorders>
              <w:top w:val="single" w:sz="4" w:space="0" w:color="000000"/>
              <w:bottom w:val="single" w:sz="4" w:space="0" w:color="000000"/>
            </w:tcBorders>
          </w:tcPr>
          <w:p w14:paraId="2C471919" w14:textId="77777777" w:rsidR="00C75312" w:rsidRDefault="00BB293A">
            <w:pPr>
              <w:pStyle w:val="TableParagraph"/>
              <w:spacing w:before="43"/>
              <w:ind w:left="26"/>
              <w:jc w:val="center"/>
              <w:rPr>
                <w:sz w:val="20"/>
              </w:rPr>
            </w:pPr>
            <w:r>
              <w:rPr>
                <w:sz w:val="20"/>
              </w:rPr>
              <w:t>3</w:t>
            </w:r>
          </w:p>
        </w:tc>
      </w:tr>
    </w:tbl>
    <w:p w14:paraId="4E9EED73" w14:textId="77777777" w:rsidR="00C75312" w:rsidRDefault="00C75312">
      <w:pPr>
        <w:pStyle w:val="BodyText"/>
        <w:spacing w:before="6"/>
        <w:rPr>
          <w:b/>
          <w:sz w:val="20"/>
        </w:rPr>
      </w:pPr>
    </w:p>
    <w:p w14:paraId="4208356F" w14:textId="77777777" w:rsidR="00C75312" w:rsidRDefault="00BB293A">
      <w:pPr>
        <w:pStyle w:val="Heading1"/>
      </w:pPr>
      <w:r>
        <w:t>Scoring and statistical analysis</w:t>
      </w:r>
    </w:p>
    <w:p w14:paraId="4FF6C94D" w14:textId="77777777" w:rsidR="00C75312" w:rsidRDefault="00C75312">
      <w:pPr>
        <w:pStyle w:val="BodyText"/>
        <w:rPr>
          <w:b/>
        </w:rPr>
      </w:pPr>
    </w:p>
    <w:p w14:paraId="499570FB" w14:textId="77777777" w:rsidR="00C75312" w:rsidRDefault="00BB293A">
      <w:pPr>
        <w:pStyle w:val="BodyText"/>
        <w:spacing w:before="1" w:line="480" w:lineRule="auto"/>
        <w:ind w:left="140" w:right="1429" w:firstLine="720"/>
        <w:jc w:val="both"/>
      </w:pPr>
      <w:r>
        <w:t>The</w:t>
      </w:r>
      <w:r>
        <w:rPr>
          <w:spacing w:val="-12"/>
        </w:rPr>
        <w:t xml:space="preserve"> </w:t>
      </w:r>
      <w:r>
        <w:t>reported</w:t>
      </w:r>
      <w:r>
        <w:rPr>
          <w:spacing w:val="-10"/>
        </w:rPr>
        <w:t xml:space="preserve"> </w:t>
      </w:r>
      <w:r>
        <w:t>performance</w:t>
      </w:r>
      <w:r>
        <w:rPr>
          <w:spacing w:val="-15"/>
        </w:rPr>
        <w:t xml:space="preserve"> </w:t>
      </w:r>
      <w:r>
        <w:t>on</w:t>
      </w:r>
      <w:r>
        <w:rPr>
          <w:spacing w:val="-10"/>
        </w:rPr>
        <w:t xml:space="preserve"> </w:t>
      </w:r>
      <w:r>
        <w:t>the</w:t>
      </w:r>
      <w:r>
        <w:rPr>
          <w:spacing w:val="-15"/>
        </w:rPr>
        <w:t xml:space="preserve"> </w:t>
      </w:r>
      <w:r>
        <w:t>PM</w:t>
      </w:r>
      <w:r>
        <w:rPr>
          <w:spacing w:val="-17"/>
        </w:rPr>
        <w:t xml:space="preserve"> </w:t>
      </w:r>
      <w:r>
        <w:t>task</w:t>
      </w:r>
      <w:r>
        <w:rPr>
          <w:spacing w:val="-10"/>
        </w:rPr>
        <w:t xml:space="preserve"> </w:t>
      </w:r>
      <w:r>
        <w:t>components</w:t>
      </w:r>
      <w:r>
        <w:rPr>
          <w:spacing w:val="-12"/>
        </w:rPr>
        <w:t xml:space="preserve"> </w:t>
      </w:r>
      <w:r>
        <w:t>represent</w:t>
      </w:r>
      <w:r>
        <w:rPr>
          <w:spacing w:val="-9"/>
        </w:rPr>
        <w:t xml:space="preserve"> </w:t>
      </w:r>
      <w:r>
        <w:t>the</w:t>
      </w:r>
      <w:r>
        <w:rPr>
          <w:spacing w:val="-15"/>
        </w:rPr>
        <w:t xml:space="preserve"> </w:t>
      </w:r>
      <w:r>
        <w:t>proportion</w:t>
      </w:r>
      <w:r>
        <w:rPr>
          <w:spacing w:val="-10"/>
        </w:rPr>
        <w:t xml:space="preserve"> </w:t>
      </w:r>
      <w:r>
        <w:rPr>
          <w:spacing w:val="-3"/>
        </w:rPr>
        <w:t>of</w:t>
      </w:r>
      <w:r>
        <w:rPr>
          <w:spacing w:val="-13"/>
        </w:rPr>
        <w:t xml:space="preserve"> </w:t>
      </w:r>
      <w:r>
        <w:t>times that participants correctly carried out the PM action. A score of one was awarded for</w:t>
      </w:r>
      <w:r>
        <w:rPr>
          <w:spacing w:val="-33"/>
        </w:rPr>
        <w:t xml:space="preserve"> </w:t>
      </w:r>
      <w:r>
        <w:t>correctly pressing the pre-specified key on each respective PM trial (</w:t>
      </w:r>
      <w:r>
        <w:rPr>
          <w:i/>
        </w:rPr>
        <w:t>PM hit</w:t>
      </w:r>
      <w:r>
        <w:t xml:space="preserve">), and the total number </w:t>
      </w:r>
      <w:r>
        <w:rPr>
          <w:spacing w:val="-3"/>
        </w:rPr>
        <w:t xml:space="preserve">of </w:t>
      </w:r>
      <w:r>
        <w:t>hits</w:t>
      </w:r>
      <w:r>
        <w:rPr>
          <w:spacing w:val="-12"/>
        </w:rPr>
        <w:t xml:space="preserve"> </w:t>
      </w:r>
      <w:r>
        <w:t>was</w:t>
      </w:r>
      <w:r>
        <w:rPr>
          <w:spacing w:val="-12"/>
        </w:rPr>
        <w:t xml:space="preserve"> </w:t>
      </w:r>
      <w:r>
        <w:t>divided</w:t>
      </w:r>
      <w:r>
        <w:rPr>
          <w:spacing w:val="-13"/>
        </w:rPr>
        <w:t xml:space="preserve"> </w:t>
      </w:r>
      <w:r>
        <w:t>by</w:t>
      </w:r>
      <w:r>
        <w:rPr>
          <w:spacing w:val="-14"/>
        </w:rPr>
        <w:t xml:space="preserve"> </w:t>
      </w:r>
      <w:r>
        <w:t>the</w:t>
      </w:r>
      <w:r>
        <w:rPr>
          <w:spacing w:val="-15"/>
        </w:rPr>
        <w:t xml:space="preserve"> </w:t>
      </w:r>
      <w:r>
        <w:t>total</w:t>
      </w:r>
      <w:r>
        <w:rPr>
          <w:spacing w:val="-13"/>
        </w:rPr>
        <w:t xml:space="preserve"> </w:t>
      </w:r>
      <w:r>
        <w:t>number</w:t>
      </w:r>
      <w:r>
        <w:rPr>
          <w:spacing w:val="-13"/>
        </w:rPr>
        <w:t xml:space="preserve"> </w:t>
      </w:r>
      <w:r>
        <w:t>of</w:t>
      </w:r>
      <w:r>
        <w:rPr>
          <w:spacing w:val="-13"/>
        </w:rPr>
        <w:t xml:space="preserve"> </w:t>
      </w:r>
      <w:r>
        <w:t>PM</w:t>
      </w:r>
      <w:r>
        <w:rPr>
          <w:spacing w:val="-16"/>
        </w:rPr>
        <w:t xml:space="preserve"> </w:t>
      </w:r>
      <w:r>
        <w:t>trials</w:t>
      </w:r>
      <w:r>
        <w:rPr>
          <w:spacing w:val="-17"/>
        </w:rPr>
        <w:t xml:space="preserve"> </w:t>
      </w:r>
      <w:r>
        <w:t>for</w:t>
      </w:r>
      <w:r>
        <w:rPr>
          <w:spacing w:val="-7"/>
        </w:rPr>
        <w:t xml:space="preserve"> </w:t>
      </w:r>
      <w:r>
        <w:t>each</w:t>
      </w:r>
      <w:r>
        <w:rPr>
          <w:spacing w:val="-14"/>
        </w:rPr>
        <w:t xml:space="preserve"> </w:t>
      </w:r>
      <w:r>
        <w:t>cue</w:t>
      </w:r>
      <w:r>
        <w:rPr>
          <w:spacing w:val="-11"/>
        </w:rPr>
        <w:t xml:space="preserve"> </w:t>
      </w:r>
      <w:r>
        <w:t>type</w:t>
      </w:r>
      <w:r>
        <w:rPr>
          <w:spacing w:val="-14"/>
        </w:rPr>
        <w:t xml:space="preserve"> </w:t>
      </w:r>
      <w:r>
        <w:t>respectively</w:t>
      </w:r>
      <w:r>
        <w:rPr>
          <w:spacing w:val="-14"/>
        </w:rPr>
        <w:t xml:space="preserve"> </w:t>
      </w:r>
      <w:r>
        <w:t>(</w:t>
      </w:r>
      <w:r>
        <w:rPr>
          <w:i/>
        </w:rPr>
        <w:t>PM</w:t>
      </w:r>
      <w:r>
        <w:rPr>
          <w:i/>
          <w:spacing w:val="-8"/>
        </w:rPr>
        <w:t xml:space="preserve"> </w:t>
      </w:r>
      <w:r>
        <w:rPr>
          <w:i/>
        </w:rPr>
        <w:t>proportion hit</w:t>
      </w:r>
      <w:r>
        <w:t>).</w:t>
      </w:r>
      <w:r>
        <w:rPr>
          <w:spacing w:val="34"/>
        </w:rPr>
        <w:t xml:space="preserve"> </w:t>
      </w:r>
      <w:r>
        <w:t>For</w:t>
      </w:r>
      <w:r>
        <w:rPr>
          <w:spacing w:val="-12"/>
        </w:rPr>
        <w:t xml:space="preserve"> </w:t>
      </w:r>
      <w:r>
        <w:t>all</w:t>
      </w:r>
      <w:r>
        <w:rPr>
          <w:spacing w:val="-9"/>
        </w:rPr>
        <w:t xml:space="preserve"> </w:t>
      </w:r>
      <w:r>
        <w:t>different</w:t>
      </w:r>
      <w:r>
        <w:rPr>
          <w:spacing w:val="-14"/>
        </w:rPr>
        <w:t xml:space="preserve"> </w:t>
      </w:r>
      <w:r>
        <w:t>cue</w:t>
      </w:r>
      <w:r>
        <w:rPr>
          <w:spacing w:val="-11"/>
        </w:rPr>
        <w:t xml:space="preserve"> </w:t>
      </w:r>
      <w:r>
        <w:t>types,</w:t>
      </w:r>
      <w:r>
        <w:rPr>
          <w:spacing w:val="-11"/>
        </w:rPr>
        <w:t xml:space="preserve"> </w:t>
      </w:r>
      <w:r>
        <w:t>each</w:t>
      </w:r>
      <w:r>
        <w:rPr>
          <w:spacing w:val="-10"/>
        </w:rPr>
        <w:t xml:space="preserve"> </w:t>
      </w:r>
      <w:r>
        <w:t>cue</w:t>
      </w:r>
      <w:r>
        <w:rPr>
          <w:spacing w:val="-11"/>
        </w:rPr>
        <w:t xml:space="preserve"> </w:t>
      </w:r>
      <w:r>
        <w:t>type</w:t>
      </w:r>
      <w:r>
        <w:rPr>
          <w:spacing w:val="-14"/>
        </w:rPr>
        <w:t xml:space="preserve"> </w:t>
      </w:r>
      <w:r>
        <w:t>appeared</w:t>
      </w:r>
      <w:r>
        <w:rPr>
          <w:spacing w:val="-10"/>
        </w:rPr>
        <w:t xml:space="preserve"> </w:t>
      </w:r>
      <w:r>
        <w:t>four</w:t>
      </w:r>
      <w:r>
        <w:rPr>
          <w:spacing w:val="-13"/>
        </w:rPr>
        <w:t xml:space="preserve"> </w:t>
      </w:r>
      <w:r>
        <w:t>times</w:t>
      </w:r>
      <w:r>
        <w:rPr>
          <w:spacing w:val="-11"/>
        </w:rPr>
        <w:t xml:space="preserve"> </w:t>
      </w:r>
      <w:r>
        <w:t>in</w:t>
      </w:r>
      <w:r>
        <w:rPr>
          <w:spacing w:val="-14"/>
        </w:rPr>
        <w:t xml:space="preserve"> </w:t>
      </w:r>
      <w:r>
        <w:t>their</w:t>
      </w:r>
      <w:r>
        <w:rPr>
          <w:spacing w:val="-13"/>
        </w:rPr>
        <w:t xml:space="preserve"> </w:t>
      </w:r>
      <w:r>
        <w:t>respective</w:t>
      </w:r>
      <w:r>
        <w:rPr>
          <w:spacing w:val="-10"/>
        </w:rPr>
        <w:t xml:space="preserve"> </w:t>
      </w:r>
      <w:r>
        <w:t>condition.</w:t>
      </w:r>
    </w:p>
    <w:p w14:paraId="051C1724" w14:textId="77777777" w:rsidR="00C75312" w:rsidRDefault="00C75312">
      <w:pPr>
        <w:spacing w:line="480" w:lineRule="auto"/>
        <w:jc w:val="both"/>
        <w:sectPr w:rsidR="00C75312">
          <w:pgSz w:w="11900" w:h="16840"/>
          <w:pgMar w:top="1140" w:right="0" w:bottom="280" w:left="1300" w:header="715" w:footer="0" w:gutter="0"/>
          <w:cols w:space="720"/>
        </w:sectPr>
      </w:pPr>
    </w:p>
    <w:p w14:paraId="21B07E45" w14:textId="77777777" w:rsidR="00C75312" w:rsidRDefault="00C75312">
      <w:pPr>
        <w:pStyle w:val="BodyText"/>
        <w:spacing w:before="2"/>
        <w:rPr>
          <w:sz w:val="18"/>
        </w:rPr>
      </w:pPr>
    </w:p>
    <w:p w14:paraId="0AE8EDC5" w14:textId="77777777" w:rsidR="00C75312" w:rsidRDefault="00BB293A">
      <w:pPr>
        <w:pStyle w:val="BodyText"/>
        <w:spacing w:before="89" w:line="477" w:lineRule="auto"/>
        <w:ind w:left="140" w:right="1427"/>
        <w:jc w:val="both"/>
      </w:pPr>
      <w:r>
        <w:rPr>
          <w:position w:val="2"/>
        </w:rPr>
        <w:t xml:space="preserve">However, for the </w:t>
      </w:r>
      <w:proofErr w:type="spellStart"/>
      <w:r>
        <w:rPr>
          <w:position w:val="2"/>
        </w:rPr>
        <w:t>PM</w:t>
      </w:r>
      <w:r>
        <w:rPr>
          <w:position w:val="2"/>
          <w:vertAlign w:val="subscript"/>
        </w:rPr>
        <w:t>amount</w:t>
      </w:r>
      <w:proofErr w:type="spellEnd"/>
      <w:r>
        <w:rPr>
          <w:position w:val="2"/>
        </w:rPr>
        <w:t xml:space="preserve"> cue noticing </w:t>
      </w:r>
      <w:r>
        <w:rPr>
          <w:spacing w:val="-3"/>
          <w:position w:val="2"/>
        </w:rPr>
        <w:t xml:space="preserve">of </w:t>
      </w:r>
      <w:r>
        <w:rPr>
          <w:position w:val="2"/>
        </w:rPr>
        <w:t xml:space="preserve">the cue was dependent on participants counting the </w:t>
      </w:r>
      <w:r>
        <w:t xml:space="preserve">number of shapes correctly. If participants accidentally counted wrongly on trials that showed six shapes, the PM amount cue (six shapes on the screen) would not be “delivered” to the </w:t>
      </w:r>
      <w:r>
        <w:rPr>
          <w:position w:val="2"/>
        </w:rPr>
        <w:t xml:space="preserve">participant because they responded wrongly to the ongoing task. Given this, the </w:t>
      </w:r>
      <w:proofErr w:type="spellStart"/>
      <w:r>
        <w:rPr>
          <w:position w:val="2"/>
        </w:rPr>
        <w:t>PM</w:t>
      </w:r>
      <w:r>
        <w:rPr>
          <w:position w:val="2"/>
          <w:vertAlign w:val="subscript"/>
        </w:rPr>
        <w:t>amount</w:t>
      </w:r>
      <w:proofErr w:type="spellEnd"/>
      <w:r>
        <w:rPr>
          <w:position w:val="2"/>
        </w:rPr>
        <w:t xml:space="preserve"> </w:t>
      </w:r>
      <w:r>
        <w:t xml:space="preserve">proportion score does not include PM failures that were due to ongoing task failure; a PM failure (score </w:t>
      </w:r>
      <w:r>
        <w:rPr>
          <w:spacing w:val="-3"/>
        </w:rPr>
        <w:t xml:space="preserve">of </w:t>
      </w:r>
      <w:r>
        <w:t xml:space="preserve">zero) was </w:t>
      </w:r>
      <w:r>
        <w:rPr>
          <w:i/>
        </w:rPr>
        <w:t xml:space="preserve">only </w:t>
      </w:r>
      <w:r>
        <w:t xml:space="preserve">given </w:t>
      </w:r>
      <w:r>
        <w:rPr>
          <w:spacing w:val="-3"/>
        </w:rPr>
        <w:t xml:space="preserve">if </w:t>
      </w:r>
      <w:r>
        <w:t xml:space="preserve">participants responded correctly to the ongoing trials but failed to carry out the PM task (i.e., they </w:t>
      </w:r>
      <w:proofErr w:type="spellStart"/>
      <w:r>
        <w:t>recognised</w:t>
      </w:r>
      <w:proofErr w:type="spellEnd"/>
      <w:r>
        <w:t xml:space="preserve"> there were exactly six shapes, but nonetheless forgot to carry out the PM action). For example, if six shapes were on the screen but</w:t>
      </w:r>
      <w:r>
        <w:rPr>
          <w:spacing w:val="-4"/>
        </w:rPr>
        <w:t xml:space="preserve"> </w:t>
      </w:r>
      <w:r>
        <w:t>participants</w:t>
      </w:r>
      <w:r>
        <w:rPr>
          <w:spacing w:val="-11"/>
        </w:rPr>
        <w:t xml:space="preserve"> </w:t>
      </w:r>
      <w:r>
        <w:t>counted</w:t>
      </w:r>
      <w:r>
        <w:rPr>
          <w:spacing w:val="-9"/>
        </w:rPr>
        <w:t xml:space="preserve"> </w:t>
      </w:r>
      <w:r>
        <w:t>five</w:t>
      </w:r>
      <w:r>
        <w:rPr>
          <w:spacing w:val="-10"/>
        </w:rPr>
        <w:t xml:space="preserve"> </w:t>
      </w:r>
      <w:r>
        <w:t>instead,</w:t>
      </w:r>
      <w:r>
        <w:rPr>
          <w:spacing w:val="-6"/>
        </w:rPr>
        <w:t xml:space="preserve"> </w:t>
      </w:r>
      <w:r>
        <w:t>then</w:t>
      </w:r>
      <w:r>
        <w:rPr>
          <w:spacing w:val="-9"/>
        </w:rPr>
        <w:t xml:space="preserve"> </w:t>
      </w:r>
      <w:r>
        <w:t>no</w:t>
      </w:r>
      <w:r>
        <w:rPr>
          <w:spacing w:val="-9"/>
        </w:rPr>
        <w:t xml:space="preserve"> </w:t>
      </w:r>
      <w:r>
        <w:t>P</w:t>
      </w:r>
      <w:r>
        <w:t>M</w:t>
      </w:r>
      <w:r>
        <w:rPr>
          <w:spacing w:val="-11"/>
        </w:rPr>
        <w:t xml:space="preserve"> </w:t>
      </w:r>
      <w:r>
        <w:t>failure</w:t>
      </w:r>
      <w:r>
        <w:rPr>
          <w:spacing w:val="-5"/>
        </w:rPr>
        <w:t xml:space="preserve"> </w:t>
      </w:r>
      <w:r>
        <w:t>was</w:t>
      </w:r>
      <w:r>
        <w:rPr>
          <w:spacing w:val="-11"/>
        </w:rPr>
        <w:t xml:space="preserve"> </w:t>
      </w:r>
      <w:r>
        <w:t>given</w:t>
      </w:r>
      <w:r>
        <w:rPr>
          <w:spacing w:val="-4"/>
        </w:rPr>
        <w:t xml:space="preserve"> </w:t>
      </w:r>
      <w:r>
        <w:t>and</w:t>
      </w:r>
      <w:r>
        <w:rPr>
          <w:spacing w:val="-9"/>
        </w:rPr>
        <w:t xml:space="preserve"> </w:t>
      </w:r>
      <w:r>
        <w:t>the</w:t>
      </w:r>
      <w:r>
        <w:rPr>
          <w:spacing w:val="-11"/>
        </w:rPr>
        <w:t xml:space="preserve"> </w:t>
      </w:r>
      <w:r>
        <w:t>total</w:t>
      </w:r>
      <w:r>
        <w:rPr>
          <w:spacing w:val="-8"/>
        </w:rPr>
        <w:t xml:space="preserve"> </w:t>
      </w:r>
      <w:r>
        <w:t>number</w:t>
      </w:r>
      <w:r>
        <w:rPr>
          <w:spacing w:val="-2"/>
        </w:rPr>
        <w:t xml:space="preserve"> </w:t>
      </w:r>
      <w:r>
        <w:rPr>
          <w:spacing w:val="-3"/>
        </w:rPr>
        <w:t>of</w:t>
      </w:r>
      <w:r>
        <w:rPr>
          <w:spacing w:val="-7"/>
        </w:rPr>
        <w:t xml:space="preserve"> </w:t>
      </w:r>
      <w:r>
        <w:t>PM trials in their proportion score was adjusted respectively (if this happened once then the proportion</w:t>
      </w:r>
      <w:r>
        <w:rPr>
          <w:spacing w:val="-10"/>
        </w:rPr>
        <w:t xml:space="preserve"> </w:t>
      </w:r>
      <w:r>
        <w:t>score</w:t>
      </w:r>
      <w:r>
        <w:rPr>
          <w:spacing w:val="-6"/>
        </w:rPr>
        <w:t xml:space="preserve"> </w:t>
      </w:r>
      <w:r>
        <w:t>would</w:t>
      </w:r>
      <w:r>
        <w:rPr>
          <w:spacing w:val="-10"/>
        </w:rPr>
        <w:t xml:space="preserve"> </w:t>
      </w:r>
      <w:r>
        <w:t>be</w:t>
      </w:r>
      <w:r>
        <w:rPr>
          <w:spacing w:val="-11"/>
        </w:rPr>
        <w:t xml:space="preserve"> </w:t>
      </w:r>
      <w:r>
        <w:t>calculated</w:t>
      </w:r>
      <w:r>
        <w:rPr>
          <w:spacing w:val="-5"/>
        </w:rPr>
        <w:t xml:space="preserve"> </w:t>
      </w:r>
      <w:r>
        <w:t>as</w:t>
      </w:r>
      <w:r>
        <w:rPr>
          <w:spacing w:val="-12"/>
        </w:rPr>
        <w:t xml:space="preserve"> </w:t>
      </w:r>
      <w:r>
        <w:t>the</w:t>
      </w:r>
      <w:r>
        <w:rPr>
          <w:spacing w:val="-10"/>
        </w:rPr>
        <w:t xml:space="preserve"> </w:t>
      </w:r>
      <w:r>
        <w:t>number</w:t>
      </w:r>
      <w:r>
        <w:rPr>
          <w:spacing w:val="-3"/>
        </w:rPr>
        <w:t xml:space="preserve"> of</w:t>
      </w:r>
      <w:r>
        <w:rPr>
          <w:spacing w:val="-8"/>
        </w:rPr>
        <w:t xml:space="preserve"> </w:t>
      </w:r>
      <w:r>
        <w:t>hits</w:t>
      </w:r>
      <w:r>
        <w:rPr>
          <w:spacing w:val="-7"/>
        </w:rPr>
        <w:t xml:space="preserve"> </w:t>
      </w:r>
      <w:r>
        <w:t>divided</w:t>
      </w:r>
      <w:r>
        <w:rPr>
          <w:spacing w:val="-5"/>
        </w:rPr>
        <w:t xml:space="preserve"> </w:t>
      </w:r>
      <w:r>
        <w:t>by</w:t>
      </w:r>
      <w:r>
        <w:rPr>
          <w:spacing w:val="-10"/>
        </w:rPr>
        <w:t xml:space="preserve"> </w:t>
      </w:r>
      <w:r>
        <w:t>three).</w:t>
      </w:r>
      <w:r>
        <w:rPr>
          <w:spacing w:val="44"/>
        </w:rPr>
        <w:t xml:space="preserve"> </w:t>
      </w:r>
      <w:r>
        <w:t>PM</w:t>
      </w:r>
      <w:r>
        <w:rPr>
          <w:spacing w:val="-11"/>
        </w:rPr>
        <w:t xml:space="preserve"> </w:t>
      </w:r>
      <w:r>
        <w:t xml:space="preserve">performance was collapsed across cue types for each condition. In each condition, ongoing task performance was calculated as the proportion of correct responses on the ongoing trials and correct responses on a maximum </w:t>
      </w:r>
      <w:r>
        <w:rPr>
          <w:spacing w:val="-3"/>
        </w:rPr>
        <w:t xml:space="preserve">of </w:t>
      </w:r>
      <w:r>
        <w:t>eight PM failure trials (</w:t>
      </w:r>
      <w:r>
        <w:rPr>
          <w:i/>
        </w:rPr>
        <w:t>ongoing task proportion hits</w:t>
      </w:r>
      <w:r>
        <w:t>). If there was a P</w:t>
      </w:r>
      <w:r>
        <w:t>M failure but participants responded correctly to the ongoing task they receive a score</w:t>
      </w:r>
      <w:r>
        <w:rPr>
          <w:spacing w:val="-7"/>
        </w:rPr>
        <w:t xml:space="preserve"> </w:t>
      </w:r>
      <w:r>
        <w:t>of</w:t>
      </w:r>
      <w:r>
        <w:rPr>
          <w:spacing w:val="-3"/>
        </w:rPr>
        <w:t xml:space="preserve"> </w:t>
      </w:r>
      <w:r>
        <w:t>one;</w:t>
      </w:r>
      <w:r>
        <w:rPr>
          <w:spacing w:val="-9"/>
        </w:rPr>
        <w:t xml:space="preserve"> </w:t>
      </w:r>
      <w:r>
        <w:t>for</w:t>
      </w:r>
      <w:r>
        <w:rPr>
          <w:spacing w:val="-8"/>
        </w:rPr>
        <w:t xml:space="preserve"> </w:t>
      </w:r>
      <w:r>
        <w:t>example,</w:t>
      </w:r>
      <w:r>
        <w:rPr>
          <w:spacing w:val="-2"/>
        </w:rPr>
        <w:t xml:space="preserve"> </w:t>
      </w:r>
      <w:r>
        <w:t>if</w:t>
      </w:r>
      <w:r>
        <w:rPr>
          <w:spacing w:val="-8"/>
        </w:rPr>
        <w:t xml:space="preserve"> </w:t>
      </w:r>
      <w:r>
        <w:t>there</w:t>
      </w:r>
      <w:r>
        <w:rPr>
          <w:spacing w:val="-11"/>
        </w:rPr>
        <w:t xml:space="preserve"> </w:t>
      </w:r>
      <w:r>
        <w:t>were</w:t>
      </w:r>
      <w:r>
        <w:rPr>
          <w:spacing w:val="-6"/>
        </w:rPr>
        <w:t xml:space="preserve"> </w:t>
      </w:r>
      <w:r>
        <w:t>two</w:t>
      </w:r>
      <w:r>
        <w:rPr>
          <w:spacing w:val="-10"/>
        </w:rPr>
        <w:t xml:space="preserve"> </w:t>
      </w:r>
      <w:r>
        <w:t>PM</w:t>
      </w:r>
      <w:r>
        <w:rPr>
          <w:spacing w:val="-12"/>
        </w:rPr>
        <w:t xml:space="preserve"> </w:t>
      </w:r>
      <w:r>
        <w:t>failures</w:t>
      </w:r>
      <w:r>
        <w:rPr>
          <w:spacing w:val="-7"/>
        </w:rPr>
        <w:t xml:space="preserve"> </w:t>
      </w:r>
      <w:r>
        <w:t>but</w:t>
      </w:r>
      <w:r>
        <w:rPr>
          <w:spacing w:val="-9"/>
        </w:rPr>
        <w:t xml:space="preserve"> </w:t>
      </w:r>
      <w:r>
        <w:t>each</w:t>
      </w:r>
      <w:r>
        <w:rPr>
          <w:spacing w:val="-5"/>
        </w:rPr>
        <w:t xml:space="preserve"> </w:t>
      </w:r>
      <w:r>
        <w:t>time</w:t>
      </w:r>
      <w:r>
        <w:rPr>
          <w:spacing w:val="-11"/>
        </w:rPr>
        <w:t xml:space="preserve"> </w:t>
      </w:r>
      <w:r>
        <w:t>a</w:t>
      </w:r>
      <w:r>
        <w:rPr>
          <w:spacing w:val="-6"/>
        </w:rPr>
        <w:t xml:space="preserve"> </w:t>
      </w:r>
      <w:r>
        <w:t>correct</w:t>
      </w:r>
      <w:r>
        <w:rPr>
          <w:spacing w:val="-9"/>
        </w:rPr>
        <w:t xml:space="preserve"> </w:t>
      </w:r>
      <w:r>
        <w:t>response</w:t>
      </w:r>
      <w:r>
        <w:rPr>
          <w:spacing w:val="-6"/>
        </w:rPr>
        <w:t xml:space="preserve"> </w:t>
      </w:r>
      <w:r>
        <w:t>to</w:t>
      </w:r>
      <w:r>
        <w:rPr>
          <w:spacing w:val="-5"/>
        </w:rPr>
        <w:t xml:space="preserve"> </w:t>
      </w:r>
      <w:r>
        <w:t>the ongoing</w:t>
      </w:r>
      <w:r>
        <w:rPr>
          <w:spacing w:val="-11"/>
        </w:rPr>
        <w:t xml:space="preserve"> </w:t>
      </w:r>
      <w:r>
        <w:t>task,</w:t>
      </w:r>
      <w:r>
        <w:rPr>
          <w:spacing w:val="-7"/>
        </w:rPr>
        <w:t xml:space="preserve"> </w:t>
      </w:r>
      <w:r>
        <w:t>ongoing</w:t>
      </w:r>
      <w:r>
        <w:rPr>
          <w:spacing w:val="-14"/>
        </w:rPr>
        <w:t xml:space="preserve"> </w:t>
      </w:r>
      <w:r>
        <w:t>task</w:t>
      </w:r>
      <w:r>
        <w:rPr>
          <w:spacing w:val="-10"/>
        </w:rPr>
        <w:t xml:space="preserve"> </w:t>
      </w:r>
      <w:r>
        <w:t>accuracy</w:t>
      </w:r>
      <w:r>
        <w:rPr>
          <w:spacing w:val="-11"/>
        </w:rPr>
        <w:t xml:space="preserve"> </w:t>
      </w:r>
      <w:r>
        <w:t>would</w:t>
      </w:r>
      <w:r>
        <w:rPr>
          <w:spacing w:val="-10"/>
        </w:rPr>
        <w:t xml:space="preserve"> </w:t>
      </w:r>
      <w:r>
        <w:t>be</w:t>
      </w:r>
      <w:r>
        <w:rPr>
          <w:spacing w:val="-11"/>
        </w:rPr>
        <w:t xml:space="preserve"> </w:t>
      </w:r>
      <w:r>
        <w:t>calculated</w:t>
      </w:r>
      <w:r>
        <w:rPr>
          <w:spacing w:val="-10"/>
        </w:rPr>
        <w:t xml:space="preserve"> </w:t>
      </w:r>
      <w:r>
        <w:t>as</w:t>
      </w:r>
      <w:r>
        <w:rPr>
          <w:spacing w:val="-12"/>
        </w:rPr>
        <w:t xml:space="preserve"> </w:t>
      </w:r>
      <w:r>
        <w:t>the</w:t>
      </w:r>
      <w:r>
        <w:rPr>
          <w:spacing w:val="-12"/>
        </w:rPr>
        <w:t xml:space="preserve"> </w:t>
      </w:r>
      <w:r>
        <w:t>proportion</w:t>
      </w:r>
      <w:r>
        <w:rPr>
          <w:spacing w:val="-14"/>
        </w:rPr>
        <w:t xml:space="preserve"> </w:t>
      </w:r>
      <w:r>
        <w:t>of</w:t>
      </w:r>
      <w:r>
        <w:rPr>
          <w:spacing w:val="-8"/>
        </w:rPr>
        <w:t xml:space="preserve"> </w:t>
      </w:r>
      <w:r>
        <w:t>correct</w:t>
      </w:r>
      <w:r>
        <w:rPr>
          <w:spacing w:val="-9"/>
        </w:rPr>
        <w:t xml:space="preserve"> </w:t>
      </w:r>
      <w:r>
        <w:t>responses out of 74 trials (72 pure ongoing plus two PM failure trials).To assess associations between ASD</w:t>
      </w:r>
      <w:r>
        <w:rPr>
          <w:spacing w:val="-16"/>
        </w:rPr>
        <w:t xml:space="preserve"> </w:t>
      </w:r>
      <w:r>
        <w:t>symptoms</w:t>
      </w:r>
      <w:r>
        <w:rPr>
          <w:spacing w:val="-18"/>
        </w:rPr>
        <w:t xml:space="preserve"> </w:t>
      </w:r>
      <w:r>
        <w:t>as</w:t>
      </w:r>
      <w:r>
        <w:rPr>
          <w:spacing w:val="-17"/>
        </w:rPr>
        <w:t xml:space="preserve"> </w:t>
      </w:r>
      <w:r>
        <w:t>measured</w:t>
      </w:r>
      <w:r>
        <w:rPr>
          <w:spacing w:val="-15"/>
        </w:rPr>
        <w:t xml:space="preserve"> </w:t>
      </w:r>
      <w:r>
        <w:t>with</w:t>
      </w:r>
      <w:r>
        <w:rPr>
          <w:spacing w:val="-15"/>
        </w:rPr>
        <w:t xml:space="preserve"> </w:t>
      </w:r>
      <w:r>
        <w:t>the</w:t>
      </w:r>
      <w:r>
        <w:rPr>
          <w:spacing w:val="-15"/>
        </w:rPr>
        <w:t xml:space="preserve"> </w:t>
      </w:r>
      <w:r>
        <w:t>SRS,</w:t>
      </w:r>
      <w:r>
        <w:rPr>
          <w:spacing w:val="-13"/>
        </w:rPr>
        <w:t xml:space="preserve"> </w:t>
      </w:r>
      <w:r>
        <w:t>non-parametric</w:t>
      </w:r>
      <w:r>
        <w:rPr>
          <w:spacing w:val="-16"/>
        </w:rPr>
        <w:t xml:space="preserve"> </w:t>
      </w:r>
      <w:r>
        <w:t>Spearman-Rho</w:t>
      </w:r>
      <w:r>
        <w:rPr>
          <w:spacing w:val="-15"/>
        </w:rPr>
        <w:t xml:space="preserve"> </w:t>
      </w:r>
      <w:r>
        <w:t>correlation</w:t>
      </w:r>
      <w:r>
        <w:rPr>
          <w:spacing w:val="-14"/>
        </w:rPr>
        <w:t xml:space="preserve"> </w:t>
      </w:r>
      <w:r>
        <w:t xml:space="preserve">analyses were performed due to non-normal distribution </w:t>
      </w:r>
      <w:r>
        <w:rPr>
          <w:spacing w:val="-3"/>
        </w:rPr>
        <w:t xml:space="preserve">of </w:t>
      </w:r>
      <w:r>
        <w:t xml:space="preserve">the SRS total score (Kolmogorov-Smirnov test; ASD: </w:t>
      </w:r>
      <w:r>
        <w:rPr>
          <w:i/>
        </w:rPr>
        <w:t>D</w:t>
      </w:r>
      <w:r>
        <w:t xml:space="preserve">(20) = .37, </w:t>
      </w:r>
      <w:r>
        <w:rPr>
          <w:i/>
        </w:rPr>
        <w:t xml:space="preserve">p </w:t>
      </w:r>
      <w:r>
        <w:t xml:space="preserve">≤ .001, NT: </w:t>
      </w:r>
      <w:r>
        <w:rPr>
          <w:i/>
        </w:rPr>
        <w:t>D</w:t>
      </w:r>
      <w:r>
        <w:t xml:space="preserve">(20) = .20, </w:t>
      </w:r>
      <w:r>
        <w:rPr>
          <w:i/>
        </w:rPr>
        <w:t xml:space="preserve">p </w:t>
      </w:r>
      <w:r>
        <w:t>≤</w:t>
      </w:r>
      <w:r>
        <w:rPr>
          <w:spacing w:val="-13"/>
        </w:rPr>
        <w:t xml:space="preserve"> </w:t>
      </w:r>
      <w:r>
        <w:t>.03).</w:t>
      </w:r>
    </w:p>
    <w:p w14:paraId="24F643BC" w14:textId="77777777" w:rsidR="00C75312" w:rsidRDefault="00BB293A">
      <w:pPr>
        <w:pStyle w:val="BodyText"/>
        <w:spacing w:before="140" w:line="472" w:lineRule="auto"/>
        <w:ind w:left="140" w:right="1427" w:firstLine="720"/>
        <w:jc w:val="both"/>
      </w:pPr>
      <w:r>
        <w:pict w14:anchorId="5DD4B413">
          <v:shape id="_x0000_s2757" type="#_x0000_t202" style="position:absolute;left:0;text-align:left;margin-left:314.9pt;margin-top:95.65pt;width:5.3pt;height:9.85pt;z-index:-260603904;mso-position-horizontal-relative:page" filled="f" stroked="f">
            <v:textbox inset="0,0,0,0">
              <w:txbxContent>
                <w:p w14:paraId="41835287"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Throughout this thesis, an alpha level of .05 was used to determine statistical significance. All reported significance values were two-tailed, unless otherwise indicated. Greenhouse-Geisser corrections were used where the assumption of sphericity was violated. Where ANOVAs were used, partial eta squared (</w:t>
      </w:r>
      <w:r>
        <w:rPr>
          <w:rFonts w:ascii="Cambria Math" w:hAnsi="Cambria Math"/>
        </w:rPr>
        <w:t>!</w:t>
      </w:r>
      <w:r>
        <w:rPr>
          <w:rFonts w:ascii="Cambria Math" w:hAnsi="Cambria Math"/>
          <w:position w:val="9"/>
          <w:sz w:val="17"/>
        </w:rPr>
        <w:t>#</w:t>
      </w:r>
      <w:r>
        <w:rPr>
          <w:rFonts w:ascii="Cambria" w:hAnsi="Cambria"/>
        </w:rPr>
        <w:t xml:space="preserve">) </w:t>
      </w:r>
      <w:r>
        <w:t>is reported as a measure of effect size (≥</w:t>
      </w:r>
    </w:p>
    <w:p w14:paraId="16913A5F" w14:textId="77777777" w:rsidR="00C75312" w:rsidRDefault="00C75312">
      <w:pPr>
        <w:spacing w:line="472" w:lineRule="auto"/>
        <w:jc w:val="both"/>
        <w:sectPr w:rsidR="00C75312">
          <w:pgSz w:w="11900" w:h="16840"/>
          <w:pgMar w:top="1140" w:right="0" w:bottom="280" w:left="1300" w:header="715" w:footer="0" w:gutter="0"/>
          <w:cols w:space="720"/>
        </w:sectPr>
      </w:pPr>
    </w:p>
    <w:p w14:paraId="5C791564" w14:textId="77777777" w:rsidR="00C75312" w:rsidRDefault="00C75312">
      <w:pPr>
        <w:pStyle w:val="BodyText"/>
        <w:spacing w:before="2"/>
        <w:rPr>
          <w:sz w:val="18"/>
        </w:rPr>
      </w:pPr>
    </w:p>
    <w:p w14:paraId="2C369717" w14:textId="77777777" w:rsidR="00C75312" w:rsidRDefault="00BB293A">
      <w:pPr>
        <w:pStyle w:val="BodyText"/>
        <w:spacing w:before="90" w:line="480" w:lineRule="auto"/>
        <w:ind w:left="140" w:right="1427"/>
        <w:jc w:val="both"/>
      </w:pPr>
      <w:r>
        <w:t xml:space="preserve">.01 = small effect, ≥ .06 = moderate effect, ≥. 14 = large effect; Cohen, 1988). Where </w:t>
      </w:r>
      <w:r>
        <w:rPr>
          <w:i/>
        </w:rPr>
        <w:t>t</w:t>
      </w:r>
      <w:r>
        <w:t xml:space="preserve">-tests were used, Cohen’s </w:t>
      </w:r>
      <w:r>
        <w:rPr>
          <w:i/>
        </w:rPr>
        <w:t xml:space="preserve">d </w:t>
      </w:r>
      <w:r>
        <w:t>is reported as a measure of effect size (≥.0.20 = small effect, ≥ 0.50 = moderate effect; ≥ 0.80 = large effect; Cohen, 1988). Where categorical (Chi-square) analyses were conducted, phi (φ) is reported as a measure of effect size (≥ .10 = small effect, ≥.30 = moderate effect, ≥.50 = large effect; Cohen, 1988). Where correlation analyses were conducted, Spearman rho (r) is reported as a measure of effect size (r ≤ .10 = small effect, r ≤</w:t>
      </w:r>
    </w:p>
    <w:p w14:paraId="454F0733" w14:textId="77777777" w:rsidR="00C75312" w:rsidRDefault="00BB293A">
      <w:pPr>
        <w:pStyle w:val="BodyText"/>
        <w:ind w:left="140"/>
        <w:jc w:val="both"/>
      </w:pPr>
      <w:r>
        <w:t>.30 = moderate effect, r ≤ .50 = large effect; Cohen, 1988)</w:t>
      </w:r>
    </w:p>
    <w:p w14:paraId="03D41210" w14:textId="77777777" w:rsidR="00C75312" w:rsidRDefault="00C75312">
      <w:pPr>
        <w:pStyle w:val="BodyText"/>
        <w:spacing w:before="5"/>
        <w:rPr>
          <w:sz w:val="34"/>
        </w:rPr>
      </w:pPr>
    </w:p>
    <w:p w14:paraId="79C59DD1" w14:textId="77777777" w:rsidR="00C75312" w:rsidRDefault="00BB293A">
      <w:pPr>
        <w:pStyle w:val="Heading1"/>
        <w:jc w:val="both"/>
      </w:pPr>
      <w:r>
        <w:t>Bayes factor analysis</w:t>
      </w:r>
    </w:p>
    <w:p w14:paraId="2D4448FF" w14:textId="77777777" w:rsidR="00C75312" w:rsidRDefault="00C75312">
      <w:pPr>
        <w:pStyle w:val="BodyText"/>
        <w:rPr>
          <w:b/>
        </w:rPr>
      </w:pPr>
    </w:p>
    <w:p w14:paraId="2FB13209" w14:textId="77777777" w:rsidR="00C75312" w:rsidRDefault="00BB293A">
      <w:pPr>
        <w:pStyle w:val="BodyText"/>
        <w:spacing w:line="475" w:lineRule="auto"/>
        <w:ind w:left="140" w:right="1426" w:firstLine="720"/>
        <w:jc w:val="both"/>
      </w:pPr>
      <w:r>
        <w:t xml:space="preserve">An increasingly used alternative </w:t>
      </w:r>
      <w:r>
        <w:rPr>
          <w:spacing w:val="-3"/>
        </w:rPr>
        <w:t xml:space="preserve">to </w:t>
      </w:r>
      <w:r>
        <w:t>power calculations is to calculate a Bayes factor associated with the critical result of interest. According to standard statistical conventions, if a</w:t>
      </w:r>
      <w:r>
        <w:rPr>
          <w:spacing w:val="-6"/>
        </w:rPr>
        <w:t xml:space="preserve"> </w:t>
      </w:r>
      <w:r>
        <w:rPr>
          <w:i/>
        </w:rPr>
        <w:t>p</w:t>
      </w:r>
      <w:r>
        <w:t>-value</w:t>
      </w:r>
      <w:r>
        <w:rPr>
          <w:spacing w:val="-5"/>
        </w:rPr>
        <w:t xml:space="preserve"> </w:t>
      </w:r>
      <w:r>
        <w:t>for</w:t>
      </w:r>
      <w:r>
        <w:rPr>
          <w:spacing w:val="-2"/>
        </w:rPr>
        <w:t xml:space="preserve"> </w:t>
      </w:r>
      <w:r>
        <w:t>a</w:t>
      </w:r>
      <w:r>
        <w:rPr>
          <w:spacing w:val="-10"/>
        </w:rPr>
        <w:t xml:space="preserve"> </w:t>
      </w:r>
      <w:r>
        <w:t>specific</w:t>
      </w:r>
      <w:r>
        <w:rPr>
          <w:spacing w:val="-5"/>
        </w:rPr>
        <w:t xml:space="preserve"> </w:t>
      </w:r>
      <w:r>
        <w:t>analysis</w:t>
      </w:r>
      <w:r>
        <w:rPr>
          <w:spacing w:val="-6"/>
        </w:rPr>
        <w:t xml:space="preserve"> </w:t>
      </w:r>
      <w:r>
        <w:t>is</w:t>
      </w:r>
      <w:r>
        <w:rPr>
          <w:spacing w:val="-6"/>
        </w:rPr>
        <w:t xml:space="preserve"> </w:t>
      </w:r>
      <w:r>
        <w:t>&gt;</w:t>
      </w:r>
      <w:r>
        <w:rPr>
          <w:spacing w:val="-6"/>
        </w:rPr>
        <w:t xml:space="preserve"> </w:t>
      </w:r>
      <w:r>
        <w:t>.05</w:t>
      </w:r>
      <w:r>
        <w:rPr>
          <w:spacing w:val="-9"/>
        </w:rPr>
        <w:t xml:space="preserve"> </w:t>
      </w:r>
      <w:r>
        <w:t>then</w:t>
      </w:r>
      <w:r>
        <w:rPr>
          <w:spacing w:val="-4"/>
        </w:rPr>
        <w:t xml:space="preserve"> </w:t>
      </w:r>
      <w:r>
        <w:t>it</w:t>
      </w:r>
      <w:r>
        <w:rPr>
          <w:spacing w:val="-8"/>
        </w:rPr>
        <w:t xml:space="preserve"> </w:t>
      </w:r>
      <w:r>
        <w:t>can</w:t>
      </w:r>
      <w:r>
        <w:rPr>
          <w:spacing w:val="-9"/>
        </w:rPr>
        <w:t xml:space="preserve"> </w:t>
      </w:r>
      <w:r>
        <w:t>be</w:t>
      </w:r>
      <w:r>
        <w:rPr>
          <w:spacing w:val="-5"/>
        </w:rPr>
        <w:t xml:space="preserve"> </w:t>
      </w:r>
      <w:r>
        <w:t>concluded</w:t>
      </w:r>
      <w:r>
        <w:rPr>
          <w:spacing w:val="-4"/>
        </w:rPr>
        <w:t xml:space="preserve"> </w:t>
      </w:r>
      <w:r>
        <w:t>that</w:t>
      </w:r>
      <w:r>
        <w:rPr>
          <w:spacing w:val="-3"/>
        </w:rPr>
        <w:t xml:space="preserve"> </w:t>
      </w:r>
      <w:r>
        <w:t>the</w:t>
      </w:r>
      <w:r>
        <w:rPr>
          <w:spacing w:val="-10"/>
        </w:rPr>
        <w:t xml:space="preserve"> </w:t>
      </w:r>
      <w:r>
        <w:t>result</w:t>
      </w:r>
      <w:r>
        <w:rPr>
          <w:spacing w:val="-4"/>
        </w:rPr>
        <w:t xml:space="preserve"> </w:t>
      </w:r>
      <w:r>
        <w:t>is</w:t>
      </w:r>
      <w:r>
        <w:rPr>
          <w:spacing w:val="-6"/>
        </w:rPr>
        <w:t xml:space="preserve"> </w:t>
      </w:r>
      <w:r>
        <w:t>null</w:t>
      </w:r>
      <w:r>
        <w:rPr>
          <w:spacing w:val="-8"/>
        </w:rPr>
        <w:t xml:space="preserve"> </w:t>
      </w:r>
      <w:r>
        <w:t>and</w:t>
      </w:r>
      <w:r>
        <w:rPr>
          <w:spacing w:val="-4"/>
        </w:rPr>
        <w:t xml:space="preserve"> </w:t>
      </w:r>
      <w:r>
        <w:t xml:space="preserve">does not support the alternative hypothesis. However, treating </w:t>
      </w:r>
      <w:r>
        <w:rPr>
          <w:i/>
        </w:rPr>
        <w:t>p</w:t>
      </w:r>
      <w:r>
        <w:t xml:space="preserve">-values in this way assumes they are categorical and absolute, rather than “a convenient reference point along the possibility- probability continuum’’ (Cohen, 1990, </w:t>
      </w:r>
      <w:r>
        <w:rPr>
          <w:spacing w:val="-3"/>
        </w:rPr>
        <w:t xml:space="preserve">p. </w:t>
      </w:r>
      <w:r>
        <w:t>1311). Bayes factors overcome this issue by estimating</w:t>
      </w:r>
      <w:r>
        <w:rPr>
          <w:spacing w:val="-10"/>
        </w:rPr>
        <w:t xml:space="preserve"> </w:t>
      </w:r>
      <w:r>
        <w:t>the</w:t>
      </w:r>
      <w:r>
        <w:rPr>
          <w:spacing w:val="-10"/>
        </w:rPr>
        <w:t xml:space="preserve"> </w:t>
      </w:r>
      <w:r>
        <w:t>relative</w:t>
      </w:r>
      <w:r>
        <w:rPr>
          <w:spacing w:val="-14"/>
        </w:rPr>
        <w:t xml:space="preserve"> </w:t>
      </w:r>
      <w:r>
        <w:t>strength</w:t>
      </w:r>
      <w:r>
        <w:rPr>
          <w:spacing w:val="-10"/>
        </w:rPr>
        <w:t xml:space="preserve"> </w:t>
      </w:r>
      <w:r>
        <w:rPr>
          <w:spacing w:val="-3"/>
        </w:rPr>
        <w:t>of</w:t>
      </w:r>
      <w:r>
        <w:rPr>
          <w:spacing w:val="-12"/>
        </w:rPr>
        <w:t xml:space="preserve"> </w:t>
      </w:r>
      <w:r>
        <w:t>a</w:t>
      </w:r>
      <w:r>
        <w:rPr>
          <w:spacing w:val="-10"/>
        </w:rPr>
        <w:t xml:space="preserve"> </w:t>
      </w:r>
      <w:r>
        <w:t>finding</w:t>
      </w:r>
      <w:r>
        <w:rPr>
          <w:spacing w:val="-14"/>
        </w:rPr>
        <w:t xml:space="preserve"> </w:t>
      </w:r>
      <w:r>
        <w:t>for</w:t>
      </w:r>
      <w:r>
        <w:rPr>
          <w:spacing w:val="-12"/>
        </w:rPr>
        <w:t xml:space="preserve"> </w:t>
      </w:r>
      <w:r>
        <w:t>one</w:t>
      </w:r>
      <w:r>
        <w:rPr>
          <w:spacing w:val="-14"/>
        </w:rPr>
        <w:t xml:space="preserve"> </w:t>
      </w:r>
      <w:r>
        <w:t>theory</w:t>
      </w:r>
      <w:r>
        <w:rPr>
          <w:spacing w:val="-9"/>
        </w:rPr>
        <w:t xml:space="preserve"> </w:t>
      </w:r>
      <w:r>
        <w:t>over</w:t>
      </w:r>
      <w:r>
        <w:rPr>
          <w:spacing w:val="-13"/>
        </w:rPr>
        <w:t xml:space="preserve"> </w:t>
      </w:r>
      <w:r>
        <w:t>another</w:t>
      </w:r>
      <w:r>
        <w:rPr>
          <w:spacing w:val="-12"/>
        </w:rPr>
        <w:t xml:space="preserve"> </w:t>
      </w:r>
      <w:r>
        <w:t>theory,</w:t>
      </w:r>
      <w:r>
        <w:rPr>
          <w:spacing w:val="-11"/>
        </w:rPr>
        <w:t xml:space="preserve"> </w:t>
      </w:r>
      <w:r>
        <w:t>allowing</w:t>
      </w:r>
      <w:r>
        <w:rPr>
          <w:spacing w:val="-13"/>
        </w:rPr>
        <w:t xml:space="preserve"> </w:t>
      </w:r>
      <w:r>
        <w:t>a</w:t>
      </w:r>
      <w:r>
        <w:rPr>
          <w:spacing w:val="-11"/>
        </w:rPr>
        <w:t xml:space="preserve"> </w:t>
      </w:r>
      <w:r>
        <w:t xml:space="preserve">more graded interpretation of the data (e.g., </w:t>
      </w:r>
      <w:proofErr w:type="spellStart"/>
      <w:r>
        <w:t>Rouder</w:t>
      </w:r>
      <w:proofErr w:type="spellEnd"/>
      <w:r>
        <w:t xml:space="preserve"> et al., 2009). Thus, they are especially useful for interpreting null results, because th</w:t>
      </w:r>
      <w:r>
        <w:t xml:space="preserve">ey provide an estimate </w:t>
      </w:r>
      <w:r>
        <w:rPr>
          <w:spacing w:val="-3"/>
        </w:rPr>
        <w:t xml:space="preserve">of </w:t>
      </w:r>
      <w:r>
        <w:t xml:space="preserve">the degree to which findings </w:t>
      </w:r>
      <w:r>
        <w:rPr>
          <w:position w:val="2"/>
        </w:rPr>
        <w:t>are supportive of the null hypothesis (H</w:t>
      </w:r>
      <w:r>
        <w:rPr>
          <w:position w:val="2"/>
          <w:vertAlign w:val="subscript"/>
        </w:rPr>
        <w:t>0</w:t>
      </w:r>
      <w:r>
        <w:rPr>
          <w:position w:val="2"/>
        </w:rPr>
        <w:t xml:space="preserve">) </w:t>
      </w:r>
      <w:r>
        <w:rPr>
          <w:i/>
          <w:position w:val="2"/>
        </w:rPr>
        <w:t xml:space="preserve">over </w:t>
      </w:r>
      <w:r>
        <w:rPr>
          <w:position w:val="2"/>
        </w:rPr>
        <w:t>the alternative hypothesis (H</w:t>
      </w:r>
      <w:r>
        <w:rPr>
          <w:position w:val="2"/>
          <w:vertAlign w:val="subscript"/>
        </w:rPr>
        <w:t>1</w:t>
      </w:r>
      <w:r>
        <w:rPr>
          <w:position w:val="2"/>
        </w:rPr>
        <w:t xml:space="preserve">) (Dienes, 2014). </w:t>
      </w:r>
      <w:r>
        <w:t xml:space="preserve">According to Lee and </w:t>
      </w:r>
      <w:proofErr w:type="spellStart"/>
      <w:r>
        <w:t>Wagenmakers</w:t>
      </w:r>
      <w:proofErr w:type="spellEnd"/>
      <w:r>
        <w:t xml:space="preserve"> (2013) adjusted criteria of Jeffreys’ (1961) original </w:t>
      </w:r>
      <w:r>
        <w:rPr>
          <w:position w:val="2"/>
        </w:rPr>
        <w:t>criteria for interpreting Bayes factors, values larger than 10 provide strong evidence for H</w:t>
      </w:r>
      <w:r>
        <w:rPr>
          <w:position w:val="2"/>
          <w:vertAlign w:val="subscript"/>
        </w:rPr>
        <w:t>1</w:t>
      </w:r>
      <w:r>
        <w:rPr>
          <w:position w:val="2"/>
        </w:rPr>
        <w:t>, values between three and 10 provide moderate evidence for H</w:t>
      </w:r>
      <w:r>
        <w:rPr>
          <w:position w:val="2"/>
          <w:vertAlign w:val="subscript"/>
        </w:rPr>
        <w:t>1</w:t>
      </w:r>
      <w:r>
        <w:rPr>
          <w:position w:val="2"/>
        </w:rPr>
        <w:t>, and values between one and three provide anecdotal evidence for H</w:t>
      </w:r>
      <w:r>
        <w:rPr>
          <w:position w:val="2"/>
          <w:vertAlign w:val="subscript"/>
        </w:rPr>
        <w:t>1</w:t>
      </w:r>
      <w:r>
        <w:rPr>
          <w:position w:val="2"/>
        </w:rPr>
        <w:t>. A Bayes factor of one does not provide any evidence in</w:t>
      </w:r>
      <w:r>
        <w:rPr>
          <w:spacing w:val="-11"/>
          <w:position w:val="2"/>
        </w:rPr>
        <w:t xml:space="preserve"> </w:t>
      </w:r>
      <w:proofErr w:type="spellStart"/>
      <w:r>
        <w:rPr>
          <w:position w:val="2"/>
        </w:rPr>
        <w:t>favour</w:t>
      </w:r>
      <w:proofErr w:type="spellEnd"/>
      <w:r>
        <w:rPr>
          <w:spacing w:val="-13"/>
          <w:position w:val="2"/>
        </w:rPr>
        <w:t xml:space="preserve"> </w:t>
      </w:r>
      <w:r>
        <w:rPr>
          <w:position w:val="2"/>
        </w:rPr>
        <w:t>of</w:t>
      </w:r>
      <w:r>
        <w:rPr>
          <w:spacing w:val="-13"/>
          <w:position w:val="2"/>
        </w:rPr>
        <w:t xml:space="preserve"> </w:t>
      </w:r>
      <w:r>
        <w:rPr>
          <w:position w:val="2"/>
        </w:rPr>
        <w:t>either</w:t>
      </w:r>
      <w:r>
        <w:rPr>
          <w:spacing w:val="-13"/>
          <w:position w:val="2"/>
        </w:rPr>
        <w:t xml:space="preserve"> </w:t>
      </w:r>
      <w:r>
        <w:rPr>
          <w:position w:val="2"/>
        </w:rPr>
        <w:t>the</w:t>
      </w:r>
      <w:r>
        <w:rPr>
          <w:spacing w:val="-12"/>
          <w:position w:val="2"/>
        </w:rPr>
        <w:t xml:space="preserve"> </w:t>
      </w:r>
      <w:r>
        <w:rPr>
          <w:position w:val="2"/>
        </w:rPr>
        <w:t>H</w:t>
      </w:r>
      <w:r>
        <w:rPr>
          <w:position w:val="2"/>
          <w:vertAlign w:val="subscript"/>
        </w:rPr>
        <w:t>1</w:t>
      </w:r>
      <w:r>
        <w:rPr>
          <w:position w:val="2"/>
        </w:rPr>
        <w:t>,</w:t>
      </w:r>
      <w:r>
        <w:rPr>
          <w:spacing w:val="-12"/>
          <w:position w:val="2"/>
        </w:rPr>
        <w:t xml:space="preserve"> </w:t>
      </w:r>
      <w:r>
        <w:rPr>
          <w:position w:val="2"/>
        </w:rPr>
        <w:t>or</w:t>
      </w:r>
      <w:r>
        <w:rPr>
          <w:spacing w:val="-13"/>
          <w:position w:val="2"/>
        </w:rPr>
        <w:t xml:space="preserve"> </w:t>
      </w:r>
      <w:r>
        <w:rPr>
          <w:position w:val="2"/>
        </w:rPr>
        <w:t>H</w:t>
      </w:r>
      <w:r>
        <w:rPr>
          <w:position w:val="2"/>
          <w:vertAlign w:val="subscript"/>
        </w:rPr>
        <w:t>0</w:t>
      </w:r>
      <w:r>
        <w:rPr>
          <w:position w:val="2"/>
        </w:rPr>
        <w:t>.</w:t>
      </w:r>
      <w:r>
        <w:rPr>
          <w:spacing w:val="33"/>
          <w:position w:val="2"/>
        </w:rPr>
        <w:t xml:space="preserve"> </w:t>
      </w:r>
      <w:r>
        <w:rPr>
          <w:position w:val="2"/>
        </w:rPr>
        <w:t>Values</w:t>
      </w:r>
      <w:r>
        <w:rPr>
          <w:spacing w:val="-12"/>
          <w:position w:val="2"/>
        </w:rPr>
        <w:t xml:space="preserve"> </w:t>
      </w:r>
      <w:r>
        <w:rPr>
          <w:position w:val="2"/>
        </w:rPr>
        <w:t>between</w:t>
      </w:r>
      <w:r>
        <w:rPr>
          <w:spacing w:val="-10"/>
          <w:position w:val="2"/>
        </w:rPr>
        <w:t xml:space="preserve"> </w:t>
      </w:r>
      <w:r>
        <w:rPr>
          <w:position w:val="2"/>
        </w:rPr>
        <w:t>one-third</w:t>
      </w:r>
      <w:r>
        <w:rPr>
          <w:spacing w:val="-10"/>
          <w:position w:val="2"/>
        </w:rPr>
        <w:t xml:space="preserve"> </w:t>
      </w:r>
      <w:r>
        <w:rPr>
          <w:position w:val="2"/>
        </w:rPr>
        <w:t>and</w:t>
      </w:r>
      <w:r>
        <w:rPr>
          <w:spacing w:val="-11"/>
          <w:position w:val="2"/>
        </w:rPr>
        <w:t xml:space="preserve"> </w:t>
      </w:r>
      <w:r>
        <w:rPr>
          <w:position w:val="2"/>
        </w:rPr>
        <w:t>one</w:t>
      </w:r>
      <w:r>
        <w:rPr>
          <w:spacing w:val="-11"/>
          <w:position w:val="2"/>
        </w:rPr>
        <w:t xml:space="preserve"> </w:t>
      </w:r>
      <w:r>
        <w:rPr>
          <w:position w:val="2"/>
        </w:rPr>
        <w:t>provide</w:t>
      </w:r>
      <w:r>
        <w:rPr>
          <w:spacing w:val="-11"/>
          <w:position w:val="2"/>
        </w:rPr>
        <w:t xml:space="preserve"> </w:t>
      </w:r>
      <w:r>
        <w:rPr>
          <w:position w:val="2"/>
        </w:rPr>
        <w:t>anecdotal,</w:t>
      </w:r>
      <w:r>
        <w:rPr>
          <w:spacing w:val="-13"/>
          <w:position w:val="2"/>
        </w:rPr>
        <w:t xml:space="preserve"> </w:t>
      </w:r>
      <w:r>
        <w:rPr>
          <w:position w:val="2"/>
        </w:rPr>
        <w:t>between one-tenth and one-third moderate, and smaller than one-tenth strong evidence for H</w:t>
      </w:r>
      <w:r>
        <w:rPr>
          <w:position w:val="2"/>
          <w:vertAlign w:val="subscript"/>
        </w:rPr>
        <w:t>0</w:t>
      </w:r>
      <w:r>
        <w:rPr>
          <w:position w:val="2"/>
        </w:rPr>
        <w:t>. Thus,</w:t>
      </w:r>
    </w:p>
    <w:p w14:paraId="3BD93D1D" w14:textId="77777777" w:rsidR="00C75312" w:rsidRDefault="00C75312">
      <w:pPr>
        <w:spacing w:line="475" w:lineRule="auto"/>
        <w:jc w:val="both"/>
        <w:sectPr w:rsidR="00C75312">
          <w:pgSz w:w="11900" w:h="16840"/>
          <w:pgMar w:top="1140" w:right="0" w:bottom="280" w:left="1300" w:header="715" w:footer="0" w:gutter="0"/>
          <w:cols w:space="720"/>
        </w:sectPr>
      </w:pPr>
    </w:p>
    <w:p w14:paraId="180A6412" w14:textId="77777777" w:rsidR="00C75312" w:rsidRDefault="00C75312">
      <w:pPr>
        <w:pStyle w:val="BodyText"/>
        <w:spacing w:before="2"/>
        <w:rPr>
          <w:sz w:val="18"/>
        </w:rPr>
      </w:pPr>
    </w:p>
    <w:p w14:paraId="61ADB48B" w14:textId="77777777" w:rsidR="00C75312" w:rsidRDefault="00BB293A">
      <w:pPr>
        <w:pStyle w:val="BodyText"/>
        <w:spacing w:before="90" w:line="480" w:lineRule="auto"/>
        <w:ind w:left="140" w:right="1433"/>
        <w:jc w:val="both"/>
      </w:pPr>
      <w:r>
        <w:t>Bayes factors between one-third and three provide inconsistent evidence for the respective hypothesis.</w:t>
      </w:r>
    </w:p>
    <w:p w14:paraId="5FF42690" w14:textId="77777777" w:rsidR="00C75312" w:rsidRDefault="00BB293A">
      <w:pPr>
        <w:pStyle w:val="BodyText"/>
        <w:spacing w:before="120" w:line="480" w:lineRule="auto"/>
        <w:ind w:left="140" w:right="1424" w:firstLine="720"/>
        <w:jc w:val="both"/>
      </w:pPr>
      <w:r>
        <w:t>Therefore, additionally to the traditional null hypothesis significance testing approach, Bayes</w:t>
      </w:r>
      <w:r>
        <w:rPr>
          <w:spacing w:val="-13"/>
        </w:rPr>
        <w:t xml:space="preserve"> </w:t>
      </w:r>
      <w:r>
        <w:t>factors</w:t>
      </w:r>
      <w:r>
        <w:rPr>
          <w:spacing w:val="-12"/>
        </w:rPr>
        <w:t xml:space="preserve"> </w:t>
      </w:r>
      <w:r>
        <w:t>are</w:t>
      </w:r>
      <w:r>
        <w:rPr>
          <w:spacing w:val="-16"/>
        </w:rPr>
        <w:t xml:space="preserve"> </w:t>
      </w:r>
      <w:r>
        <w:t>reported</w:t>
      </w:r>
      <w:r>
        <w:rPr>
          <w:spacing w:val="-14"/>
        </w:rPr>
        <w:t xml:space="preserve"> </w:t>
      </w:r>
      <w:r>
        <w:t>for</w:t>
      </w:r>
      <w:r>
        <w:rPr>
          <w:spacing w:val="-14"/>
        </w:rPr>
        <w:t xml:space="preserve"> </w:t>
      </w:r>
      <w:r>
        <w:t>the</w:t>
      </w:r>
      <w:r>
        <w:rPr>
          <w:spacing w:val="-15"/>
        </w:rPr>
        <w:t xml:space="preserve"> </w:t>
      </w:r>
      <w:r>
        <w:t>respective</w:t>
      </w:r>
      <w:r>
        <w:rPr>
          <w:spacing w:val="-12"/>
        </w:rPr>
        <w:t xml:space="preserve"> </w:t>
      </w:r>
      <w:r>
        <w:t>analyses</w:t>
      </w:r>
      <w:r>
        <w:rPr>
          <w:spacing w:val="-12"/>
        </w:rPr>
        <w:t xml:space="preserve"> </w:t>
      </w:r>
      <w:r>
        <w:t>throughout</w:t>
      </w:r>
      <w:r>
        <w:rPr>
          <w:spacing w:val="-15"/>
        </w:rPr>
        <w:t xml:space="preserve"> </w:t>
      </w:r>
      <w:r>
        <w:t>this</w:t>
      </w:r>
      <w:r>
        <w:rPr>
          <w:spacing w:val="-12"/>
        </w:rPr>
        <w:t xml:space="preserve"> </w:t>
      </w:r>
      <w:r>
        <w:t>thesis.</w:t>
      </w:r>
      <w:r>
        <w:rPr>
          <w:spacing w:val="38"/>
        </w:rPr>
        <w:t xml:space="preserve"> </w:t>
      </w:r>
      <w:r>
        <w:t>Bayesian</w:t>
      </w:r>
      <w:r>
        <w:rPr>
          <w:spacing w:val="-11"/>
        </w:rPr>
        <w:t xml:space="preserve"> </w:t>
      </w:r>
      <w:r>
        <w:t>analyses were</w:t>
      </w:r>
      <w:r>
        <w:rPr>
          <w:spacing w:val="-11"/>
        </w:rPr>
        <w:t xml:space="preserve"> </w:t>
      </w:r>
      <w:r>
        <w:t>computed</w:t>
      </w:r>
      <w:r>
        <w:rPr>
          <w:spacing w:val="-9"/>
        </w:rPr>
        <w:t xml:space="preserve"> </w:t>
      </w:r>
      <w:r>
        <w:t>using</w:t>
      </w:r>
      <w:r>
        <w:rPr>
          <w:spacing w:val="-10"/>
        </w:rPr>
        <w:t xml:space="preserve"> </w:t>
      </w:r>
      <w:r>
        <w:t>the</w:t>
      </w:r>
      <w:r>
        <w:rPr>
          <w:spacing w:val="-10"/>
        </w:rPr>
        <w:t xml:space="preserve"> </w:t>
      </w:r>
      <w:r>
        <w:t>software</w:t>
      </w:r>
      <w:r>
        <w:rPr>
          <w:spacing w:val="-11"/>
        </w:rPr>
        <w:t xml:space="preserve"> </w:t>
      </w:r>
      <w:r>
        <w:t>JASP</w:t>
      </w:r>
      <w:r>
        <w:rPr>
          <w:spacing w:val="-8"/>
        </w:rPr>
        <w:t xml:space="preserve"> </w:t>
      </w:r>
      <w:r>
        <w:t>using</w:t>
      </w:r>
      <w:r>
        <w:rPr>
          <w:spacing w:val="-10"/>
        </w:rPr>
        <w:t xml:space="preserve"> </w:t>
      </w:r>
      <w:r>
        <w:t>the</w:t>
      </w:r>
      <w:r>
        <w:rPr>
          <w:spacing w:val="-10"/>
        </w:rPr>
        <w:t xml:space="preserve"> </w:t>
      </w:r>
      <w:r>
        <w:t>recommended</w:t>
      </w:r>
      <w:r>
        <w:rPr>
          <w:spacing w:val="-10"/>
        </w:rPr>
        <w:t xml:space="preserve"> </w:t>
      </w:r>
      <w:r>
        <w:t>default</w:t>
      </w:r>
      <w:r>
        <w:rPr>
          <w:spacing w:val="-8"/>
        </w:rPr>
        <w:t xml:space="preserve"> </w:t>
      </w:r>
      <w:r>
        <w:t>objective</w:t>
      </w:r>
      <w:r>
        <w:rPr>
          <w:spacing w:val="-10"/>
        </w:rPr>
        <w:t xml:space="preserve"> </w:t>
      </w:r>
      <w:r>
        <w:t>prior</w:t>
      </w:r>
      <w:r>
        <w:rPr>
          <w:spacing w:val="-8"/>
        </w:rPr>
        <w:t xml:space="preserve"> </w:t>
      </w:r>
      <w:r>
        <w:t>for</w:t>
      </w:r>
      <w:r>
        <w:rPr>
          <w:spacing w:val="-8"/>
        </w:rPr>
        <w:t xml:space="preserve"> </w:t>
      </w:r>
      <w:r>
        <w:t xml:space="preserve">the respective analysis (JASP Team, 2017; </w:t>
      </w:r>
      <w:proofErr w:type="spellStart"/>
      <w:r>
        <w:t>Wagenmakers</w:t>
      </w:r>
      <w:proofErr w:type="spellEnd"/>
      <w:r>
        <w:t xml:space="preserve">, Love, et al., 2017; </w:t>
      </w:r>
      <w:proofErr w:type="spellStart"/>
      <w:r>
        <w:t>Wagenmakers</w:t>
      </w:r>
      <w:proofErr w:type="spellEnd"/>
      <w:r>
        <w:t xml:space="preserve">, Marsman, et al., 2017). Where ANOVAs where employed, Bayesian t-tests were used to explore significant interaction effects. However, </w:t>
      </w:r>
      <w:r>
        <w:rPr>
          <w:spacing w:val="-3"/>
        </w:rPr>
        <w:t xml:space="preserve">at </w:t>
      </w:r>
      <w:r>
        <w:t xml:space="preserve">present, Bayesian post-hoc tests are yet to be developed to correct multiple comparisons. For this study, the data were submitted to </w:t>
      </w:r>
      <w:r>
        <w:rPr>
          <w:position w:val="2"/>
        </w:rPr>
        <w:t>Bayesian repeated measures mixed ANOVAs to obtain the BF</w:t>
      </w:r>
      <w:r>
        <w:rPr>
          <w:position w:val="2"/>
          <w:vertAlign w:val="subscript"/>
        </w:rPr>
        <w:t>10</w:t>
      </w:r>
      <w:r>
        <w:rPr>
          <w:position w:val="2"/>
        </w:rPr>
        <w:t xml:space="preserve">, the Bayes factor in support </w:t>
      </w:r>
      <w:r>
        <w:t>of the alternative hypothes</w:t>
      </w:r>
      <w:r>
        <w:t xml:space="preserve">is over the null hypothesis. Bayes factors for ANOVAs with more than one factor are </w:t>
      </w:r>
      <w:proofErr w:type="spellStart"/>
      <w:r>
        <w:t>conceptualised</w:t>
      </w:r>
      <w:proofErr w:type="spellEnd"/>
      <w:r>
        <w:t xml:space="preserve"> as Bayes factors for the different possible models (null model, model </w:t>
      </w:r>
      <w:r>
        <w:rPr>
          <w:spacing w:val="-3"/>
        </w:rPr>
        <w:t xml:space="preserve">of </w:t>
      </w:r>
      <w:r>
        <w:t>main effect one, model of main effect two, additive model of both main effects,</w:t>
      </w:r>
      <w:r>
        <w:rPr>
          <w:spacing w:val="-12"/>
        </w:rPr>
        <w:t xml:space="preserve"> </w:t>
      </w:r>
      <w:r>
        <w:t>and</w:t>
      </w:r>
      <w:r>
        <w:rPr>
          <w:spacing w:val="-13"/>
        </w:rPr>
        <w:t xml:space="preserve"> </w:t>
      </w:r>
      <w:r>
        <w:t>the</w:t>
      </w:r>
      <w:r>
        <w:rPr>
          <w:spacing w:val="-14"/>
        </w:rPr>
        <w:t xml:space="preserve"> </w:t>
      </w:r>
      <w:r>
        <w:t>full</w:t>
      </w:r>
      <w:r>
        <w:rPr>
          <w:spacing w:val="-14"/>
        </w:rPr>
        <w:t xml:space="preserve"> </w:t>
      </w:r>
      <w:r>
        <w:t>model</w:t>
      </w:r>
      <w:r>
        <w:rPr>
          <w:spacing w:val="-18"/>
        </w:rPr>
        <w:t xml:space="preserve"> </w:t>
      </w:r>
      <w:r>
        <w:t>including</w:t>
      </w:r>
      <w:r>
        <w:rPr>
          <w:spacing w:val="-13"/>
        </w:rPr>
        <w:t xml:space="preserve"> </w:t>
      </w:r>
      <w:r>
        <w:t>both</w:t>
      </w:r>
      <w:r>
        <w:rPr>
          <w:spacing w:val="-13"/>
        </w:rPr>
        <w:t xml:space="preserve"> </w:t>
      </w:r>
      <w:r>
        <w:t>main</w:t>
      </w:r>
      <w:r>
        <w:rPr>
          <w:spacing w:val="-14"/>
        </w:rPr>
        <w:t xml:space="preserve"> </w:t>
      </w:r>
      <w:r>
        <w:t>effects</w:t>
      </w:r>
      <w:r>
        <w:rPr>
          <w:spacing w:val="-16"/>
        </w:rPr>
        <w:t xml:space="preserve"> </w:t>
      </w:r>
      <w:r>
        <w:t>and</w:t>
      </w:r>
      <w:r>
        <w:rPr>
          <w:spacing w:val="-13"/>
        </w:rPr>
        <w:t xml:space="preserve"> </w:t>
      </w:r>
      <w:r>
        <w:t>the</w:t>
      </w:r>
      <w:r>
        <w:rPr>
          <w:spacing w:val="-15"/>
        </w:rPr>
        <w:t xml:space="preserve"> </w:t>
      </w:r>
      <w:r>
        <w:t>interaction</w:t>
      </w:r>
      <w:r>
        <w:rPr>
          <w:spacing w:val="-13"/>
        </w:rPr>
        <w:t xml:space="preserve"> </w:t>
      </w:r>
      <w:r>
        <w:t>effect).</w:t>
      </w:r>
      <w:r>
        <w:rPr>
          <w:spacing w:val="35"/>
        </w:rPr>
        <w:t xml:space="preserve"> </w:t>
      </w:r>
      <w:r>
        <w:t>Bayes</w:t>
      </w:r>
      <w:r>
        <w:rPr>
          <w:spacing w:val="-16"/>
        </w:rPr>
        <w:t xml:space="preserve"> </w:t>
      </w:r>
      <w:r>
        <w:t xml:space="preserve">factors for the interaction effect are not computed in JASP by default but can easily be obtained. It can be computed by dividing the Bayes factor of the full model by the Bayes </w:t>
      </w:r>
      <w:r>
        <w:t xml:space="preserve">factor </w:t>
      </w:r>
      <w:r>
        <w:rPr>
          <w:spacing w:val="-3"/>
        </w:rPr>
        <w:t xml:space="preserve">of </w:t>
      </w:r>
      <w:r>
        <w:t>the additive</w:t>
      </w:r>
      <w:r>
        <w:rPr>
          <w:spacing w:val="-11"/>
        </w:rPr>
        <w:t xml:space="preserve"> </w:t>
      </w:r>
      <w:r>
        <w:t>model.</w:t>
      </w:r>
      <w:r>
        <w:rPr>
          <w:spacing w:val="36"/>
        </w:rPr>
        <w:t xml:space="preserve"> </w:t>
      </w:r>
      <w:r>
        <w:t>Importantly</w:t>
      </w:r>
      <w:r>
        <w:rPr>
          <w:spacing w:val="-14"/>
        </w:rPr>
        <w:t xml:space="preserve"> </w:t>
      </w:r>
      <w:r>
        <w:t>for</w:t>
      </w:r>
      <w:r>
        <w:rPr>
          <w:spacing w:val="-12"/>
        </w:rPr>
        <w:t xml:space="preserve"> </w:t>
      </w:r>
      <w:r>
        <w:t>the</w:t>
      </w:r>
      <w:r>
        <w:rPr>
          <w:spacing w:val="-10"/>
        </w:rPr>
        <w:t xml:space="preserve"> </w:t>
      </w:r>
      <w:r>
        <w:t>interpretation</w:t>
      </w:r>
      <w:r>
        <w:rPr>
          <w:spacing w:val="-10"/>
        </w:rPr>
        <w:t xml:space="preserve"> </w:t>
      </w:r>
      <w:r>
        <w:rPr>
          <w:spacing w:val="-3"/>
        </w:rPr>
        <w:t>of</w:t>
      </w:r>
      <w:r>
        <w:rPr>
          <w:spacing w:val="-7"/>
        </w:rPr>
        <w:t xml:space="preserve"> </w:t>
      </w:r>
      <w:r>
        <w:t>the</w:t>
      </w:r>
      <w:r>
        <w:rPr>
          <w:spacing w:val="-14"/>
        </w:rPr>
        <w:t xml:space="preserve"> </w:t>
      </w:r>
      <w:r>
        <w:t>data</w:t>
      </w:r>
      <w:r>
        <w:rPr>
          <w:spacing w:val="-11"/>
        </w:rPr>
        <w:t xml:space="preserve"> </w:t>
      </w:r>
      <w:r>
        <w:t>one</w:t>
      </w:r>
      <w:r>
        <w:rPr>
          <w:spacing w:val="-10"/>
        </w:rPr>
        <w:t xml:space="preserve"> </w:t>
      </w:r>
      <w:r>
        <w:t>has</w:t>
      </w:r>
      <w:r>
        <w:rPr>
          <w:spacing w:val="-16"/>
        </w:rPr>
        <w:t xml:space="preserve"> </w:t>
      </w:r>
      <w:r>
        <w:t>to</w:t>
      </w:r>
      <w:r>
        <w:rPr>
          <w:spacing w:val="-10"/>
        </w:rPr>
        <w:t xml:space="preserve"> </w:t>
      </w:r>
      <w:r>
        <w:t>consider</w:t>
      </w:r>
      <w:r>
        <w:rPr>
          <w:spacing w:val="-12"/>
        </w:rPr>
        <w:t xml:space="preserve"> </w:t>
      </w:r>
      <w:r>
        <w:t>that</w:t>
      </w:r>
      <w:r>
        <w:rPr>
          <w:spacing w:val="-8"/>
        </w:rPr>
        <w:t xml:space="preserve"> </w:t>
      </w:r>
      <w:r>
        <w:t>the</w:t>
      </w:r>
      <w:r>
        <w:rPr>
          <w:spacing w:val="-15"/>
        </w:rPr>
        <w:t xml:space="preserve"> </w:t>
      </w:r>
      <w:r>
        <w:t>Bayes factor</w:t>
      </w:r>
      <w:r>
        <w:rPr>
          <w:spacing w:val="-3"/>
        </w:rPr>
        <w:t xml:space="preserve"> </w:t>
      </w:r>
      <w:r>
        <w:t>for</w:t>
      </w:r>
      <w:r>
        <w:rPr>
          <w:spacing w:val="-8"/>
        </w:rPr>
        <w:t xml:space="preserve"> </w:t>
      </w:r>
      <w:r>
        <w:t>the</w:t>
      </w:r>
      <w:r>
        <w:rPr>
          <w:spacing w:val="-5"/>
        </w:rPr>
        <w:t xml:space="preserve"> </w:t>
      </w:r>
      <w:r>
        <w:t>interaction</w:t>
      </w:r>
      <w:r>
        <w:rPr>
          <w:spacing w:val="-5"/>
        </w:rPr>
        <w:t xml:space="preserve"> </w:t>
      </w:r>
      <w:r>
        <w:t>effect</w:t>
      </w:r>
      <w:r>
        <w:rPr>
          <w:spacing w:val="-3"/>
        </w:rPr>
        <w:t xml:space="preserve"> </w:t>
      </w:r>
      <w:r>
        <w:t>represents</w:t>
      </w:r>
      <w:r>
        <w:rPr>
          <w:spacing w:val="-7"/>
        </w:rPr>
        <w:t xml:space="preserve"> </w:t>
      </w:r>
      <w:r>
        <w:t>whether</w:t>
      </w:r>
      <w:r>
        <w:rPr>
          <w:spacing w:val="-2"/>
        </w:rPr>
        <w:t xml:space="preserve"> </w:t>
      </w:r>
      <w:r>
        <w:t>the</w:t>
      </w:r>
      <w:r>
        <w:rPr>
          <w:spacing w:val="-6"/>
        </w:rPr>
        <w:t xml:space="preserve"> </w:t>
      </w:r>
      <w:r>
        <w:t>evidence</w:t>
      </w:r>
      <w:r>
        <w:rPr>
          <w:spacing w:val="-5"/>
        </w:rPr>
        <w:t xml:space="preserve"> </w:t>
      </w:r>
      <w:r>
        <w:t>is</w:t>
      </w:r>
      <w:r>
        <w:rPr>
          <w:spacing w:val="-7"/>
        </w:rPr>
        <w:t xml:space="preserve"> </w:t>
      </w:r>
      <w:r>
        <w:t>stronger</w:t>
      </w:r>
      <w:r>
        <w:rPr>
          <w:spacing w:val="-2"/>
        </w:rPr>
        <w:t xml:space="preserve"> </w:t>
      </w:r>
      <w:r>
        <w:t>in</w:t>
      </w:r>
      <w:r>
        <w:rPr>
          <w:spacing w:val="-5"/>
        </w:rPr>
        <w:t xml:space="preserve"> </w:t>
      </w:r>
      <w:proofErr w:type="spellStart"/>
      <w:r>
        <w:t>favour</w:t>
      </w:r>
      <w:proofErr w:type="spellEnd"/>
      <w:r>
        <w:rPr>
          <w:spacing w:val="-3"/>
        </w:rPr>
        <w:t xml:space="preserve"> of</w:t>
      </w:r>
      <w:r>
        <w:rPr>
          <w:spacing w:val="-2"/>
        </w:rPr>
        <w:t xml:space="preserve"> </w:t>
      </w:r>
      <w:r>
        <w:t>the</w:t>
      </w:r>
      <w:r>
        <w:rPr>
          <w:spacing w:val="-11"/>
        </w:rPr>
        <w:t xml:space="preserve"> </w:t>
      </w:r>
      <w:r>
        <w:t>full model</w:t>
      </w:r>
      <w:r>
        <w:rPr>
          <w:spacing w:val="-4"/>
        </w:rPr>
        <w:t xml:space="preserve"> </w:t>
      </w:r>
      <w:r>
        <w:t>in</w:t>
      </w:r>
      <w:r>
        <w:rPr>
          <w:spacing w:val="-9"/>
        </w:rPr>
        <w:t xml:space="preserve"> </w:t>
      </w:r>
      <w:r>
        <w:t>comparison</w:t>
      </w:r>
      <w:r>
        <w:rPr>
          <w:spacing w:val="-5"/>
        </w:rPr>
        <w:t xml:space="preserve"> </w:t>
      </w:r>
      <w:r>
        <w:t>to</w:t>
      </w:r>
      <w:r>
        <w:rPr>
          <w:spacing w:val="-9"/>
        </w:rPr>
        <w:t xml:space="preserve"> </w:t>
      </w:r>
      <w:r>
        <w:t>a</w:t>
      </w:r>
      <w:r>
        <w:rPr>
          <w:spacing w:val="-10"/>
        </w:rPr>
        <w:t xml:space="preserve"> </w:t>
      </w:r>
      <w:r>
        <w:t>model</w:t>
      </w:r>
      <w:r>
        <w:rPr>
          <w:spacing w:val="-8"/>
        </w:rPr>
        <w:t xml:space="preserve"> </w:t>
      </w:r>
      <w:r>
        <w:t>only</w:t>
      </w:r>
      <w:r>
        <w:rPr>
          <w:spacing w:val="-10"/>
        </w:rPr>
        <w:t xml:space="preserve"> </w:t>
      </w:r>
      <w:r>
        <w:t>containing</w:t>
      </w:r>
      <w:r>
        <w:rPr>
          <w:spacing w:val="-4"/>
        </w:rPr>
        <w:t xml:space="preserve"> </w:t>
      </w:r>
      <w:r>
        <w:t>both</w:t>
      </w:r>
      <w:r>
        <w:rPr>
          <w:spacing w:val="-4"/>
        </w:rPr>
        <w:t xml:space="preserve"> </w:t>
      </w:r>
      <w:r>
        <w:t>main</w:t>
      </w:r>
      <w:r>
        <w:rPr>
          <w:spacing w:val="-10"/>
        </w:rPr>
        <w:t xml:space="preserve"> </w:t>
      </w:r>
      <w:r>
        <w:t>effects.</w:t>
      </w:r>
      <w:r>
        <w:rPr>
          <w:spacing w:val="46"/>
        </w:rPr>
        <w:t xml:space="preserve"> </w:t>
      </w:r>
      <w:r>
        <w:t>If</w:t>
      </w:r>
      <w:r>
        <w:rPr>
          <w:spacing w:val="-8"/>
        </w:rPr>
        <w:t xml:space="preserve"> </w:t>
      </w:r>
      <w:r>
        <w:t>one</w:t>
      </w:r>
      <w:r>
        <w:rPr>
          <w:spacing w:val="-10"/>
        </w:rPr>
        <w:t xml:space="preserve"> </w:t>
      </w:r>
      <w:r>
        <w:t>wished</w:t>
      </w:r>
      <w:r>
        <w:rPr>
          <w:spacing w:val="-4"/>
        </w:rPr>
        <w:t xml:space="preserve"> </w:t>
      </w:r>
      <w:r>
        <w:t>to</w:t>
      </w:r>
      <w:r>
        <w:rPr>
          <w:spacing w:val="-9"/>
        </w:rPr>
        <w:t xml:space="preserve"> </w:t>
      </w:r>
      <w:r>
        <w:t>obtain</w:t>
      </w:r>
      <w:r>
        <w:rPr>
          <w:spacing w:val="-10"/>
        </w:rPr>
        <w:t xml:space="preserve"> </w:t>
      </w:r>
      <w:r>
        <w:t xml:space="preserve">the Bayes factor </w:t>
      </w:r>
      <w:proofErr w:type="spellStart"/>
      <w:r>
        <w:t>favouring</w:t>
      </w:r>
      <w:proofErr w:type="spellEnd"/>
      <w:r>
        <w:t xml:space="preserve"> the additive model over the full model one would reverse the above calculation by dividing the Bayes factor of the additive model by the Bayes factor of the full model</w:t>
      </w:r>
    </w:p>
    <w:p w14:paraId="34785BFF" w14:textId="77777777" w:rsidR="00C75312" w:rsidRDefault="00C75312">
      <w:pPr>
        <w:spacing w:line="480" w:lineRule="auto"/>
        <w:jc w:val="both"/>
        <w:sectPr w:rsidR="00C75312">
          <w:pgSz w:w="11900" w:h="16840"/>
          <w:pgMar w:top="1140" w:right="0" w:bottom="280" w:left="1300" w:header="715" w:footer="0" w:gutter="0"/>
          <w:cols w:space="720"/>
        </w:sectPr>
      </w:pPr>
    </w:p>
    <w:p w14:paraId="086E1EE1" w14:textId="77777777" w:rsidR="00C75312" w:rsidRDefault="00C75312">
      <w:pPr>
        <w:pStyle w:val="BodyText"/>
        <w:spacing w:before="2"/>
        <w:rPr>
          <w:sz w:val="18"/>
        </w:rPr>
      </w:pPr>
    </w:p>
    <w:p w14:paraId="03A35E08" w14:textId="77777777" w:rsidR="00C75312" w:rsidRDefault="00BB293A">
      <w:pPr>
        <w:pStyle w:val="Heading1"/>
        <w:spacing w:before="90"/>
        <w:ind w:left="25" w:right="1321"/>
        <w:jc w:val="center"/>
      </w:pPr>
      <w:bookmarkStart w:id="11" w:name="_TOC_250022"/>
      <w:bookmarkEnd w:id="11"/>
      <w:r>
        <w:t>Results</w:t>
      </w:r>
    </w:p>
    <w:p w14:paraId="2D5B068A" w14:textId="77777777" w:rsidR="00C75312" w:rsidRDefault="00C75312">
      <w:pPr>
        <w:pStyle w:val="BodyText"/>
        <w:spacing w:before="6"/>
        <w:rPr>
          <w:b/>
          <w:sz w:val="19"/>
        </w:rPr>
      </w:pPr>
    </w:p>
    <w:p w14:paraId="1816A75D" w14:textId="77777777" w:rsidR="00C75312" w:rsidRDefault="00BB293A">
      <w:pPr>
        <w:spacing w:before="90"/>
        <w:ind w:left="140"/>
        <w:jc w:val="both"/>
        <w:rPr>
          <w:b/>
          <w:sz w:val="24"/>
        </w:rPr>
      </w:pPr>
      <w:r>
        <w:rPr>
          <w:b/>
          <w:sz w:val="24"/>
        </w:rPr>
        <w:t>Ongoing task performance</w:t>
      </w:r>
    </w:p>
    <w:p w14:paraId="381F5C59" w14:textId="77777777" w:rsidR="00C75312" w:rsidRDefault="00C75312">
      <w:pPr>
        <w:pStyle w:val="BodyText"/>
        <w:rPr>
          <w:b/>
        </w:rPr>
      </w:pPr>
    </w:p>
    <w:p w14:paraId="262699B3" w14:textId="77777777" w:rsidR="00C75312" w:rsidRDefault="00BB293A">
      <w:pPr>
        <w:pStyle w:val="BodyText"/>
        <w:spacing w:line="480" w:lineRule="auto"/>
        <w:ind w:left="140" w:right="1428" w:firstLine="720"/>
        <w:jc w:val="both"/>
      </w:pPr>
      <w:r>
        <w:t xml:space="preserve">The mean proportion of ongoing trials in which the number of shapes was correctly identified for each condition is shown in Table </w:t>
      </w:r>
      <w:r>
        <w:rPr>
          <w:spacing w:val="-3"/>
        </w:rPr>
        <w:t xml:space="preserve">7. </w:t>
      </w:r>
      <w:r>
        <w:t xml:space="preserve">These data were </w:t>
      </w:r>
      <w:proofErr w:type="spellStart"/>
      <w:r>
        <w:t>analysed</w:t>
      </w:r>
      <w:proofErr w:type="spellEnd"/>
      <w:r>
        <w:t xml:space="preserve"> using a mixed ANOVA with group (ASD/NT) as between-subjects factor and condition (Focal/</w:t>
      </w:r>
      <w:proofErr w:type="spellStart"/>
      <w:r>
        <w:t>nonfocal</w:t>
      </w:r>
      <w:proofErr w:type="spellEnd"/>
      <w:r>
        <w:t>) as the</w:t>
      </w:r>
      <w:r>
        <w:rPr>
          <w:spacing w:val="23"/>
        </w:rPr>
        <w:t xml:space="preserve"> </w:t>
      </w:r>
      <w:r>
        <w:t>within-subjects</w:t>
      </w:r>
      <w:r>
        <w:rPr>
          <w:spacing w:val="23"/>
        </w:rPr>
        <w:t xml:space="preserve"> </w:t>
      </w:r>
      <w:r>
        <w:t xml:space="preserve">factor. </w:t>
      </w:r>
      <w:r>
        <w:rPr>
          <w:spacing w:val="52"/>
        </w:rPr>
        <w:t xml:space="preserve"> </w:t>
      </w:r>
      <w:r>
        <w:t>Results</w:t>
      </w:r>
      <w:r>
        <w:rPr>
          <w:spacing w:val="23"/>
        </w:rPr>
        <w:t xml:space="preserve"> </w:t>
      </w:r>
      <w:r>
        <w:t>revealed</w:t>
      </w:r>
      <w:r>
        <w:rPr>
          <w:spacing w:val="24"/>
        </w:rPr>
        <w:t xml:space="preserve"> </w:t>
      </w:r>
      <w:r>
        <w:t>a</w:t>
      </w:r>
      <w:r>
        <w:rPr>
          <w:spacing w:val="24"/>
        </w:rPr>
        <w:t xml:space="preserve"> </w:t>
      </w:r>
      <w:r>
        <w:t>main</w:t>
      </w:r>
      <w:r>
        <w:rPr>
          <w:spacing w:val="24"/>
        </w:rPr>
        <w:t xml:space="preserve"> </w:t>
      </w:r>
      <w:r>
        <w:t>effect</w:t>
      </w:r>
      <w:r>
        <w:rPr>
          <w:spacing w:val="25"/>
        </w:rPr>
        <w:t xml:space="preserve"> </w:t>
      </w:r>
      <w:r>
        <w:t>of</w:t>
      </w:r>
      <w:r>
        <w:rPr>
          <w:spacing w:val="22"/>
        </w:rPr>
        <w:t xml:space="preserve"> </w:t>
      </w:r>
      <w:r>
        <w:t>focality,</w:t>
      </w:r>
      <w:r>
        <w:rPr>
          <w:spacing w:val="22"/>
        </w:rPr>
        <w:t xml:space="preserve"> </w:t>
      </w:r>
      <w:r>
        <w:rPr>
          <w:i/>
        </w:rPr>
        <w:t>F</w:t>
      </w:r>
      <w:r>
        <w:t>(1,38)</w:t>
      </w:r>
      <w:r>
        <w:rPr>
          <w:spacing w:val="27"/>
        </w:rPr>
        <w:t xml:space="preserve"> </w:t>
      </w:r>
      <w:r>
        <w:t>=</w:t>
      </w:r>
      <w:r>
        <w:rPr>
          <w:spacing w:val="23"/>
        </w:rPr>
        <w:t xml:space="preserve"> </w:t>
      </w:r>
      <w:r>
        <w:t>15.55,</w:t>
      </w:r>
      <w:r>
        <w:rPr>
          <w:spacing w:val="27"/>
        </w:rPr>
        <w:t xml:space="preserve"> </w:t>
      </w:r>
      <w:r>
        <w:rPr>
          <w:i/>
        </w:rPr>
        <w:t>p</w:t>
      </w:r>
      <w:r>
        <w:rPr>
          <w:i/>
          <w:spacing w:val="25"/>
        </w:rPr>
        <w:t xml:space="preserve"> </w:t>
      </w:r>
      <w:r>
        <w:t>&lt;</w:t>
      </w:r>
    </w:p>
    <w:p w14:paraId="31E339ED" w14:textId="77777777" w:rsidR="00C75312" w:rsidRDefault="00BB293A">
      <w:pPr>
        <w:pStyle w:val="BodyText"/>
        <w:spacing w:line="482" w:lineRule="auto"/>
        <w:ind w:left="140" w:right="1428"/>
        <w:jc w:val="both"/>
      </w:pPr>
      <w:r>
        <w:pict w14:anchorId="440D2DE5">
          <v:shape id="_x0000_s2756" type="#_x0000_t202" style="position:absolute;left:0;text-align:left;margin-left:104.9pt;margin-top:5.85pt;width:5.3pt;height:9.85pt;z-index:-260602880;mso-position-horizontal-relative:page" filled="f" stroked="f">
            <v:textbox inset="0,0,0,0">
              <w:txbxContent>
                <w:p w14:paraId="718B2D5D"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48A680BC">
          <v:shape id="_x0000_s2755" type="#_x0000_t202" style="position:absolute;left:0;text-align:left;margin-left:144.95pt;margin-top:90.8pt;width:5.3pt;height:9.85pt;z-index:-260601856;mso-position-horizontal-relative:page" filled="f" stroked="f">
            <v:textbox inset="0,0,0,0">
              <w:txbxContent>
                <w:p w14:paraId="6CFD8357"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spacing w:val="2"/>
          <w:position w:val="2"/>
        </w:rPr>
        <w:t>.</w:t>
      </w:r>
      <w:r>
        <w:rPr>
          <w:position w:val="2"/>
        </w:rPr>
        <w:t>001,</w:t>
      </w:r>
      <w:r>
        <w:rPr>
          <w:spacing w:val="-10"/>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11"/>
          <w:position w:val="2"/>
        </w:rPr>
        <w:t xml:space="preserve"> </w:t>
      </w:r>
      <w:r>
        <w:rPr>
          <w:position w:val="2"/>
        </w:rPr>
        <w:t>=</w:t>
      </w:r>
      <w:r>
        <w:rPr>
          <w:spacing w:val="11"/>
          <w:position w:val="2"/>
        </w:rPr>
        <w:t xml:space="preserve"> </w:t>
      </w:r>
      <w:r>
        <w:rPr>
          <w:spacing w:val="2"/>
          <w:position w:val="2"/>
        </w:rPr>
        <w:t>.</w:t>
      </w:r>
      <w:r>
        <w:rPr>
          <w:position w:val="2"/>
        </w:rPr>
        <w:t>29,</w:t>
      </w:r>
      <w:r>
        <w:rPr>
          <w:spacing w:val="14"/>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10"/>
          <w:position w:val="2"/>
        </w:rPr>
        <w:t xml:space="preserve"> </w:t>
      </w:r>
      <w:r>
        <w:rPr>
          <w:position w:val="2"/>
        </w:rPr>
        <w:t>=</w:t>
      </w:r>
      <w:r>
        <w:rPr>
          <w:spacing w:val="11"/>
          <w:position w:val="2"/>
        </w:rPr>
        <w:t xml:space="preserve"> </w:t>
      </w:r>
      <w:r>
        <w:rPr>
          <w:position w:val="2"/>
        </w:rPr>
        <w:t>80</w:t>
      </w:r>
      <w:r>
        <w:rPr>
          <w:spacing w:val="2"/>
          <w:position w:val="2"/>
        </w:rPr>
        <w:t>.</w:t>
      </w:r>
      <w:r>
        <w:rPr>
          <w:position w:val="2"/>
        </w:rPr>
        <w:t>1</w:t>
      </w:r>
      <w:r>
        <w:rPr>
          <w:spacing w:val="-5"/>
          <w:position w:val="2"/>
        </w:rPr>
        <w:t>3</w:t>
      </w:r>
      <w:r>
        <w:rPr>
          <w:position w:val="2"/>
        </w:rPr>
        <w:t>,</w:t>
      </w:r>
      <w:r>
        <w:rPr>
          <w:spacing w:val="19"/>
          <w:position w:val="2"/>
        </w:rPr>
        <w:t xml:space="preserve"> </w:t>
      </w:r>
      <w:r>
        <w:rPr>
          <w:spacing w:val="-1"/>
          <w:position w:val="2"/>
        </w:rPr>
        <w:t>w</w:t>
      </w:r>
      <w:r>
        <w:rPr>
          <w:position w:val="2"/>
        </w:rPr>
        <w:t>hi</w:t>
      </w:r>
      <w:r>
        <w:rPr>
          <w:spacing w:val="-1"/>
          <w:position w:val="2"/>
        </w:rPr>
        <w:t>c</w:t>
      </w:r>
      <w:r>
        <w:rPr>
          <w:position w:val="2"/>
        </w:rPr>
        <w:t>h</w:t>
      </w:r>
      <w:r>
        <w:rPr>
          <w:spacing w:val="12"/>
          <w:position w:val="2"/>
        </w:rPr>
        <w:t xml:space="preserve"> </w:t>
      </w:r>
      <w:r>
        <w:rPr>
          <w:spacing w:val="1"/>
          <w:position w:val="2"/>
        </w:rPr>
        <w:t>r</w:t>
      </w:r>
      <w:r>
        <w:rPr>
          <w:spacing w:val="-1"/>
          <w:position w:val="2"/>
        </w:rPr>
        <w:t>e</w:t>
      </w:r>
      <w:r>
        <w:rPr>
          <w:spacing w:val="1"/>
          <w:position w:val="2"/>
        </w:rPr>
        <w:t>f</w:t>
      </w:r>
      <w:r>
        <w:rPr>
          <w:position w:val="2"/>
        </w:rPr>
        <w:t>l</w:t>
      </w:r>
      <w:r>
        <w:rPr>
          <w:spacing w:val="-1"/>
          <w:position w:val="2"/>
        </w:rPr>
        <w:t>ec</w:t>
      </w:r>
      <w:r>
        <w:rPr>
          <w:position w:val="2"/>
        </w:rPr>
        <w:t>t</w:t>
      </w:r>
      <w:r>
        <w:rPr>
          <w:spacing w:val="-1"/>
          <w:position w:val="2"/>
        </w:rPr>
        <w:t>e</w:t>
      </w:r>
      <w:r>
        <w:rPr>
          <w:position w:val="2"/>
        </w:rPr>
        <w:t>d</w:t>
      </w:r>
      <w:r>
        <w:rPr>
          <w:spacing w:val="12"/>
          <w:position w:val="2"/>
        </w:rPr>
        <w:t xml:space="preserve"> </w:t>
      </w:r>
      <w:r>
        <w:rPr>
          <w:spacing w:val="-3"/>
          <w:position w:val="2"/>
        </w:rPr>
        <w:t>s</w:t>
      </w:r>
      <w:r>
        <w:rPr>
          <w:position w:val="2"/>
        </w:rPr>
        <w:t>up</w:t>
      </w:r>
      <w:r>
        <w:rPr>
          <w:spacing w:val="-1"/>
          <w:position w:val="2"/>
        </w:rPr>
        <w:t>e</w:t>
      </w:r>
      <w:r>
        <w:rPr>
          <w:spacing w:val="1"/>
          <w:position w:val="2"/>
        </w:rPr>
        <w:t>r</w:t>
      </w:r>
      <w:r>
        <w:rPr>
          <w:position w:val="2"/>
        </w:rPr>
        <w:t>ior</w:t>
      </w:r>
      <w:r>
        <w:rPr>
          <w:spacing w:val="18"/>
          <w:position w:val="2"/>
        </w:rPr>
        <w:t xml:space="preserve"> </w:t>
      </w:r>
      <w:r>
        <w:rPr>
          <w:position w:val="2"/>
        </w:rPr>
        <w:t>ongoing</w:t>
      </w:r>
      <w:r>
        <w:rPr>
          <w:spacing w:val="12"/>
          <w:position w:val="2"/>
        </w:rPr>
        <w:t xml:space="preserve"> </w:t>
      </w:r>
      <w:r>
        <w:rPr>
          <w:position w:val="2"/>
        </w:rPr>
        <w:t>t</w:t>
      </w:r>
      <w:r>
        <w:rPr>
          <w:spacing w:val="-1"/>
          <w:position w:val="2"/>
        </w:rPr>
        <w:t>a</w:t>
      </w:r>
      <w:r>
        <w:rPr>
          <w:spacing w:val="-3"/>
          <w:position w:val="2"/>
        </w:rPr>
        <w:t>s</w:t>
      </w:r>
      <w:r>
        <w:rPr>
          <w:position w:val="2"/>
        </w:rPr>
        <w:t>k</w:t>
      </w:r>
      <w:r>
        <w:rPr>
          <w:spacing w:val="16"/>
          <w:position w:val="2"/>
        </w:rPr>
        <w:t xml:space="preserve"> </w:t>
      </w:r>
      <w:r>
        <w:rPr>
          <w:position w:val="2"/>
        </w:rPr>
        <w:t>p</w:t>
      </w:r>
      <w:r>
        <w:rPr>
          <w:spacing w:val="-1"/>
          <w:position w:val="2"/>
        </w:rPr>
        <w:t>e</w:t>
      </w:r>
      <w:r>
        <w:rPr>
          <w:spacing w:val="1"/>
          <w:position w:val="2"/>
        </w:rPr>
        <w:t>rf</w:t>
      </w:r>
      <w:r>
        <w:rPr>
          <w:spacing w:val="-5"/>
          <w:position w:val="2"/>
        </w:rPr>
        <w:t>o</w:t>
      </w:r>
      <w:r>
        <w:rPr>
          <w:spacing w:val="1"/>
          <w:position w:val="2"/>
        </w:rPr>
        <w:t>r</w:t>
      </w:r>
      <w:r>
        <w:rPr>
          <w:position w:val="2"/>
        </w:rPr>
        <w:t>m</w:t>
      </w:r>
      <w:r>
        <w:rPr>
          <w:spacing w:val="-1"/>
          <w:position w:val="2"/>
        </w:rPr>
        <w:t>a</w:t>
      </w:r>
      <w:r>
        <w:rPr>
          <w:position w:val="2"/>
        </w:rPr>
        <w:t>n</w:t>
      </w:r>
      <w:r>
        <w:rPr>
          <w:spacing w:val="-1"/>
          <w:position w:val="2"/>
        </w:rPr>
        <w:t>c</w:t>
      </w:r>
      <w:r>
        <w:rPr>
          <w:position w:val="2"/>
        </w:rPr>
        <w:t>e</w:t>
      </w:r>
      <w:r>
        <w:rPr>
          <w:spacing w:val="15"/>
          <w:position w:val="2"/>
        </w:rPr>
        <w:t xml:space="preserve"> </w:t>
      </w:r>
      <w:r>
        <w:rPr>
          <w:position w:val="2"/>
        </w:rPr>
        <w:t>in</w:t>
      </w:r>
      <w:r>
        <w:rPr>
          <w:spacing w:val="12"/>
          <w:position w:val="2"/>
        </w:rPr>
        <w:t xml:space="preserve"> </w:t>
      </w:r>
      <w:r>
        <w:rPr>
          <w:position w:val="2"/>
        </w:rPr>
        <w:t>the</w:t>
      </w:r>
      <w:r>
        <w:rPr>
          <w:spacing w:val="11"/>
          <w:position w:val="2"/>
        </w:rPr>
        <w:t xml:space="preserve"> </w:t>
      </w:r>
      <w:r>
        <w:rPr>
          <w:spacing w:val="1"/>
          <w:position w:val="2"/>
        </w:rPr>
        <w:t>f</w:t>
      </w:r>
      <w:r>
        <w:rPr>
          <w:position w:val="2"/>
        </w:rPr>
        <w:t>o</w:t>
      </w:r>
      <w:r>
        <w:rPr>
          <w:spacing w:val="-1"/>
          <w:position w:val="2"/>
        </w:rPr>
        <w:t>ca</w:t>
      </w:r>
      <w:r>
        <w:rPr>
          <w:position w:val="2"/>
        </w:rPr>
        <w:t xml:space="preserve">l </w:t>
      </w:r>
      <w:r>
        <w:rPr>
          <w:w w:val="105"/>
        </w:rPr>
        <w:t>condition</w:t>
      </w:r>
      <w:r>
        <w:rPr>
          <w:spacing w:val="-42"/>
          <w:w w:val="105"/>
        </w:rPr>
        <w:t xml:space="preserve"> </w:t>
      </w:r>
      <w:r>
        <w:rPr>
          <w:w w:val="105"/>
        </w:rPr>
        <w:t>compared</w:t>
      </w:r>
      <w:r>
        <w:rPr>
          <w:spacing w:val="-42"/>
          <w:w w:val="105"/>
        </w:rPr>
        <w:t xml:space="preserve"> </w:t>
      </w:r>
      <w:r>
        <w:rPr>
          <w:w w:val="105"/>
        </w:rPr>
        <w:t>to</w:t>
      </w:r>
      <w:r>
        <w:rPr>
          <w:spacing w:val="-43"/>
          <w:w w:val="105"/>
        </w:rPr>
        <w:t xml:space="preserve"> </w:t>
      </w:r>
      <w:r>
        <w:rPr>
          <w:w w:val="105"/>
        </w:rPr>
        <w:t>the</w:t>
      </w:r>
      <w:r>
        <w:rPr>
          <w:spacing w:val="-44"/>
          <w:w w:val="105"/>
        </w:rPr>
        <w:t xml:space="preserve"> </w:t>
      </w:r>
      <w:proofErr w:type="spellStart"/>
      <w:r>
        <w:rPr>
          <w:w w:val="105"/>
        </w:rPr>
        <w:t>nonfocal</w:t>
      </w:r>
      <w:proofErr w:type="spellEnd"/>
      <w:r>
        <w:rPr>
          <w:spacing w:val="-42"/>
          <w:w w:val="105"/>
        </w:rPr>
        <w:t xml:space="preserve"> </w:t>
      </w:r>
      <w:r>
        <w:rPr>
          <w:w w:val="105"/>
        </w:rPr>
        <w:t>condition</w:t>
      </w:r>
      <w:r>
        <w:rPr>
          <w:spacing w:val="-43"/>
          <w:w w:val="105"/>
        </w:rPr>
        <w:t xml:space="preserve"> </w:t>
      </w:r>
      <w:r>
        <w:rPr>
          <w:w w:val="105"/>
        </w:rPr>
        <w:t>across</w:t>
      </w:r>
      <w:r>
        <w:rPr>
          <w:spacing w:val="-42"/>
          <w:w w:val="105"/>
        </w:rPr>
        <w:t xml:space="preserve"> </w:t>
      </w:r>
      <w:r>
        <w:rPr>
          <w:w w:val="105"/>
        </w:rPr>
        <w:t>groups.</w:t>
      </w:r>
      <w:r>
        <w:rPr>
          <w:spacing w:val="-21"/>
          <w:w w:val="105"/>
        </w:rPr>
        <w:t xml:space="preserve"> </w:t>
      </w:r>
      <w:r>
        <w:rPr>
          <w:w w:val="105"/>
        </w:rPr>
        <w:t>The</w:t>
      </w:r>
      <w:r>
        <w:rPr>
          <w:spacing w:val="-44"/>
          <w:w w:val="105"/>
        </w:rPr>
        <w:t xml:space="preserve"> </w:t>
      </w:r>
      <w:r>
        <w:rPr>
          <w:w w:val="105"/>
        </w:rPr>
        <w:t>Bayes</w:t>
      </w:r>
      <w:r>
        <w:rPr>
          <w:spacing w:val="-41"/>
          <w:w w:val="105"/>
        </w:rPr>
        <w:t xml:space="preserve"> </w:t>
      </w:r>
      <w:r>
        <w:rPr>
          <w:w w:val="105"/>
        </w:rPr>
        <w:t>factor</w:t>
      </w:r>
      <w:r>
        <w:rPr>
          <w:spacing w:val="-43"/>
          <w:w w:val="105"/>
        </w:rPr>
        <w:t xml:space="preserve"> </w:t>
      </w:r>
      <w:r>
        <w:rPr>
          <w:w w:val="105"/>
        </w:rPr>
        <w:t>provides</w:t>
      </w:r>
      <w:r>
        <w:rPr>
          <w:spacing w:val="-41"/>
          <w:w w:val="105"/>
        </w:rPr>
        <w:t xml:space="preserve"> </w:t>
      </w:r>
      <w:r>
        <w:rPr>
          <w:w w:val="105"/>
        </w:rPr>
        <w:t>strong evidence</w:t>
      </w:r>
      <w:r>
        <w:rPr>
          <w:spacing w:val="-23"/>
          <w:w w:val="105"/>
        </w:rPr>
        <w:t xml:space="preserve"> </w:t>
      </w:r>
      <w:r>
        <w:rPr>
          <w:w w:val="105"/>
        </w:rPr>
        <w:t>for</w:t>
      </w:r>
      <w:r>
        <w:rPr>
          <w:spacing w:val="-25"/>
          <w:w w:val="105"/>
        </w:rPr>
        <w:t xml:space="preserve"> </w:t>
      </w:r>
      <w:r>
        <w:rPr>
          <w:w w:val="105"/>
        </w:rPr>
        <w:t>this</w:t>
      </w:r>
      <w:r>
        <w:rPr>
          <w:spacing w:val="-24"/>
          <w:w w:val="105"/>
        </w:rPr>
        <w:t xml:space="preserve"> </w:t>
      </w:r>
      <w:r>
        <w:rPr>
          <w:w w:val="105"/>
        </w:rPr>
        <w:t>hypothesis.</w:t>
      </w:r>
      <w:r>
        <w:rPr>
          <w:spacing w:val="14"/>
          <w:w w:val="105"/>
        </w:rPr>
        <w:t xml:space="preserve"> </w:t>
      </w:r>
      <w:r>
        <w:rPr>
          <w:w w:val="105"/>
        </w:rPr>
        <w:t>Crucially,</w:t>
      </w:r>
      <w:r>
        <w:rPr>
          <w:spacing w:val="-24"/>
          <w:w w:val="105"/>
        </w:rPr>
        <w:t xml:space="preserve"> </w:t>
      </w:r>
      <w:r>
        <w:rPr>
          <w:w w:val="105"/>
        </w:rPr>
        <w:t>however,</w:t>
      </w:r>
      <w:r>
        <w:rPr>
          <w:spacing w:val="-26"/>
          <w:w w:val="105"/>
        </w:rPr>
        <w:t xml:space="preserve"> </w:t>
      </w:r>
      <w:r>
        <w:rPr>
          <w:w w:val="105"/>
        </w:rPr>
        <w:t>neither</w:t>
      </w:r>
      <w:r>
        <w:rPr>
          <w:spacing w:val="-22"/>
          <w:w w:val="105"/>
        </w:rPr>
        <w:t xml:space="preserve"> </w:t>
      </w:r>
      <w:r>
        <w:rPr>
          <w:w w:val="105"/>
        </w:rPr>
        <w:t>the</w:t>
      </w:r>
      <w:r>
        <w:rPr>
          <w:spacing w:val="-26"/>
          <w:w w:val="105"/>
        </w:rPr>
        <w:t xml:space="preserve"> </w:t>
      </w:r>
      <w:r>
        <w:rPr>
          <w:w w:val="105"/>
        </w:rPr>
        <w:t>main</w:t>
      </w:r>
      <w:r>
        <w:rPr>
          <w:spacing w:val="-25"/>
          <w:w w:val="105"/>
        </w:rPr>
        <w:t xml:space="preserve"> </w:t>
      </w:r>
      <w:r>
        <w:rPr>
          <w:w w:val="105"/>
        </w:rPr>
        <w:t>effect</w:t>
      </w:r>
      <w:r>
        <w:rPr>
          <w:spacing w:val="-25"/>
          <w:w w:val="105"/>
        </w:rPr>
        <w:t xml:space="preserve"> </w:t>
      </w:r>
      <w:r>
        <w:rPr>
          <w:w w:val="105"/>
        </w:rPr>
        <w:t>of</w:t>
      </w:r>
      <w:r>
        <w:rPr>
          <w:spacing w:val="-24"/>
          <w:w w:val="105"/>
        </w:rPr>
        <w:t xml:space="preserve"> </w:t>
      </w:r>
      <w:r>
        <w:rPr>
          <w:w w:val="105"/>
        </w:rPr>
        <w:t>group,</w:t>
      </w:r>
      <w:r>
        <w:rPr>
          <w:spacing w:val="-24"/>
          <w:w w:val="105"/>
        </w:rPr>
        <w:t xml:space="preserve"> </w:t>
      </w:r>
      <w:r>
        <w:rPr>
          <w:i/>
          <w:w w:val="105"/>
        </w:rPr>
        <w:t>F</w:t>
      </w:r>
      <w:r>
        <w:rPr>
          <w:w w:val="105"/>
        </w:rPr>
        <w:t>(1,38)</w:t>
      </w:r>
      <w:r>
        <w:rPr>
          <w:spacing w:val="-25"/>
          <w:w w:val="105"/>
        </w:rPr>
        <w:t xml:space="preserve"> </w:t>
      </w:r>
      <w:r>
        <w:rPr>
          <w:w w:val="105"/>
        </w:rPr>
        <w:t xml:space="preserve">= </w:t>
      </w:r>
      <w:r>
        <w:rPr>
          <w:position w:val="2"/>
        </w:rPr>
        <w:t>0</w:t>
      </w:r>
      <w:r>
        <w:rPr>
          <w:spacing w:val="2"/>
          <w:position w:val="2"/>
        </w:rPr>
        <w:t>.</w:t>
      </w:r>
      <w:r>
        <w:rPr>
          <w:position w:val="2"/>
        </w:rPr>
        <w:t>10,</w:t>
      </w:r>
      <w:r>
        <w:rPr>
          <w:spacing w:val="4"/>
          <w:position w:val="2"/>
        </w:rPr>
        <w:t xml:space="preserve"> </w:t>
      </w:r>
      <w:r>
        <w:rPr>
          <w:i/>
          <w:position w:val="2"/>
        </w:rPr>
        <w:t>p</w:t>
      </w:r>
      <w:r>
        <w:rPr>
          <w:i/>
          <w:spacing w:val="2"/>
          <w:position w:val="2"/>
        </w:rPr>
        <w:t xml:space="preserve"> </w:t>
      </w:r>
      <w:r>
        <w:rPr>
          <w:position w:val="2"/>
        </w:rPr>
        <w:t>=</w:t>
      </w:r>
      <w:r>
        <w:rPr>
          <w:spacing w:val="1"/>
          <w:position w:val="2"/>
        </w:rPr>
        <w:t xml:space="preserve"> </w:t>
      </w:r>
      <w:r>
        <w:rPr>
          <w:spacing w:val="2"/>
          <w:position w:val="2"/>
        </w:rPr>
        <w:t>.</w:t>
      </w:r>
      <w:r>
        <w:rPr>
          <w:position w:val="2"/>
        </w:rPr>
        <w:t>7</w:t>
      </w:r>
      <w:r>
        <w:rPr>
          <w:spacing w:val="-5"/>
          <w:position w:val="2"/>
        </w:rPr>
        <w:t>5</w:t>
      </w:r>
      <w:r>
        <w:rPr>
          <w:position w:val="2"/>
        </w:rPr>
        <w:t>,</w:t>
      </w:r>
      <w:r>
        <w:rPr>
          <w:spacing w:val="-10"/>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21"/>
          <w:position w:val="2"/>
        </w:rPr>
        <w:t xml:space="preserve"> </w:t>
      </w:r>
      <w:r>
        <w:rPr>
          <w:position w:val="2"/>
        </w:rPr>
        <w:t>&lt;</w:t>
      </w:r>
      <w:r>
        <w:rPr>
          <w:spacing w:val="1"/>
          <w:position w:val="2"/>
        </w:rPr>
        <w:t xml:space="preserve"> </w:t>
      </w:r>
      <w:r>
        <w:rPr>
          <w:spacing w:val="2"/>
          <w:position w:val="2"/>
        </w:rPr>
        <w:t>.</w:t>
      </w:r>
      <w:r>
        <w:rPr>
          <w:position w:val="2"/>
        </w:rPr>
        <w:t>01,</w:t>
      </w:r>
      <w:r>
        <w:rPr>
          <w:spacing w:val="4"/>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20"/>
          <w:position w:val="2"/>
        </w:rPr>
        <w:t xml:space="preserve"> </w:t>
      </w:r>
      <w:r>
        <w:rPr>
          <w:position w:val="2"/>
        </w:rPr>
        <w:t>=</w:t>
      </w:r>
      <w:r>
        <w:rPr>
          <w:spacing w:val="6"/>
          <w:position w:val="2"/>
        </w:rPr>
        <w:t xml:space="preserve"> </w:t>
      </w:r>
      <w:r>
        <w:rPr>
          <w:position w:val="2"/>
        </w:rPr>
        <w:t>0</w:t>
      </w:r>
      <w:r>
        <w:rPr>
          <w:spacing w:val="2"/>
          <w:position w:val="2"/>
        </w:rPr>
        <w:t>.</w:t>
      </w:r>
      <w:r>
        <w:rPr>
          <w:position w:val="2"/>
        </w:rPr>
        <w:t>33</w:t>
      </w:r>
      <w:r>
        <w:rPr>
          <w:spacing w:val="2"/>
          <w:position w:val="2"/>
        </w:rPr>
        <w:t xml:space="preserve"> </w:t>
      </w:r>
      <w:r>
        <w:rPr>
          <w:position w:val="2"/>
        </w:rPr>
        <w:t>n</w:t>
      </w:r>
      <w:r>
        <w:rPr>
          <w:spacing w:val="-5"/>
          <w:position w:val="2"/>
        </w:rPr>
        <w:t>o</w:t>
      </w:r>
      <w:r>
        <w:rPr>
          <w:position w:val="2"/>
        </w:rPr>
        <w:t>r</w:t>
      </w:r>
      <w:r>
        <w:rPr>
          <w:spacing w:val="4"/>
          <w:position w:val="2"/>
        </w:rPr>
        <w:t xml:space="preserve"> </w:t>
      </w:r>
      <w:r>
        <w:rPr>
          <w:position w:val="2"/>
        </w:rPr>
        <w:t>the</w:t>
      </w:r>
      <w:r>
        <w:rPr>
          <w:spacing w:val="6"/>
          <w:position w:val="2"/>
        </w:rPr>
        <w:t xml:space="preserve"> </w:t>
      </w:r>
      <w:r>
        <w:rPr>
          <w:position w:val="2"/>
        </w:rPr>
        <w:t>i</w:t>
      </w:r>
      <w:r>
        <w:rPr>
          <w:spacing w:val="-5"/>
          <w:position w:val="2"/>
        </w:rPr>
        <w:t>n</w:t>
      </w:r>
      <w:r>
        <w:rPr>
          <w:position w:val="2"/>
        </w:rPr>
        <w:t>t</w:t>
      </w:r>
      <w:r>
        <w:rPr>
          <w:spacing w:val="-1"/>
          <w:position w:val="2"/>
        </w:rPr>
        <w:t>e</w:t>
      </w:r>
      <w:r>
        <w:rPr>
          <w:spacing w:val="1"/>
          <w:position w:val="2"/>
        </w:rPr>
        <w:t>r</w:t>
      </w:r>
      <w:r>
        <w:rPr>
          <w:spacing w:val="-1"/>
          <w:position w:val="2"/>
        </w:rPr>
        <w:t>ac</w:t>
      </w:r>
      <w:r>
        <w:rPr>
          <w:position w:val="2"/>
        </w:rPr>
        <w:t>tion</w:t>
      </w:r>
      <w:r>
        <w:rPr>
          <w:spacing w:val="2"/>
          <w:position w:val="2"/>
        </w:rPr>
        <w:t xml:space="preserve"> </w:t>
      </w:r>
      <w:r>
        <w:rPr>
          <w:position w:val="2"/>
        </w:rPr>
        <w:t>b</w:t>
      </w:r>
      <w:r>
        <w:rPr>
          <w:spacing w:val="-1"/>
          <w:position w:val="2"/>
        </w:rPr>
        <w:t>e</w:t>
      </w:r>
      <w:r>
        <w:rPr>
          <w:position w:val="2"/>
        </w:rPr>
        <w:t>t</w:t>
      </w:r>
      <w:r>
        <w:rPr>
          <w:spacing w:val="-1"/>
          <w:position w:val="2"/>
        </w:rPr>
        <w:t>wee</w:t>
      </w:r>
      <w:r>
        <w:rPr>
          <w:position w:val="2"/>
        </w:rPr>
        <w:t>n</w:t>
      </w:r>
      <w:r>
        <w:rPr>
          <w:spacing w:val="7"/>
          <w:position w:val="2"/>
        </w:rPr>
        <w:t xml:space="preserve"> </w:t>
      </w:r>
      <w:r>
        <w:rPr>
          <w:spacing w:val="-6"/>
          <w:position w:val="2"/>
        </w:rPr>
        <w:t>G</w:t>
      </w:r>
      <w:r>
        <w:rPr>
          <w:spacing w:val="1"/>
          <w:position w:val="2"/>
        </w:rPr>
        <w:t>r</w:t>
      </w:r>
      <w:r>
        <w:rPr>
          <w:position w:val="2"/>
        </w:rPr>
        <w:t>oup</w:t>
      </w:r>
      <w:r>
        <w:rPr>
          <w:spacing w:val="7"/>
          <w:position w:val="2"/>
        </w:rPr>
        <w:t xml:space="preserve"> </w:t>
      </w:r>
      <w:r>
        <w:rPr>
          <w:spacing w:val="-1"/>
          <w:position w:val="2"/>
        </w:rPr>
        <w:t>a</w:t>
      </w:r>
      <w:r>
        <w:rPr>
          <w:position w:val="2"/>
        </w:rPr>
        <w:t>nd</w:t>
      </w:r>
      <w:r>
        <w:rPr>
          <w:spacing w:val="2"/>
          <w:position w:val="2"/>
        </w:rPr>
        <w:t xml:space="preserve"> </w:t>
      </w:r>
      <w:r>
        <w:rPr>
          <w:spacing w:val="-2"/>
          <w:position w:val="2"/>
        </w:rPr>
        <w:t>C</w:t>
      </w:r>
      <w:r>
        <w:rPr>
          <w:position w:val="2"/>
        </w:rPr>
        <w:t>onditio</w:t>
      </w:r>
      <w:r>
        <w:rPr>
          <w:spacing w:val="-5"/>
          <w:position w:val="2"/>
        </w:rPr>
        <w:t>n</w:t>
      </w:r>
      <w:r>
        <w:rPr>
          <w:position w:val="2"/>
        </w:rPr>
        <w:t>,</w:t>
      </w:r>
      <w:r>
        <w:rPr>
          <w:spacing w:val="4"/>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38)</w:t>
      </w:r>
    </w:p>
    <w:p w14:paraId="75320107" w14:textId="77777777" w:rsidR="00C75312" w:rsidRDefault="00BB293A">
      <w:pPr>
        <w:pStyle w:val="BodyText"/>
        <w:spacing w:before="9"/>
        <w:ind w:left="140"/>
        <w:jc w:val="both"/>
      </w:pPr>
      <w:r>
        <w:pict w14:anchorId="36A57E45">
          <v:shape id="_x0000_s2754" type="#_x0000_t202" style="position:absolute;left:0;text-align:left;margin-left:157.45pt;margin-top:6.3pt;width:5.3pt;height:9.85pt;z-index:-260600832;mso-position-horizontal-relative:page" filled="f" stroked="f">
            <v:textbox inset="0,0,0,0">
              <w:txbxContent>
                <w:p w14:paraId="4AE51515"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position w:val="2"/>
        </w:rPr>
        <w:t>=</w:t>
      </w:r>
      <w:r>
        <w:rPr>
          <w:spacing w:val="11"/>
          <w:position w:val="2"/>
        </w:rPr>
        <w:t xml:space="preserve"> </w:t>
      </w:r>
      <w:r>
        <w:rPr>
          <w:position w:val="2"/>
        </w:rPr>
        <w:t>0</w:t>
      </w:r>
      <w:r>
        <w:rPr>
          <w:spacing w:val="2"/>
          <w:position w:val="2"/>
        </w:rPr>
        <w:t>.</w:t>
      </w:r>
      <w:r>
        <w:rPr>
          <w:position w:val="2"/>
        </w:rPr>
        <w:t>15,</w:t>
      </w:r>
      <w:r>
        <w:rPr>
          <w:spacing w:val="14"/>
          <w:position w:val="2"/>
        </w:rPr>
        <w:t xml:space="preserve"> </w:t>
      </w:r>
      <w:r>
        <w:rPr>
          <w:i/>
          <w:position w:val="2"/>
        </w:rPr>
        <w:t>p</w:t>
      </w:r>
      <w:r>
        <w:rPr>
          <w:i/>
          <w:spacing w:val="12"/>
          <w:position w:val="2"/>
        </w:rPr>
        <w:t xml:space="preserve"> </w:t>
      </w:r>
      <w:r>
        <w:rPr>
          <w:position w:val="2"/>
        </w:rPr>
        <w:t>=</w:t>
      </w:r>
      <w:r>
        <w:rPr>
          <w:spacing w:val="6"/>
          <w:position w:val="2"/>
        </w:rPr>
        <w:t xml:space="preserve"> </w:t>
      </w:r>
      <w:r>
        <w:rPr>
          <w:spacing w:val="2"/>
          <w:position w:val="2"/>
        </w:rPr>
        <w:t>.</w:t>
      </w:r>
      <w:r>
        <w:rPr>
          <w:position w:val="2"/>
        </w:rPr>
        <w:t>7</w:t>
      </w:r>
      <w:r>
        <w:rPr>
          <w:spacing w:val="-5"/>
          <w:position w:val="2"/>
        </w:rPr>
        <w:t>1</w:t>
      </w:r>
      <w:r>
        <w:rPr>
          <w:position w:val="2"/>
        </w:rPr>
        <w:t>,</w:t>
      </w:r>
      <w:r>
        <w:rPr>
          <w:spacing w:val="9"/>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16"/>
          <w:position w:val="2"/>
        </w:rPr>
        <w:t xml:space="preserve"> </w:t>
      </w:r>
      <w:r>
        <w:rPr>
          <w:spacing w:val="-1"/>
          <w:position w:val="2"/>
        </w:rPr>
        <w:t>&lt;</w:t>
      </w:r>
      <w:r>
        <w:rPr>
          <w:spacing w:val="2"/>
          <w:position w:val="2"/>
        </w:rPr>
        <w:t>.</w:t>
      </w:r>
      <w:r>
        <w:rPr>
          <w:position w:val="2"/>
        </w:rPr>
        <w:t>01,</w:t>
      </w:r>
      <w:r>
        <w:rPr>
          <w:spacing w:val="14"/>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10"/>
          <w:position w:val="2"/>
        </w:rPr>
        <w:t xml:space="preserve"> </w:t>
      </w:r>
      <w:r>
        <w:rPr>
          <w:position w:val="2"/>
        </w:rPr>
        <w:t>=</w:t>
      </w:r>
      <w:r>
        <w:rPr>
          <w:spacing w:val="11"/>
          <w:position w:val="2"/>
        </w:rPr>
        <w:t xml:space="preserve"> </w:t>
      </w:r>
      <w:r>
        <w:rPr>
          <w:position w:val="2"/>
        </w:rPr>
        <w:t>0</w:t>
      </w:r>
      <w:r>
        <w:rPr>
          <w:spacing w:val="2"/>
          <w:position w:val="2"/>
        </w:rPr>
        <w:t>.</w:t>
      </w:r>
      <w:r>
        <w:rPr>
          <w:position w:val="2"/>
        </w:rPr>
        <w:t>3</w:t>
      </w:r>
      <w:r>
        <w:rPr>
          <w:spacing w:val="-5"/>
          <w:position w:val="2"/>
        </w:rPr>
        <w:t>1</w:t>
      </w:r>
      <w:r>
        <w:rPr>
          <w:position w:val="2"/>
        </w:rPr>
        <w:t>,</w:t>
      </w:r>
      <w:r>
        <w:rPr>
          <w:spacing w:val="14"/>
          <w:position w:val="2"/>
        </w:rPr>
        <w:t xml:space="preserve"> </w:t>
      </w:r>
      <w:r>
        <w:rPr>
          <w:spacing w:val="-1"/>
          <w:position w:val="2"/>
        </w:rPr>
        <w:t>we</w:t>
      </w:r>
      <w:r>
        <w:rPr>
          <w:spacing w:val="1"/>
          <w:position w:val="2"/>
        </w:rPr>
        <w:t>r</w:t>
      </w:r>
      <w:r>
        <w:rPr>
          <w:position w:val="2"/>
        </w:rPr>
        <w:t>e</w:t>
      </w:r>
      <w:r>
        <w:rPr>
          <w:spacing w:val="11"/>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w:t>
      </w:r>
      <w:r>
        <w:rPr>
          <w:spacing w:val="-6"/>
          <w:position w:val="2"/>
        </w:rPr>
        <w:t>a</w:t>
      </w:r>
      <w:r>
        <w:rPr>
          <w:position w:val="2"/>
        </w:rPr>
        <w:t xml:space="preserve">nt. </w:t>
      </w:r>
      <w:r>
        <w:rPr>
          <w:spacing w:val="21"/>
          <w:position w:val="2"/>
        </w:rPr>
        <w:t xml:space="preserve"> </w:t>
      </w:r>
      <w:r>
        <w:rPr>
          <w:spacing w:val="2"/>
          <w:position w:val="2"/>
        </w:rPr>
        <w:t>T</w:t>
      </w:r>
      <w:r>
        <w:rPr>
          <w:position w:val="2"/>
        </w:rPr>
        <w:t>he</w:t>
      </w:r>
      <w:r>
        <w:rPr>
          <w:spacing w:val="11"/>
          <w:position w:val="2"/>
        </w:rPr>
        <w:t xml:space="preserve"> </w:t>
      </w:r>
      <w:r>
        <w:rPr>
          <w:spacing w:val="-2"/>
          <w:position w:val="2"/>
        </w:rPr>
        <w:t>B</w:t>
      </w:r>
      <w:r>
        <w:rPr>
          <w:spacing w:val="1"/>
          <w:position w:val="2"/>
        </w:rPr>
        <w:t>F</w:t>
      </w:r>
      <w:r>
        <w:rPr>
          <w:spacing w:val="2"/>
          <w:w w:val="97"/>
          <w:position w:val="2"/>
          <w:vertAlign w:val="subscript"/>
        </w:rPr>
        <w:t>1</w:t>
      </w:r>
      <w:r>
        <w:rPr>
          <w:w w:val="97"/>
          <w:position w:val="2"/>
          <w:vertAlign w:val="subscript"/>
        </w:rPr>
        <w:t>0</w:t>
      </w:r>
      <w:r>
        <w:rPr>
          <w:spacing w:val="-15"/>
          <w:position w:val="2"/>
        </w:rPr>
        <w:t xml:space="preserve"> </w:t>
      </w:r>
      <w:r>
        <w:rPr>
          <w:spacing w:val="1"/>
          <w:position w:val="2"/>
        </w:rPr>
        <w:t>f</w:t>
      </w:r>
      <w:r>
        <w:rPr>
          <w:position w:val="2"/>
        </w:rPr>
        <w:t>or</w:t>
      </w:r>
      <w:r>
        <w:rPr>
          <w:spacing w:val="13"/>
          <w:position w:val="2"/>
        </w:rPr>
        <w:t xml:space="preserve"> </w:t>
      </w:r>
      <w:r>
        <w:rPr>
          <w:position w:val="2"/>
        </w:rPr>
        <w:t>the</w:t>
      </w:r>
      <w:r>
        <w:rPr>
          <w:spacing w:val="11"/>
          <w:position w:val="2"/>
        </w:rPr>
        <w:t xml:space="preserve"> </w:t>
      </w:r>
      <w:r>
        <w:rPr>
          <w:spacing w:val="-1"/>
          <w:position w:val="2"/>
        </w:rPr>
        <w:t>a</w:t>
      </w:r>
      <w:r>
        <w:rPr>
          <w:position w:val="2"/>
        </w:rPr>
        <w:t>dditive</w:t>
      </w:r>
      <w:r>
        <w:rPr>
          <w:spacing w:val="6"/>
          <w:position w:val="2"/>
        </w:rPr>
        <w:t xml:space="preserve"> </w:t>
      </w:r>
      <w:r>
        <w:rPr>
          <w:position w:val="2"/>
        </w:rPr>
        <w:t>mod</w:t>
      </w:r>
      <w:r>
        <w:rPr>
          <w:spacing w:val="-1"/>
          <w:position w:val="2"/>
        </w:rPr>
        <w:t>e</w:t>
      </w:r>
      <w:r>
        <w:rPr>
          <w:position w:val="2"/>
        </w:rPr>
        <w:t>l</w:t>
      </w:r>
      <w:r>
        <w:rPr>
          <w:spacing w:val="12"/>
          <w:position w:val="2"/>
        </w:rPr>
        <w:t xml:space="preserve"> </w:t>
      </w:r>
      <w:r>
        <w:rPr>
          <w:spacing w:val="-1"/>
          <w:position w:val="2"/>
        </w:rPr>
        <w:t>wa</w:t>
      </w:r>
      <w:r>
        <w:rPr>
          <w:position w:val="2"/>
        </w:rPr>
        <w:t>s</w:t>
      </w:r>
    </w:p>
    <w:p w14:paraId="1A5E51C5" w14:textId="77777777" w:rsidR="00C75312" w:rsidRDefault="00C75312">
      <w:pPr>
        <w:pStyle w:val="BodyText"/>
        <w:spacing w:before="6"/>
        <w:rPr>
          <w:sz w:val="25"/>
        </w:rPr>
      </w:pPr>
    </w:p>
    <w:p w14:paraId="2F73BF85" w14:textId="77777777" w:rsidR="00C75312" w:rsidRDefault="00BB293A">
      <w:pPr>
        <w:pStyle w:val="BodyText"/>
        <w:spacing w:line="480" w:lineRule="auto"/>
        <w:ind w:left="140" w:right="1428"/>
        <w:jc w:val="both"/>
      </w:pPr>
      <w:r>
        <w:t>29.16 and for the full model 8.98, thus the model that outperformed all other models was the one containing the main effect of focality. Hence, the two diagnostic groups did not differ from each other in terms of either level of overall ongoing task performance, or patterns of ongoing task performance across conditions. Thus, any between-group differences in PM performance in each condition cannot be attributed to between-group differences in the execution of the ongoing task. The Bayes factor analysis supp</w:t>
      </w:r>
      <w:r>
        <w:t>orts this conclusion</w:t>
      </w:r>
    </w:p>
    <w:p w14:paraId="068719B3" w14:textId="77777777" w:rsidR="00C75312" w:rsidRDefault="00C75312">
      <w:pPr>
        <w:pStyle w:val="BodyText"/>
        <w:spacing w:before="3"/>
      </w:pPr>
    </w:p>
    <w:p w14:paraId="07F1AD57" w14:textId="77777777" w:rsidR="00C75312" w:rsidRDefault="00BB293A">
      <w:pPr>
        <w:pStyle w:val="Heading1"/>
        <w:jc w:val="both"/>
      </w:pPr>
      <w:r>
        <w:t>PM task performance</w:t>
      </w:r>
    </w:p>
    <w:p w14:paraId="5D9396C1" w14:textId="77777777" w:rsidR="00C75312" w:rsidRDefault="00C75312">
      <w:pPr>
        <w:pStyle w:val="BodyText"/>
        <w:rPr>
          <w:b/>
        </w:rPr>
      </w:pPr>
    </w:p>
    <w:p w14:paraId="020B5424" w14:textId="77777777" w:rsidR="00C75312" w:rsidRDefault="00BB293A">
      <w:pPr>
        <w:pStyle w:val="BodyText"/>
        <w:spacing w:line="480" w:lineRule="auto"/>
        <w:ind w:left="140" w:right="1429" w:firstLine="720"/>
        <w:jc w:val="both"/>
      </w:pPr>
      <w:r>
        <w:t>Table 7 shows the mean proportion of trials on which PM instructions were correctly carried out (proportion of PM hits) for each condition. For the purpose of data analyses, cue</w:t>
      </w:r>
    </w:p>
    <w:p w14:paraId="07A79D62" w14:textId="77777777" w:rsidR="00C75312" w:rsidRDefault="00C75312">
      <w:pPr>
        <w:spacing w:line="480" w:lineRule="auto"/>
        <w:jc w:val="both"/>
        <w:sectPr w:rsidR="00C75312">
          <w:pgSz w:w="11900" w:h="16840"/>
          <w:pgMar w:top="1140" w:right="0" w:bottom="280" w:left="1300" w:header="715" w:footer="0" w:gutter="0"/>
          <w:cols w:space="720"/>
        </w:sectPr>
      </w:pPr>
    </w:p>
    <w:p w14:paraId="444D63D6" w14:textId="77777777" w:rsidR="00C75312" w:rsidRDefault="00BB293A">
      <w:pPr>
        <w:pStyle w:val="BodyText"/>
        <w:spacing w:before="2"/>
        <w:rPr>
          <w:sz w:val="18"/>
        </w:rPr>
      </w:pPr>
      <w:r>
        <w:lastRenderedPageBreak/>
        <w:pict w14:anchorId="05E9EBF8">
          <v:shape id="_x0000_s2753" type="#_x0000_t202" style="position:absolute;margin-left:356.4pt;margin-top:656.75pt;width:4.4pt;height:8.2pt;z-index:-260596736;mso-position-horizontal-relative:page;mso-position-vertical-relative:page" filled="f" stroked="f">
            <v:textbox inset="0,0,0,0">
              <w:txbxContent>
                <w:p w14:paraId="67A89E77" w14:textId="77777777" w:rsidR="00C75312" w:rsidRDefault="00BB293A">
                  <w:pPr>
                    <w:spacing w:line="163" w:lineRule="exact"/>
                    <w:rPr>
                      <w:rFonts w:ascii="Cambria Math"/>
                      <w:sz w:val="14"/>
                    </w:rPr>
                  </w:pPr>
                  <w:r>
                    <w:rPr>
                      <w:rFonts w:ascii="Cambria Math"/>
                      <w:w w:val="159"/>
                      <w:sz w:val="14"/>
                    </w:rPr>
                    <w:t>"</w:t>
                  </w:r>
                </w:p>
              </w:txbxContent>
            </v:textbox>
            <w10:wrap anchorx="page" anchory="page"/>
          </v:shape>
        </w:pict>
      </w:r>
      <w:r>
        <w:pict w14:anchorId="7A0E46D5">
          <v:shape id="_x0000_s2752" type="#_x0000_t202" style="position:absolute;margin-left:218.65pt;margin-top:681.45pt;width:4.4pt;height:8.2pt;z-index:-260595712;mso-position-horizontal-relative:page;mso-position-vertical-relative:page" filled="f" stroked="f">
            <v:textbox inset="0,0,0,0">
              <w:txbxContent>
                <w:p w14:paraId="46CE72FA" w14:textId="77777777" w:rsidR="00C75312" w:rsidRDefault="00BB293A">
                  <w:pPr>
                    <w:spacing w:line="163" w:lineRule="exact"/>
                    <w:rPr>
                      <w:rFonts w:ascii="Cambria Math"/>
                      <w:sz w:val="14"/>
                    </w:rPr>
                  </w:pPr>
                  <w:r>
                    <w:rPr>
                      <w:rFonts w:ascii="Cambria Math"/>
                      <w:w w:val="159"/>
                      <w:sz w:val="14"/>
                    </w:rPr>
                    <w:t>"</w:t>
                  </w:r>
                </w:p>
              </w:txbxContent>
            </v:textbox>
            <w10:wrap anchorx="page" anchory="page"/>
          </v:shape>
        </w:pict>
      </w:r>
    </w:p>
    <w:p w14:paraId="67FBF228" w14:textId="77777777" w:rsidR="00C75312" w:rsidRDefault="00BB293A">
      <w:pPr>
        <w:pStyle w:val="BodyText"/>
        <w:spacing w:before="90" w:line="475" w:lineRule="auto"/>
        <w:ind w:left="140" w:right="1301"/>
      </w:pPr>
      <w:r>
        <w:t>types were collapsed. However, for completeness, PM performance is reported in Table 7 for each cue type separately</w:t>
      </w:r>
      <w:r>
        <w:rPr>
          <w:position w:val="8"/>
          <w:sz w:val="16"/>
        </w:rPr>
        <w:t>6</w:t>
      </w:r>
      <w:r>
        <w:t>, as well as collapsed.</w:t>
      </w:r>
    </w:p>
    <w:p w14:paraId="4785C8E4" w14:textId="77777777" w:rsidR="00C75312" w:rsidRDefault="00BB293A">
      <w:pPr>
        <w:spacing w:before="125"/>
        <w:ind w:left="140" w:right="1669"/>
        <w:rPr>
          <w:i/>
          <w:sz w:val="20"/>
        </w:rPr>
      </w:pPr>
      <w:r>
        <w:rPr>
          <w:i/>
          <w:sz w:val="20"/>
        </w:rPr>
        <w:t>Table 7. Event-based PM task performance (collapsed across cues and for each cue type), as well as ongoing performance by condition (Means and SDs)</w:t>
      </w:r>
    </w:p>
    <w:p w14:paraId="72789CEE" w14:textId="77777777" w:rsidR="00C75312" w:rsidRDefault="00BB293A">
      <w:pPr>
        <w:pStyle w:val="BodyText"/>
        <w:spacing w:before="8"/>
        <w:rPr>
          <w:i/>
          <w:sz w:val="13"/>
        </w:rPr>
      </w:pPr>
      <w:r>
        <w:pict w14:anchorId="10C04CFF">
          <v:group id="_x0000_s2744" style="position:absolute;margin-left:1in;margin-top:9.85pt;width:438pt;height:.5pt;z-index:-251614208;mso-wrap-distance-left:0;mso-wrap-distance-right:0;mso-position-horizontal-relative:page" coordorigin="1440,197" coordsize="8760,10">
            <v:line id="_x0000_s2751" style="position:absolute" from="1440,202" to="3274,202" strokeweight=".48pt"/>
            <v:rect id="_x0000_s2750" style="position:absolute;left:3273;top:197;width:10;height:10" fillcolor="black" stroked="f"/>
            <v:line id="_x0000_s2749" style="position:absolute" from="3283,202" to="7133,202" strokeweight=".48pt"/>
            <v:rect id="_x0000_s2748" style="position:absolute;left:7132;top:197;width:10;height:10" fillcolor="black" stroked="f"/>
            <v:line id="_x0000_s2747" style="position:absolute" from="7142,202" to="9134,202" strokeweight=".48pt"/>
            <v:rect id="_x0000_s2746" style="position:absolute;left:9134;top:197;width:10;height:10" fillcolor="black" stroked="f"/>
            <v:line id="_x0000_s2745" style="position:absolute" from="9144,202" to="10200,202" strokeweight=".48pt"/>
            <w10:wrap type="topAndBottom" anchorx="page"/>
          </v:group>
        </w:pict>
      </w:r>
    </w:p>
    <w:p w14:paraId="182948F4" w14:textId="77777777" w:rsidR="00C75312" w:rsidRDefault="00BB293A">
      <w:pPr>
        <w:spacing w:before="19"/>
        <w:ind w:left="6034"/>
        <w:rPr>
          <w:b/>
          <w:sz w:val="20"/>
        </w:rPr>
      </w:pPr>
      <w:r>
        <w:rPr>
          <w:b/>
          <w:sz w:val="20"/>
        </w:rPr>
        <w:t>Group means (SD)</w:t>
      </w:r>
    </w:p>
    <w:p w14:paraId="02E0811A" w14:textId="77777777" w:rsidR="00C75312" w:rsidRDefault="00C75312">
      <w:pPr>
        <w:pStyle w:val="BodyText"/>
        <w:spacing w:before="4"/>
        <w:rPr>
          <w:b/>
          <w:sz w:val="13"/>
        </w:rPr>
      </w:pPr>
    </w:p>
    <w:tbl>
      <w:tblPr>
        <w:tblW w:w="0" w:type="auto"/>
        <w:tblInd w:w="140" w:type="dxa"/>
        <w:tblLayout w:type="fixed"/>
        <w:tblCellMar>
          <w:left w:w="0" w:type="dxa"/>
          <w:right w:w="0" w:type="dxa"/>
        </w:tblCellMar>
        <w:tblLook w:val="01E0" w:firstRow="1" w:lastRow="1" w:firstColumn="1" w:lastColumn="1" w:noHBand="0" w:noVBand="0"/>
      </w:tblPr>
      <w:tblGrid>
        <w:gridCol w:w="1842"/>
        <w:gridCol w:w="3859"/>
        <w:gridCol w:w="1004"/>
        <w:gridCol w:w="999"/>
        <w:gridCol w:w="1066"/>
      </w:tblGrid>
      <w:tr w:rsidR="00C75312" w14:paraId="5F343F03" w14:textId="77777777">
        <w:trPr>
          <w:trHeight w:val="426"/>
        </w:trPr>
        <w:tc>
          <w:tcPr>
            <w:tcW w:w="5701" w:type="dxa"/>
            <w:gridSpan w:val="2"/>
            <w:tcBorders>
              <w:bottom w:val="single" w:sz="4" w:space="0" w:color="000000"/>
            </w:tcBorders>
          </w:tcPr>
          <w:p w14:paraId="79C5685B" w14:textId="77777777" w:rsidR="00C75312" w:rsidRDefault="00C75312">
            <w:pPr>
              <w:pStyle w:val="TableParagraph"/>
              <w:rPr>
                <w:sz w:val="20"/>
              </w:rPr>
            </w:pPr>
          </w:p>
        </w:tc>
        <w:tc>
          <w:tcPr>
            <w:tcW w:w="1004" w:type="dxa"/>
            <w:tcBorders>
              <w:top w:val="single" w:sz="4" w:space="0" w:color="000000"/>
              <w:bottom w:val="single" w:sz="4" w:space="0" w:color="000000"/>
            </w:tcBorders>
          </w:tcPr>
          <w:p w14:paraId="254167D2" w14:textId="77777777" w:rsidR="00C75312" w:rsidRDefault="00BB293A">
            <w:pPr>
              <w:pStyle w:val="TableParagraph"/>
              <w:spacing w:before="43"/>
              <w:ind w:left="88" w:right="89"/>
              <w:jc w:val="center"/>
              <w:rPr>
                <w:b/>
                <w:sz w:val="20"/>
              </w:rPr>
            </w:pPr>
            <w:r>
              <w:rPr>
                <w:b/>
                <w:sz w:val="20"/>
              </w:rPr>
              <w:t>ASD</w:t>
            </w:r>
          </w:p>
        </w:tc>
        <w:tc>
          <w:tcPr>
            <w:tcW w:w="999" w:type="dxa"/>
            <w:tcBorders>
              <w:top w:val="single" w:sz="4" w:space="0" w:color="000000"/>
              <w:bottom w:val="single" w:sz="4" w:space="0" w:color="000000"/>
            </w:tcBorders>
          </w:tcPr>
          <w:p w14:paraId="593897F6" w14:textId="77777777" w:rsidR="00C75312" w:rsidRDefault="00BB293A">
            <w:pPr>
              <w:pStyle w:val="TableParagraph"/>
              <w:spacing w:before="43"/>
              <w:ind w:left="75" w:right="88"/>
              <w:jc w:val="center"/>
              <w:rPr>
                <w:b/>
                <w:sz w:val="20"/>
              </w:rPr>
            </w:pPr>
            <w:r>
              <w:rPr>
                <w:b/>
                <w:sz w:val="20"/>
              </w:rPr>
              <w:t>NT</w:t>
            </w:r>
          </w:p>
        </w:tc>
        <w:tc>
          <w:tcPr>
            <w:tcW w:w="1066" w:type="dxa"/>
            <w:tcBorders>
              <w:bottom w:val="single" w:sz="4" w:space="0" w:color="000000"/>
            </w:tcBorders>
          </w:tcPr>
          <w:p w14:paraId="6B2AACCE" w14:textId="77777777" w:rsidR="00C75312" w:rsidRDefault="00BB293A">
            <w:pPr>
              <w:pStyle w:val="TableParagraph"/>
              <w:spacing w:before="43"/>
              <w:ind w:left="86" w:right="89"/>
              <w:jc w:val="center"/>
              <w:rPr>
                <w:b/>
                <w:i/>
                <w:sz w:val="20"/>
              </w:rPr>
            </w:pPr>
            <w:r>
              <w:rPr>
                <w:b/>
                <w:sz w:val="20"/>
              </w:rPr>
              <w:t xml:space="preserve">Cohens’ </w:t>
            </w:r>
            <w:r>
              <w:rPr>
                <w:b/>
                <w:i/>
                <w:sz w:val="20"/>
              </w:rPr>
              <w:t>d</w:t>
            </w:r>
          </w:p>
        </w:tc>
      </w:tr>
      <w:tr w:rsidR="00C75312" w14:paraId="3E2F955D" w14:textId="77777777">
        <w:trPr>
          <w:trHeight w:val="373"/>
        </w:trPr>
        <w:tc>
          <w:tcPr>
            <w:tcW w:w="1842" w:type="dxa"/>
            <w:tcBorders>
              <w:top w:val="single" w:sz="4" w:space="0" w:color="000000"/>
            </w:tcBorders>
          </w:tcPr>
          <w:p w14:paraId="726250BF" w14:textId="77777777" w:rsidR="00C75312" w:rsidRDefault="00BB293A">
            <w:pPr>
              <w:pStyle w:val="TableParagraph"/>
              <w:spacing w:before="43"/>
              <w:ind w:left="112"/>
              <w:rPr>
                <w:b/>
                <w:sz w:val="20"/>
              </w:rPr>
            </w:pPr>
            <w:r>
              <w:rPr>
                <w:b/>
                <w:sz w:val="20"/>
              </w:rPr>
              <w:t>Focal condition</w:t>
            </w:r>
          </w:p>
        </w:tc>
        <w:tc>
          <w:tcPr>
            <w:tcW w:w="3859" w:type="dxa"/>
            <w:tcBorders>
              <w:top w:val="single" w:sz="4" w:space="0" w:color="000000"/>
            </w:tcBorders>
          </w:tcPr>
          <w:p w14:paraId="40C0967D" w14:textId="77777777" w:rsidR="00C75312" w:rsidRDefault="00BB293A">
            <w:pPr>
              <w:pStyle w:val="TableParagraph"/>
              <w:spacing w:before="43"/>
              <w:ind w:left="104"/>
              <w:rPr>
                <w:sz w:val="20"/>
              </w:rPr>
            </w:pPr>
            <w:r>
              <w:rPr>
                <w:sz w:val="20"/>
              </w:rPr>
              <w:t>Proportion of PM hits (collapsed across cues)</w:t>
            </w:r>
          </w:p>
        </w:tc>
        <w:tc>
          <w:tcPr>
            <w:tcW w:w="1004" w:type="dxa"/>
            <w:tcBorders>
              <w:top w:val="single" w:sz="4" w:space="0" w:color="000000"/>
            </w:tcBorders>
          </w:tcPr>
          <w:p w14:paraId="375A10DA" w14:textId="77777777" w:rsidR="00C75312" w:rsidRDefault="00BB293A">
            <w:pPr>
              <w:pStyle w:val="TableParagraph"/>
              <w:spacing w:before="43"/>
              <w:ind w:left="90" w:right="89"/>
              <w:jc w:val="center"/>
              <w:rPr>
                <w:sz w:val="20"/>
              </w:rPr>
            </w:pPr>
            <w:r>
              <w:rPr>
                <w:sz w:val="20"/>
              </w:rPr>
              <w:t>.70 (0.26)</w:t>
            </w:r>
          </w:p>
        </w:tc>
        <w:tc>
          <w:tcPr>
            <w:tcW w:w="999" w:type="dxa"/>
            <w:tcBorders>
              <w:top w:val="single" w:sz="4" w:space="0" w:color="000000"/>
            </w:tcBorders>
          </w:tcPr>
          <w:p w14:paraId="15455410" w14:textId="77777777" w:rsidR="00C75312" w:rsidRDefault="00BB293A">
            <w:pPr>
              <w:pStyle w:val="TableParagraph"/>
              <w:spacing w:before="43"/>
              <w:ind w:left="86" w:right="88"/>
              <w:jc w:val="center"/>
              <w:rPr>
                <w:sz w:val="20"/>
              </w:rPr>
            </w:pPr>
            <w:r>
              <w:rPr>
                <w:sz w:val="20"/>
              </w:rPr>
              <w:t>.70 (0.24)</w:t>
            </w:r>
          </w:p>
        </w:tc>
        <w:tc>
          <w:tcPr>
            <w:tcW w:w="1066" w:type="dxa"/>
            <w:tcBorders>
              <w:top w:val="single" w:sz="4" w:space="0" w:color="000000"/>
            </w:tcBorders>
          </w:tcPr>
          <w:p w14:paraId="1FB6ADA0" w14:textId="77777777" w:rsidR="00C75312" w:rsidRDefault="00BB293A">
            <w:pPr>
              <w:pStyle w:val="TableParagraph"/>
              <w:spacing w:before="43"/>
              <w:ind w:right="9"/>
              <w:jc w:val="center"/>
              <w:rPr>
                <w:sz w:val="20"/>
              </w:rPr>
            </w:pPr>
            <w:r>
              <w:rPr>
                <w:sz w:val="20"/>
              </w:rPr>
              <w:t>0</w:t>
            </w:r>
          </w:p>
        </w:tc>
      </w:tr>
      <w:tr w:rsidR="00C75312" w14:paraId="38CE2BB7" w14:textId="77777777">
        <w:trPr>
          <w:trHeight w:val="424"/>
        </w:trPr>
        <w:tc>
          <w:tcPr>
            <w:tcW w:w="1842" w:type="dxa"/>
          </w:tcPr>
          <w:p w14:paraId="4281DA24" w14:textId="77777777" w:rsidR="00C75312" w:rsidRDefault="00C75312">
            <w:pPr>
              <w:pStyle w:val="TableParagraph"/>
              <w:rPr>
                <w:sz w:val="20"/>
              </w:rPr>
            </w:pPr>
          </w:p>
        </w:tc>
        <w:tc>
          <w:tcPr>
            <w:tcW w:w="3859" w:type="dxa"/>
          </w:tcPr>
          <w:p w14:paraId="0A9A6A41" w14:textId="77777777" w:rsidR="00C75312" w:rsidRDefault="00BB293A">
            <w:pPr>
              <w:pStyle w:val="TableParagraph"/>
              <w:spacing w:before="92"/>
              <w:ind w:left="104"/>
              <w:rPr>
                <w:sz w:val="20"/>
              </w:rPr>
            </w:pPr>
            <w:r>
              <w:rPr>
                <w:position w:val="1"/>
                <w:sz w:val="20"/>
              </w:rPr>
              <w:t>Proportion of PM hits (</w:t>
            </w:r>
            <w:proofErr w:type="spellStart"/>
            <w:r>
              <w:rPr>
                <w:position w:val="1"/>
                <w:sz w:val="20"/>
              </w:rPr>
              <w:t>PM</w:t>
            </w:r>
            <w:r>
              <w:rPr>
                <w:position w:val="1"/>
                <w:sz w:val="20"/>
                <w:vertAlign w:val="subscript"/>
              </w:rPr>
              <w:t>amount</w:t>
            </w:r>
            <w:proofErr w:type="spellEnd"/>
            <w:r>
              <w:rPr>
                <w:position w:val="1"/>
                <w:sz w:val="20"/>
              </w:rPr>
              <w:t>)</w:t>
            </w:r>
          </w:p>
        </w:tc>
        <w:tc>
          <w:tcPr>
            <w:tcW w:w="1004" w:type="dxa"/>
          </w:tcPr>
          <w:p w14:paraId="60EAE48D" w14:textId="77777777" w:rsidR="00C75312" w:rsidRDefault="00BB293A">
            <w:pPr>
              <w:pStyle w:val="TableParagraph"/>
              <w:spacing w:before="92"/>
              <w:ind w:left="90" w:right="89"/>
              <w:jc w:val="center"/>
              <w:rPr>
                <w:sz w:val="20"/>
              </w:rPr>
            </w:pPr>
            <w:r>
              <w:rPr>
                <w:sz w:val="20"/>
              </w:rPr>
              <w:t>.80 (0.29)</w:t>
            </w:r>
          </w:p>
        </w:tc>
        <w:tc>
          <w:tcPr>
            <w:tcW w:w="999" w:type="dxa"/>
          </w:tcPr>
          <w:p w14:paraId="2E4EE41E" w14:textId="77777777" w:rsidR="00C75312" w:rsidRDefault="00BB293A">
            <w:pPr>
              <w:pStyle w:val="TableParagraph"/>
              <w:spacing w:before="92"/>
              <w:ind w:left="86" w:right="88"/>
              <w:jc w:val="center"/>
              <w:rPr>
                <w:sz w:val="20"/>
              </w:rPr>
            </w:pPr>
            <w:r>
              <w:rPr>
                <w:sz w:val="20"/>
              </w:rPr>
              <w:t>.82 (0.22)</w:t>
            </w:r>
          </w:p>
        </w:tc>
        <w:tc>
          <w:tcPr>
            <w:tcW w:w="1066" w:type="dxa"/>
          </w:tcPr>
          <w:p w14:paraId="23922625" w14:textId="77777777" w:rsidR="00C75312" w:rsidRDefault="00BB293A">
            <w:pPr>
              <w:pStyle w:val="TableParagraph"/>
              <w:spacing w:before="92"/>
              <w:ind w:left="86" w:right="89"/>
              <w:jc w:val="center"/>
              <w:rPr>
                <w:sz w:val="20"/>
              </w:rPr>
            </w:pPr>
            <w:r>
              <w:rPr>
                <w:sz w:val="20"/>
              </w:rPr>
              <w:t>-0.08</w:t>
            </w:r>
          </w:p>
        </w:tc>
      </w:tr>
      <w:tr w:rsidR="00C75312" w14:paraId="36D8BAAD" w14:textId="77777777">
        <w:trPr>
          <w:trHeight w:val="424"/>
        </w:trPr>
        <w:tc>
          <w:tcPr>
            <w:tcW w:w="1842" w:type="dxa"/>
          </w:tcPr>
          <w:p w14:paraId="586FCFE4" w14:textId="77777777" w:rsidR="00C75312" w:rsidRDefault="00C75312">
            <w:pPr>
              <w:pStyle w:val="TableParagraph"/>
              <w:rPr>
                <w:sz w:val="20"/>
              </w:rPr>
            </w:pPr>
          </w:p>
        </w:tc>
        <w:tc>
          <w:tcPr>
            <w:tcW w:w="3859" w:type="dxa"/>
          </w:tcPr>
          <w:p w14:paraId="54873172" w14:textId="77777777" w:rsidR="00C75312" w:rsidRDefault="00BB293A">
            <w:pPr>
              <w:pStyle w:val="TableParagraph"/>
              <w:spacing w:before="94"/>
              <w:ind w:left="104"/>
              <w:rPr>
                <w:sz w:val="20"/>
              </w:rPr>
            </w:pPr>
            <w:r>
              <w:rPr>
                <w:position w:val="1"/>
                <w:sz w:val="20"/>
              </w:rPr>
              <w:t>Proportion of PM hits (</w:t>
            </w:r>
            <w:proofErr w:type="spellStart"/>
            <w:r>
              <w:rPr>
                <w:position w:val="1"/>
                <w:sz w:val="20"/>
              </w:rPr>
              <w:t>PM</w:t>
            </w:r>
            <w:r>
              <w:rPr>
                <w:position w:val="1"/>
                <w:sz w:val="20"/>
                <w:vertAlign w:val="subscript"/>
              </w:rPr>
              <w:t>shape</w:t>
            </w:r>
            <w:proofErr w:type="spellEnd"/>
            <w:r>
              <w:rPr>
                <w:position w:val="1"/>
                <w:sz w:val="20"/>
              </w:rPr>
              <w:t>)</w:t>
            </w:r>
          </w:p>
        </w:tc>
        <w:tc>
          <w:tcPr>
            <w:tcW w:w="1004" w:type="dxa"/>
          </w:tcPr>
          <w:p w14:paraId="6180D786" w14:textId="77777777" w:rsidR="00C75312" w:rsidRDefault="00BB293A">
            <w:pPr>
              <w:pStyle w:val="TableParagraph"/>
              <w:spacing w:before="95"/>
              <w:ind w:left="90" w:right="89"/>
              <w:jc w:val="center"/>
              <w:rPr>
                <w:sz w:val="20"/>
              </w:rPr>
            </w:pPr>
            <w:r>
              <w:rPr>
                <w:sz w:val="20"/>
              </w:rPr>
              <w:t>.60 (0.37)</w:t>
            </w:r>
          </w:p>
        </w:tc>
        <w:tc>
          <w:tcPr>
            <w:tcW w:w="999" w:type="dxa"/>
          </w:tcPr>
          <w:p w14:paraId="26D92C36" w14:textId="77777777" w:rsidR="00C75312" w:rsidRDefault="00BB293A">
            <w:pPr>
              <w:pStyle w:val="TableParagraph"/>
              <w:spacing w:before="95"/>
              <w:ind w:left="86" w:right="88"/>
              <w:jc w:val="center"/>
              <w:rPr>
                <w:sz w:val="20"/>
              </w:rPr>
            </w:pPr>
            <w:r>
              <w:rPr>
                <w:sz w:val="20"/>
              </w:rPr>
              <w:t>.59 (0.38)</w:t>
            </w:r>
          </w:p>
        </w:tc>
        <w:tc>
          <w:tcPr>
            <w:tcW w:w="1066" w:type="dxa"/>
          </w:tcPr>
          <w:p w14:paraId="7481E91C" w14:textId="77777777" w:rsidR="00C75312" w:rsidRDefault="00BB293A">
            <w:pPr>
              <w:pStyle w:val="TableParagraph"/>
              <w:spacing w:before="95"/>
              <w:ind w:left="86" w:right="89"/>
              <w:jc w:val="center"/>
              <w:rPr>
                <w:sz w:val="20"/>
              </w:rPr>
            </w:pPr>
            <w:r>
              <w:rPr>
                <w:sz w:val="20"/>
              </w:rPr>
              <w:t>0.03</w:t>
            </w:r>
          </w:p>
        </w:tc>
      </w:tr>
      <w:tr w:rsidR="00C75312" w14:paraId="76D29576" w14:textId="77777777">
        <w:trPr>
          <w:trHeight w:val="475"/>
        </w:trPr>
        <w:tc>
          <w:tcPr>
            <w:tcW w:w="1842" w:type="dxa"/>
            <w:tcBorders>
              <w:bottom w:val="single" w:sz="4" w:space="0" w:color="000000"/>
            </w:tcBorders>
          </w:tcPr>
          <w:p w14:paraId="337E6114" w14:textId="77777777" w:rsidR="00C75312" w:rsidRDefault="00C75312">
            <w:pPr>
              <w:pStyle w:val="TableParagraph"/>
              <w:rPr>
                <w:sz w:val="20"/>
              </w:rPr>
            </w:pPr>
          </w:p>
        </w:tc>
        <w:tc>
          <w:tcPr>
            <w:tcW w:w="3859" w:type="dxa"/>
            <w:tcBorders>
              <w:bottom w:val="single" w:sz="4" w:space="0" w:color="000000"/>
            </w:tcBorders>
          </w:tcPr>
          <w:p w14:paraId="125F1B21" w14:textId="77777777" w:rsidR="00C75312" w:rsidRDefault="00BB293A">
            <w:pPr>
              <w:pStyle w:val="TableParagraph"/>
              <w:spacing w:before="92"/>
              <w:ind w:left="104"/>
              <w:rPr>
                <w:sz w:val="20"/>
              </w:rPr>
            </w:pPr>
            <w:r>
              <w:rPr>
                <w:sz w:val="20"/>
              </w:rPr>
              <w:t>Ongoing task hits proportion score</w:t>
            </w:r>
          </w:p>
        </w:tc>
        <w:tc>
          <w:tcPr>
            <w:tcW w:w="1004" w:type="dxa"/>
            <w:tcBorders>
              <w:bottom w:val="single" w:sz="4" w:space="0" w:color="000000"/>
            </w:tcBorders>
          </w:tcPr>
          <w:p w14:paraId="65A072D0" w14:textId="77777777" w:rsidR="00C75312" w:rsidRDefault="00BB293A">
            <w:pPr>
              <w:pStyle w:val="TableParagraph"/>
              <w:spacing w:before="92"/>
              <w:ind w:left="90" w:right="89"/>
              <w:jc w:val="center"/>
              <w:rPr>
                <w:sz w:val="20"/>
              </w:rPr>
            </w:pPr>
            <w:r>
              <w:rPr>
                <w:sz w:val="20"/>
              </w:rPr>
              <w:t>.96 (0.08)</w:t>
            </w:r>
          </w:p>
        </w:tc>
        <w:tc>
          <w:tcPr>
            <w:tcW w:w="999" w:type="dxa"/>
            <w:tcBorders>
              <w:bottom w:val="single" w:sz="4" w:space="0" w:color="000000"/>
            </w:tcBorders>
          </w:tcPr>
          <w:p w14:paraId="57618DBF" w14:textId="77777777" w:rsidR="00C75312" w:rsidRDefault="00BB293A">
            <w:pPr>
              <w:pStyle w:val="TableParagraph"/>
              <w:spacing w:before="92"/>
              <w:ind w:left="86" w:right="88"/>
              <w:jc w:val="center"/>
              <w:rPr>
                <w:sz w:val="20"/>
              </w:rPr>
            </w:pPr>
            <w:r>
              <w:rPr>
                <w:sz w:val="20"/>
              </w:rPr>
              <w:t>.96 (0.05)</w:t>
            </w:r>
          </w:p>
        </w:tc>
        <w:tc>
          <w:tcPr>
            <w:tcW w:w="1066" w:type="dxa"/>
            <w:tcBorders>
              <w:bottom w:val="single" w:sz="4" w:space="0" w:color="000000"/>
            </w:tcBorders>
          </w:tcPr>
          <w:p w14:paraId="5487BFB6" w14:textId="77777777" w:rsidR="00C75312" w:rsidRDefault="00BB293A">
            <w:pPr>
              <w:pStyle w:val="TableParagraph"/>
              <w:spacing w:before="92"/>
              <w:ind w:right="9"/>
              <w:jc w:val="center"/>
              <w:rPr>
                <w:sz w:val="20"/>
              </w:rPr>
            </w:pPr>
            <w:r>
              <w:rPr>
                <w:sz w:val="20"/>
              </w:rPr>
              <w:t>0</w:t>
            </w:r>
          </w:p>
        </w:tc>
      </w:tr>
      <w:tr w:rsidR="00C75312" w14:paraId="5DB81FD7" w14:textId="77777777">
        <w:trPr>
          <w:trHeight w:val="375"/>
        </w:trPr>
        <w:tc>
          <w:tcPr>
            <w:tcW w:w="1842" w:type="dxa"/>
            <w:tcBorders>
              <w:top w:val="single" w:sz="4" w:space="0" w:color="000000"/>
            </w:tcBorders>
          </w:tcPr>
          <w:p w14:paraId="07BCC2BC" w14:textId="77777777" w:rsidR="00C75312" w:rsidRDefault="00BB293A">
            <w:pPr>
              <w:pStyle w:val="TableParagraph"/>
              <w:spacing w:before="43"/>
              <w:ind w:left="112"/>
              <w:rPr>
                <w:b/>
                <w:sz w:val="20"/>
              </w:rPr>
            </w:pPr>
            <w:proofErr w:type="spellStart"/>
            <w:r>
              <w:rPr>
                <w:b/>
                <w:sz w:val="20"/>
              </w:rPr>
              <w:t>Nonfocal</w:t>
            </w:r>
            <w:proofErr w:type="spellEnd"/>
            <w:r>
              <w:rPr>
                <w:b/>
                <w:sz w:val="20"/>
              </w:rPr>
              <w:t xml:space="preserve"> condition</w:t>
            </w:r>
          </w:p>
        </w:tc>
        <w:tc>
          <w:tcPr>
            <w:tcW w:w="3859" w:type="dxa"/>
            <w:tcBorders>
              <w:top w:val="single" w:sz="4" w:space="0" w:color="000000"/>
            </w:tcBorders>
          </w:tcPr>
          <w:p w14:paraId="6F876B4E" w14:textId="77777777" w:rsidR="00C75312" w:rsidRDefault="00BB293A">
            <w:pPr>
              <w:pStyle w:val="TableParagraph"/>
              <w:spacing w:before="43"/>
              <w:ind w:left="104"/>
              <w:rPr>
                <w:sz w:val="20"/>
              </w:rPr>
            </w:pPr>
            <w:r>
              <w:rPr>
                <w:sz w:val="20"/>
              </w:rPr>
              <w:t>Proportion of PM hits (collapsed across cues)</w:t>
            </w:r>
          </w:p>
        </w:tc>
        <w:tc>
          <w:tcPr>
            <w:tcW w:w="1004" w:type="dxa"/>
            <w:tcBorders>
              <w:top w:val="single" w:sz="4" w:space="0" w:color="000000"/>
            </w:tcBorders>
          </w:tcPr>
          <w:p w14:paraId="392C7457" w14:textId="77777777" w:rsidR="00C75312" w:rsidRDefault="00BB293A">
            <w:pPr>
              <w:pStyle w:val="TableParagraph"/>
              <w:spacing w:before="43"/>
              <w:ind w:left="90" w:right="89"/>
              <w:jc w:val="center"/>
              <w:rPr>
                <w:sz w:val="20"/>
              </w:rPr>
            </w:pPr>
            <w:r>
              <w:rPr>
                <w:sz w:val="20"/>
              </w:rPr>
              <w:t>.53 (0.25)</w:t>
            </w:r>
          </w:p>
        </w:tc>
        <w:tc>
          <w:tcPr>
            <w:tcW w:w="999" w:type="dxa"/>
            <w:tcBorders>
              <w:top w:val="single" w:sz="4" w:space="0" w:color="000000"/>
            </w:tcBorders>
          </w:tcPr>
          <w:p w14:paraId="797801BF" w14:textId="77777777" w:rsidR="00C75312" w:rsidRDefault="00BB293A">
            <w:pPr>
              <w:pStyle w:val="TableParagraph"/>
              <w:spacing w:before="43"/>
              <w:ind w:left="86" w:right="88"/>
              <w:jc w:val="center"/>
              <w:rPr>
                <w:sz w:val="20"/>
              </w:rPr>
            </w:pPr>
            <w:r>
              <w:rPr>
                <w:sz w:val="20"/>
              </w:rPr>
              <w:t>.59 (0.29)</w:t>
            </w:r>
          </w:p>
        </w:tc>
        <w:tc>
          <w:tcPr>
            <w:tcW w:w="1066" w:type="dxa"/>
            <w:tcBorders>
              <w:top w:val="single" w:sz="4" w:space="0" w:color="000000"/>
            </w:tcBorders>
          </w:tcPr>
          <w:p w14:paraId="0BE7FBEB" w14:textId="77777777" w:rsidR="00C75312" w:rsidRDefault="00BB293A">
            <w:pPr>
              <w:pStyle w:val="TableParagraph"/>
              <w:spacing w:before="43"/>
              <w:ind w:left="86" w:right="89"/>
              <w:jc w:val="center"/>
              <w:rPr>
                <w:sz w:val="20"/>
              </w:rPr>
            </w:pPr>
            <w:r>
              <w:rPr>
                <w:sz w:val="20"/>
              </w:rPr>
              <w:t>-0.22</w:t>
            </w:r>
          </w:p>
        </w:tc>
      </w:tr>
      <w:tr w:rsidR="00C75312" w14:paraId="3B534676" w14:textId="77777777">
        <w:trPr>
          <w:trHeight w:val="424"/>
        </w:trPr>
        <w:tc>
          <w:tcPr>
            <w:tcW w:w="1842" w:type="dxa"/>
          </w:tcPr>
          <w:p w14:paraId="7BAA6128" w14:textId="77777777" w:rsidR="00C75312" w:rsidRDefault="00C75312">
            <w:pPr>
              <w:pStyle w:val="TableParagraph"/>
              <w:rPr>
                <w:sz w:val="20"/>
              </w:rPr>
            </w:pPr>
          </w:p>
        </w:tc>
        <w:tc>
          <w:tcPr>
            <w:tcW w:w="3859" w:type="dxa"/>
          </w:tcPr>
          <w:p w14:paraId="525E2481" w14:textId="77777777" w:rsidR="00C75312" w:rsidRDefault="00BB293A">
            <w:pPr>
              <w:pStyle w:val="TableParagraph"/>
              <w:spacing w:before="94"/>
              <w:ind w:left="104"/>
              <w:rPr>
                <w:sz w:val="20"/>
              </w:rPr>
            </w:pPr>
            <w:r>
              <w:rPr>
                <w:position w:val="1"/>
                <w:sz w:val="20"/>
              </w:rPr>
              <w:t>Proportion of PM hits (</w:t>
            </w:r>
            <w:proofErr w:type="spellStart"/>
            <w:r>
              <w:rPr>
                <w:position w:val="1"/>
                <w:sz w:val="20"/>
              </w:rPr>
              <w:t>PM</w:t>
            </w:r>
            <w:r>
              <w:rPr>
                <w:position w:val="1"/>
                <w:sz w:val="20"/>
                <w:vertAlign w:val="subscript"/>
              </w:rPr>
              <w:t>sound</w:t>
            </w:r>
            <w:proofErr w:type="spellEnd"/>
            <w:r>
              <w:rPr>
                <w:position w:val="1"/>
                <w:sz w:val="20"/>
              </w:rPr>
              <w:t>)</w:t>
            </w:r>
          </w:p>
        </w:tc>
        <w:tc>
          <w:tcPr>
            <w:tcW w:w="1004" w:type="dxa"/>
          </w:tcPr>
          <w:p w14:paraId="00AB5524" w14:textId="77777777" w:rsidR="00C75312" w:rsidRDefault="00BB293A">
            <w:pPr>
              <w:pStyle w:val="TableParagraph"/>
              <w:spacing w:before="95"/>
              <w:ind w:left="90" w:right="89"/>
              <w:jc w:val="center"/>
              <w:rPr>
                <w:sz w:val="20"/>
              </w:rPr>
            </w:pPr>
            <w:r>
              <w:rPr>
                <w:sz w:val="20"/>
              </w:rPr>
              <w:t>.56 (0.41)</w:t>
            </w:r>
          </w:p>
        </w:tc>
        <w:tc>
          <w:tcPr>
            <w:tcW w:w="999" w:type="dxa"/>
          </w:tcPr>
          <w:p w14:paraId="47EDE540" w14:textId="77777777" w:rsidR="00C75312" w:rsidRDefault="00BB293A">
            <w:pPr>
              <w:pStyle w:val="TableParagraph"/>
              <w:spacing w:before="95"/>
              <w:ind w:left="86" w:right="88"/>
              <w:jc w:val="center"/>
              <w:rPr>
                <w:sz w:val="20"/>
              </w:rPr>
            </w:pPr>
            <w:r>
              <w:rPr>
                <w:sz w:val="20"/>
              </w:rPr>
              <w:t>.64 (0.38)</w:t>
            </w:r>
          </w:p>
        </w:tc>
        <w:tc>
          <w:tcPr>
            <w:tcW w:w="1066" w:type="dxa"/>
          </w:tcPr>
          <w:p w14:paraId="0C80914F" w14:textId="77777777" w:rsidR="00C75312" w:rsidRDefault="00BB293A">
            <w:pPr>
              <w:pStyle w:val="TableParagraph"/>
              <w:spacing w:before="95"/>
              <w:ind w:left="86" w:right="89"/>
              <w:jc w:val="center"/>
              <w:rPr>
                <w:sz w:val="20"/>
              </w:rPr>
            </w:pPr>
            <w:r>
              <w:rPr>
                <w:sz w:val="20"/>
              </w:rPr>
              <w:t>-0.21</w:t>
            </w:r>
          </w:p>
        </w:tc>
      </w:tr>
      <w:tr w:rsidR="00C75312" w14:paraId="2EB21B27" w14:textId="77777777">
        <w:trPr>
          <w:trHeight w:val="424"/>
        </w:trPr>
        <w:tc>
          <w:tcPr>
            <w:tcW w:w="1842" w:type="dxa"/>
          </w:tcPr>
          <w:p w14:paraId="04C2F0A4" w14:textId="77777777" w:rsidR="00C75312" w:rsidRDefault="00C75312">
            <w:pPr>
              <w:pStyle w:val="TableParagraph"/>
              <w:rPr>
                <w:sz w:val="20"/>
              </w:rPr>
            </w:pPr>
          </w:p>
        </w:tc>
        <w:tc>
          <w:tcPr>
            <w:tcW w:w="3859" w:type="dxa"/>
          </w:tcPr>
          <w:p w14:paraId="459679E7" w14:textId="77777777" w:rsidR="00C75312" w:rsidRDefault="00BB293A">
            <w:pPr>
              <w:pStyle w:val="TableParagraph"/>
              <w:spacing w:before="92"/>
              <w:ind w:left="104"/>
              <w:rPr>
                <w:sz w:val="20"/>
              </w:rPr>
            </w:pPr>
            <w:r>
              <w:rPr>
                <w:position w:val="1"/>
                <w:sz w:val="20"/>
              </w:rPr>
              <w:t>Proportion of PM hits (</w:t>
            </w:r>
            <w:proofErr w:type="spellStart"/>
            <w:r>
              <w:rPr>
                <w:position w:val="1"/>
                <w:sz w:val="20"/>
              </w:rPr>
              <w:t>PM</w:t>
            </w:r>
            <w:r>
              <w:rPr>
                <w:position w:val="1"/>
                <w:sz w:val="20"/>
                <w:vertAlign w:val="subscript"/>
              </w:rPr>
              <w:t>background</w:t>
            </w:r>
            <w:proofErr w:type="spellEnd"/>
            <w:r>
              <w:rPr>
                <w:position w:val="1"/>
                <w:sz w:val="20"/>
              </w:rPr>
              <w:t>)</w:t>
            </w:r>
          </w:p>
        </w:tc>
        <w:tc>
          <w:tcPr>
            <w:tcW w:w="1004" w:type="dxa"/>
          </w:tcPr>
          <w:p w14:paraId="38CF60D8" w14:textId="77777777" w:rsidR="00C75312" w:rsidRDefault="00BB293A">
            <w:pPr>
              <w:pStyle w:val="TableParagraph"/>
              <w:spacing w:before="92"/>
              <w:ind w:left="90" w:right="89"/>
              <w:jc w:val="center"/>
              <w:rPr>
                <w:sz w:val="20"/>
              </w:rPr>
            </w:pPr>
            <w:r>
              <w:rPr>
                <w:sz w:val="20"/>
              </w:rPr>
              <w:t>.49 (0.34)</w:t>
            </w:r>
          </w:p>
        </w:tc>
        <w:tc>
          <w:tcPr>
            <w:tcW w:w="999" w:type="dxa"/>
          </w:tcPr>
          <w:p w14:paraId="06C314B7" w14:textId="77777777" w:rsidR="00C75312" w:rsidRDefault="00BB293A">
            <w:pPr>
              <w:pStyle w:val="TableParagraph"/>
              <w:spacing w:before="92"/>
              <w:ind w:left="86" w:right="88"/>
              <w:jc w:val="center"/>
              <w:rPr>
                <w:sz w:val="20"/>
              </w:rPr>
            </w:pPr>
            <w:r>
              <w:rPr>
                <w:sz w:val="20"/>
              </w:rPr>
              <w:t>.54 (0.39)</w:t>
            </w:r>
          </w:p>
        </w:tc>
        <w:tc>
          <w:tcPr>
            <w:tcW w:w="1066" w:type="dxa"/>
          </w:tcPr>
          <w:p w14:paraId="04FE6695" w14:textId="77777777" w:rsidR="00C75312" w:rsidRDefault="00BB293A">
            <w:pPr>
              <w:pStyle w:val="TableParagraph"/>
              <w:spacing w:before="92"/>
              <w:ind w:left="86" w:right="89"/>
              <w:jc w:val="center"/>
              <w:rPr>
                <w:sz w:val="20"/>
              </w:rPr>
            </w:pPr>
            <w:r>
              <w:rPr>
                <w:sz w:val="20"/>
              </w:rPr>
              <w:t>-0.14</w:t>
            </w:r>
          </w:p>
        </w:tc>
      </w:tr>
      <w:tr w:rsidR="00C75312" w14:paraId="6B030622" w14:textId="77777777">
        <w:trPr>
          <w:trHeight w:val="473"/>
        </w:trPr>
        <w:tc>
          <w:tcPr>
            <w:tcW w:w="1842" w:type="dxa"/>
            <w:tcBorders>
              <w:bottom w:val="single" w:sz="4" w:space="0" w:color="000000"/>
            </w:tcBorders>
          </w:tcPr>
          <w:p w14:paraId="01C8636A" w14:textId="77777777" w:rsidR="00C75312" w:rsidRDefault="00C75312">
            <w:pPr>
              <w:pStyle w:val="TableParagraph"/>
              <w:rPr>
                <w:sz w:val="20"/>
              </w:rPr>
            </w:pPr>
          </w:p>
        </w:tc>
        <w:tc>
          <w:tcPr>
            <w:tcW w:w="3859" w:type="dxa"/>
            <w:tcBorders>
              <w:bottom w:val="single" w:sz="4" w:space="0" w:color="000000"/>
            </w:tcBorders>
          </w:tcPr>
          <w:p w14:paraId="7F9A8E7B" w14:textId="77777777" w:rsidR="00C75312" w:rsidRDefault="00BB293A">
            <w:pPr>
              <w:pStyle w:val="TableParagraph"/>
              <w:spacing w:before="95"/>
              <w:ind w:left="104"/>
              <w:rPr>
                <w:sz w:val="20"/>
              </w:rPr>
            </w:pPr>
            <w:r>
              <w:rPr>
                <w:sz w:val="20"/>
              </w:rPr>
              <w:t>Ongoing task hits proportion score</w:t>
            </w:r>
          </w:p>
        </w:tc>
        <w:tc>
          <w:tcPr>
            <w:tcW w:w="1004" w:type="dxa"/>
            <w:tcBorders>
              <w:bottom w:val="single" w:sz="4" w:space="0" w:color="000000"/>
            </w:tcBorders>
          </w:tcPr>
          <w:p w14:paraId="6758EEA2" w14:textId="77777777" w:rsidR="00C75312" w:rsidRDefault="00BB293A">
            <w:pPr>
              <w:pStyle w:val="TableParagraph"/>
              <w:spacing w:before="95"/>
              <w:ind w:left="90" w:right="89"/>
              <w:jc w:val="center"/>
              <w:rPr>
                <w:sz w:val="20"/>
              </w:rPr>
            </w:pPr>
            <w:r>
              <w:rPr>
                <w:sz w:val="20"/>
              </w:rPr>
              <w:t>.90 (0.07)</w:t>
            </w:r>
          </w:p>
        </w:tc>
        <w:tc>
          <w:tcPr>
            <w:tcW w:w="999" w:type="dxa"/>
            <w:tcBorders>
              <w:bottom w:val="single" w:sz="4" w:space="0" w:color="000000"/>
            </w:tcBorders>
          </w:tcPr>
          <w:p w14:paraId="59C7A7A0" w14:textId="77777777" w:rsidR="00C75312" w:rsidRDefault="00BB293A">
            <w:pPr>
              <w:pStyle w:val="TableParagraph"/>
              <w:spacing w:before="95"/>
              <w:ind w:left="86" w:right="88"/>
              <w:jc w:val="center"/>
              <w:rPr>
                <w:sz w:val="20"/>
              </w:rPr>
            </w:pPr>
            <w:r>
              <w:rPr>
                <w:sz w:val="20"/>
              </w:rPr>
              <w:t>.91 (0.12)</w:t>
            </w:r>
          </w:p>
        </w:tc>
        <w:tc>
          <w:tcPr>
            <w:tcW w:w="1066" w:type="dxa"/>
            <w:tcBorders>
              <w:bottom w:val="single" w:sz="4" w:space="0" w:color="000000"/>
            </w:tcBorders>
          </w:tcPr>
          <w:p w14:paraId="5B7678BE" w14:textId="77777777" w:rsidR="00C75312" w:rsidRDefault="00BB293A">
            <w:pPr>
              <w:pStyle w:val="TableParagraph"/>
              <w:spacing w:before="95"/>
              <w:ind w:left="86" w:right="89"/>
              <w:jc w:val="center"/>
              <w:rPr>
                <w:sz w:val="20"/>
              </w:rPr>
            </w:pPr>
            <w:r>
              <w:rPr>
                <w:sz w:val="20"/>
              </w:rPr>
              <w:t>-0.10</w:t>
            </w:r>
          </w:p>
        </w:tc>
      </w:tr>
    </w:tbl>
    <w:p w14:paraId="6E0F42E1" w14:textId="77777777" w:rsidR="00C75312" w:rsidRDefault="00C75312">
      <w:pPr>
        <w:pStyle w:val="BodyText"/>
        <w:rPr>
          <w:b/>
          <w:sz w:val="22"/>
        </w:rPr>
      </w:pPr>
    </w:p>
    <w:p w14:paraId="5A85ADBE" w14:textId="77777777" w:rsidR="00C75312" w:rsidRDefault="00C75312">
      <w:pPr>
        <w:pStyle w:val="BodyText"/>
        <w:rPr>
          <w:b/>
          <w:sz w:val="22"/>
        </w:rPr>
      </w:pPr>
    </w:p>
    <w:p w14:paraId="5567438A" w14:textId="77777777" w:rsidR="00C75312" w:rsidRDefault="00BB293A">
      <w:pPr>
        <w:pStyle w:val="BodyText"/>
        <w:spacing w:before="162" w:line="480" w:lineRule="auto"/>
        <w:ind w:left="140" w:right="1429" w:firstLine="720"/>
        <w:jc w:val="both"/>
      </w:pPr>
      <w:r>
        <w:pict w14:anchorId="3C56909A">
          <v:shape id="_x0000_s2743" type="#_x0000_t202" style="position:absolute;left:0;text-align:left;margin-left:225.35pt;margin-top:156.45pt;width:4.4pt;height:8.2pt;z-index:-260597760;mso-position-horizontal-relative:page" filled="f" stroked="f">
            <v:textbox inset="0,0,0,0">
              <w:txbxContent>
                <w:p w14:paraId="03A5E18C" w14:textId="77777777" w:rsidR="00C75312" w:rsidRDefault="00BB293A">
                  <w:pPr>
                    <w:spacing w:line="163" w:lineRule="exact"/>
                    <w:rPr>
                      <w:rFonts w:ascii="Cambria Math"/>
                      <w:sz w:val="14"/>
                    </w:rPr>
                  </w:pPr>
                  <w:r>
                    <w:rPr>
                      <w:rFonts w:ascii="Cambria Math"/>
                      <w:w w:val="159"/>
                      <w:sz w:val="14"/>
                    </w:rPr>
                    <w:t>"</w:t>
                  </w:r>
                </w:p>
              </w:txbxContent>
            </v:textbox>
            <w10:wrap anchorx="page"/>
          </v:shape>
        </w:pict>
      </w:r>
      <w:r>
        <w:t>A 2 (Group: ASD/NT) × 2 (Condition: Focal/</w:t>
      </w:r>
      <w:proofErr w:type="spellStart"/>
      <w:r>
        <w:t>Nonfocal</w:t>
      </w:r>
      <w:proofErr w:type="spellEnd"/>
      <w:r>
        <w:t xml:space="preserve">) mixed ANOVA was used to </w:t>
      </w:r>
      <w:proofErr w:type="spellStart"/>
      <w:r>
        <w:t>analyse</w:t>
      </w:r>
      <w:proofErr w:type="spellEnd"/>
      <w:r>
        <w:t xml:space="preserve"> the PM performance. It revealed a significant main effect of condition, reflecting superior</w:t>
      </w:r>
      <w:r>
        <w:rPr>
          <w:spacing w:val="-9"/>
        </w:rPr>
        <w:t xml:space="preserve"> </w:t>
      </w:r>
      <w:r>
        <w:t>PM</w:t>
      </w:r>
      <w:r>
        <w:rPr>
          <w:spacing w:val="-12"/>
        </w:rPr>
        <w:t xml:space="preserve"> </w:t>
      </w:r>
      <w:r>
        <w:t>performance</w:t>
      </w:r>
      <w:r>
        <w:rPr>
          <w:spacing w:val="-15"/>
        </w:rPr>
        <w:t xml:space="preserve"> </w:t>
      </w:r>
      <w:r>
        <w:t>in</w:t>
      </w:r>
      <w:r>
        <w:rPr>
          <w:spacing w:val="-11"/>
        </w:rPr>
        <w:t xml:space="preserve"> </w:t>
      </w:r>
      <w:r>
        <w:t>the</w:t>
      </w:r>
      <w:r>
        <w:rPr>
          <w:spacing w:val="-15"/>
        </w:rPr>
        <w:t xml:space="preserve"> </w:t>
      </w:r>
      <w:r>
        <w:t>focal</w:t>
      </w:r>
      <w:r>
        <w:rPr>
          <w:spacing w:val="-14"/>
        </w:rPr>
        <w:t xml:space="preserve"> </w:t>
      </w:r>
      <w:r>
        <w:t>condition</w:t>
      </w:r>
      <w:r>
        <w:rPr>
          <w:spacing w:val="-14"/>
        </w:rPr>
        <w:t xml:space="preserve"> </w:t>
      </w:r>
      <w:r>
        <w:t>than</w:t>
      </w:r>
      <w:r>
        <w:rPr>
          <w:spacing w:val="-11"/>
        </w:rPr>
        <w:t xml:space="preserve"> </w:t>
      </w:r>
      <w:r>
        <w:t>the</w:t>
      </w:r>
      <w:r>
        <w:rPr>
          <w:spacing w:val="-11"/>
        </w:rPr>
        <w:t xml:space="preserve"> </w:t>
      </w:r>
      <w:proofErr w:type="spellStart"/>
      <w:r>
        <w:t>nonfocal</w:t>
      </w:r>
      <w:proofErr w:type="spellEnd"/>
      <w:r>
        <w:rPr>
          <w:spacing w:val="-9"/>
        </w:rPr>
        <w:t xml:space="preserve"> </w:t>
      </w:r>
      <w:r>
        <w:t>condition</w:t>
      </w:r>
      <w:r>
        <w:rPr>
          <w:spacing w:val="-15"/>
        </w:rPr>
        <w:t xml:space="preserve"> </w:t>
      </w:r>
      <w:r>
        <w:t>across</w:t>
      </w:r>
      <w:r>
        <w:rPr>
          <w:spacing w:val="-12"/>
        </w:rPr>
        <w:t xml:space="preserve"> </w:t>
      </w:r>
      <w:r>
        <w:t>groups,</w:t>
      </w:r>
      <w:r>
        <w:rPr>
          <w:spacing w:val="-12"/>
        </w:rPr>
        <w:t xml:space="preserve"> </w:t>
      </w:r>
      <w:r>
        <w:rPr>
          <w:i/>
        </w:rPr>
        <w:t>F</w:t>
      </w:r>
      <w:r>
        <w:t>(1,</w:t>
      </w:r>
    </w:p>
    <w:p w14:paraId="7596E616" w14:textId="77777777" w:rsidR="00C75312" w:rsidRDefault="00BB293A">
      <w:pPr>
        <w:pStyle w:val="BodyText"/>
        <w:spacing w:before="4"/>
        <w:rPr>
          <w:sz w:val="12"/>
        </w:rPr>
      </w:pPr>
      <w:r>
        <w:pict w14:anchorId="5FF6461A">
          <v:shape id="_x0000_s2742" style="position:absolute;margin-left:1in;margin-top:9.35pt;width:2in;height:.1pt;z-index:-251613184;mso-wrap-distance-left:0;mso-wrap-distance-right:0;mso-position-horizontal-relative:page" coordorigin="1440,187" coordsize="2880,0" path="m1440,187r2880,e" filled="f" strokeweight=".48pt">
            <v:path arrowok="t"/>
            <w10:wrap type="topAndBottom" anchorx="page"/>
          </v:shape>
        </w:pict>
      </w:r>
    </w:p>
    <w:p w14:paraId="3905DBD8" w14:textId="77777777" w:rsidR="00C75312" w:rsidRDefault="00BB293A">
      <w:pPr>
        <w:spacing w:before="62" w:line="477" w:lineRule="auto"/>
        <w:ind w:left="140" w:right="1426"/>
        <w:jc w:val="both"/>
        <w:rPr>
          <w:sz w:val="20"/>
        </w:rPr>
      </w:pPr>
      <w:r>
        <w:rPr>
          <w:position w:val="8"/>
          <w:sz w:val="13"/>
        </w:rPr>
        <w:t xml:space="preserve">6 </w:t>
      </w:r>
      <w:r>
        <w:rPr>
          <w:position w:val="1"/>
          <w:sz w:val="20"/>
        </w:rPr>
        <w:t xml:space="preserve">A 2 (Group: ASD/NT) × 4 (Cue type: </w:t>
      </w:r>
      <w:proofErr w:type="spellStart"/>
      <w:r>
        <w:rPr>
          <w:position w:val="1"/>
          <w:sz w:val="20"/>
        </w:rPr>
        <w:t>PM</w:t>
      </w:r>
      <w:r>
        <w:rPr>
          <w:position w:val="1"/>
          <w:sz w:val="20"/>
          <w:vertAlign w:val="subscript"/>
        </w:rPr>
        <w:t>shape</w:t>
      </w:r>
      <w:proofErr w:type="spellEnd"/>
      <w:r>
        <w:rPr>
          <w:position w:val="1"/>
          <w:sz w:val="20"/>
        </w:rPr>
        <w:t xml:space="preserve">, </w:t>
      </w:r>
      <w:proofErr w:type="spellStart"/>
      <w:r>
        <w:rPr>
          <w:position w:val="1"/>
          <w:sz w:val="20"/>
        </w:rPr>
        <w:t>PM</w:t>
      </w:r>
      <w:r>
        <w:rPr>
          <w:position w:val="1"/>
          <w:sz w:val="20"/>
          <w:vertAlign w:val="subscript"/>
        </w:rPr>
        <w:t>amount</w:t>
      </w:r>
      <w:proofErr w:type="spellEnd"/>
      <w:r>
        <w:rPr>
          <w:position w:val="1"/>
          <w:sz w:val="20"/>
        </w:rPr>
        <w:t xml:space="preserve">, </w:t>
      </w:r>
      <w:proofErr w:type="spellStart"/>
      <w:r>
        <w:rPr>
          <w:position w:val="1"/>
          <w:sz w:val="20"/>
        </w:rPr>
        <w:t>PM</w:t>
      </w:r>
      <w:r>
        <w:rPr>
          <w:position w:val="1"/>
          <w:sz w:val="20"/>
          <w:vertAlign w:val="subscript"/>
        </w:rPr>
        <w:t>sound</w:t>
      </w:r>
      <w:proofErr w:type="spellEnd"/>
      <w:r>
        <w:rPr>
          <w:position w:val="1"/>
          <w:sz w:val="20"/>
        </w:rPr>
        <w:t xml:space="preserve">, </w:t>
      </w:r>
      <w:proofErr w:type="spellStart"/>
      <w:r>
        <w:rPr>
          <w:position w:val="1"/>
          <w:sz w:val="20"/>
        </w:rPr>
        <w:t>PM</w:t>
      </w:r>
      <w:r>
        <w:rPr>
          <w:position w:val="1"/>
          <w:sz w:val="20"/>
          <w:vertAlign w:val="subscript"/>
        </w:rPr>
        <w:t>background</w:t>
      </w:r>
      <w:proofErr w:type="spellEnd"/>
      <w:r>
        <w:rPr>
          <w:position w:val="1"/>
          <w:sz w:val="20"/>
        </w:rPr>
        <w:t xml:space="preserve">) was performed to confirm that </w:t>
      </w:r>
      <w:r>
        <w:rPr>
          <w:sz w:val="20"/>
        </w:rPr>
        <w:t xml:space="preserve">different cues did not differentially affect PM performance between groups. </w:t>
      </w:r>
      <w:r>
        <w:rPr>
          <w:spacing w:val="-3"/>
          <w:sz w:val="20"/>
        </w:rPr>
        <w:t xml:space="preserve">It </w:t>
      </w:r>
      <w:r>
        <w:rPr>
          <w:sz w:val="20"/>
        </w:rPr>
        <w:t xml:space="preserve">revealed a significant main effect </w:t>
      </w:r>
      <w:r>
        <w:rPr>
          <w:position w:val="1"/>
          <w:sz w:val="20"/>
        </w:rPr>
        <w:t>of</w:t>
      </w:r>
      <w:r>
        <w:rPr>
          <w:spacing w:val="-7"/>
          <w:position w:val="1"/>
          <w:sz w:val="20"/>
        </w:rPr>
        <w:t xml:space="preserve"> </w:t>
      </w:r>
      <w:r>
        <w:rPr>
          <w:position w:val="1"/>
          <w:sz w:val="20"/>
        </w:rPr>
        <w:t>cue</w:t>
      </w:r>
      <w:r>
        <w:rPr>
          <w:spacing w:val="-9"/>
          <w:position w:val="1"/>
          <w:sz w:val="20"/>
        </w:rPr>
        <w:t xml:space="preserve"> </w:t>
      </w:r>
      <w:r>
        <w:rPr>
          <w:position w:val="1"/>
          <w:sz w:val="20"/>
        </w:rPr>
        <w:t>type</w:t>
      </w:r>
      <w:r>
        <w:rPr>
          <w:spacing w:val="-5"/>
          <w:position w:val="1"/>
          <w:sz w:val="20"/>
        </w:rPr>
        <w:t xml:space="preserve"> </w:t>
      </w:r>
      <w:r>
        <w:rPr>
          <w:i/>
          <w:position w:val="1"/>
          <w:sz w:val="20"/>
        </w:rPr>
        <w:t>F</w:t>
      </w:r>
      <w:r>
        <w:rPr>
          <w:position w:val="1"/>
          <w:sz w:val="20"/>
        </w:rPr>
        <w:t>(3,114)</w:t>
      </w:r>
      <w:r>
        <w:rPr>
          <w:spacing w:val="-7"/>
          <w:position w:val="1"/>
          <w:sz w:val="20"/>
        </w:rPr>
        <w:t xml:space="preserve"> </w:t>
      </w:r>
      <w:r>
        <w:rPr>
          <w:position w:val="1"/>
          <w:sz w:val="20"/>
        </w:rPr>
        <w:t>=</w:t>
      </w:r>
      <w:r>
        <w:rPr>
          <w:spacing w:val="-5"/>
          <w:position w:val="1"/>
          <w:sz w:val="20"/>
        </w:rPr>
        <w:t xml:space="preserve"> </w:t>
      </w:r>
      <w:r>
        <w:rPr>
          <w:position w:val="1"/>
          <w:sz w:val="20"/>
        </w:rPr>
        <w:t>5.73</w:t>
      </w:r>
      <w:r>
        <w:rPr>
          <w:spacing w:val="-6"/>
          <w:position w:val="1"/>
          <w:sz w:val="20"/>
        </w:rPr>
        <w:t xml:space="preserve"> </w:t>
      </w:r>
      <w:r>
        <w:rPr>
          <w:i/>
          <w:position w:val="1"/>
          <w:sz w:val="20"/>
        </w:rPr>
        <w:t>p</w:t>
      </w:r>
      <w:r>
        <w:rPr>
          <w:i/>
          <w:spacing w:val="-12"/>
          <w:position w:val="1"/>
          <w:sz w:val="20"/>
        </w:rPr>
        <w:t xml:space="preserve"> </w:t>
      </w:r>
      <w:r>
        <w:rPr>
          <w:position w:val="1"/>
          <w:sz w:val="20"/>
        </w:rPr>
        <w:t>=</w:t>
      </w:r>
      <w:r>
        <w:rPr>
          <w:spacing w:val="-5"/>
          <w:position w:val="1"/>
          <w:sz w:val="20"/>
        </w:rPr>
        <w:t xml:space="preserve"> </w:t>
      </w:r>
      <w:r>
        <w:rPr>
          <w:position w:val="1"/>
          <w:sz w:val="20"/>
        </w:rPr>
        <w:t>.001,</w:t>
      </w:r>
      <w:r>
        <w:rPr>
          <w:spacing w:val="-9"/>
          <w:position w:val="1"/>
          <w:sz w:val="20"/>
        </w:rPr>
        <w:t xml:space="preserve"> </w:t>
      </w:r>
      <w:r>
        <w:rPr>
          <w:rFonts w:ascii="Cambria Math" w:hAnsi="Cambria Math"/>
          <w:w w:val="110"/>
          <w:position w:val="1"/>
          <w:sz w:val="20"/>
        </w:rPr>
        <w:t>!</w:t>
      </w:r>
      <w:r>
        <w:rPr>
          <w:rFonts w:ascii="Cambria Math" w:hAnsi="Cambria Math"/>
          <w:w w:val="110"/>
          <w:position w:val="8"/>
          <w:sz w:val="14"/>
        </w:rPr>
        <w:t>#</w:t>
      </w:r>
      <w:r>
        <w:rPr>
          <w:rFonts w:ascii="Cambria Math" w:hAnsi="Cambria Math"/>
          <w:spacing w:val="20"/>
          <w:w w:val="110"/>
          <w:position w:val="8"/>
          <w:sz w:val="14"/>
        </w:rPr>
        <w:t xml:space="preserve"> </w:t>
      </w:r>
      <w:r>
        <w:rPr>
          <w:position w:val="1"/>
          <w:sz w:val="20"/>
        </w:rPr>
        <w:t>=</w:t>
      </w:r>
      <w:r>
        <w:rPr>
          <w:spacing w:val="-5"/>
          <w:position w:val="1"/>
          <w:sz w:val="20"/>
        </w:rPr>
        <w:t xml:space="preserve"> </w:t>
      </w:r>
      <w:r>
        <w:rPr>
          <w:position w:val="1"/>
          <w:sz w:val="20"/>
        </w:rPr>
        <w:t>.13,</w:t>
      </w:r>
      <w:r>
        <w:rPr>
          <w:spacing w:val="-4"/>
          <w:position w:val="1"/>
          <w:sz w:val="20"/>
        </w:rPr>
        <w:t xml:space="preserve"> </w:t>
      </w:r>
      <w:r>
        <w:rPr>
          <w:position w:val="1"/>
          <w:sz w:val="20"/>
        </w:rPr>
        <w:t>BF</w:t>
      </w:r>
      <w:r>
        <w:rPr>
          <w:position w:val="1"/>
          <w:sz w:val="20"/>
          <w:vertAlign w:val="subscript"/>
        </w:rPr>
        <w:t>10</w:t>
      </w:r>
      <w:r>
        <w:rPr>
          <w:spacing w:val="-24"/>
          <w:position w:val="1"/>
          <w:sz w:val="20"/>
        </w:rPr>
        <w:t xml:space="preserve"> </w:t>
      </w:r>
      <w:r>
        <w:rPr>
          <w:position w:val="1"/>
          <w:sz w:val="20"/>
        </w:rPr>
        <w:t>=</w:t>
      </w:r>
      <w:r>
        <w:rPr>
          <w:spacing w:val="-5"/>
          <w:position w:val="1"/>
          <w:sz w:val="20"/>
        </w:rPr>
        <w:t xml:space="preserve"> </w:t>
      </w:r>
      <w:r>
        <w:rPr>
          <w:position w:val="1"/>
          <w:sz w:val="20"/>
        </w:rPr>
        <w:t>50.34.</w:t>
      </w:r>
      <w:r>
        <w:rPr>
          <w:spacing w:val="45"/>
          <w:position w:val="1"/>
          <w:sz w:val="20"/>
        </w:rPr>
        <w:t xml:space="preserve"> </w:t>
      </w:r>
      <w:r>
        <w:rPr>
          <w:position w:val="1"/>
          <w:sz w:val="20"/>
        </w:rPr>
        <w:t>Post-hoc</w:t>
      </w:r>
      <w:r>
        <w:rPr>
          <w:spacing w:val="-6"/>
          <w:position w:val="1"/>
          <w:sz w:val="20"/>
        </w:rPr>
        <w:t xml:space="preserve"> </w:t>
      </w:r>
      <w:r>
        <w:rPr>
          <w:position w:val="1"/>
          <w:sz w:val="20"/>
        </w:rPr>
        <w:t>pairwise</w:t>
      </w:r>
      <w:r>
        <w:rPr>
          <w:spacing w:val="-5"/>
          <w:position w:val="1"/>
          <w:sz w:val="20"/>
        </w:rPr>
        <w:t xml:space="preserve"> </w:t>
      </w:r>
      <w:r>
        <w:rPr>
          <w:position w:val="1"/>
          <w:sz w:val="20"/>
        </w:rPr>
        <w:t>multiple</w:t>
      </w:r>
      <w:r>
        <w:rPr>
          <w:spacing w:val="-9"/>
          <w:position w:val="1"/>
          <w:sz w:val="20"/>
        </w:rPr>
        <w:t xml:space="preserve"> </w:t>
      </w:r>
      <w:r>
        <w:rPr>
          <w:position w:val="1"/>
          <w:sz w:val="20"/>
        </w:rPr>
        <w:t>comparisons</w:t>
      </w:r>
      <w:r>
        <w:rPr>
          <w:spacing w:val="-9"/>
          <w:position w:val="1"/>
          <w:sz w:val="20"/>
        </w:rPr>
        <w:t xml:space="preserve"> </w:t>
      </w:r>
      <w:r>
        <w:rPr>
          <w:position w:val="1"/>
          <w:sz w:val="20"/>
        </w:rPr>
        <w:t>(Bonferroni corrected)</w:t>
      </w:r>
      <w:r>
        <w:rPr>
          <w:spacing w:val="-5"/>
          <w:position w:val="1"/>
          <w:sz w:val="20"/>
        </w:rPr>
        <w:t xml:space="preserve"> </w:t>
      </w:r>
      <w:r>
        <w:rPr>
          <w:position w:val="1"/>
          <w:sz w:val="20"/>
        </w:rPr>
        <w:t>revealed</w:t>
      </w:r>
      <w:r>
        <w:rPr>
          <w:spacing w:val="-4"/>
          <w:position w:val="1"/>
          <w:sz w:val="20"/>
        </w:rPr>
        <w:t xml:space="preserve"> </w:t>
      </w:r>
      <w:r>
        <w:rPr>
          <w:position w:val="1"/>
          <w:sz w:val="20"/>
        </w:rPr>
        <w:t>significant</w:t>
      </w:r>
      <w:r>
        <w:rPr>
          <w:spacing w:val="-3"/>
          <w:position w:val="1"/>
          <w:sz w:val="20"/>
        </w:rPr>
        <w:t xml:space="preserve"> </w:t>
      </w:r>
      <w:r>
        <w:rPr>
          <w:position w:val="1"/>
          <w:sz w:val="20"/>
        </w:rPr>
        <w:t>PM</w:t>
      </w:r>
      <w:r>
        <w:rPr>
          <w:spacing w:val="-1"/>
          <w:position w:val="1"/>
          <w:sz w:val="20"/>
        </w:rPr>
        <w:t xml:space="preserve"> </w:t>
      </w:r>
      <w:r>
        <w:rPr>
          <w:position w:val="1"/>
          <w:sz w:val="20"/>
        </w:rPr>
        <w:t>performance</w:t>
      </w:r>
      <w:r>
        <w:rPr>
          <w:spacing w:val="-4"/>
          <w:position w:val="1"/>
          <w:sz w:val="20"/>
        </w:rPr>
        <w:t xml:space="preserve"> </w:t>
      </w:r>
      <w:r>
        <w:rPr>
          <w:position w:val="1"/>
          <w:sz w:val="20"/>
        </w:rPr>
        <w:t>differences</w:t>
      </w:r>
      <w:r>
        <w:rPr>
          <w:spacing w:val="-6"/>
          <w:position w:val="1"/>
          <w:sz w:val="20"/>
        </w:rPr>
        <w:t xml:space="preserve"> </w:t>
      </w:r>
      <w:r>
        <w:rPr>
          <w:position w:val="1"/>
          <w:sz w:val="20"/>
        </w:rPr>
        <w:t>between</w:t>
      </w:r>
      <w:r>
        <w:rPr>
          <w:spacing w:val="-4"/>
          <w:position w:val="1"/>
          <w:sz w:val="20"/>
        </w:rPr>
        <w:t xml:space="preserve"> </w:t>
      </w:r>
      <w:r>
        <w:rPr>
          <w:position w:val="1"/>
          <w:sz w:val="20"/>
        </w:rPr>
        <w:t>the</w:t>
      </w:r>
      <w:r>
        <w:rPr>
          <w:spacing w:val="-3"/>
          <w:position w:val="1"/>
          <w:sz w:val="20"/>
        </w:rPr>
        <w:t xml:space="preserve"> </w:t>
      </w:r>
      <w:r>
        <w:rPr>
          <w:position w:val="1"/>
          <w:sz w:val="20"/>
        </w:rPr>
        <w:t>following</w:t>
      </w:r>
      <w:r>
        <w:rPr>
          <w:spacing w:val="-4"/>
          <w:position w:val="1"/>
          <w:sz w:val="20"/>
        </w:rPr>
        <w:t xml:space="preserve"> </w:t>
      </w:r>
      <w:r>
        <w:rPr>
          <w:position w:val="1"/>
          <w:sz w:val="20"/>
        </w:rPr>
        <w:t>cue</w:t>
      </w:r>
      <w:r>
        <w:rPr>
          <w:spacing w:val="-3"/>
          <w:position w:val="1"/>
          <w:sz w:val="20"/>
        </w:rPr>
        <w:t xml:space="preserve"> </w:t>
      </w:r>
      <w:r>
        <w:rPr>
          <w:position w:val="1"/>
          <w:sz w:val="20"/>
        </w:rPr>
        <w:t>types:</w:t>
      </w:r>
      <w:r>
        <w:rPr>
          <w:spacing w:val="-4"/>
          <w:position w:val="1"/>
          <w:sz w:val="20"/>
        </w:rPr>
        <w:t xml:space="preserve"> </w:t>
      </w:r>
      <w:proofErr w:type="spellStart"/>
      <w:r>
        <w:rPr>
          <w:position w:val="1"/>
          <w:sz w:val="20"/>
        </w:rPr>
        <w:t>PM</w:t>
      </w:r>
      <w:r>
        <w:rPr>
          <w:position w:val="1"/>
          <w:sz w:val="20"/>
          <w:vertAlign w:val="subscript"/>
        </w:rPr>
        <w:t>amount</w:t>
      </w:r>
      <w:proofErr w:type="spellEnd"/>
      <w:r>
        <w:rPr>
          <w:spacing w:val="-7"/>
          <w:position w:val="1"/>
          <w:sz w:val="20"/>
        </w:rPr>
        <w:t xml:space="preserve"> </w:t>
      </w:r>
      <w:r>
        <w:rPr>
          <w:position w:val="1"/>
          <w:sz w:val="20"/>
        </w:rPr>
        <w:t>&gt;</w:t>
      </w:r>
      <w:r>
        <w:rPr>
          <w:spacing w:val="-3"/>
          <w:position w:val="1"/>
          <w:sz w:val="20"/>
        </w:rPr>
        <w:t xml:space="preserve"> </w:t>
      </w:r>
      <w:proofErr w:type="spellStart"/>
      <w:r>
        <w:rPr>
          <w:position w:val="1"/>
          <w:sz w:val="20"/>
        </w:rPr>
        <w:t>PM</w:t>
      </w:r>
      <w:r>
        <w:rPr>
          <w:position w:val="1"/>
          <w:sz w:val="20"/>
          <w:vertAlign w:val="subscript"/>
        </w:rPr>
        <w:t>shape</w:t>
      </w:r>
      <w:proofErr w:type="spellEnd"/>
      <w:r>
        <w:rPr>
          <w:position w:val="1"/>
          <w:sz w:val="20"/>
        </w:rPr>
        <w:t>, (</w:t>
      </w:r>
      <w:r>
        <w:rPr>
          <w:i/>
          <w:position w:val="1"/>
          <w:sz w:val="20"/>
        </w:rPr>
        <w:t xml:space="preserve">p </w:t>
      </w:r>
      <w:r>
        <w:rPr>
          <w:position w:val="1"/>
          <w:sz w:val="20"/>
        </w:rPr>
        <w:t xml:space="preserve">= .01), </w:t>
      </w:r>
      <w:proofErr w:type="spellStart"/>
      <w:r>
        <w:rPr>
          <w:position w:val="1"/>
          <w:sz w:val="20"/>
        </w:rPr>
        <w:t>PM</w:t>
      </w:r>
      <w:r>
        <w:rPr>
          <w:position w:val="1"/>
          <w:sz w:val="20"/>
          <w:vertAlign w:val="subscript"/>
        </w:rPr>
        <w:t>amount</w:t>
      </w:r>
      <w:proofErr w:type="spellEnd"/>
      <w:r>
        <w:rPr>
          <w:position w:val="1"/>
          <w:sz w:val="20"/>
        </w:rPr>
        <w:t xml:space="preserve"> &gt; </w:t>
      </w:r>
      <w:proofErr w:type="spellStart"/>
      <w:r>
        <w:rPr>
          <w:position w:val="1"/>
          <w:sz w:val="20"/>
        </w:rPr>
        <w:t>PM</w:t>
      </w:r>
      <w:r>
        <w:rPr>
          <w:position w:val="1"/>
          <w:sz w:val="20"/>
          <w:vertAlign w:val="subscript"/>
        </w:rPr>
        <w:t>sound</w:t>
      </w:r>
      <w:proofErr w:type="spellEnd"/>
      <w:r>
        <w:rPr>
          <w:position w:val="1"/>
          <w:sz w:val="20"/>
        </w:rPr>
        <w:t xml:space="preserve"> (</w:t>
      </w:r>
      <w:r>
        <w:rPr>
          <w:i/>
          <w:position w:val="1"/>
          <w:sz w:val="20"/>
        </w:rPr>
        <w:t xml:space="preserve">p </w:t>
      </w:r>
      <w:r>
        <w:rPr>
          <w:position w:val="1"/>
          <w:sz w:val="20"/>
        </w:rPr>
        <w:t xml:space="preserve">= .05), </w:t>
      </w:r>
      <w:proofErr w:type="spellStart"/>
      <w:r>
        <w:rPr>
          <w:position w:val="1"/>
          <w:sz w:val="20"/>
        </w:rPr>
        <w:t>PM</w:t>
      </w:r>
      <w:r>
        <w:rPr>
          <w:position w:val="1"/>
          <w:sz w:val="20"/>
          <w:vertAlign w:val="subscript"/>
        </w:rPr>
        <w:t>amount</w:t>
      </w:r>
      <w:proofErr w:type="spellEnd"/>
      <w:r>
        <w:rPr>
          <w:position w:val="1"/>
          <w:sz w:val="20"/>
        </w:rPr>
        <w:t xml:space="preserve"> &gt; </w:t>
      </w:r>
      <w:proofErr w:type="spellStart"/>
      <w:r>
        <w:rPr>
          <w:position w:val="1"/>
          <w:sz w:val="20"/>
        </w:rPr>
        <w:t>PM</w:t>
      </w:r>
      <w:r>
        <w:rPr>
          <w:position w:val="1"/>
          <w:sz w:val="20"/>
          <w:vertAlign w:val="subscript"/>
        </w:rPr>
        <w:t>background</w:t>
      </w:r>
      <w:proofErr w:type="spellEnd"/>
      <w:r>
        <w:rPr>
          <w:position w:val="1"/>
          <w:sz w:val="20"/>
        </w:rPr>
        <w:t xml:space="preserve"> (p &lt; .001). This indicates that the </w:t>
      </w:r>
      <w:proofErr w:type="spellStart"/>
      <w:r>
        <w:rPr>
          <w:position w:val="1"/>
          <w:sz w:val="20"/>
        </w:rPr>
        <w:t>PM</w:t>
      </w:r>
      <w:r>
        <w:rPr>
          <w:position w:val="1"/>
          <w:sz w:val="20"/>
          <w:vertAlign w:val="subscript"/>
        </w:rPr>
        <w:t>amount</w:t>
      </w:r>
      <w:proofErr w:type="spellEnd"/>
      <w:r>
        <w:rPr>
          <w:position w:val="1"/>
          <w:sz w:val="20"/>
        </w:rPr>
        <w:t xml:space="preserve"> cue </w:t>
      </w:r>
      <w:r>
        <w:rPr>
          <w:sz w:val="20"/>
        </w:rPr>
        <w:t xml:space="preserve">resulted in the highest PM performance compared to all other cues and that performance did not differ between </w:t>
      </w:r>
      <w:r>
        <w:rPr>
          <w:position w:val="1"/>
          <w:sz w:val="20"/>
        </w:rPr>
        <w:t xml:space="preserve">the other cue types. No main effect </w:t>
      </w:r>
      <w:r>
        <w:rPr>
          <w:spacing w:val="-3"/>
          <w:position w:val="1"/>
          <w:sz w:val="20"/>
        </w:rPr>
        <w:t xml:space="preserve">of </w:t>
      </w:r>
      <w:r>
        <w:rPr>
          <w:position w:val="1"/>
          <w:sz w:val="20"/>
        </w:rPr>
        <w:t xml:space="preserve">group </w:t>
      </w:r>
      <w:r>
        <w:rPr>
          <w:i/>
          <w:position w:val="1"/>
          <w:sz w:val="20"/>
        </w:rPr>
        <w:t>F</w:t>
      </w:r>
      <w:r>
        <w:rPr>
          <w:position w:val="1"/>
          <w:sz w:val="20"/>
        </w:rPr>
        <w:t xml:space="preserve">(1,38) = 0.26, </w:t>
      </w:r>
      <w:r>
        <w:rPr>
          <w:i/>
          <w:position w:val="1"/>
          <w:sz w:val="20"/>
        </w:rPr>
        <w:t xml:space="preserve">p </w:t>
      </w:r>
      <w:r>
        <w:rPr>
          <w:position w:val="1"/>
          <w:sz w:val="20"/>
        </w:rPr>
        <w:t xml:space="preserve">= .61, </w:t>
      </w:r>
      <w:r>
        <w:rPr>
          <w:rFonts w:ascii="Cambria Math" w:hAnsi="Cambria Math"/>
          <w:w w:val="110"/>
          <w:position w:val="1"/>
          <w:sz w:val="20"/>
        </w:rPr>
        <w:t>!</w:t>
      </w:r>
      <w:r>
        <w:rPr>
          <w:rFonts w:ascii="Cambria Math" w:hAnsi="Cambria Math"/>
          <w:w w:val="110"/>
          <w:position w:val="8"/>
          <w:sz w:val="14"/>
        </w:rPr>
        <w:t xml:space="preserve"># </w:t>
      </w:r>
      <w:r>
        <w:rPr>
          <w:position w:val="1"/>
          <w:sz w:val="20"/>
        </w:rPr>
        <w:t>&lt; .01, BF</w:t>
      </w:r>
      <w:r>
        <w:rPr>
          <w:position w:val="1"/>
          <w:sz w:val="20"/>
          <w:vertAlign w:val="subscript"/>
        </w:rPr>
        <w:t>10</w:t>
      </w:r>
      <w:r>
        <w:rPr>
          <w:position w:val="1"/>
          <w:sz w:val="20"/>
        </w:rPr>
        <w:t xml:space="preserve"> = 0.24, or Group x Cue type interaction </w:t>
      </w:r>
      <w:r>
        <w:rPr>
          <w:i/>
          <w:position w:val="1"/>
          <w:sz w:val="20"/>
        </w:rPr>
        <w:t>F</w:t>
      </w:r>
      <w:r>
        <w:rPr>
          <w:position w:val="1"/>
          <w:sz w:val="20"/>
        </w:rPr>
        <w:t xml:space="preserve">(3,11) = 0.13, </w:t>
      </w:r>
      <w:r>
        <w:rPr>
          <w:i/>
          <w:position w:val="1"/>
          <w:sz w:val="20"/>
        </w:rPr>
        <w:t xml:space="preserve">p </w:t>
      </w:r>
      <w:r>
        <w:rPr>
          <w:position w:val="1"/>
          <w:sz w:val="20"/>
        </w:rPr>
        <w:t xml:space="preserve">= .94, </w:t>
      </w:r>
      <w:r>
        <w:rPr>
          <w:rFonts w:ascii="Cambria Math" w:hAnsi="Cambria Math"/>
          <w:w w:val="110"/>
          <w:position w:val="1"/>
          <w:sz w:val="20"/>
        </w:rPr>
        <w:t>!</w:t>
      </w:r>
      <w:r>
        <w:rPr>
          <w:rFonts w:ascii="Cambria Math" w:hAnsi="Cambria Math"/>
          <w:w w:val="110"/>
          <w:position w:val="8"/>
          <w:sz w:val="14"/>
        </w:rPr>
        <w:t xml:space="preserve"># </w:t>
      </w:r>
      <w:r>
        <w:rPr>
          <w:position w:val="1"/>
          <w:sz w:val="20"/>
        </w:rPr>
        <w:t>= .003, BF</w:t>
      </w:r>
      <w:r>
        <w:rPr>
          <w:position w:val="1"/>
          <w:sz w:val="20"/>
          <w:vertAlign w:val="subscript"/>
        </w:rPr>
        <w:t>10</w:t>
      </w:r>
      <w:r>
        <w:rPr>
          <w:position w:val="1"/>
          <w:sz w:val="20"/>
        </w:rPr>
        <w:t xml:space="preserve"> = 0.08 was found. The BF</w:t>
      </w:r>
      <w:r>
        <w:rPr>
          <w:position w:val="1"/>
          <w:sz w:val="20"/>
          <w:vertAlign w:val="subscript"/>
        </w:rPr>
        <w:t>10</w:t>
      </w:r>
      <w:r>
        <w:rPr>
          <w:position w:val="1"/>
          <w:sz w:val="20"/>
        </w:rPr>
        <w:t xml:space="preserve"> for the additive model was 12.96 </w:t>
      </w:r>
      <w:r>
        <w:rPr>
          <w:sz w:val="20"/>
        </w:rPr>
        <w:t xml:space="preserve">and for the </w:t>
      </w:r>
      <w:r>
        <w:rPr>
          <w:spacing w:val="-3"/>
          <w:sz w:val="20"/>
        </w:rPr>
        <w:t xml:space="preserve">full </w:t>
      </w:r>
      <w:r>
        <w:rPr>
          <w:sz w:val="20"/>
        </w:rPr>
        <w:t>model 0.98, thus the model that outperformed all other models was the one containing the main effect of cue type. Hence, the ASD and NT groups performed equally well on the PM task overall and were equally affected by cue</w:t>
      </w:r>
      <w:r>
        <w:rPr>
          <w:spacing w:val="-8"/>
          <w:sz w:val="20"/>
        </w:rPr>
        <w:t xml:space="preserve"> </w:t>
      </w:r>
      <w:r>
        <w:rPr>
          <w:sz w:val="20"/>
        </w:rPr>
        <w:t>type.</w:t>
      </w:r>
    </w:p>
    <w:p w14:paraId="30CFBF11" w14:textId="77777777" w:rsidR="00C75312" w:rsidRDefault="00C75312">
      <w:pPr>
        <w:spacing w:line="477" w:lineRule="auto"/>
        <w:jc w:val="both"/>
        <w:rPr>
          <w:sz w:val="20"/>
        </w:rPr>
        <w:sectPr w:rsidR="00C75312">
          <w:pgSz w:w="11900" w:h="16840"/>
          <w:pgMar w:top="1140" w:right="0" w:bottom="280" w:left="1300" w:header="715" w:footer="0" w:gutter="0"/>
          <w:cols w:space="720"/>
        </w:sectPr>
      </w:pPr>
    </w:p>
    <w:p w14:paraId="2CE1C199" w14:textId="77777777" w:rsidR="00C75312" w:rsidRDefault="00C75312">
      <w:pPr>
        <w:pStyle w:val="BodyText"/>
        <w:spacing w:before="9"/>
        <w:rPr>
          <w:sz w:val="15"/>
        </w:rPr>
      </w:pPr>
    </w:p>
    <w:p w14:paraId="6BCCDCED" w14:textId="77777777" w:rsidR="00C75312" w:rsidRDefault="00BB293A">
      <w:pPr>
        <w:pStyle w:val="BodyText"/>
        <w:spacing w:before="117" w:line="484" w:lineRule="auto"/>
        <w:ind w:left="140" w:right="1426"/>
        <w:jc w:val="both"/>
      </w:pPr>
      <w:r>
        <w:pict w14:anchorId="05EC2B57">
          <v:shape id="_x0000_s2741" type="#_x0000_t202" style="position:absolute;left:0;text-align:left;margin-left:179.3pt;margin-top:11.7pt;width:5.3pt;height:9.85pt;z-index:-260593664;mso-position-horizontal-relative:page" filled="f" stroked="f">
            <v:textbox inset="0,0,0,0">
              <w:txbxContent>
                <w:p w14:paraId="27BE6859"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0475E8E">
          <v:shape id="_x0000_s2740" type="#_x0000_t202" style="position:absolute;left:0;text-align:left;margin-left:244.8pt;margin-top:41.45pt;width:5.3pt;height:9.85pt;z-index:-260592640;mso-position-horizontal-relative:page" filled="f" stroked="f">
            <v:textbox inset="0,0,0,0">
              <w:txbxContent>
                <w:p w14:paraId="35C5043E"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D033F08">
          <v:shape id="_x0000_s2739" type="#_x0000_t202" style="position:absolute;left:0;text-align:left;margin-left:301.2pt;margin-top:71pt;width:5.3pt;height:9.85pt;z-index:-260591616;mso-position-horizontal-relative:page" filled="f" stroked="f">
            <v:textbox inset="0,0,0,0">
              <w:txbxContent>
                <w:p w14:paraId="63EB3067"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position w:val="2"/>
        </w:rPr>
        <w:t xml:space="preserve">38) </w:t>
      </w:r>
      <w:r>
        <w:rPr>
          <w:spacing w:val="20"/>
          <w:position w:val="2"/>
        </w:rPr>
        <w:t xml:space="preserve"> </w:t>
      </w:r>
      <w:r>
        <w:rPr>
          <w:position w:val="2"/>
        </w:rPr>
        <w:t>=</w:t>
      </w:r>
      <w:r>
        <w:rPr>
          <w:spacing w:val="6"/>
          <w:position w:val="2"/>
        </w:rPr>
        <w:t xml:space="preserve"> </w:t>
      </w:r>
      <w:r>
        <w:rPr>
          <w:position w:val="2"/>
        </w:rPr>
        <w:t>7</w:t>
      </w:r>
      <w:r>
        <w:rPr>
          <w:spacing w:val="-3"/>
          <w:position w:val="2"/>
        </w:rPr>
        <w:t>.</w:t>
      </w:r>
      <w:r>
        <w:rPr>
          <w:position w:val="2"/>
        </w:rPr>
        <w:t>45,</w:t>
      </w:r>
      <w:r>
        <w:rPr>
          <w:spacing w:val="9"/>
          <w:position w:val="2"/>
        </w:rPr>
        <w:t xml:space="preserve"> </w:t>
      </w:r>
      <w:r>
        <w:rPr>
          <w:i/>
          <w:position w:val="2"/>
        </w:rPr>
        <w:t>p</w:t>
      </w:r>
      <w:r>
        <w:rPr>
          <w:i/>
          <w:spacing w:val="7"/>
          <w:position w:val="2"/>
        </w:rPr>
        <w:t xml:space="preserve"> </w:t>
      </w:r>
      <w:r>
        <w:rPr>
          <w:position w:val="2"/>
        </w:rPr>
        <w:t>=</w:t>
      </w:r>
      <w:r>
        <w:rPr>
          <w:spacing w:val="6"/>
          <w:position w:val="2"/>
        </w:rPr>
        <w:t xml:space="preserve"> </w:t>
      </w:r>
      <w:r>
        <w:rPr>
          <w:spacing w:val="2"/>
          <w:position w:val="2"/>
        </w:rPr>
        <w:t>.</w:t>
      </w:r>
      <w:r>
        <w:rPr>
          <w:position w:val="2"/>
        </w:rPr>
        <w:t>0</w:t>
      </w:r>
      <w:r>
        <w:rPr>
          <w:spacing w:val="-5"/>
          <w:position w:val="2"/>
        </w:rPr>
        <w:t>1</w:t>
      </w:r>
      <w:r>
        <w:rPr>
          <w:position w:val="2"/>
        </w:rPr>
        <w:t>,</w:t>
      </w:r>
      <w:r>
        <w:rPr>
          <w:spacing w:val="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6"/>
          <w:position w:val="2"/>
        </w:rPr>
        <w:t xml:space="preserve"> </w:t>
      </w:r>
      <w:r>
        <w:rPr>
          <w:position w:val="2"/>
        </w:rPr>
        <w:t>=</w:t>
      </w:r>
      <w:r>
        <w:rPr>
          <w:spacing w:val="6"/>
          <w:position w:val="2"/>
        </w:rPr>
        <w:t xml:space="preserve"> </w:t>
      </w:r>
      <w:r>
        <w:rPr>
          <w:spacing w:val="2"/>
          <w:position w:val="2"/>
        </w:rPr>
        <w:t>.</w:t>
      </w:r>
      <w:r>
        <w:rPr>
          <w:position w:val="2"/>
        </w:rPr>
        <w:t>16,</w:t>
      </w:r>
      <w:r>
        <w:rPr>
          <w:spacing w:val="9"/>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15"/>
          <w:position w:val="2"/>
        </w:rPr>
        <w:t xml:space="preserve"> </w:t>
      </w:r>
      <w:r>
        <w:rPr>
          <w:position w:val="2"/>
        </w:rPr>
        <w:t>=</w:t>
      </w:r>
      <w:r>
        <w:rPr>
          <w:spacing w:val="11"/>
          <w:position w:val="2"/>
        </w:rPr>
        <w:t xml:space="preserve"> </w:t>
      </w:r>
      <w:r>
        <w:rPr>
          <w:spacing w:val="-5"/>
          <w:position w:val="2"/>
        </w:rPr>
        <w:t>7</w:t>
      </w:r>
      <w:r>
        <w:rPr>
          <w:spacing w:val="2"/>
          <w:position w:val="2"/>
        </w:rPr>
        <w:t>.</w:t>
      </w:r>
      <w:r>
        <w:rPr>
          <w:position w:val="2"/>
        </w:rPr>
        <w:t xml:space="preserve">34. </w:t>
      </w:r>
      <w:r>
        <w:rPr>
          <w:spacing w:val="16"/>
          <w:position w:val="2"/>
        </w:rPr>
        <w:t xml:space="preserve"> </w:t>
      </w:r>
      <w:r>
        <w:rPr>
          <w:spacing w:val="-1"/>
          <w:position w:val="2"/>
        </w:rPr>
        <w:t>H</w:t>
      </w:r>
      <w:r>
        <w:rPr>
          <w:position w:val="2"/>
        </w:rPr>
        <w:t>o</w:t>
      </w:r>
      <w:r>
        <w:rPr>
          <w:spacing w:val="-1"/>
          <w:position w:val="2"/>
        </w:rPr>
        <w:t>we</w:t>
      </w:r>
      <w:r>
        <w:rPr>
          <w:position w:val="2"/>
        </w:rPr>
        <w:t>v</w:t>
      </w:r>
      <w:r>
        <w:rPr>
          <w:spacing w:val="-1"/>
          <w:position w:val="2"/>
        </w:rPr>
        <w:t>e</w:t>
      </w:r>
      <w:r>
        <w:rPr>
          <w:spacing w:val="1"/>
          <w:position w:val="2"/>
        </w:rPr>
        <w:t>r</w:t>
      </w:r>
      <w:r>
        <w:rPr>
          <w:position w:val="2"/>
        </w:rPr>
        <w:t>,</w:t>
      </w:r>
      <w:r>
        <w:rPr>
          <w:spacing w:val="9"/>
          <w:position w:val="2"/>
        </w:rPr>
        <w:t xml:space="preserve"> </w:t>
      </w:r>
      <w:r>
        <w:rPr>
          <w:position w:val="2"/>
        </w:rPr>
        <w:t>th</w:t>
      </w:r>
      <w:r>
        <w:rPr>
          <w:spacing w:val="-1"/>
          <w:position w:val="2"/>
        </w:rPr>
        <w:t>e</w:t>
      </w:r>
      <w:r>
        <w:rPr>
          <w:spacing w:val="1"/>
          <w:position w:val="2"/>
        </w:rPr>
        <w:t>r</w:t>
      </w:r>
      <w:r>
        <w:rPr>
          <w:position w:val="2"/>
        </w:rPr>
        <w:t>e</w:t>
      </w:r>
      <w:r>
        <w:rPr>
          <w:spacing w:val="6"/>
          <w:position w:val="2"/>
        </w:rPr>
        <w:t xml:space="preserve"> </w:t>
      </w:r>
      <w:r>
        <w:rPr>
          <w:spacing w:val="-1"/>
          <w:position w:val="2"/>
        </w:rPr>
        <w:t>wa</w:t>
      </w:r>
      <w:r>
        <w:rPr>
          <w:position w:val="2"/>
        </w:rPr>
        <w:t>s</w:t>
      </w:r>
      <w:r>
        <w:rPr>
          <w:spacing w:val="9"/>
          <w:position w:val="2"/>
        </w:rPr>
        <w:t xml:space="preserve"> </w:t>
      </w:r>
      <w:r>
        <w:rPr>
          <w:position w:val="2"/>
        </w:rPr>
        <w:t>no</w:t>
      </w:r>
      <w:r>
        <w:rPr>
          <w:spacing w:val="7"/>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7"/>
          <w:position w:val="2"/>
        </w:rPr>
        <w:t xml:space="preserve"> </w:t>
      </w:r>
      <w:r>
        <w:rPr>
          <w:position w:val="2"/>
        </w:rPr>
        <w:t>m</w:t>
      </w:r>
      <w:r>
        <w:rPr>
          <w:spacing w:val="-1"/>
          <w:position w:val="2"/>
        </w:rPr>
        <w:t>a</w:t>
      </w:r>
      <w:r>
        <w:rPr>
          <w:position w:val="2"/>
        </w:rPr>
        <w:t>in</w:t>
      </w:r>
      <w:r>
        <w:rPr>
          <w:spacing w:val="7"/>
          <w:position w:val="2"/>
        </w:rPr>
        <w:t xml:space="preserve"> </w:t>
      </w:r>
      <w:r>
        <w:rPr>
          <w:spacing w:val="-1"/>
          <w:position w:val="2"/>
        </w:rPr>
        <w:t>e</w:t>
      </w:r>
      <w:r>
        <w:rPr>
          <w:spacing w:val="1"/>
          <w:position w:val="2"/>
        </w:rPr>
        <w:t>ff</w:t>
      </w:r>
      <w:r>
        <w:rPr>
          <w:spacing w:val="-1"/>
          <w:position w:val="2"/>
        </w:rPr>
        <w:t>ec</w:t>
      </w:r>
      <w:r>
        <w:rPr>
          <w:position w:val="2"/>
        </w:rPr>
        <w:t>t</w:t>
      </w:r>
      <w:r>
        <w:rPr>
          <w:spacing w:val="7"/>
          <w:position w:val="2"/>
        </w:rPr>
        <w:t xml:space="preserve"> </w:t>
      </w:r>
      <w:r>
        <w:rPr>
          <w:position w:val="2"/>
        </w:rPr>
        <w:t>of g</w:t>
      </w:r>
      <w:r>
        <w:rPr>
          <w:spacing w:val="1"/>
          <w:position w:val="2"/>
        </w:rPr>
        <w:t>r</w:t>
      </w:r>
      <w:r>
        <w:rPr>
          <w:position w:val="2"/>
        </w:rPr>
        <w:t xml:space="preserve">oup, </w:t>
      </w:r>
      <w:r>
        <w:rPr>
          <w:spacing w:val="-27"/>
          <w:position w:val="2"/>
        </w:rPr>
        <w:t xml:space="preserve"> </w:t>
      </w:r>
      <w:r>
        <w:rPr>
          <w:i/>
          <w:spacing w:val="2"/>
          <w:position w:val="2"/>
        </w:rPr>
        <w:t>F</w:t>
      </w:r>
      <w:r>
        <w:rPr>
          <w:spacing w:val="1"/>
          <w:position w:val="2"/>
        </w:rPr>
        <w:t>(</w:t>
      </w:r>
      <w:r>
        <w:rPr>
          <w:spacing w:val="-5"/>
          <w:position w:val="2"/>
        </w:rPr>
        <w:t>1</w:t>
      </w:r>
      <w:r>
        <w:rPr>
          <w:position w:val="2"/>
        </w:rPr>
        <w:t xml:space="preserve">, </w:t>
      </w:r>
      <w:r>
        <w:rPr>
          <w:spacing w:val="-22"/>
          <w:position w:val="2"/>
        </w:rPr>
        <w:t xml:space="preserve"> </w:t>
      </w:r>
      <w:r>
        <w:rPr>
          <w:position w:val="2"/>
        </w:rPr>
        <w:t xml:space="preserve">38) </w:t>
      </w:r>
      <w:r>
        <w:rPr>
          <w:spacing w:val="-28"/>
          <w:position w:val="2"/>
        </w:rPr>
        <w:t xml:space="preserve"> </w:t>
      </w:r>
      <w:r>
        <w:rPr>
          <w:position w:val="2"/>
        </w:rPr>
        <w:t xml:space="preserve">= </w:t>
      </w:r>
      <w:r>
        <w:rPr>
          <w:spacing w:val="-25"/>
          <w:position w:val="2"/>
        </w:rPr>
        <w:t xml:space="preserve"> </w:t>
      </w:r>
      <w:r>
        <w:rPr>
          <w:position w:val="2"/>
        </w:rPr>
        <w:t>0</w:t>
      </w:r>
      <w:r>
        <w:rPr>
          <w:spacing w:val="2"/>
          <w:position w:val="2"/>
        </w:rPr>
        <w:t>.</w:t>
      </w:r>
      <w:r>
        <w:rPr>
          <w:position w:val="2"/>
        </w:rPr>
        <w:t>2</w:t>
      </w:r>
      <w:r>
        <w:rPr>
          <w:spacing w:val="-5"/>
          <w:position w:val="2"/>
        </w:rPr>
        <w:t>4</w:t>
      </w:r>
      <w:r>
        <w:rPr>
          <w:position w:val="2"/>
        </w:rPr>
        <w:t xml:space="preserve">, </w:t>
      </w:r>
      <w:r>
        <w:rPr>
          <w:spacing w:val="-22"/>
          <w:position w:val="2"/>
        </w:rPr>
        <w:t xml:space="preserve"> </w:t>
      </w:r>
      <w:r>
        <w:rPr>
          <w:i/>
          <w:position w:val="2"/>
        </w:rPr>
        <w:t xml:space="preserve">p </w:t>
      </w:r>
      <w:r>
        <w:rPr>
          <w:i/>
          <w:spacing w:val="-24"/>
          <w:position w:val="2"/>
        </w:rPr>
        <w:t xml:space="preserve"> </w:t>
      </w:r>
      <w:r>
        <w:rPr>
          <w:position w:val="2"/>
        </w:rPr>
        <w:t xml:space="preserve">= </w:t>
      </w:r>
      <w:r>
        <w:rPr>
          <w:spacing w:val="-30"/>
          <w:position w:val="2"/>
        </w:rPr>
        <w:t xml:space="preserve"> </w:t>
      </w:r>
      <w:r>
        <w:rPr>
          <w:spacing w:val="2"/>
          <w:position w:val="2"/>
        </w:rPr>
        <w:t>.</w:t>
      </w:r>
      <w:r>
        <w:rPr>
          <w:position w:val="2"/>
        </w:rPr>
        <w:t>6</w:t>
      </w:r>
      <w:r>
        <w:rPr>
          <w:spacing w:val="-5"/>
          <w:position w:val="2"/>
        </w:rPr>
        <w:t>3</w:t>
      </w:r>
      <w:r>
        <w:rPr>
          <w:position w:val="2"/>
        </w:rPr>
        <w:t xml:space="preserve">, </w:t>
      </w:r>
      <w:r>
        <w:rPr>
          <w:spacing w:val="-27"/>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8"/>
          <w:position w:val="2"/>
        </w:rPr>
        <w:t xml:space="preserve"> </w:t>
      </w:r>
      <w:r>
        <w:rPr>
          <w:position w:val="2"/>
        </w:rPr>
        <w:t xml:space="preserve">&lt; </w:t>
      </w:r>
      <w:r>
        <w:rPr>
          <w:spacing w:val="-25"/>
          <w:position w:val="2"/>
        </w:rPr>
        <w:t xml:space="preserve"> </w:t>
      </w:r>
      <w:r>
        <w:rPr>
          <w:spacing w:val="2"/>
          <w:position w:val="2"/>
        </w:rPr>
        <w:t>.</w:t>
      </w:r>
      <w:r>
        <w:rPr>
          <w:position w:val="2"/>
        </w:rPr>
        <w:t xml:space="preserve">01, </w:t>
      </w:r>
      <w:r>
        <w:rPr>
          <w:spacing w:val="-27"/>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4"/>
          <w:position w:val="2"/>
        </w:rPr>
        <w:t xml:space="preserve"> </w:t>
      </w:r>
      <w:r>
        <w:rPr>
          <w:position w:val="2"/>
        </w:rPr>
        <w:t xml:space="preserve">= </w:t>
      </w:r>
      <w:r>
        <w:rPr>
          <w:spacing w:val="-30"/>
          <w:position w:val="2"/>
        </w:rPr>
        <w:t xml:space="preserve"> </w:t>
      </w:r>
      <w:r>
        <w:rPr>
          <w:position w:val="2"/>
        </w:rPr>
        <w:t>0</w:t>
      </w:r>
      <w:r>
        <w:rPr>
          <w:spacing w:val="2"/>
          <w:position w:val="2"/>
        </w:rPr>
        <w:t>.</w:t>
      </w:r>
      <w:r>
        <w:rPr>
          <w:position w:val="2"/>
        </w:rPr>
        <w:t xml:space="preserve">31.  </w:t>
      </w:r>
      <w:r>
        <w:rPr>
          <w:spacing w:val="9"/>
          <w:position w:val="2"/>
        </w:rPr>
        <w:t xml:space="preserve"> </w:t>
      </w:r>
      <w:r>
        <w:rPr>
          <w:spacing w:val="-3"/>
          <w:position w:val="2"/>
        </w:rPr>
        <w:t>L</w:t>
      </w:r>
      <w:r>
        <w:rPr>
          <w:position w:val="2"/>
        </w:rPr>
        <w:t>ik</w:t>
      </w:r>
      <w:r>
        <w:rPr>
          <w:spacing w:val="-1"/>
          <w:position w:val="2"/>
        </w:rPr>
        <w:t>ew</w:t>
      </w:r>
      <w:r>
        <w:rPr>
          <w:position w:val="2"/>
        </w:rPr>
        <w:t>i</w:t>
      </w:r>
      <w:r>
        <w:rPr>
          <w:spacing w:val="-3"/>
          <w:position w:val="2"/>
        </w:rPr>
        <w:t>s</w:t>
      </w:r>
      <w:r>
        <w:rPr>
          <w:spacing w:val="-1"/>
          <w:position w:val="2"/>
        </w:rPr>
        <w:t>e</w:t>
      </w:r>
      <w:r>
        <w:rPr>
          <w:position w:val="2"/>
        </w:rPr>
        <w:t xml:space="preserve">, </w:t>
      </w:r>
      <w:r>
        <w:rPr>
          <w:spacing w:val="-22"/>
          <w:position w:val="2"/>
        </w:rPr>
        <w:t xml:space="preserve"> </w:t>
      </w:r>
      <w:r>
        <w:rPr>
          <w:position w:val="2"/>
        </w:rPr>
        <w:t>th</w:t>
      </w:r>
      <w:r>
        <w:rPr>
          <w:spacing w:val="-1"/>
          <w:position w:val="2"/>
        </w:rPr>
        <w:t>e</w:t>
      </w:r>
      <w:r>
        <w:rPr>
          <w:spacing w:val="1"/>
          <w:position w:val="2"/>
        </w:rPr>
        <w:t>r</w:t>
      </w:r>
      <w:r>
        <w:rPr>
          <w:position w:val="2"/>
        </w:rPr>
        <w:t xml:space="preserve">e </w:t>
      </w:r>
      <w:r>
        <w:rPr>
          <w:spacing w:val="-25"/>
          <w:position w:val="2"/>
        </w:rPr>
        <w:t xml:space="preserve"> </w:t>
      </w:r>
      <w:r>
        <w:rPr>
          <w:spacing w:val="-1"/>
          <w:position w:val="2"/>
        </w:rPr>
        <w:t>wa</w:t>
      </w:r>
      <w:r>
        <w:rPr>
          <w:position w:val="2"/>
        </w:rPr>
        <w:t xml:space="preserve">s </w:t>
      </w:r>
      <w:r>
        <w:rPr>
          <w:spacing w:val="-27"/>
          <w:position w:val="2"/>
        </w:rPr>
        <w:t xml:space="preserve"> </w:t>
      </w:r>
      <w:r>
        <w:rPr>
          <w:position w:val="2"/>
        </w:rPr>
        <w:t xml:space="preserve">no </w:t>
      </w:r>
      <w:r>
        <w:rPr>
          <w:spacing w:val="-24"/>
          <w:position w:val="2"/>
        </w:rPr>
        <w:t xml:space="preserve"> </w:t>
      </w:r>
      <w:r>
        <w:rPr>
          <w:spacing w:val="-1"/>
          <w:position w:val="2"/>
        </w:rPr>
        <w:t>G</w:t>
      </w:r>
      <w:r>
        <w:rPr>
          <w:spacing w:val="1"/>
          <w:position w:val="2"/>
        </w:rPr>
        <w:t>r</w:t>
      </w:r>
      <w:r>
        <w:rPr>
          <w:position w:val="2"/>
        </w:rPr>
        <w:t xml:space="preserve">oup </w:t>
      </w:r>
      <w:r>
        <w:rPr>
          <w:spacing w:val="-24"/>
          <w:position w:val="2"/>
        </w:rPr>
        <w:t xml:space="preserve"> </w:t>
      </w:r>
      <w:r>
        <w:rPr>
          <w:position w:val="2"/>
        </w:rPr>
        <w:t xml:space="preserve">× </w:t>
      </w:r>
      <w:r>
        <w:rPr>
          <w:spacing w:val="-2"/>
          <w:position w:val="2"/>
        </w:rPr>
        <w:t>C</w:t>
      </w:r>
      <w:r>
        <w:rPr>
          <w:position w:val="2"/>
        </w:rPr>
        <w:t>ondition</w:t>
      </w:r>
      <w:r>
        <w:rPr>
          <w:spacing w:val="-8"/>
          <w:position w:val="2"/>
        </w:rPr>
        <w:t xml:space="preserve"> </w:t>
      </w:r>
      <w:r>
        <w:rPr>
          <w:position w:val="2"/>
        </w:rPr>
        <w:t>int</w:t>
      </w:r>
      <w:r>
        <w:rPr>
          <w:spacing w:val="-1"/>
          <w:position w:val="2"/>
        </w:rPr>
        <w:t>e</w:t>
      </w:r>
      <w:r>
        <w:rPr>
          <w:spacing w:val="1"/>
          <w:position w:val="2"/>
        </w:rPr>
        <w:t>r</w:t>
      </w:r>
      <w:r>
        <w:rPr>
          <w:spacing w:val="-1"/>
          <w:position w:val="2"/>
        </w:rPr>
        <w:t>ac</w:t>
      </w:r>
      <w:r>
        <w:rPr>
          <w:position w:val="2"/>
        </w:rPr>
        <w:t>tion,</w:t>
      </w:r>
      <w:r>
        <w:rPr>
          <w:spacing w:val="-10"/>
          <w:position w:val="2"/>
        </w:rPr>
        <w:t xml:space="preserve"> </w:t>
      </w:r>
      <w:r>
        <w:rPr>
          <w:i/>
          <w:spacing w:val="2"/>
          <w:position w:val="2"/>
        </w:rPr>
        <w:t>F</w:t>
      </w:r>
      <w:r>
        <w:rPr>
          <w:spacing w:val="1"/>
          <w:position w:val="2"/>
        </w:rPr>
        <w:t>(</w:t>
      </w:r>
      <w:r>
        <w:rPr>
          <w:spacing w:val="-5"/>
          <w:position w:val="2"/>
        </w:rPr>
        <w:t>1</w:t>
      </w:r>
      <w:r>
        <w:rPr>
          <w:position w:val="2"/>
        </w:rPr>
        <w:t>,</w:t>
      </w:r>
      <w:r>
        <w:rPr>
          <w:spacing w:val="-5"/>
          <w:position w:val="2"/>
        </w:rPr>
        <w:t xml:space="preserve"> </w:t>
      </w:r>
      <w:r>
        <w:rPr>
          <w:position w:val="2"/>
        </w:rPr>
        <w:t>3</w:t>
      </w:r>
      <w:r>
        <w:rPr>
          <w:spacing w:val="-5"/>
          <w:position w:val="2"/>
        </w:rPr>
        <w:t>8</w:t>
      </w:r>
      <w:r>
        <w:rPr>
          <w:position w:val="2"/>
        </w:rPr>
        <w:t>)</w:t>
      </w:r>
      <w:r>
        <w:rPr>
          <w:spacing w:val="-6"/>
          <w:position w:val="2"/>
        </w:rPr>
        <w:t xml:space="preserve"> </w:t>
      </w:r>
      <w:r>
        <w:rPr>
          <w:position w:val="2"/>
        </w:rPr>
        <w:t>=</w:t>
      </w:r>
      <w:r>
        <w:rPr>
          <w:spacing w:val="-9"/>
          <w:position w:val="2"/>
        </w:rPr>
        <w:t xml:space="preserve"> </w:t>
      </w:r>
      <w:r>
        <w:rPr>
          <w:spacing w:val="-5"/>
          <w:position w:val="2"/>
        </w:rPr>
        <w:t>0</w:t>
      </w:r>
      <w:r>
        <w:rPr>
          <w:spacing w:val="2"/>
          <w:position w:val="2"/>
        </w:rPr>
        <w:t>.</w:t>
      </w:r>
      <w:r>
        <w:rPr>
          <w:position w:val="2"/>
        </w:rPr>
        <w:t>35,</w:t>
      </w:r>
      <w:r>
        <w:rPr>
          <w:spacing w:val="-10"/>
          <w:position w:val="2"/>
        </w:rPr>
        <w:t xml:space="preserve"> </w:t>
      </w:r>
      <w:r>
        <w:rPr>
          <w:i/>
          <w:position w:val="2"/>
        </w:rPr>
        <w:t>p</w:t>
      </w:r>
      <w:r>
        <w:rPr>
          <w:i/>
          <w:spacing w:val="-8"/>
          <w:position w:val="2"/>
        </w:rPr>
        <w:t xml:space="preserve"> </w:t>
      </w:r>
      <w:r>
        <w:rPr>
          <w:position w:val="2"/>
        </w:rPr>
        <w:t>=</w:t>
      </w:r>
      <w:r>
        <w:rPr>
          <w:spacing w:val="-13"/>
          <w:position w:val="2"/>
        </w:rPr>
        <w:t xml:space="preserve"> </w:t>
      </w:r>
      <w:r>
        <w:rPr>
          <w:spacing w:val="2"/>
          <w:position w:val="2"/>
        </w:rPr>
        <w:t>.</w:t>
      </w:r>
      <w:r>
        <w:rPr>
          <w:position w:val="2"/>
        </w:rPr>
        <w:t>5</w:t>
      </w:r>
      <w:r>
        <w:rPr>
          <w:spacing w:val="-5"/>
          <w:position w:val="2"/>
        </w:rPr>
        <w:t>6</w:t>
      </w:r>
      <w:r>
        <w:rPr>
          <w:i/>
          <w:position w:val="2"/>
        </w:rPr>
        <w:t>,</w:t>
      </w:r>
      <w:r>
        <w:rPr>
          <w:i/>
          <w:spacing w:val="-10"/>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spacing w:val="17"/>
          <w:position w:val="2"/>
        </w:rPr>
        <w:t xml:space="preserve"> </w:t>
      </w:r>
      <w:r>
        <w:rPr>
          <w:spacing w:val="2"/>
          <w:position w:val="2"/>
        </w:rPr>
        <w:t>.</w:t>
      </w:r>
      <w:r>
        <w:rPr>
          <w:position w:val="2"/>
        </w:rPr>
        <w:t>=</w:t>
      </w:r>
      <w:r>
        <w:rPr>
          <w:spacing w:val="-13"/>
          <w:position w:val="2"/>
        </w:rPr>
        <w:t xml:space="preserve"> </w:t>
      </w:r>
      <w:r>
        <w:rPr>
          <w:spacing w:val="-3"/>
          <w:position w:val="2"/>
        </w:rPr>
        <w:t>.</w:t>
      </w:r>
      <w:r>
        <w:rPr>
          <w:position w:val="2"/>
        </w:rPr>
        <w:t>01,</w:t>
      </w:r>
      <w:r>
        <w:rPr>
          <w:spacing w:val="-5"/>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24"/>
          <w:position w:val="2"/>
        </w:rPr>
        <w:t xml:space="preserve"> </w:t>
      </w:r>
      <w:r>
        <w:rPr>
          <w:position w:val="2"/>
        </w:rPr>
        <w:t>=</w:t>
      </w:r>
      <w:r>
        <w:rPr>
          <w:spacing w:val="-13"/>
          <w:position w:val="2"/>
        </w:rPr>
        <w:t xml:space="preserve"> </w:t>
      </w:r>
      <w:r>
        <w:rPr>
          <w:position w:val="2"/>
        </w:rPr>
        <w:t>0</w:t>
      </w:r>
      <w:r>
        <w:rPr>
          <w:spacing w:val="2"/>
          <w:position w:val="2"/>
        </w:rPr>
        <w:t>.</w:t>
      </w:r>
      <w:r>
        <w:rPr>
          <w:position w:val="2"/>
        </w:rPr>
        <w:t>3</w:t>
      </w:r>
      <w:r>
        <w:rPr>
          <w:spacing w:val="-5"/>
          <w:position w:val="2"/>
        </w:rPr>
        <w:t>7</w:t>
      </w:r>
      <w:r>
        <w:rPr>
          <w:position w:val="2"/>
        </w:rPr>
        <w:t xml:space="preserve">. </w:t>
      </w:r>
      <w:r>
        <w:rPr>
          <w:spacing w:val="-17"/>
          <w:position w:val="2"/>
        </w:rPr>
        <w:t xml:space="preserve"> </w:t>
      </w:r>
      <w:r>
        <w:rPr>
          <w:spacing w:val="2"/>
          <w:position w:val="2"/>
        </w:rPr>
        <w:t>T</w:t>
      </w:r>
      <w:r>
        <w:rPr>
          <w:position w:val="2"/>
        </w:rPr>
        <w:t>he</w:t>
      </w:r>
      <w:r>
        <w:rPr>
          <w:spacing w:val="-9"/>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24"/>
          <w:position w:val="2"/>
        </w:rPr>
        <w:t xml:space="preserve"> </w:t>
      </w:r>
      <w:r>
        <w:rPr>
          <w:spacing w:val="1"/>
          <w:position w:val="2"/>
        </w:rPr>
        <w:t>f</w:t>
      </w:r>
      <w:r>
        <w:rPr>
          <w:position w:val="2"/>
        </w:rPr>
        <w:t>or</w:t>
      </w:r>
      <w:r>
        <w:rPr>
          <w:spacing w:val="-11"/>
          <w:position w:val="2"/>
        </w:rPr>
        <w:t xml:space="preserve"> </w:t>
      </w:r>
      <w:r>
        <w:rPr>
          <w:position w:val="2"/>
        </w:rPr>
        <w:t>the</w:t>
      </w:r>
      <w:r>
        <w:rPr>
          <w:spacing w:val="-9"/>
          <w:position w:val="2"/>
        </w:rPr>
        <w:t xml:space="preserve"> </w:t>
      </w:r>
      <w:r>
        <w:rPr>
          <w:spacing w:val="-1"/>
          <w:position w:val="2"/>
        </w:rPr>
        <w:t>a</w:t>
      </w:r>
      <w:r>
        <w:rPr>
          <w:position w:val="2"/>
        </w:rPr>
        <w:t xml:space="preserve">dditive </w:t>
      </w:r>
      <w:r>
        <w:rPr>
          <w:w w:val="105"/>
        </w:rPr>
        <w:t>model</w:t>
      </w:r>
      <w:r>
        <w:rPr>
          <w:spacing w:val="-32"/>
          <w:w w:val="105"/>
        </w:rPr>
        <w:t xml:space="preserve"> </w:t>
      </w:r>
      <w:r>
        <w:rPr>
          <w:w w:val="105"/>
        </w:rPr>
        <w:t>was</w:t>
      </w:r>
      <w:r>
        <w:rPr>
          <w:spacing w:val="-32"/>
          <w:w w:val="105"/>
        </w:rPr>
        <w:t xml:space="preserve"> </w:t>
      </w:r>
      <w:r>
        <w:rPr>
          <w:w w:val="105"/>
        </w:rPr>
        <w:t>2.40</w:t>
      </w:r>
      <w:r>
        <w:rPr>
          <w:spacing w:val="-32"/>
          <w:w w:val="105"/>
        </w:rPr>
        <w:t xml:space="preserve"> </w:t>
      </w:r>
      <w:r>
        <w:rPr>
          <w:w w:val="105"/>
        </w:rPr>
        <w:t>and</w:t>
      </w:r>
      <w:r>
        <w:rPr>
          <w:spacing w:val="-32"/>
          <w:w w:val="105"/>
        </w:rPr>
        <w:t xml:space="preserve"> </w:t>
      </w:r>
      <w:r>
        <w:rPr>
          <w:w w:val="105"/>
        </w:rPr>
        <w:t>for</w:t>
      </w:r>
      <w:r>
        <w:rPr>
          <w:spacing w:val="-30"/>
          <w:w w:val="105"/>
        </w:rPr>
        <w:t xml:space="preserve"> </w:t>
      </w:r>
      <w:r>
        <w:rPr>
          <w:w w:val="105"/>
        </w:rPr>
        <w:t>the</w:t>
      </w:r>
      <w:r>
        <w:rPr>
          <w:spacing w:val="-32"/>
          <w:w w:val="105"/>
        </w:rPr>
        <w:t xml:space="preserve"> </w:t>
      </w:r>
      <w:r>
        <w:rPr>
          <w:w w:val="105"/>
        </w:rPr>
        <w:t>full</w:t>
      </w:r>
      <w:r>
        <w:rPr>
          <w:spacing w:val="-34"/>
          <w:w w:val="105"/>
        </w:rPr>
        <w:t xml:space="preserve"> </w:t>
      </w:r>
      <w:r>
        <w:rPr>
          <w:w w:val="105"/>
        </w:rPr>
        <w:t>model</w:t>
      </w:r>
      <w:r>
        <w:rPr>
          <w:spacing w:val="-31"/>
          <w:w w:val="105"/>
        </w:rPr>
        <w:t xml:space="preserve"> </w:t>
      </w:r>
      <w:r>
        <w:rPr>
          <w:w w:val="105"/>
        </w:rPr>
        <w:t>0.89,</w:t>
      </w:r>
      <w:r>
        <w:rPr>
          <w:spacing w:val="-30"/>
          <w:w w:val="105"/>
        </w:rPr>
        <w:t xml:space="preserve"> </w:t>
      </w:r>
      <w:r>
        <w:rPr>
          <w:w w:val="105"/>
        </w:rPr>
        <w:t>thus</w:t>
      </w:r>
      <w:r>
        <w:rPr>
          <w:spacing w:val="-33"/>
          <w:w w:val="105"/>
        </w:rPr>
        <w:t xml:space="preserve"> </w:t>
      </w:r>
      <w:r>
        <w:rPr>
          <w:w w:val="105"/>
        </w:rPr>
        <w:t>the</w:t>
      </w:r>
      <w:r>
        <w:rPr>
          <w:spacing w:val="-32"/>
          <w:w w:val="105"/>
        </w:rPr>
        <w:t xml:space="preserve"> </w:t>
      </w:r>
      <w:r>
        <w:rPr>
          <w:w w:val="105"/>
        </w:rPr>
        <w:t>model</w:t>
      </w:r>
      <w:r>
        <w:rPr>
          <w:spacing w:val="-32"/>
          <w:w w:val="105"/>
        </w:rPr>
        <w:t xml:space="preserve"> </w:t>
      </w:r>
      <w:r>
        <w:rPr>
          <w:w w:val="105"/>
        </w:rPr>
        <w:t>that</w:t>
      </w:r>
      <w:r>
        <w:rPr>
          <w:spacing w:val="-31"/>
          <w:w w:val="105"/>
        </w:rPr>
        <w:t xml:space="preserve"> </w:t>
      </w:r>
      <w:r>
        <w:rPr>
          <w:w w:val="105"/>
        </w:rPr>
        <w:t>outperformed</w:t>
      </w:r>
      <w:r>
        <w:rPr>
          <w:spacing w:val="-31"/>
          <w:w w:val="105"/>
        </w:rPr>
        <w:t xml:space="preserve"> </w:t>
      </w:r>
      <w:r>
        <w:rPr>
          <w:w w:val="105"/>
        </w:rPr>
        <w:t>all</w:t>
      </w:r>
      <w:r>
        <w:rPr>
          <w:spacing w:val="-31"/>
          <w:w w:val="105"/>
        </w:rPr>
        <w:t xml:space="preserve"> </w:t>
      </w:r>
      <w:r>
        <w:rPr>
          <w:w w:val="105"/>
        </w:rPr>
        <w:t>other</w:t>
      </w:r>
      <w:r>
        <w:rPr>
          <w:spacing w:val="-31"/>
          <w:w w:val="105"/>
        </w:rPr>
        <w:t xml:space="preserve"> </w:t>
      </w:r>
      <w:r>
        <w:rPr>
          <w:w w:val="105"/>
        </w:rPr>
        <w:t>models was</w:t>
      </w:r>
      <w:r>
        <w:rPr>
          <w:spacing w:val="-24"/>
          <w:w w:val="105"/>
        </w:rPr>
        <w:t xml:space="preserve"> </w:t>
      </w:r>
      <w:r>
        <w:rPr>
          <w:w w:val="105"/>
        </w:rPr>
        <w:t>the</w:t>
      </w:r>
      <w:r>
        <w:rPr>
          <w:spacing w:val="-22"/>
          <w:w w:val="105"/>
        </w:rPr>
        <w:t xml:space="preserve"> </w:t>
      </w:r>
      <w:r>
        <w:rPr>
          <w:w w:val="105"/>
        </w:rPr>
        <w:t>one</w:t>
      </w:r>
      <w:r>
        <w:rPr>
          <w:spacing w:val="-23"/>
          <w:w w:val="105"/>
        </w:rPr>
        <w:t xml:space="preserve"> </w:t>
      </w:r>
      <w:r>
        <w:rPr>
          <w:w w:val="105"/>
        </w:rPr>
        <w:t>containing</w:t>
      </w:r>
      <w:r>
        <w:rPr>
          <w:spacing w:val="-22"/>
          <w:w w:val="105"/>
        </w:rPr>
        <w:t xml:space="preserve"> </w:t>
      </w:r>
      <w:r>
        <w:rPr>
          <w:w w:val="105"/>
        </w:rPr>
        <w:t>the</w:t>
      </w:r>
      <w:r>
        <w:rPr>
          <w:spacing w:val="-23"/>
          <w:w w:val="105"/>
        </w:rPr>
        <w:t xml:space="preserve"> </w:t>
      </w:r>
      <w:r>
        <w:rPr>
          <w:w w:val="105"/>
        </w:rPr>
        <w:t>main</w:t>
      </w:r>
      <w:r>
        <w:rPr>
          <w:spacing w:val="-22"/>
          <w:w w:val="105"/>
        </w:rPr>
        <w:t xml:space="preserve"> </w:t>
      </w:r>
      <w:r>
        <w:rPr>
          <w:w w:val="105"/>
        </w:rPr>
        <w:t>effect</w:t>
      </w:r>
      <w:r>
        <w:rPr>
          <w:spacing w:val="-22"/>
          <w:w w:val="105"/>
        </w:rPr>
        <w:t xml:space="preserve"> </w:t>
      </w:r>
      <w:r>
        <w:rPr>
          <w:w w:val="105"/>
        </w:rPr>
        <w:t>of</w:t>
      </w:r>
      <w:r>
        <w:rPr>
          <w:spacing w:val="-24"/>
          <w:w w:val="105"/>
        </w:rPr>
        <w:t xml:space="preserve"> </w:t>
      </w:r>
      <w:r>
        <w:rPr>
          <w:w w:val="105"/>
        </w:rPr>
        <w:t>focality.</w:t>
      </w:r>
      <w:r>
        <w:rPr>
          <w:spacing w:val="18"/>
          <w:w w:val="105"/>
        </w:rPr>
        <w:t xml:space="preserve"> </w:t>
      </w:r>
      <w:r>
        <w:rPr>
          <w:w w:val="105"/>
        </w:rPr>
        <w:t>Thus,</w:t>
      </w:r>
      <w:r>
        <w:rPr>
          <w:spacing w:val="-21"/>
          <w:w w:val="105"/>
        </w:rPr>
        <w:t xml:space="preserve"> </w:t>
      </w:r>
      <w:r>
        <w:rPr>
          <w:w w:val="105"/>
        </w:rPr>
        <w:t>the</w:t>
      </w:r>
      <w:r>
        <w:rPr>
          <w:spacing w:val="-22"/>
          <w:w w:val="105"/>
        </w:rPr>
        <w:t xml:space="preserve"> </w:t>
      </w:r>
      <w:r>
        <w:rPr>
          <w:w w:val="105"/>
        </w:rPr>
        <w:t>ASD</w:t>
      </w:r>
      <w:r>
        <w:rPr>
          <w:spacing w:val="-23"/>
          <w:w w:val="105"/>
        </w:rPr>
        <w:t xml:space="preserve"> </w:t>
      </w:r>
      <w:r>
        <w:rPr>
          <w:w w:val="105"/>
        </w:rPr>
        <w:t>and</w:t>
      </w:r>
      <w:r>
        <w:rPr>
          <w:spacing w:val="-22"/>
          <w:w w:val="105"/>
        </w:rPr>
        <w:t xml:space="preserve"> </w:t>
      </w:r>
      <w:r>
        <w:rPr>
          <w:w w:val="105"/>
        </w:rPr>
        <w:t>NT</w:t>
      </w:r>
      <w:r>
        <w:rPr>
          <w:spacing w:val="-21"/>
          <w:w w:val="105"/>
        </w:rPr>
        <w:t xml:space="preserve"> </w:t>
      </w:r>
      <w:r>
        <w:rPr>
          <w:w w:val="105"/>
        </w:rPr>
        <w:t>groups</w:t>
      </w:r>
      <w:r>
        <w:rPr>
          <w:spacing w:val="-23"/>
          <w:w w:val="105"/>
        </w:rPr>
        <w:t xml:space="preserve"> </w:t>
      </w:r>
      <w:r>
        <w:rPr>
          <w:w w:val="105"/>
        </w:rPr>
        <w:t>performed equally</w:t>
      </w:r>
      <w:r>
        <w:rPr>
          <w:spacing w:val="-13"/>
          <w:w w:val="105"/>
        </w:rPr>
        <w:t xml:space="preserve"> </w:t>
      </w:r>
      <w:r>
        <w:rPr>
          <w:w w:val="105"/>
        </w:rPr>
        <w:t>well</w:t>
      </w:r>
      <w:r>
        <w:rPr>
          <w:spacing w:val="-12"/>
          <w:w w:val="105"/>
        </w:rPr>
        <w:t xml:space="preserve"> </w:t>
      </w:r>
      <w:r>
        <w:rPr>
          <w:w w:val="105"/>
        </w:rPr>
        <w:t>on</w:t>
      </w:r>
      <w:r>
        <w:rPr>
          <w:spacing w:val="-12"/>
          <w:w w:val="105"/>
        </w:rPr>
        <w:t xml:space="preserve"> </w:t>
      </w:r>
      <w:r>
        <w:rPr>
          <w:w w:val="105"/>
        </w:rPr>
        <w:t>the</w:t>
      </w:r>
      <w:r>
        <w:rPr>
          <w:spacing w:val="-13"/>
          <w:w w:val="105"/>
        </w:rPr>
        <w:t xml:space="preserve"> </w:t>
      </w:r>
      <w:r>
        <w:rPr>
          <w:w w:val="105"/>
        </w:rPr>
        <w:t>PM</w:t>
      </w:r>
      <w:r>
        <w:rPr>
          <w:spacing w:val="-14"/>
          <w:w w:val="105"/>
        </w:rPr>
        <w:t xml:space="preserve"> </w:t>
      </w:r>
      <w:r>
        <w:rPr>
          <w:w w:val="105"/>
        </w:rPr>
        <w:t>task</w:t>
      </w:r>
      <w:r>
        <w:rPr>
          <w:spacing w:val="-12"/>
          <w:w w:val="105"/>
        </w:rPr>
        <w:t xml:space="preserve"> </w:t>
      </w:r>
      <w:r>
        <w:rPr>
          <w:w w:val="105"/>
        </w:rPr>
        <w:t>overall</w:t>
      </w:r>
      <w:r>
        <w:rPr>
          <w:spacing w:val="-12"/>
          <w:w w:val="105"/>
        </w:rPr>
        <w:t xml:space="preserve"> </w:t>
      </w:r>
      <w:r>
        <w:rPr>
          <w:w w:val="105"/>
        </w:rPr>
        <w:t>and</w:t>
      </w:r>
      <w:r>
        <w:rPr>
          <w:spacing w:val="-13"/>
          <w:w w:val="105"/>
        </w:rPr>
        <w:t xml:space="preserve"> </w:t>
      </w:r>
      <w:r>
        <w:rPr>
          <w:w w:val="105"/>
        </w:rPr>
        <w:t>were</w:t>
      </w:r>
      <w:r>
        <w:rPr>
          <w:spacing w:val="-13"/>
          <w:w w:val="105"/>
        </w:rPr>
        <w:t xml:space="preserve"> </w:t>
      </w:r>
      <w:r>
        <w:rPr>
          <w:w w:val="105"/>
        </w:rPr>
        <w:t>similarly</w:t>
      </w:r>
      <w:r>
        <w:rPr>
          <w:spacing w:val="-12"/>
          <w:w w:val="105"/>
        </w:rPr>
        <w:t xml:space="preserve"> </w:t>
      </w:r>
      <w:r>
        <w:rPr>
          <w:w w:val="105"/>
        </w:rPr>
        <w:t>affected</w:t>
      </w:r>
      <w:r>
        <w:rPr>
          <w:spacing w:val="-13"/>
          <w:w w:val="105"/>
        </w:rPr>
        <w:t xml:space="preserve"> </w:t>
      </w:r>
      <w:r>
        <w:rPr>
          <w:w w:val="105"/>
        </w:rPr>
        <w:t>by</w:t>
      </w:r>
      <w:r>
        <w:rPr>
          <w:spacing w:val="-12"/>
          <w:w w:val="105"/>
        </w:rPr>
        <w:t xml:space="preserve"> </w:t>
      </w:r>
      <w:r>
        <w:rPr>
          <w:w w:val="105"/>
        </w:rPr>
        <w:t>cue</w:t>
      </w:r>
      <w:r>
        <w:rPr>
          <w:spacing w:val="-16"/>
          <w:w w:val="105"/>
        </w:rPr>
        <w:t xml:space="preserve"> </w:t>
      </w:r>
      <w:r>
        <w:rPr>
          <w:w w:val="105"/>
        </w:rPr>
        <w:t>focality.</w:t>
      </w:r>
      <w:r>
        <w:rPr>
          <w:spacing w:val="37"/>
          <w:w w:val="105"/>
        </w:rPr>
        <w:t xml:space="preserve"> </w:t>
      </w:r>
      <w:r>
        <w:rPr>
          <w:w w:val="105"/>
        </w:rPr>
        <w:t>The</w:t>
      </w:r>
      <w:r>
        <w:rPr>
          <w:spacing w:val="-13"/>
          <w:w w:val="105"/>
        </w:rPr>
        <w:t xml:space="preserve"> </w:t>
      </w:r>
      <w:r>
        <w:rPr>
          <w:w w:val="105"/>
        </w:rPr>
        <w:t>Bayes factor analysis supports this</w:t>
      </w:r>
      <w:r>
        <w:rPr>
          <w:spacing w:val="-17"/>
          <w:w w:val="105"/>
        </w:rPr>
        <w:t xml:space="preserve"> </w:t>
      </w:r>
      <w:r>
        <w:rPr>
          <w:w w:val="105"/>
        </w:rPr>
        <w:t>conclusion</w:t>
      </w:r>
    </w:p>
    <w:p w14:paraId="2D4461D7" w14:textId="77777777" w:rsidR="00C75312" w:rsidRDefault="00C75312">
      <w:pPr>
        <w:pStyle w:val="BodyText"/>
        <w:spacing w:before="8"/>
        <w:rPr>
          <w:sz w:val="23"/>
        </w:rPr>
      </w:pPr>
    </w:p>
    <w:p w14:paraId="336A44C1" w14:textId="77777777" w:rsidR="00C75312" w:rsidRDefault="00BB293A">
      <w:pPr>
        <w:pStyle w:val="Heading1"/>
      </w:pPr>
      <w:r>
        <w:t>Categorical analysis</w:t>
      </w:r>
    </w:p>
    <w:p w14:paraId="0EDC7D2D" w14:textId="77777777" w:rsidR="00C75312" w:rsidRDefault="00C75312">
      <w:pPr>
        <w:pStyle w:val="BodyText"/>
        <w:rPr>
          <w:b/>
        </w:rPr>
      </w:pPr>
    </w:p>
    <w:p w14:paraId="3BBAF1C1" w14:textId="77777777" w:rsidR="00C75312" w:rsidRDefault="00BB293A">
      <w:pPr>
        <w:pStyle w:val="BodyText"/>
        <w:spacing w:line="480" w:lineRule="auto"/>
        <w:ind w:left="140" w:right="1428" w:firstLine="720"/>
        <w:jc w:val="both"/>
      </w:pPr>
      <w:r>
        <w:t xml:space="preserve">In addition to </w:t>
      </w:r>
      <w:proofErr w:type="spellStart"/>
      <w:r>
        <w:t>analysing</w:t>
      </w:r>
      <w:proofErr w:type="spellEnd"/>
      <w:r>
        <w:t xml:space="preserve"> mean levels of performance, categorical variables were also created and </w:t>
      </w:r>
      <w:proofErr w:type="spellStart"/>
      <w:r>
        <w:t>analysed</w:t>
      </w:r>
      <w:proofErr w:type="spellEnd"/>
      <w:r>
        <w:rPr>
          <w:position w:val="8"/>
          <w:sz w:val="16"/>
        </w:rPr>
        <w:t>7</w:t>
      </w:r>
      <w:r>
        <w:t xml:space="preserve">. Occasionally, group-level means obscure underlying differences at the individual level. For example, differences between ASD and </w:t>
      </w:r>
      <w:r>
        <w:rPr>
          <w:spacing w:val="-3"/>
        </w:rPr>
        <w:t xml:space="preserve">NT </w:t>
      </w:r>
      <w:r>
        <w:t>groups in mean levels</w:t>
      </w:r>
      <w:r>
        <w:rPr>
          <w:spacing w:val="-43"/>
        </w:rPr>
        <w:t xml:space="preserve"> </w:t>
      </w:r>
      <w:r>
        <w:rPr>
          <w:spacing w:val="-3"/>
        </w:rPr>
        <w:t xml:space="preserve">of </w:t>
      </w:r>
      <w:r>
        <w:t>task performance</w:t>
      </w:r>
      <w:r>
        <w:rPr>
          <w:spacing w:val="-15"/>
        </w:rPr>
        <w:t xml:space="preserve"> </w:t>
      </w:r>
      <w:r>
        <w:t>can</w:t>
      </w:r>
      <w:r>
        <w:rPr>
          <w:spacing w:val="-14"/>
        </w:rPr>
        <w:t xml:space="preserve"> </w:t>
      </w:r>
      <w:r>
        <w:t>be</w:t>
      </w:r>
      <w:r>
        <w:rPr>
          <w:spacing w:val="-14"/>
        </w:rPr>
        <w:t xml:space="preserve"> </w:t>
      </w:r>
      <w:r>
        <w:t>driven</w:t>
      </w:r>
      <w:r>
        <w:rPr>
          <w:spacing w:val="-14"/>
        </w:rPr>
        <w:t xml:space="preserve"> </w:t>
      </w:r>
      <w:r>
        <w:t>by</w:t>
      </w:r>
      <w:r>
        <w:rPr>
          <w:spacing w:val="-14"/>
        </w:rPr>
        <w:t xml:space="preserve"> </w:t>
      </w:r>
      <w:r>
        <w:t>a</w:t>
      </w:r>
      <w:r>
        <w:rPr>
          <w:spacing w:val="-19"/>
        </w:rPr>
        <w:t xml:space="preserve"> </w:t>
      </w:r>
      <w:r>
        <w:t>few</w:t>
      </w:r>
      <w:r>
        <w:rPr>
          <w:spacing w:val="-15"/>
        </w:rPr>
        <w:t xml:space="preserve"> </w:t>
      </w:r>
      <w:r>
        <w:t>poorly-performing</w:t>
      </w:r>
      <w:r>
        <w:rPr>
          <w:spacing w:val="-13"/>
        </w:rPr>
        <w:t xml:space="preserve"> </w:t>
      </w:r>
      <w:r>
        <w:t>individuals</w:t>
      </w:r>
      <w:r>
        <w:rPr>
          <w:spacing w:val="-17"/>
        </w:rPr>
        <w:t xml:space="preserve"> </w:t>
      </w:r>
      <w:r>
        <w:t>in</w:t>
      </w:r>
      <w:r>
        <w:rPr>
          <w:spacing w:val="-14"/>
        </w:rPr>
        <w:t xml:space="preserve"> </w:t>
      </w:r>
      <w:r>
        <w:t>the</w:t>
      </w:r>
      <w:r>
        <w:rPr>
          <w:spacing w:val="-14"/>
        </w:rPr>
        <w:t xml:space="preserve"> </w:t>
      </w:r>
      <w:r>
        <w:t>case</w:t>
      </w:r>
      <w:r>
        <w:rPr>
          <w:spacing w:val="-15"/>
        </w:rPr>
        <w:t xml:space="preserve"> </w:t>
      </w:r>
      <w:r>
        <w:t>group</w:t>
      </w:r>
      <w:r>
        <w:rPr>
          <w:spacing w:val="-14"/>
        </w:rPr>
        <w:t xml:space="preserve"> </w:t>
      </w:r>
      <w:r>
        <w:t>(Williams, Peng, &amp; Wallace, 2016). Equally, when no between-group differences are observed in mean levels</w:t>
      </w:r>
      <w:r>
        <w:rPr>
          <w:spacing w:val="7"/>
        </w:rPr>
        <w:t xml:space="preserve"> </w:t>
      </w:r>
      <w:r>
        <w:t>of</w:t>
      </w:r>
      <w:r>
        <w:rPr>
          <w:spacing w:val="7"/>
        </w:rPr>
        <w:t xml:space="preserve"> </w:t>
      </w:r>
      <w:r>
        <w:t>performance</w:t>
      </w:r>
      <w:r>
        <w:rPr>
          <w:spacing w:val="9"/>
        </w:rPr>
        <w:t xml:space="preserve"> </w:t>
      </w:r>
      <w:r>
        <w:t>–</w:t>
      </w:r>
      <w:r>
        <w:rPr>
          <w:spacing w:val="6"/>
        </w:rPr>
        <w:t xml:space="preserve"> </w:t>
      </w:r>
      <w:r>
        <w:t>as</w:t>
      </w:r>
      <w:r>
        <w:rPr>
          <w:spacing w:val="7"/>
        </w:rPr>
        <w:t xml:space="preserve"> </w:t>
      </w:r>
      <w:r>
        <w:t>in</w:t>
      </w:r>
      <w:r>
        <w:rPr>
          <w:spacing w:val="6"/>
        </w:rPr>
        <w:t xml:space="preserve"> </w:t>
      </w:r>
      <w:r>
        <w:t>the</w:t>
      </w:r>
      <w:r>
        <w:rPr>
          <w:spacing w:val="5"/>
        </w:rPr>
        <w:t xml:space="preserve"> </w:t>
      </w:r>
      <w:r>
        <w:t>current</w:t>
      </w:r>
      <w:r>
        <w:rPr>
          <w:spacing w:val="5"/>
        </w:rPr>
        <w:t xml:space="preserve"> </w:t>
      </w:r>
      <w:r>
        <w:t>study</w:t>
      </w:r>
      <w:r>
        <w:rPr>
          <w:spacing w:val="11"/>
        </w:rPr>
        <w:t xml:space="preserve"> </w:t>
      </w:r>
      <w:r>
        <w:t>–</w:t>
      </w:r>
      <w:r>
        <w:rPr>
          <w:spacing w:val="5"/>
        </w:rPr>
        <w:t xml:space="preserve"> </w:t>
      </w:r>
      <w:r>
        <w:t>it</w:t>
      </w:r>
      <w:r>
        <w:rPr>
          <w:spacing w:val="6"/>
        </w:rPr>
        <w:t xml:space="preserve"> </w:t>
      </w:r>
      <w:r>
        <w:t>does</w:t>
      </w:r>
      <w:r>
        <w:rPr>
          <w:spacing w:val="7"/>
        </w:rPr>
        <w:t xml:space="preserve"> </w:t>
      </w:r>
      <w:r>
        <w:t>not</w:t>
      </w:r>
      <w:r>
        <w:rPr>
          <w:spacing w:val="1"/>
        </w:rPr>
        <w:t xml:space="preserve"> </w:t>
      </w:r>
      <w:r>
        <w:t>rule</w:t>
      </w:r>
      <w:r>
        <w:rPr>
          <w:spacing w:val="5"/>
        </w:rPr>
        <w:t xml:space="preserve"> </w:t>
      </w:r>
      <w:r>
        <w:t>out</w:t>
      </w:r>
      <w:r>
        <w:rPr>
          <w:spacing w:val="5"/>
        </w:rPr>
        <w:t xml:space="preserve"> </w:t>
      </w:r>
      <w:r>
        <w:t>the</w:t>
      </w:r>
      <w:r>
        <w:rPr>
          <w:spacing w:val="10"/>
        </w:rPr>
        <w:t xml:space="preserve"> </w:t>
      </w:r>
      <w:r>
        <w:t>possibility</w:t>
      </w:r>
      <w:r>
        <w:rPr>
          <w:spacing w:val="5"/>
        </w:rPr>
        <w:t xml:space="preserve"> </w:t>
      </w:r>
      <w:r>
        <w:t>that</w:t>
      </w:r>
      <w:r>
        <w:rPr>
          <w:spacing w:val="6"/>
        </w:rPr>
        <w:t xml:space="preserve"> </w:t>
      </w:r>
      <w:r>
        <w:t>some</w:t>
      </w:r>
    </w:p>
    <w:p w14:paraId="0DD93AC1" w14:textId="77777777" w:rsidR="00C75312" w:rsidRDefault="00C75312">
      <w:pPr>
        <w:pStyle w:val="BodyText"/>
        <w:rPr>
          <w:sz w:val="20"/>
        </w:rPr>
      </w:pPr>
    </w:p>
    <w:p w14:paraId="61AFB615" w14:textId="77777777" w:rsidR="00C75312" w:rsidRDefault="00C75312">
      <w:pPr>
        <w:pStyle w:val="BodyText"/>
        <w:rPr>
          <w:sz w:val="20"/>
        </w:rPr>
      </w:pPr>
    </w:p>
    <w:p w14:paraId="2CE937C5" w14:textId="77777777" w:rsidR="00C75312" w:rsidRDefault="00BB293A">
      <w:pPr>
        <w:pStyle w:val="BodyText"/>
        <w:spacing w:before="1"/>
        <w:rPr>
          <w:sz w:val="11"/>
        </w:rPr>
      </w:pPr>
      <w:r>
        <w:pict w14:anchorId="609600C1">
          <v:shape id="_x0000_s2738" style="position:absolute;margin-left:1in;margin-top:8.6pt;width:2in;height:.1pt;z-index:-251609088;mso-wrap-distance-left:0;mso-wrap-distance-right:0;mso-position-horizontal-relative:page" coordorigin="1440,172" coordsize="2880,0" path="m1440,172r2880,e" filled="f" strokeweight=".48pt">
            <v:path arrowok="t"/>
            <w10:wrap type="topAndBottom" anchorx="page"/>
          </v:shape>
        </w:pict>
      </w:r>
    </w:p>
    <w:p w14:paraId="0A0D48E0" w14:textId="77777777" w:rsidR="00C75312" w:rsidRDefault="00BB293A">
      <w:pPr>
        <w:spacing w:before="62" w:line="477" w:lineRule="auto"/>
        <w:ind w:left="140" w:right="1427"/>
        <w:jc w:val="both"/>
        <w:rPr>
          <w:sz w:val="20"/>
        </w:rPr>
      </w:pPr>
      <w:r>
        <w:rPr>
          <w:position w:val="7"/>
          <w:sz w:val="13"/>
        </w:rPr>
        <w:t xml:space="preserve">7 </w:t>
      </w:r>
      <w:r>
        <w:rPr>
          <w:sz w:val="20"/>
        </w:rPr>
        <w:t>The categorical analysis was also performed using White et al.’s (2006) criterion of classifying any individual as</w:t>
      </w:r>
      <w:r>
        <w:rPr>
          <w:spacing w:val="-1"/>
          <w:sz w:val="20"/>
        </w:rPr>
        <w:t xml:space="preserve"> </w:t>
      </w:r>
      <w:r>
        <w:rPr>
          <w:sz w:val="20"/>
        </w:rPr>
        <w:t>outlier</w:t>
      </w:r>
      <w:r>
        <w:rPr>
          <w:spacing w:val="-3"/>
          <w:sz w:val="20"/>
        </w:rPr>
        <w:t xml:space="preserve"> </w:t>
      </w:r>
      <w:r>
        <w:rPr>
          <w:sz w:val="20"/>
        </w:rPr>
        <w:t>if</w:t>
      </w:r>
      <w:r>
        <w:rPr>
          <w:spacing w:val="-3"/>
          <w:sz w:val="20"/>
        </w:rPr>
        <w:t xml:space="preserve"> </w:t>
      </w:r>
      <w:r>
        <w:rPr>
          <w:sz w:val="20"/>
        </w:rPr>
        <w:t>their</w:t>
      </w:r>
      <w:r>
        <w:rPr>
          <w:spacing w:val="-3"/>
          <w:sz w:val="20"/>
        </w:rPr>
        <w:t xml:space="preserve"> </w:t>
      </w:r>
      <w:r>
        <w:rPr>
          <w:sz w:val="20"/>
        </w:rPr>
        <w:t>performance</w:t>
      </w:r>
      <w:r>
        <w:rPr>
          <w:spacing w:val="-2"/>
          <w:sz w:val="20"/>
        </w:rPr>
        <w:t xml:space="preserve"> </w:t>
      </w:r>
      <w:r>
        <w:rPr>
          <w:sz w:val="20"/>
        </w:rPr>
        <w:t>was below</w:t>
      </w:r>
      <w:r>
        <w:rPr>
          <w:spacing w:val="-5"/>
          <w:sz w:val="20"/>
        </w:rPr>
        <w:t xml:space="preserve"> </w:t>
      </w:r>
      <w:r>
        <w:rPr>
          <w:sz w:val="20"/>
        </w:rPr>
        <w:t>1.65SDs</w:t>
      </w:r>
      <w:r>
        <w:rPr>
          <w:spacing w:val="-1"/>
          <w:sz w:val="20"/>
        </w:rPr>
        <w:t xml:space="preserve"> </w:t>
      </w:r>
      <w:r>
        <w:rPr>
          <w:sz w:val="20"/>
        </w:rPr>
        <w:t>of</w:t>
      </w:r>
      <w:r>
        <w:rPr>
          <w:spacing w:val="-8"/>
          <w:sz w:val="20"/>
        </w:rPr>
        <w:t xml:space="preserve"> </w:t>
      </w:r>
      <w:r>
        <w:rPr>
          <w:sz w:val="20"/>
        </w:rPr>
        <w:t>the</w:t>
      </w:r>
      <w:r>
        <w:rPr>
          <w:spacing w:val="-7"/>
          <w:sz w:val="20"/>
        </w:rPr>
        <w:t xml:space="preserve"> </w:t>
      </w:r>
      <w:r>
        <w:rPr>
          <w:sz w:val="20"/>
        </w:rPr>
        <w:t>control</w:t>
      </w:r>
      <w:r>
        <w:rPr>
          <w:spacing w:val="-2"/>
          <w:sz w:val="20"/>
        </w:rPr>
        <w:t xml:space="preserve"> </w:t>
      </w:r>
      <w:r>
        <w:rPr>
          <w:sz w:val="20"/>
        </w:rPr>
        <w:t>group</w:t>
      </w:r>
      <w:r>
        <w:rPr>
          <w:spacing w:val="-3"/>
          <w:sz w:val="20"/>
        </w:rPr>
        <w:t xml:space="preserve"> </w:t>
      </w:r>
      <w:r>
        <w:rPr>
          <w:sz w:val="20"/>
        </w:rPr>
        <w:t>mean</w:t>
      </w:r>
      <w:r>
        <w:rPr>
          <w:spacing w:val="-3"/>
          <w:sz w:val="20"/>
        </w:rPr>
        <w:t xml:space="preserve"> </w:t>
      </w:r>
      <w:r>
        <w:rPr>
          <w:sz w:val="20"/>
        </w:rPr>
        <w:t>(which</w:t>
      </w:r>
      <w:r>
        <w:rPr>
          <w:spacing w:val="-3"/>
          <w:sz w:val="20"/>
        </w:rPr>
        <w:t xml:space="preserve"> </w:t>
      </w:r>
      <w:r>
        <w:rPr>
          <w:sz w:val="20"/>
        </w:rPr>
        <w:t>represents</w:t>
      </w:r>
      <w:r>
        <w:rPr>
          <w:spacing w:val="-5"/>
          <w:sz w:val="20"/>
        </w:rPr>
        <w:t xml:space="preserve"> </w:t>
      </w:r>
      <w:r>
        <w:rPr>
          <w:sz w:val="20"/>
        </w:rPr>
        <w:t>the</w:t>
      </w:r>
      <w:r>
        <w:rPr>
          <w:spacing w:val="-2"/>
          <w:sz w:val="20"/>
        </w:rPr>
        <w:t xml:space="preserve"> </w:t>
      </w:r>
      <w:r>
        <w:rPr>
          <w:sz w:val="20"/>
        </w:rPr>
        <w:t>bottom</w:t>
      </w:r>
      <w:r>
        <w:rPr>
          <w:spacing w:val="-7"/>
          <w:sz w:val="20"/>
        </w:rPr>
        <w:t xml:space="preserve"> </w:t>
      </w:r>
      <w:r>
        <w:rPr>
          <w:sz w:val="20"/>
        </w:rPr>
        <w:t>5%</w:t>
      </w:r>
      <w:r>
        <w:rPr>
          <w:spacing w:val="-3"/>
          <w:sz w:val="20"/>
        </w:rPr>
        <w:t xml:space="preserve"> </w:t>
      </w:r>
      <w:r>
        <w:rPr>
          <w:sz w:val="20"/>
        </w:rPr>
        <w:t>of the sample). Using this cut-off, White et al. (2006) previously were able identify cases of domain-specific impairments</w:t>
      </w:r>
      <w:r>
        <w:rPr>
          <w:spacing w:val="-10"/>
          <w:sz w:val="20"/>
        </w:rPr>
        <w:t xml:space="preserve"> </w:t>
      </w:r>
      <w:r>
        <w:rPr>
          <w:sz w:val="20"/>
        </w:rPr>
        <w:t>in</w:t>
      </w:r>
      <w:r>
        <w:rPr>
          <w:spacing w:val="-8"/>
          <w:sz w:val="20"/>
        </w:rPr>
        <w:t xml:space="preserve"> </w:t>
      </w:r>
      <w:r>
        <w:rPr>
          <w:sz w:val="20"/>
        </w:rPr>
        <w:t>dyslexic</w:t>
      </w:r>
      <w:r>
        <w:rPr>
          <w:spacing w:val="-6"/>
          <w:sz w:val="20"/>
        </w:rPr>
        <w:t xml:space="preserve"> </w:t>
      </w:r>
      <w:r>
        <w:rPr>
          <w:sz w:val="20"/>
        </w:rPr>
        <w:t>participants.</w:t>
      </w:r>
      <w:r>
        <w:rPr>
          <w:spacing w:val="37"/>
          <w:sz w:val="20"/>
        </w:rPr>
        <w:t xml:space="preserve"> </w:t>
      </w:r>
      <w:r>
        <w:rPr>
          <w:sz w:val="20"/>
        </w:rPr>
        <w:t>This</w:t>
      </w:r>
      <w:r>
        <w:rPr>
          <w:spacing w:val="-10"/>
          <w:sz w:val="20"/>
        </w:rPr>
        <w:t xml:space="preserve"> </w:t>
      </w:r>
      <w:r>
        <w:rPr>
          <w:sz w:val="20"/>
        </w:rPr>
        <w:t>analysis</w:t>
      </w:r>
      <w:r>
        <w:rPr>
          <w:spacing w:val="-9"/>
          <w:sz w:val="20"/>
        </w:rPr>
        <w:t xml:space="preserve"> </w:t>
      </w:r>
      <w:r>
        <w:rPr>
          <w:sz w:val="20"/>
        </w:rPr>
        <w:t>identified</w:t>
      </w:r>
      <w:r>
        <w:rPr>
          <w:spacing w:val="-8"/>
          <w:sz w:val="20"/>
        </w:rPr>
        <w:t xml:space="preserve"> </w:t>
      </w:r>
      <w:r>
        <w:rPr>
          <w:sz w:val="20"/>
        </w:rPr>
        <w:t>4</w:t>
      </w:r>
      <w:r>
        <w:rPr>
          <w:spacing w:val="-7"/>
          <w:sz w:val="20"/>
        </w:rPr>
        <w:t xml:space="preserve"> </w:t>
      </w:r>
      <w:r>
        <w:rPr>
          <w:sz w:val="20"/>
        </w:rPr>
        <w:t>NT</w:t>
      </w:r>
      <w:r>
        <w:rPr>
          <w:spacing w:val="-7"/>
          <w:sz w:val="20"/>
        </w:rPr>
        <w:t xml:space="preserve"> </w:t>
      </w:r>
      <w:r>
        <w:rPr>
          <w:sz w:val="20"/>
        </w:rPr>
        <w:t>and</w:t>
      </w:r>
      <w:r>
        <w:rPr>
          <w:spacing w:val="-3"/>
          <w:sz w:val="20"/>
        </w:rPr>
        <w:t xml:space="preserve"> </w:t>
      </w:r>
      <w:r>
        <w:rPr>
          <w:sz w:val="20"/>
        </w:rPr>
        <w:t>2</w:t>
      </w:r>
      <w:r>
        <w:rPr>
          <w:spacing w:val="-7"/>
          <w:sz w:val="20"/>
        </w:rPr>
        <w:t xml:space="preserve"> </w:t>
      </w:r>
      <w:r>
        <w:rPr>
          <w:sz w:val="20"/>
        </w:rPr>
        <w:t>ASD</w:t>
      </w:r>
      <w:r>
        <w:rPr>
          <w:spacing w:val="-10"/>
          <w:sz w:val="20"/>
        </w:rPr>
        <w:t xml:space="preserve"> </w:t>
      </w:r>
      <w:r>
        <w:rPr>
          <w:sz w:val="20"/>
        </w:rPr>
        <w:t>participants</w:t>
      </w:r>
      <w:r>
        <w:rPr>
          <w:spacing w:val="-9"/>
          <w:sz w:val="20"/>
        </w:rPr>
        <w:t xml:space="preserve"> </w:t>
      </w:r>
      <w:r>
        <w:rPr>
          <w:sz w:val="20"/>
        </w:rPr>
        <w:t>in</w:t>
      </w:r>
      <w:r>
        <w:rPr>
          <w:spacing w:val="-8"/>
          <w:sz w:val="20"/>
        </w:rPr>
        <w:t xml:space="preserve"> </w:t>
      </w:r>
      <w:r>
        <w:rPr>
          <w:sz w:val="20"/>
        </w:rPr>
        <w:t>the</w:t>
      </w:r>
      <w:r>
        <w:rPr>
          <w:spacing w:val="-6"/>
          <w:sz w:val="20"/>
        </w:rPr>
        <w:t xml:space="preserve"> </w:t>
      </w:r>
      <w:r>
        <w:rPr>
          <w:sz w:val="20"/>
        </w:rPr>
        <w:t>focal</w:t>
      </w:r>
      <w:r>
        <w:rPr>
          <w:spacing w:val="-11"/>
          <w:sz w:val="20"/>
        </w:rPr>
        <w:t xml:space="preserve"> </w:t>
      </w:r>
      <w:r>
        <w:rPr>
          <w:sz w:val="20"/>
        </w:rPr>
        <w:t xml:space="preserve">condition, </w:t>
      </w:r>
      <w:r>
        <w:rPr>
          <w:rFonts w:ascii="Cambria" w:hAnsi="Cambria"/>
          <w:position w:val="1"/>
          <w:sz w:val="20"/>
        </w:rPr>
        <w:t>χ</w:t>
      </w:r>
      <w:r>
        <w:rPr>
          <w:position w:val="8"/>
          <w:sz w:val="13"/>
        </w:rPr>
        <w:t>2</w:t>
      </w:r>
      <w:r>
        <w:rPr>
          <w:position w:val="1"/>
          <w:sz w:val="20"/>
        </w:rPr>
        <w:t xml:space="preserve">(1) = 0.78, </w:t>
      </w:r>
      <w:r>
        <w:rPr>
          <w:i/>
          <w:position w:val="1"/>
          <w:sz w:val="20"/>
        </w:rPr>
        <w:t xml:space="preserve">p </w:t>
      </w:r>
      <w:r>
        <w:rPr>
          <w:position w:val="1"/>
          <w:sz w:val="20"/>
        </w:rPr>
        <w:t>= .38, φ = .14, BF</w:t>
      </w:r>
      <w:r>
        <w:rPr>
          <w:position w:val="1"/>
          <w:sz w:val="20"/>
          <w:vertAlign w:val="subscript"/>
        </w:rPr>
        <w:t>10</w:t>
      </w:r>
      <w:r>
        <w:rPr>
          <w:position w:val="1"/>
          <w:sz w:val="20"/>
        </w:rPr>
        <w:t xml:space="preserve"> = 0.60, and 4 NT and 3 </w:t>
      </w:r>
      <w:r>
        <w:rPr>
          <w:spacing w:val="-3"/>
          <w:position w:val="1"/>
          <w:sz w:val="20"/>
        </w:rPr>
        <w:t xml:space="preserve">ASD </w:t>
      </w:r>
      <w:r>
        <w:rPr>
          <w:position w:val="1"/>
          <w:sz w:val="20"/>
        </w:rPr>
        <w:t xml:space="preserve">in the </w:t>
      </w:r>
      <w:proofErr w:type="spellStart"/>
      <w:r>
        <w:rPr>
          <w:position w:val="1"/>
          <w:sz w:val="20"/>
        </w:rPr>
        <w:t>nonfocal</w:t>
      </w:r>
      <w:proofErr w:type="spellEnd"/>
      <w:r>
        <w:rPr>
          <w:position w:val="1"/>
          <w:sz w:val="20"/>
        </w:rPr>
        <w:t xml:space="preserve"> condition, </w:t>
      </w:r>
      <w:r>
        <w:rPr>
          <w:rFonts w:ascii="Cambria" w:hAnsi="Cambria"/>
          <w:position w:val="1"/>
          <w:sz w:val="20"/>
        </w:rPr>
        <w:t>χ</w:t>
      </w:r>
      <w:r>
        <w:rPr>
          <w:position w:val="8"/>
          <w:sz w:val="13"/>
        </w:rPr>
        <w:t>2</w:t>
      </w:r>
      <w:r>
        <w:rPr>
          <w:position w:val="1"/>
          <w:sz w:val="20"/>
        </w:rPr>
        <w:t xml:space="preserve">(1) = 0.17, </w:t>
      </w:r>
      <w:r>
        <w:rPr>
          <w:i/>
          <w:position w:val="1"/>
          <w:sz w:val="20"/>
        </w:rPr>
        <w:t xml:space="preserve">p </w:t>
      </w:r>
      <w:r>
        <w:rPr>
          <w:position w:val="1"/>
          <w:sz w:val="20"/>
        </w:rPr>
        <w:t>= .68, φ = .07, BF</w:t>
      </w:r>
      <w:r>
        <w:rPr>
          <w:position w:val="1"/>
          <w:sz w:val="20"/>
          <w:vertAlign w:val="subscript"/>
        </w:rPr>
        <w:t>10</w:t>
      </w:r>
      <w:r>
        <w:rPr>
          <w:position w:val="1"/>
          <w:sz w:val="20"/>
        </w:rPr>
        <w:t xml:space="preserve"> = 0.42, who fell in this category. Furthermore, a cut-off of performance below 2SDs of the control </w:t>
      </w:r>
      <w:r>
        <w:rPr>
          <w:sz w:val="20"/>
        </w:rPr>
        <w:t xml:space="preserve">group mean (which represents the bottom 2.28% of the sample) was explored as this could </w:t>
      </w:r>
      <w:r>
        <w:rPr>
          <w:spacing w:val="-3"/>
          <w:sz w:val="20"/>
        </w:rPr>
        <w:t xml:space="preserve">have </w:t>
      </w:r>
      <w:r>
        <w:rPr>
          <w:sz w:val="20"/>
        </w:rPr>
        <w:t xml:space="preserve">revealed a very small but nonetheless clinically relevant number of ASD participants with a specific PM impairment. This analysis identified not one </w:t>
      </w:r>
      <w:r>
        <w:rPr>
          <w:spacing w:val="-4"/>
          <w:sz w:val="20"/>
        </w:rPr>
        <w:t xml:space="preserve">NT </w:t>
      </w:r>
      <w:r>
        <w:rPr>
          <w:sz w:val="20"/>
        </w:rPr>
        <w:t xml:space="preserve">and only 1 ASD participant in the focal condition, </w:t>
      </w:r>
      <w:r>
        <w:rPr>
          <w:rFonts w:ascii="Cambria" w:hAnsi="Cambria"/>
          <w:sz w:val="20"/>
        </w:rPr>
        <w:t>χ</w:t>
      </w:r>
      <w:r>
        <w:rPr>
          <w:position w:val="7"/>
          <w:sz w:val="13"/>
        </w:rPr>
        <w:t>2</w:t>
      </w:r>
      <w:r>
        <w:rPr>
          <w:sz w:val="20"/>
        </w:rPr>
        <w:t>(1)</w:t>
      </w:r>
      <w:r>
        <w:rPr>
          <w:sz w:val="20"/>
        </w:rPr>
        <w:t xml:space="preserve"> = 1.03, </w:t>
      </w:r>
      <w:r>
        <w:rPr>
          <w:i/>
          <w:sz w:val="20"/>
        </w:rPr>
        <w:t xml:space="preserve">p </w:t>
      </w:r>
      <w:r>
        <w:rPr>
          <w:sz w:val="20"/>
        </w:rPr>
        <w:t xml:space="preserve">= .31, φ = .16, </w:t>
      </w:r>
      <w:r>
        <w:rPr>
          <w:position w:val="1"/>
          <w:sz w:val="20"/>
        </w:rPr>
        <w:t>BF</w:t>
      </w:r>
      <w:r>
        <w:rPr>
          <w:position w:val="1"/>
          <w:sz w:val="20"/>
          <w:vertAlign w:val="subscript"/>
        </w:rPr>
        <w:t>10</w:t>
      </w:r>
      <w:r>
        <w:rPr>
          <w:spacing w:val="-19"/>
          <w:position w:val="1"/>
          <w:sz w:val="20"/>
        </w:rPr>
        <w:t xml:space="preserve"> </w:t>
      </w:r>
      <w:r>
        <w:rPr>
          <w:position w:val="1"/>
          <w:sz w:val="20"/>
        </w:rPr>
        <w:t>=</w:t>
      </w:r>
      <w:r>
        <w:rPr>
          <w:spacing w:val="-6"/>
          <w:position w:val="1"/>
          <w:sz w:val="20"/>
        </w:rPr>
        <w:t xml:space="preserve"> </w:t>
      </w:r>
      <w:r>
        <w:rPr>
          <w:position w:val="1"/>
          <w:sz w:val="20"/>
        </w:rPr>
        <w:t>1.00,</w:t>
      </w:r>
      <w:r>
        <w:rPr>
          <w:spacing w:val="-10"/>
          <w:position w:val="1"/>
          <w:sz w:val="20"/>
        </w:rPr>
        <w:t xml:space="preserve"> </w:t>
      </w:r>
      <w:r>
        <w:rPr>
          <w:position w:val="1"/>
          <w:sz w:val="20"/>
        </w:rPr>
        <w:t>and</w:t>
      </w:r>
      <w:r>
        <w:rPr>
          <w:spacing w:val="-7"/>
          <w:position w:val="1"/>
          <w:sz w:val="20"/>
        </w:rPr>
        <w:t xml:space="preserve"> </w:t>
      </w:r>
      <w:r>
        <w:rPr>
          <w:position w:val="1"/>
          <w:sz w:val="20"/>
        </w:rPr>
        <w:t>only</w:t>
      </w:r>
      <w:r>
        <w:rPr>
          <w:spacing w:val="-6"/>
          <w:position w:val="1"/>
          <w:sz w:val="20"/>
        </w:rPr>
        <w:t xml:space="preserve"> </w:t>
      </w:r>
      <w:r>
        <w:rPr>
          <w:position w:val="1"/>
          <w:sz w:val="20"/>
        </w:rPr>
        <w:t>1</w:t>
      </w:r>
      <w:r>
        <w:rPr>
          <w:spacing w:val="-2"/>
          <w:position w:val="1"/>
          <w:sz w:val="20"/>
        </w:rPr>
        <w:t xml:space="preserve"> </w:t>
      </w:r>
      <w:r>
        <w:rPr>
          <w:spacing w:val="-4"/>
          <w:position w:val="1"/>
          <w:sz w:val="20"/>
        </w:rPr>
        <w:t>NT</w:t>
      </w:r>
      <w:r>
        <w:rPr>
          <w:spacing w:val="-6"/>
          <w:position w:val="1"/>
          <w:sz w:val="20"/>
        </w:rPr>
        <w:t xml:space="preserve"> </w:t>
      </w:r>
      <w:r>
        <w:rPr>
          <w:position w:val="1"/>
          <w:sz w:val="20"/>
        </w:rPr>
        <w:t>and</w:t>
      </w:r>
      <w:r>
        <w:rPr>
          <w:spacing w:val="-7"/>
          <w:position w:val="1"/>
          <w:sz w:val="20"/>
        </w:rPr>
        <w:t xml:space="preserve"> </w:t>
      </w:r>
      <w:r>
        <w:rPr>
          <w:position w:val="1"/>
          <w:sz w:val="20"/>
        </w:rPr>
        <w:t>not one</w:t>
      </w:r>
      <w:r>
        <w:rPr>
          <w:spacing w:val="-1"/>
          <w:position w:val="1"/>
          <w:sz w:val="20"/>
        </w:rPr>
        <w:t xml:space="preserve"> </w:t>
      </w:r>
      <w:r>
        <w:rPr>
          <w:position w:val="1"/>
          <w:sz w:val="20"/>
        </w:rPr>
        <w:t>ASD</w:t>
      </w:r>
      <w:r>
        <w:rPr>
          <w:spacing w:val="-9"/>
          <w:position w:val="1"/>
          <w:sz w:val="20"/>
        </w:rPr>
        <w:t xml:space="preserve"> </w:t>
      </w:r>
      <w:r>
        <w:rPr>
          <w:position w:val="1"/>
          <w:sz w:val="20"/>
        </w:rPr>
        <w:t>in</w:t>
      </w:r>
      <w:r>
        <w:rPr>
          <w:spacing w:val="-7"/>
          <w:position w:val="1"/>
          <w:sz w:val="20"/>
        </w:rPr>
        <w:t xml:space="preserve"> </w:t>
      </w:r>
      <w:r>
        <w:rPr>
          <w:position w:val="1"/>
          <w:sz w:val="20"/>
        </w:rPr>
        <w:t>the</w:t>
      </w:r>
      <w:r>
        <w:rPr>
          <w:spacing w:val="-6"/>
          <w:position w:val="1"/>
          <w:sz w:val="20"/>
        </w:rPr>
        <w:t xml:space="preserve"> </w:t>
      </w:r>
      <w:proofErr w:type="spellStart"/>
      <w:r>
        <w:rPr>
          <w:position w:val="1"/>
          <w:sz w:val="20"/>
        </w:rPr>
        <w:t>nonfocal</w:t>
      </w:r>
      <w:proofErr w:type="spellEnd"/>
      <w:r>
        <w:rPr>
          <w:spacing w:val="-5"/>
          <w:position w:val="1"/>
          <w:sz w:val="20"/>
        </w:rPr>
        <w:t xml:space="preserve"> </w:t>
      </w:r>
      <w:r>
        <w:rPr>
          <w:position w:val="1"/>
          <w:sz w:val="20"/>
        </w:rPr>
        <w:t>condition,</w:t>
      </w:r>
      <w:r>
        <w:rPr>
          <w:spacing w:val="-5"/>
          <w:position w:val="1"/>
          <w:sz w:val="20"/>
        </w:rPr>
        <w:t xml:space="preserve"> </w:t>
      </w:r>
      <w:r>
        <w:rPr>
          <w:rFonts w:ascii="Cambria" w:hAnsi="Cambria"/>
          <w:position w:val="1"/>
          <w:sz w:val="20"/>
        </w:rPr>
        <w:t>χ</w:t>
      </w:r>
      <w:r>
        <w:rPr>
          <w:position w:val="8"/>
          <w:sz w:val="13"/>
        </w:rPr>
        <w:t>2</w:t>
      </w:r>
      <w:r>
        <w:rPr>
          <w:position w:val="1"/>
          <w:sz w:val="20"/>
        </w:rPr>
        <w:t>(1)</w:t>
      </w:r>
      <w:r>
        <w:rPr>
          <w:spacing w:val="-7"/>
          <w:position w:val="1"/>
          <w:sz w:val="20"/>
        </w:rPr>
        <w:t xml:space="preserve"> </w:t>
      </w:r>
      <w:r>
        <w:rPr>
          <w:position w:val="1"/>
          <w:sz w:val="20"/>
        </w:rPr>
        <w:t>=</w:t>
      </w:r>
      <w:r>
        <w:rPr>
          <w:spacing w:val="-6"/>
          <w:position w:val="1"/>
          <w:sz w:val="20"/>
        </w:rPr>
        <w:t xml:space="preserve"> </w:t>
      </w:r>
      <w:r>
        <w:rPr>
          <w:position w:val="1"/>
          <w:sz w:val="20"/>
        </w:rPr>
        <w:t>1.03,</w:t>
      </w:r>
      <w:r>
        <w:rPr>
          <w:spacing w:val="1"/>
          <w:position w:val="1"/>
          <w:sz w:val="20"/>
        </w:rPr>
        <w:t xml:space="preserve"> </w:t>
      </w:r>
      <w:r>
        <w:rPr>
          <w:i/>
          <w:position w:val="1"/>
          <w:sz w:val="20"/>
        </w:rPr>
        <w:t>p</w:t>
      </w:r>
      <w:r>
        <w:rPr>
          <w:i/>
          <w:spacing w:val="-7"/>
          <w:position w:val="1"/>
          <w:sz w:val="20"/>
        </w:rPr>
        <w:t xml:space="preserve"> </w:t>
      </w:r>
      <w:r>
        <w:rPr>
          <w:position w:val="1"/>
          <w:sz w:val="20"/>
        </w:rPr>
        <w:t>=</w:t>
      </w:r>
      <w:r>
        <w:rPr>
          <w:spacing w:val="-6"/>
          <w:position w:val="1"/>
          <w:sz w:val="20"/>
        </w:rPr>
        <w:t xml:space="preserve"> </w:t>
      </w:r>
      <w:r>
        <w:rPr>
          <w:position w:val="1"/>
          <w:sz w:val="20"/>
        </w:rPr>
        <w:t>.31,</w:t>
      </w:r>
      <w:r>
        <w:rPr>
          <w:spacing w:val="-5"/>
          <w:position w:val="1"/>
          <w:sz w:val="20"/>
        </w:rPr>
        <w:t xml:space="preserve"> </w:t>
      </w:r>
      <w:r>
        <w:rPr>
          <w:position w:val="1"/>
          <w:sz w:val="20"/>
        </w:rPr>
        <w:t>φ</w:t>
      </w:r>
      <w:r>
        <w:rPr>
          <w:spacing w:val="-7"/>
          <w:position w:val="1"/>
          <w:sz w:val="20"/>
        </w:rPr>
        <w:t xml:space="preserve"> </w:t>
      </w:r>
      <w:r>
        <w:rPr>
          <w:position w:val="1"/>
          <w:sz w:val="20"/>
        </w:rPr>
        <w:t>=</w:t>
      </w:r>
      <w:r>
        <w:rPr>
          <w:spacing w:val="-6"/>
          <w:position w:val="1"/>
          <w:sz w:val="20"/>
        </w:rPr>
        <w:t xml:space="preserve"> </w:t>
      </w:r>
      <w:r>
        <w:rPr>
          <w:position w:val="1"/>
          <w:sz w:val="20"/>
        </w:rPr>
        <w:t>.16,</w:t>
      </w:r>
      <w:r>
        <w:rPr>
          <w:spacing w:val="-5"/>
          <w:position w:val="1"/>
          <w:sz w:val="20"/>
        </w:rPr>
        <w:t xml:space="preserve"> </w:t>
      </w:r>
      <w:r>
        <w:rPr>
          <w:position w:val="1"/>
          <w:sz w:val="20"/>
        </w:rPr>
        <w:t>BF</w:t>
      </w:r>
      <w:r>
        <w:rPr>
          <w:position w:val="1"/>
          <w:sz w:val="20"/>
          <w:vertAlign w:val="subscript"/>
        </w:rPr>
        <w:t>10</w:t>
      </w:r>
      <w:r>
        <w:rPr>
          <w:spacing w:val="-24"/>
          <w:position w:val="1"/>
          <w:sz w:val="20"/>
        </w:rPr>
        <w:t xml:space="preserve"> </w:t>
      </w:r>
      <w:r>
        <w:rPr>
          <w:position w:val="1"/>
          <w:sz w:val="20"/>
        </w:rPr>
        <w:t>=</w:t>
      </w:r>
      <w:r>
        <w:rPr>
          <w:spacing w:val="-1"/>
          <w:position w:val="1"/>
          <w:sz w:val="20"/>
        </w:rPr>
        <w:t xml:space="preserve"> </w:t>
      </w:r>
      <w:r>
        <w:rPr>
          <w:position w:val="1"/>
          <w:sz w:val="20"/>
        </w:rPr>
        <w:t xml:space="preserve">1.00, </w:t>
      </w:r>
      <w:r>
        <w:rPr>
          <w:sz w:val="20"/>
        </w:rPr>
        <w:t xml:space="preserve">who fell in this category. Thus, even when applying a stricter criterion, the </w:t>
      </w:r>
      <w:r>
        <w:rPr>
          <w:spacing w:val="-3"/>
          <w:sz w:val="20"/>
        </w:rPr>
        <w:t xml:space="preserve">same </w:t>
      </w:r>
      <w:r>
        <w:rPr>
          <w:sz w:val="20"/>
        </w:rPr>
        <w:t>results were</w:t>
      </w:r>
      <w:r>
        <w:rPr>
          <w:spacing w:val="-12"/>
          <w:sz w:val="20"/>
        </w:rPr>
        <w:t xml:space="preserve"> </w:t>
      </w:r>
      <w:r>
        <w:rPr>
          <w:sz w:val="20"/>
        </w:rPr>
        <w:t>obtained.</w:t>
      </w:r>
    </w:p>
    <w:p w14:paraId="3AB177B7" w14:textId="77777777" w:rsidR="00C75312" w:rsidRDefault="00C75312">
      <w:pPr>
        <w:spacing w:line="477" w:lineRule="auto"/>
        <w:jc w:val="both"/>
        <w:rPr>
          <w:sz w:val="20"/>
        </w:rPr>
        <w:sectPr w:rsidR="00C75312">
          <w:pgSz w:w="11900" w:h="16840"/>
          <w:pgMar w:top="1140" w:right="0" w:bottom="280" w:left="1300" w:header="715" w:footer="0" w:gutter="0"/>
          <w:cols w:space="720"/>
        </w:sectPr>
      </w:pPr>
    </w:p>
    <w:p w14:paraId="454A861D" w14:textId="77777777" w:rsidR="00C75312" w:rsidRDefault="00C75312">
      <w:pPr>
        <w:pStyle w:val="BodyText"/>
        <w:spacing w:before="2"/>
        <w:rPr>
          <w:sz w:val="18"/>
        </w:rPr>
      </w:pPr>
    </w:p>
    <w:p w14:paraId="5707F02F" w14:textId="77777777" w:rsidR="00C75312" w:rsidRDefault="00BB293A">
      <w:pPr>
        <w:pStyle w:val="BodyText"/>
        <w:spacing w:before="90" w:line="475" w:lineRule="auto"/>
        <w:ind w:left="140" w:right="1426"/>
        <w:jc w:val="both"/>
      </w:pPr>
      <w:r>
        <w:t xml:space="preserve">individuals in the case group manifest an impairment (White et al., 2006). To investigate this possibility, the number of individuals in each group who scored below the mean PM performance of the </w:t>
      </w:r>
      <w:r>
        <w:rPr>
          <w:spacing w:val="-3"/>
        </w:rPr>
        <w:t xml:space="preserve">NT </w:t>
      </w:r>
      <w:r>
        <w:t xml:space="preserve">group was explored (i.e., the number of individuals who scored correctly at or below 70% for the focal and at </w:t>
      </w:r>
      <w:r>
        <w:rPr>
          <w:spacing w:val="-3"/>
        </w:rPr>
        <w:t xml:space="preserve">or </w:t>
      </w:r>
      <w:r>
        <w:t xml:space="preserve">below 59% for the </w:t>
      </w:r>
      <w:proofErr w:type="spellStart"/>
      <w:r>
        <w:t>nonfocal</w:t>
      </w:r>
      <w:proofErr w:type="spellEnd"/>
      <w:r>
        <w:t xml:space="preserve"> condition, see Table 8). No between-group differences were observed in either the focal condition, </w:t>
      </w:r>
      <w:r>
        <w:rPr>
          <w:rFonts w:ascii="Cambria" w:hAnsi="Cambria"/>
        </w:rPr>
        <w:t>χ</w:t>
      </w:r>
      <w:r>
        <w:rPr>
          <w:position w:val="8"/>
          <w:sz w:val="16"/>
        </w:rPr>
        <w:t>2</w:t>
      </w:r>
      <w:r>
        <w:t xml:space="preserve">(1) = </w:t>
      </w:r>
      <w:r>
        <w:rPr>
          <w:position w:val="2"/>
        </w:rPr>
        <w:t xml:space="preserve">0.40, </w:t>
      </w:r>
      <w:r>
        <w:rPr>
          <w:i/>
          <w:position w:val="2"/>
        </w:rPr>
        <w:t xml:space="preserve">p </w:t>
      </w:r>
      <w:r>
        <w:rPr>
          <w:position w:val="2"/>
        </w:rPr>
        <w:t>= .53, φ = .10, BF</w:t>
      </w:r>
      <w:r>
        <w:rPr>
          <w:position w:val="2"/>
          <w:vertAlign w:val="subscript"/>
        </w:rPr>
        <w:t>10</w:t>
      </w:r>
      <w:r>
        <w:rPr>
          <w:position w:val="2"/>
        </w:rPr>
        <w:t xml:space="preserve"> = 0.26, or the </w:t>
      </w:r>
      <w:proofErr w:type="spellStart"/>
      <w:r>
        <w:rPr>
          <w:position w:val="2"/>
        </w:rPr>
        <w:t>nonfocal</w:t>
      </w:r>
      <w:proofErr w:type="spellEnd"/>
      <w:r>
        <w:rPr>
          <w:position w:val="2"/>
        </w:rPr>
        <w:t xml:space="preserve"> condition, </w:t>
      </w:r>
      <w:r>
        <w:rPr>
          <w:rFonts w:ascii="Cambria" w:hAnsi="Cambria"/>
          <w:position w:val="2"/>
        </w:rPr>
        <w:t>χ</w:t>
      </w:r>
      <w:r>
        <w:rPr>
          <w:position w:val="2"/>
          <w:vertAlign w:val="superscript"/>
        </w:rPr>
        <w:t>2</w:t>
      </w:r>
      <w:r>
        <w:rPr>
          <w:position w:val="2"/>
        </w:rPr>
        <w:t xml:space="preserve">(1) = 0.92, </w:t>
      </w:r>
      <w:r>
        <w:rPr>
          <w:i/>
          <w:position w:val="2"/>
        </w:rPr>
        <w:t xml:space="preserve">p </w:t>
      </w:r>
      <w:r>
        <w:rPr>
          <w:position w:val="2"/>
        </w:rPr>
        <w:t>= .38, φ = .15, BF</w:t>
      </w:r>
      <w:r>
        <w:rPr>
          <w:position w:val="2"/>
          <w:vertAlign w:val="subscript"/>
        </w:rPr>
        <w:t>10</w:t>
      </w:r>
      <w:r>
        <w:rPr>
          <w:spacing w:val="-31"/>
          <w:position w:val="2"/>
        </w:rPr>
        <w:t xml:space="preserve"> </w:t>
      </w:r>
      <w:r>
        <w:rPr>
          <w:position w:val="2"/>
        </w:rPr>
        <w:t>=</w:t>
      </w:r>
      <w:r>
        <w:rPr>
          <w:spacing w:val="-14"/>
          <w:position w:val="2"/>
        </w:rPr>
        <w:t xml:space="preserve"> </w:t>
      </w:r>
      <w:r>
        <w:rPr>
          <w:position w:val="2"/>
        </w:rPr>
        <w:t>0.34.</w:t>
      </w:r>
      <w:r>
        <w:rPr>
          <w:spacing w:val="34"/>
          <w:position w:val="2"/>
        </w:rPr>
        <w:t xml:space="preserve"> </w:t>
      </w:r>
      <w:r>
        <w:rPr>
          <w:position w:val="2"/>
        </w:rPr>
        <w:t>The</w:t>
      </w:r>
      <w:r>
        <w:rPr>
          <w:spacing w:val="-15"/>
          <w:position w:val="2"/>
        </w:rPr>
        <w:t xml:space="preserve"> </w:t>
      </w:r>
      <w:r>
        <w:rPr>
          <w:position w:val="2"/>
        </w:rPr>
        <w:t>same</w:t>
      </w:r>
      <w:r>
        <w:rPr>
          <w:spacing w:val="-14"/>
          <w:position w:val="2"/>
        </w:rPr>
        <w:t xml:space="preserve"> </w:t>
      </w:r>
      <w:r>
        <w:rPr>
          <w:position w:val="2"/>
        </w:rPr>
        <w:t>was</w:t>
      </w:r>
      <w:r>
        <w:rPr>
          <w:spacing w:val="-17"/>
          <w:position w:val="2"/>
        </w:rPr>
        <w:t xml:space="preserve"> </w:t>
      </w:r>
      <w:r>
        <w:rPr>
          <w:position w:val="2"/>
        </w:rPr>
        <w:t>true</w:t>
      </w:r>
      <w:r>
        <w:rPr>
          <w:spacing w:val="-15"/>
          <w:position w:val="2"/>
        </w:rPr>
        <w:t xml:space="preserve"> </w:t>
      </w:r>
      <w:r>
        <w:rPr>
          <w:position w:val="2"/>
        </w:rPr>
        <w:t>when</w:t>
      </w:r>
      <w:r>
        <w:rPr>
          <w:spacing w:val="-14"/>
          <w:position w:val="2"/>
        </w:rPr>
        <w:t xml:space="preserve"> </w:t>
      </w:r>
      <w:proofErr w:type="spellStart"/>
      <w:r>
        <w:rPr>
          <w:position w:val="2"/>
        </w:rPr>
        <w:t>analysing</w:t>
      </w:r>
      <w:proofErr w:type="spellEnd"/>
      <w:r>
        <w:rPr>
          <w:spacing w:val="-13"/>
          <w:position w:val="2"/>
        </w:rPr>
        <w:t xml:space="preserve"> </w:t>
      </w:r>
      <w:r>
        <w:rPr>
          <w:position w:val="2"/>
        </w:rPr>
        <w:t>the</w:t>
      </w:r>
      <w:r>
        <w:rPr>
          <w:spacing w:val="-11"/>
          <w:position w:val="2"/>
        </w:rPr>
        <w:t xml:space="preserve"> </w:t>
      </w:r>
      <w:r>
        <w:rPr>
          <w:position w:val="2"/>
        </w:rPr>
        <w:t>data</w:t>
      </w:r>
      <w:r>
        <w:rPr>
          <w:spacing w:val="-15"/>
          <w:position w:val="2"/>
        </w:rPr>
        <w:t xml:space="preserve"> </w:t>
      </w:r>
      <w:r>
        <w:rPr>
          <w:position w:val="2"/>
        </w:rPr>
        <w:t>after</w:t>
      </w:r>
      <w:r>
        <w:rPr>
          <w:spacing w:val="-13"/>
          <w:position w:val="2"/>
        </w:rPr>
        <w:t xml:space="preserve"> </w:t>
      </w:r>
      <w:r>
        <w:rPr>
          <w:position w:val="2"/>
        </w:rPr>
        <w:t>a</w:t>
      </w:r>
      <w:r>
        <w:rPr>
          <w:spacing w:val="-14"/>
          <w:position w:val="2"/>
        </w:rPr>
        <w:t xml:space="preserve"> </w:t>
      </w:r>
      <w:r>
        <w:rPr>
          <w:position w:val="2"/>
        </w:rPr>
        <w:t>median-split</w:t>
      </w:r>
      <w:r>
        <w:rPr>
          <w:spacing w:val="-14"/>
          <w:position w:val="2"/>
        </w:rPr>
        <w:t xml:space="preserve"> </w:t>
      </w:r>
      <w:r>
        <w:rPr>
          <w:position w:val="2"/>
        </w:rPr>
        <w:t>instead</w:t>
      </w:r>
      <w:r>
        <w:rPr>
          <w:spacing w:val="-14"/>
          <w:position w:val="2"/>
        </w:rPr>
        <w:t xml:space="preserve"> </w:t>
      </w:r>
      <w:r>
        <w:rPr>
          <w:position w:val="2"/>
        </w:rPr>
        <w:t>of</w:t>
      </w:r>
      <w:r>
        <w:rPr>
          <w:spacing w:val="-8"/>
          <w:position w:val="2"/>
        </w:rPr>
        <w:t xml:space="preserve"> </w:t>
      </w:r>
      <w:r>
        <w:rPr>
          <w:position w:val="2"/>
        </w:rPr>
        <w:t xml:space="preserve">splitting </w:t>
      </w:r>
      <w:r>
        <w:t>in</w:t>
      </w:r>
      <w:r>
        <w:rPr>
          <w:spacing w:val="6"/>
        </w:rPr>
        <w:t xml:space="preserve"> </w:t>
      </w:r>
      <w:r>
        <w:t>the</w:t>
      </w:r>
      <w:r>
        <w:rPr>
          <w:spacing w:val="5"/>
        </w:rPr>
        <w:t xml:space="preserve"> </w:t>
      </w:r>
      <w:r>
        <w:t>sample</w:t>
      </w:r>
      <w:r>
        <w:rPr>
          <w:spacing w:val="5"/>
        </w:rPr>
        <w:t xml:space="preserve"> </w:t>
      </w:r>
      <w:r>
        <w:t>based</w:t>
      </w:r>
      <w:r>
        <w:rPr>
          <w:spacing w:val="6"/>
        </w:rPr>
        <w:t xml:space="preserve"> </w:t>
      </w:r>
      <w:r>
        <w:t>on</w:t>
      </w:r>
      <w:r>
        <w:rPr>
          <w:spacing w:val="6"/>
        </w:rPr>
        <w:t xml:space="preserve"> </w:t>
      </w:r>
      <w:r>
        <w:t>the</w:t>
      </w:r>
      <w:r>
        <w:rPr>
          <w:spacing w:val="5"/>
        </w:rPr>
        <w:t xml:space="preserve"> </w:t>
      </w:r>
      <w:r>
        <w:t>NT</w:t>
      </w:r>
      <w:r>
        <w:rPr>
          <w:spacing w:val="8"/>
        </w:rPr>
        <w:t xml:space="preserve"> </w:t>
      </w:r>
      <w:r>
        <w:t>mean</w:t>
      </w:r>
      <w:r>
        <w:rPr>
          <w:spacing w:val="6"/>
        </w:rPr>
        <w:t xml:space="preserve"> </w:t>
      </w:r>
      <w:r>
        <w:t>(see</w:t>
      </w:r>
      <w:r>
        <w:rPr>
          <w:spacing w:val="5"/>
        </w:rPr>
        <w:t xml:space="preserve"> </w:t>
      </w:r>
      <w:r>
        <w:t>Table</w:t>
      </w:r>
      <w:r>
        <w:rPr>
          <w:spacing w:val="5"/>
        </w:rPr>
        <w:t xml:space="preserve"> </w:t>
      </w:r>
      <w:r>
        <w:t>8);</w:t>
      </w:r>
      <w:r>
        <w:rPr>
          <w:spacing w:val="6"/>
        </w:rPr>
        <w:t xml:space="preserve"> </w:t>
      </w:r>
      <w:r>
        <w:t>focal</w:t>
      </w:r>
      <w:r>
        <w:rPr>
          <w:spacing w:val="6"/>
        </w:rPr>
        <w:t xml:space="preserve"> </w:t>
      </w:r>
      <w:r>
        <w:t>condition,</w:t>
      </w:r>
      <w:r>
        <w:rPr>
          <w:spacing w:val="3"/>
        </w:rPr>
        <w:t xml:space="preserve"> </w:t>
      </w:r>
      <w:r>
        <w:rPr>
          <w:rFonts w:ascii="Cambria" w:hAnsi="Cambria"/>
        </w:rPr>
        <w:t>χ</w:t>
      </w:r>
      <w:r>
        <w:rPr>
          <w:position w:val="8"/>
          <w:sz w:val="16"/>
        </w:rPr>
        <w:t>2</w:t>
      </w:r>
      <w:r>
        <w:t>(1)</w:t>
      </w:r>
      <w:r>
        <w:rPr>
          <w:spacing w:val="3"/>
        </w:rPr>
        <w:t xml:space="preserve"> </w:t>
      </w:r>
      <w:r>
        <w:t>=</w:t>
      </w:r>
      <w:r>
        <w:rPr>
          <w:spacing w:val="5"/>
        </w:rPr>
        <w:t xml:space="preserve"> </w:t>
      </w:r>
      <w:r>
        <w:t>0.10,</w:t>
      </w:r>
      <w:r>
        <w:rPr>
          <w:spacing w:val="8"/>
        </w:rPr>
        <w:t xml:space="preserve"> </w:t>
      </w:r>
      <w:r>
        <w:rPr>
          <w:i/>
        </w:rPr>
        <w:t>p</w:t>
      </w:r>
      <w:r>
        <w:rPr>
          <w:i/>
          <w:spacing w:val="6"/>
        </w:rPr>
        <w:t xml:space="preserve"> </w:t>
      </w:r>
      <w:r>
        <w:t>= .75,</w:t>
      </w:r>
      <w:r>
        <w:rPr>
          <w:spacing w:val="3"/>
        </w:rPr>
        <w:t xml:space="preserve"> </w:t>
      </w:r>
      <w:r>
        <w:t>φ</w:t>
      </w:r>
      <w:r>
        <w:rPr>
          <w:spacing w:val="6"/>
        </w:rPr>
        <w:t xml:space="preserve"> </w:t>
      </w:r>
      <w:r>
        <w:t>=</w:t>
      </w:r>
    </w:p>
    <w:p w14:paraId="66961942" w14:textId="77777777" w:rsidR="00C75312" w:rsidRDefault="00BB293A">
      <w:pPr>
        <w:pStyle w:val="BodyText"/>
        <w:spacing w:before="5"/>
        <w:ind w:left="140"/>
        <w:jc w:val="both"/>
      </w:pPr>
      <w:r>
        <w:rPr>
          <w:position w:val="2"/>
        </w:rPr>
        <w:t>.05, BF</w:t>
      </w:r>
      <w:r>
        <w:rPr>
          <w:position w:val="2"/>
          <w:vertAlign w:val="subscript"/>
        </w:rPr>
        <w:t>10</w:t>
      </w:r>
      <w:r>
        <w:rPr>
          <w:position w:val="2"/>
        </w:rPr>
        <w:t xml:space="preserve"> = 0.21 or the </w:t>
      </w:r>
      <w:proofErr w:type="spellStart"/>
      <w:r>
        <w:rPr>
          <w:position w:val="2"/>
        </w:rPr>
        <w:t>nonfocal</w:t>
      </w:r>
      <w:proofErr w:type="spellEnd"/>
      <w:r>
        <w:rPr>
          <w:position w:val="2"/>
        </w:rPr>
        <w:t xml:space="preserve"> condition, </w:t>
      </w:r>
      <w:r>
        <w:rPr>
          <w:rFonts w:ascii="Cambria" w:hAnsi="Cambria"/>
          <w:position w:val="2"/>
        </w:rPr>
        <w:t>χ</w:t>
      </w:r>
      <w:r>
        <w:rPr>
          <w:position w:val="2"/>
          <w:vertAlign w:val="superscript"/>
        </w:rPr>
        <w:t>2</w:t>
      </w:r>
      <w:r>
        <w:rPr>
          <w:position w:val="2"/>
        </w:rPr>
        <w:t xml:space="preserve">(1) = 0.92, </w:t>
      </w:r>
      <w:r>
        <w:rPr>
          <w:i/>
          <w:position w:val="2"/>
        </w:rPr>
        <w:t xml:space="preserve">p </w:t>
      </w:r>
      <w:r>
        <w:rPr>
          <w:position w:val="2"/>
        </w:rPr>
        <w:t>= .38, φ = .15, BF</w:t>
      </w:r>
      <w:r>
        <w:rPr>
          <w:position w:val="2"/>
          <w:vertAlign w:val="subscript"/>
        </w:rPr>
        <w:t>10</w:t>
      </w:r>
      <w:r>
        <w:rPr>
          <w:position w:val="2"/>
        </w:rPr>
        <w:t xml:space="preserve"> = 0.34.</w:t>
      </w:r>
    </w:p>
    <w:p w14:paraId="2753DF2E" w14:textId="77777777" w:rsidR="00C75312" w:rsidRDefault="00C75312">
      <w:pPr>
        <w:pStyle w:val="BodyText"/>
        <w:spacing w:before="1"/>
        <w:rPr>
          <w:sz w:val="33"/>
        </w:rPr>
      </w:pPr>
    </w:p>
    <w:p w14:paraId="57A5B842" w14:textId="77777777" w:rsidR="00C75312" w:rsidRDefault="00BB293A">
      <w:pPr>
        <w:ind w:left="140" w:right="1379"/>
        <w:jc w:val="both"/>
        <w:rPr>
          <w:i/>
          <w:sz w:val="20"/>
        </w:rPr>
      </w:pPr>
      <w:r>
        <w:rPr>
          <w:i/>
          <w:sz w:val="20"/>
        </w:rPr>
        <w:t>Table 8. Categorical analysis: number of participants scoring above or below mean (left) and median (right) PM task performance of the NT group for each condition</w:t>
      </w:r>
    </w:p>
    <w:p w14:paraId="0B9A9FEF" w14:textId="77777777" w:rsidR="00C75312" w:rsidRDefault="00BB293A">
      <w:pPr>
        <w:pStyle w:val="BodyText"/>
        <w:spacing w:before="8"/>
        <w:rPr>
          <w:i/>
          <w:sz w:val="13"/>
        </w:rPr>
      </w:pPr>
      <w:r>
        <w:pict w14:anchorId="75A7C6B3">
          <v:shape id="_x0000_s2737" style="position:absolute;margin-left:133.2pt;margin-top:10.1pt;width:183.15pt;height:.1pt;z-index:-251604992;mso-wrap-distance-left:0;mso-wrap-distance-right:0;mso-position-horizontal-relative:page" coordorigin="2664,202" coordsize="3663,0" path="m2664,202r3662,e" filled="f" strokeweight=".48pt">
            <v:path arrowok="t"/>
            <w10:wrap type="topAndBottom" anchorx="page"/>
          </v:shape>
        </w:pict>
      </w:r>
      <w:r>
        <w:pict w14:anchorId="407EB205">
          <v:shape id="_x0000_s2736" style="position:absolute;margin-left:332.65pt;margin-top:10.1pt;width:190.6pt;height:.1pt;z-index:-251603968;mso-wrap-distance-left:0;mso-wrap-distance-right:0;mso-position-horizontal-relative:page" coordorigin="6653,202" coordsize="3812,0" path="m6653,202r3811,e" filled="f" strokeweight=".48pt">
            <v:path arrowok="t"/>
            <w10:wrap type="topAndBottom" anchorx="page"/>
          </v:shape>
        </w:pict>
      </w:r>
    </w:p>
    <w:p w14:paraId="45F65323" w14:textId="77777777" w:rsidR="00C75312" w:rsidRDefault="00BB293A">
      <w:pPr>
        <w:tabs>
          <w:tab w:val="left" w:pos="6423"/>
        </w:tabs>
        <w:spacing w:before="14"/>
        <w:ind w:left="2448"/>
        <w:rPr>
          <w:b/>
          <w:sz w:val="20"/>
        </w:rPr>
      </w:pPr>
      <w:r>
        <w:rPr>
          <w:b/>
          <w:sz w:val="20"/>
        </w:rPr>
        <w:t>Group (split using</w:t>
      </w:r>
      <w:r>
        <w:rPr>
          <w:b/>
          <w:spacing w:val="-2"/>
          <w:sz w:val="20"/>
        </w:rPr>
        <w:t xml:space="preserve"> </w:t>
      </w:r>
      <w:r>
        <w:rPr>
          <w:b/>
          <w:spacing w:val="-4"/>
          <w:sz w:val="20"/>
        </w:rPr>
        <w:t>NT</w:t>
      </w:r>
      <w:r>
        <w:rPr>
          <w:b/>
          <w:spacing w:val="3"/>
          <w:sz w:val="20"/>
        </w:rPr>
        <w:t xml:space="preserve"> </w:t>
      </w:r>
      <w:r>
        <w:rPr>
          <w:b/>
          <w:sz w:val="20"/>
        </w:rPr>
        <w:t>mean)</w:t>
      </w:r>
      <w:r>
        <w:rPr>
          <w:b/>
          <w:sz w:val="20"/>
        </w:rPr>
        <w:tab/>
      </w:r>
      <w:r>
        <w:rPr>
          <w:b/>
          <w:sz w:val="20"/>
        </w:rPr>
        <w:t xml:space="preserve">Group (split using </w:t>
      </w:r>
      <w:r>
        <w:rPr>
          <w:b/>
          <w:spacing w:val="-4"/>
          <w:sz w:val="20"/>
        </w:rPr>
        <w:t>NT</w:t>
      </w:r>
      <w:r>
        <w:rPr>
          <w:b/>
          <w:spacing w:val="-1"/>
          <w:sz w:val="20"/>
        </w:rPr>
        <w:t xml:space="preserve"> </w:t>
      </w:r>
      <w:r>
        <w:rPr>
          <w:b/>
          <w:sz w:val="20"/>
        </w:rPr>
        <w:t>median)</w:t>
      </w:r>
    </w:p>
    <w:p w14:paraId="15E05237" w14:textId="77777777" w:rsidR="00C75312" w:rsidRDefault="00C75312">
      <w:pPr>
        <w:pStyle w:val="BodyText"/>
        <w:spacing w:before="3"/>
        <w:rPr>
          <w:b/>
          <w:sz w:val="16"/>
        </w:rPr>
      </w:pPr>
    </w:p>
    <w:tbl>
      <w:tblPr>
        <w:tblW w:w="0" w:type="auto"/>
        <w:tblInd w:w="140" w:type="dxa"/>
        <w:tblLayout w:type="fixed"/>
        <w:tblCellMar>
          <w:left w:w="0" w:type="dxa"/>
          <w:right w:w="0" w:type="dxa"/>
        </w:tblCellMar>
        <w:tblLook w:val="01E0" w:firstRow="1" w:lastRow="1" w:firstColumn="1" w:lastColumn="1" w:noHBand="0" w:noVBand="0"/>
      </w:tblPr>
      <w:tblGrid>
        <w:gridCol w:w="1129"/>
        <w:gridCol w:w="1768"/>
        <w:gridCol w:w="975"/>
        <w:gridCol w:w="1022"/>
        <w:gridCol w:w="327"/>
        <w:gridCol w:w="1822"/>
        <w:gridCol w:w="971"/>
        <w:gridCol w:w="1020"/>
      </w:tblGrid>
      <w:tr w:rsidR="00C75312" w14:paraId="6271D021" w14:textId="77777777">
        <w:trPr>
          <w:trHeight w:val="455"/>
        </w:trPr>
        <w:tc>
          <w:tcPr>
            <w:tcW w:w="2897" w:type="dxa"/>
            <w:gridSpan w:val="2"/>
            <w:tcBorders>
              <w:top w:val="single" w:sz="4" w:space="0" w:color="000000"/>
              <w:bottom w:val="single" w:sz="4" w:space="0" w:color="000000"/>
            </w:tcBorders>
          </w:tcPr>
          <w:p w14:paraId="59BEBC0E" w14:textId="77777777" w:rsidR="00C75312" w:rsidRDefault="00C75312">
            <w:pPr>
              <w:pStyle w:val="TableParagraph"/>
            </w:pPr>
          </w:p>
        </w:tc>
        <w:tc>
          <w:tcPr>
            <w:tcW w:w="975" w:type="dxa"/>
            <w:tcBorders>
              <w:top w:val="single" w:sz="4" w:space="0" w:color="000000"/>
              <w:bottom w:val="single" w:sz="4" w:space="0" w:color="000000"/>
            </w:tcBorders>
          </w:tcPr>
          <w:p w14:paraId="05414825" w14:textId="77777777" w:rsidR="00C75312" w:rsidRDefault="00BB293A">
            <w:pPr>
              <w:pStyle w:val="TableParagraph"/>
              <w:spacing w:before="43"/>
              <w:ind w:left="197" w:right="328"/>
              <w:jc w:val="center"/>
              <w:rPr>
                <w:b/>
                <w:sz w:val="20"/>
              </w:rPr>
            </w:pPr>
            <w:r>
              <w:rPr>
                <w:b/>
                <w:sz w:val="20"/>
              </w:rPr>
              <w:t>ASD</w:t>
            </w:r>
          </w:p>
        </w:tc>
        <w:tc>
          <w:tcPr>
            <w:tcW w:w="1022" w:type="dxa"/>
            <w:tcBorders>
              <w:top w:val="single" w:sz="4" w:space="0" w:color="000000"/>
              <w:bottom w:val="single" w:sz="4" w:space="0" w:color="000000"/>
            </w:tcBorders>
          </w:tcPr>
          <w:p w14:paraId="34796BDD" w14:textId="77777777" w:rsidR="00C75312" w:rsidRDefault="00BB293A">
            <w:pPr>
              <w:pStyle w:val="TableParagraph"/>
              <w:spacing w:before="43"/>
              <w:ind w:left="335" w:right="369"/>
              <w:jc w:val="center"/>
              <w:rPr>
                <w:b/>
                <w:sz w:val="20"/>
              </w:rPr>
            </w:pPr>
            <w:r>
              <w:rPr>
                <w:b/>
                <w:sz w:val="20"/>
              </w:rPr>
              <w:t>NT</w:t>
            </w:r>
          </w:p>
        </w:tc>
        <w:tc>
          <w:tcPr>
            <w:tcW w:w="327" w:type="dxa"/>
            <w:tcBorders>
              <w:bottom w:val="single" w:sz="4" w:space="0" w:color="000000"/>
            </w:tcBorders>
          </w:tcPr>
          <w:p w14:paraId="312BCE82" w14:textId="77777777" w:rsidR="00C75312" w:rsidRDefault="00C75312">
            <w:pPr>
              <w:pStyle w:val="TableParagraph"/>
            </w:pPr>
          </w:p>
        </w:tc>
        <w:tc>
          <w:tcPr>
            <w:tcW w:w="1822" w:type="dxa"/>
            <w:tcBorders>
              <w:top w:val="single" w:sz="4" w:space="0" w:color="000000"/>
              <w:bottom w:val="single" w:sz="4" w:space="0" w:color="000000"/>
            </w:tcBorders>
          </w:tcPr>
          <w:p w14:paraId="789E272B" w14:textId="77777777" w:rsidR="00C75312" w:rsidRDefault="00C75312">
            <w:pPr>
              <w:pStyle w:val="TableParagraph"/>
            </w:pPr>
          </w:p>
        </w:tc>
        <w:tc>
          <w:tcPr>
            <w:tcW w:w="971" w:type="dxa"/>
            <w:tcBorders>
              <w:top w:val="single" w:sz="4" w:space="0" w:color="000000"/>
              <w:bottom w:val="single" w:sz="4" w:space="0" w:color="000000"/>
            </w:tcBorders>
          </w:tcPr>
          <w:p w14:paraId="66518392" w14:textId="77777777" w:rsidR="00C75312" w:rsidRDefault="00BB293A">
            <w:pPr>
              <w:pStyle w:val="TableParagraph"/>
              <w:spacing w:before="43"/>
              <w:ind w:left="110" w:right="254"/>
              <w:jc w:val="center"/>
              <w:rPr>
                <w:b/>
                <w:sz w:val="20"/>
              </w:rPr>
            </w:pPr>
            <w:r>
              <w:rPr>
                <w:b/>
                <w:sz w:val="20"/>
              </w:rPr>
              <w:t>ASD</w:t>
            </w:r>
          </w:p>
        </w:tc>
        <w:tc>
          <w:tcPr>
            <w:tcW w:w="1020" w:type="dxa"/>
            <w:tcBorders>
              <w:top w:val="single" w:sz="4" w:space="0" w:color="000000"/>
              <w:bottom w:val="single" w:sz="4" w:space="0" w:color="000000"/>
            </w:tcBorders>
          </w:tcPr>
          <w:p w14:paraId="6031680E" w14:textId="77777777" w:rsidR="00C75312" w:rsidRDefault="00BB293A">
            <w:pPr>
              <w:pStyle w:val="TableParagraph"/>
              <w:spacing w:before="43"/>
              <w:ind w:left="335" w:right="366"/>
              <w:jc w:val="center"/>
              <w:rPr>
                <w:b/>
                <w:sz w:val="20"/>
              </w:rPr>
            </w:pPr>
            <w:r>
              <w:rPr>
                <w:b/>
                <w:sz w:val="20"/>
              </w:rPr>
              <w:t>NT</w:t>
            </w:r>
          </w:p>
        </w:tc>
      </w:tr>
      <w:tr w:rsidR="00C75312" w14:paraId="76CF0BAD" w14:textId="77777777">
        <w:trPr>
          <w:trHeight w:val="387"/>
        </w:trPr>
        <w:tc>
          <w:tcPr>
            <w:tcW w:w="1129" w:type="dxa"/>
            <w:tcBorders>
              <w:top w:val="single" w:sz="4" w:space="0" w:color="000000"/>
            </w:tcBorders>
          </w:tcPr>
          <w:p w14:paraId="434A632C" w14:textId="77777777" w:rsidR="00C75312" w:rsidRDefault="00BB293A">
            <w:pPr>
              <w:pStyle w:val="TableParagraph"/>
              <w:spacing w:before="43"/>
              <w:ind w:left="112"/>
              <w:rPr>
                <w:b/>
                <w:sz w:val="20"/>
              </w:rPr>
            </w:pPr>
            <w:r>
              <w:rPr>
                <w:b/>
                <w:sz w:val="20"/>
              </w:rPr>
              <w:t>Focal</w:t>
            </w:r>
          </w:p>
        </w:tc>
        <w:tc>
          <w:tcPr>
            <w:tcW w:w="1768" w:type="dxa"/>
            <w:tcBorders>
              <w:top w:val="single" w:sz="4" w:space="0" w:color="000000"/>
            </w:tcBorders>
          </w:tcPr>
          <w:p w14:paraId="17CB5904" w14:textId="77777777" w:rsidR="00C75312" w:rsidRDefault="00BB293A">
            <w:pPr>
              <w:pStyle w:val="TableParagraph"/>
              <w:spacing w:before="43"/>
              <w:ind w:left="190" w:right="200"/>
              <w:jc w:val="center"/>
              <w:rPr>
                <w:sz w:val="20"/>
              </w:rPr>
            </w:pPr>
            <w:r>
              <w:rPr>
                <w:sz w:val="20"/>
              </w:rPr>
              <w:t>Above NT mean</w:t>
            </w:r>
          </w:p>
        </w:tc>
        <w:tc>
          <w:tcPr>
            <w:tcW w:w="975" w:type="dxa"/>
            <w:tcBorders>
              <w:top w:val="single" w:sz="4" w:space="0" w:color="000000"/>
            </w:tcBorders>
          </w:tcPr>
          <w:p w14:paraId="6F22B39C" w14:textId="77777777" w:rsidR="00C75312" w:rsidRDefault="00BB293A">
            <w:pPr>
              <w:pStyle w:val="TableParagraph"/>
              <w:spacing w:before="43"/>
              <w:ind w:left="194" w:right="332"/>
              <w:jc w:val="center"/>
              <w:rPr>
                <w:sz w:val="20"/>
              </w:rPr>
            </w:pPr>
            <w:r>
              <w:rPr>
                <w:sz w:val="20"/>
              </w:rPr>
              <w:t>10</w:t>
            </w:r>
          </w:p>
        </w:tc>
        <w:tc>
          <w:tcPr>
            <w:tcW w:w="1022" w:type="dxa"/>
            <w:tcBorders>
              <w:top w:val="single" w:sz="4" w:space="0" w:color="000000"/>
            </w:tcBorders>
          </w:tcPr>
          <w:p w14:paraId="21515A9D" w14:textId="77777777" w:rsidR="00C75312" w:rsidRDefault="00BB293A">
            <w:pPr>
              <w:pStyle w:val="TableParagraph"/>
              <w:spacing w:before="43"/>
              <w:ind w:left="335" w:right="367"/>
              <w:jc w:val="center"/>
              <w:rPr>
                <w:sz w:val="20"/>
              </w:rPr>
            </w:pPr>
            <w:r>
              <w:rPr>
                <w:sz w:val="20"/>
              </w:rPr>
              <w:t>12</w:t>
            </w:r>
          </w:p>
        </w:tc>
        <w:tc>
          <w:tcPr>
            <w:tcW w:w="327" w:type="dxa"/>
            <w:tcBorders>
              <w:top w:val="single" w:sz="4" w:space="0" w:color="000000"/>
            </w:tcBorders>
          </w:tcPr>
          <w:p w14:paraId="490E0516" w14:textId="77777777" w:rsidR="00C75312" w:rsidRDefault="00C75312">
            <w:pPr>
              <w:pStyle w:val="TableParagraph"/>
            </w:pPr>
          </w:p>
        </w:tc>
        <w:tc>
          <w:tcPr>
            <w:tcW w:w="1822" w:type="dxa"/>
            <w:tcBorders>
              <w:top w:val="single" w:sz="4" w:space="0" w:color="000000"/>
            </w:tcBorders>
          </w:tcPr>
          <w:p w14:paraId="39E604D8" w14:textId="77777777" w:rsidR="00C75312" w:rsidRDefault="00BB293A">
            <w:pPr>
              <w:pStyle w:val="TableParagraph"/>
              <w:spacing w:before="43"/>
              <w:ind w:left="114"/>
              <w:rPr>
                <w:sz w:val="20"/>
              </w:rPr>
            </w:pPr>
            <w:r>
              <w:rPr>
                <w:sz w:val="20"/>
              </w:rPr>
              <w:t>Above NT median</w:t>
            </w:r>
          </w:p>
        </w:tc>
        <w:tc>
          <w:tcPr>
            <w:tcW w:w="971" w:type="dxa"/>
            <w:tcBorders>
              <w:top w:val="single" w:sz="4" w:space="0" w:color="000000"/>
            </w:tcBorders>
          </w:tcPr>
          <w:p w14:paraId="4854A2DE" w14:textId="77777777" w:rsidR="00C75312" w:rsidRDefault="00BB293A">
            <w:pPr>
              <w:pStyle w:val="TableParagraph"/>
              <w:spacing w:before="43"/>
              <w:ind w:left="113" w:right="254"/>
              <w:jc w:val="center"/>
              <w:rPr>
                <w:sz w:val="20"/>
              </w:rPr>
            </w:pPr>
            <w:r>
              <w:rPr>
                <w:sz w:val="20"/>
              </w:rPr>
              <w:t>10</w:t>
            </w:r>
          </w:p>
        </w:tc>
        <w:tc>
          <w:tcPr>
            <w:tcW w:w="1020" w:type="dxa"/>
            <w:tcBorders>
              <w:top w:val="single" w:sz="4" w:space="0" w:color="000000"/>
            </w:tcBorders>
          </w:tcPr>
          <w:p w14:paraId="71F8F4AA" w14:textId="77777777" w:rsidR="00C75312" w:rsidRDefault="00BB293A">
            <w:pPr>
              <w:pStyle w:val="TableParagraph"/>
              <w:spacing w:before="43"/>
              <w:ind w:left="335" w:right="366"/>
              <w:jc w:val="center"/>
              <w:rPr>
                <w:sz w:val="20"/>
              </w:rPr>
            </w:pPr>
            <w:r>
              <w:rPr>
                <w:sz w:val="20"/>
              </w:rPr>
              <w:t>11</w:t>
            </w:r>
          </w:p>
        </w:tc>
      </w:tr>
      <w:tr w:rsidR="00C75312" w14:paraId="71602367" w14:textId="77777777">
        <w:trPr>
          <w:trHeight w:val="519"/>
        </w:trPr>
        <w:tc>
          <w:tcPr>
            <w:tcW w:w="1129" w:type="dxa"/>
            <w:tcBorders>
              <w:bottom w:val="single" w:sz="4" w:space="0" w:color="000000"/>
            </w:tcBorders>
          </w:tcPr>
          <w:p w14:paraId="7FFFD7AA" w14:textId="77777777" w:rsidR="00C75312" w:rsidRDefault="00BB293A">
            <w:pPr>
              <w:pStyle w:val="TableParagraph"/>
              <w:spacing w:before="107"/>
              <w:ind w:left="112"/>
              <w:rPr>
                <w:b/>
                <w:sz w:val="20"/>
              </w:rPr>
            </w:pPr>
            <w:r>
              <w:rPr>
                <w:b/>
                <w:sz w:val="20"/>
              </w:rPr>
              <w:t>condition</w:t>
            </w:r>
          </w:p>
        </w:tc>
        <w:tc>
          <w:tcPr>
            <w:tcW w:w="1768" w:type="dxa"/>
            <w:tcBorders>
              <w:bottom w:val="single" w:sz="4" w:space="0" w:color="000000"/>
            </w:tcBorders>
          </w:tcPr>
          <w:p w14:paraId="1501A3A6" w14:textId="77777777" w:rsidR="00C75312" w:rsidRDefault="00BB293A">
            <w:pPr>
              <w:pStyle w:val="TableParagraph"/>
              <w:spacing w:before="107"/>
              <w:ind w:left="177" w:right="202"/>
              <w:jc w:val="center"/>
              <w:rPr>
                <w:sz w:val="20"/>
              </w:rPr>
            </w:pPr>
            <w:r>
              <w:rPr>
                <w:sz w:val="20"/>
              </w:rPr>
              <w:t>Below NT mean</w:t>
            </w:r>
          </w:p>
        </w:tc>
        <w:tc>
          <w:tcPr>
            <w:tcW w:w="975" w:type="dxa"/>
            <w:tcBorders>
              <w:bottom w:val="single" w:sz="4" w:space="0" w:color="000000"/>
            </w:tcBorders>
          </w:tcPr>
          <w:p w14:paraId="7AEFD9C3" w14:textId="77777777" w:rsidR="00C75312" w:rsidRDefault="00BB293A">
            <w:pPr>
              <w:pStyle w:val="TableParagraph"/>
              <w:spacing w:before="107"/>
              <w:ind w:left="194" w:right="332"/>
              <w:jc w:val="center"/>
              <w:rPr>
                <w:sz w:val="20"/>
              </w:rPr>
            </w:pPr>
            <w:r>
              <w:rPr>
                <w:sz w:val="20"/>
              </w:rPr>
              <w:t>10</w:t>
            </w:r>
          </w:p>
        </w:tc>
        <w:tc>
          <w:tcPr>
            <w:tcW w:w="1022" w:type="dxa"/>
            <w:tcBorders>
              <w:bottom w:val="single" w:sz="4" w:space="0" w:color="000000"/>
            </w:tcBorders>
          </w:tcPr>
          <w:p w14:paraId="5E821276" w14:textId="77777777" w:rsidR="00C75312" w:rsidRDefault="00BB293A">
            <w:pPr>
              <w:pStyle w:val="TableParagraph"/>
              <w:spacing w:before="107"/>
              <w:ind w:right="37"/>
              <w:jc w:val="center"/>
              <w:rPr>
                <w:sz w:val="20"/>
              </w:rPr>
            </w:pPr>
            <w:r>
              <w:rPr>
                <w:sz w:val="20"/>
              </w:rPr>
              <w:t>8</w:t>
            </w:r>
          </w:p>
        </w:tc>
        <w:tc>
          <w:tcPr>
            <w:tcW w:w="327" w:type="dxa"/>
            <w:tcBorders>
              <w:bottom w:val="single" w:sz="4" w:space="0" w:color="000000"/>
            </w:tcBorders>
          </w:tcPr>
          <w:p w14:paraId="3F0B2630" w14:textId="77777777" w:rsidR="00C75312" w:rsidRDefault="00C75312">
            <w:pPr>
              <w:pStyle w:val="TableParagraph"/>
            </w:pPr>
          </w:p>
        </w:tc>
        <w:tc>
          <w:tcPr>
            <w:tcW w:w="1822" w:type="dxa"/>
            <w:tcBorders>
              <w:bottom w:val="single" w:sz="4" w:space="0" w:color="000000"/>
            </w:tcBorders>
          </w:tcPr>
          <w:p w14:paraId="29C4D9CD" w14:textId="77777777" w:rsidR="00C75312" w:rsidRDefault="00BB293A">
            <w:pPr>
              <w:pStyle w:val="TableParagraph"/>
              <w:spacing w:before="107"/>
              <w:ind w:left="118"/>
              <w:rPr>
                <w:sz w:val="20"/>
              </w:rPr>
            </w:pPr>
            <w:r>
              <w:rPr>
                <w:sz w:val="20"/>
              </w:rPr>
              <w:t>Below NT median</w:t>
            </w:r>
          </w:p>
        </w:tc>
        <w:tc>
          <w:tcPr>
            <w:tcW w:w="971" w:type="dxa"/>
            <w:tcBorders>
              <w:bottom w:val="single" w:sz="4" w:space="0" w:color="000000"/>
            </w:tcBorders>
          </w:tcPr>
          <w:p w14:paraId="7FE4698E" w14:textId="77777777" w:rsidR="00C75312" w:rsidRDefault="00BB293A">
            <w:pPr>
              <w:pStyle w:val="TableParagraph"/>
              <w:spacing w:before="107"/>
              <w:ind w:left="113" w:right="254"/>
              <w:jc w:val="center"/>
              <w:rPr>
                <w:sz w:val="20"/>
              </w:rPr>
            </w:pPr>
            <w:r>
              <w:rPr>
                <w:sz w:val="20"/>
              </w:rPr>
              <w:t>10</w:t>
            </w:r>
          </w:p>
        </w:tc>
        <w:tc>
          <w:tcPr>
            <w:tcW w:w="1020" w:type="dxa"/>
            <w:tcBorders>
              <w:bottom w:val="single" w:sz="4" w:space="0" w:color="000000"/>
            </w:tcBorders>
          </w:tcPr>
          <w:p w14:paraId="78B275DA" w14:textId="77777777" w:rsidR="00C75312" w:rsidRDefault="00BB293A">
            <w:pPr>
              <w:pStyle w:val="TableParagraph"/>
              <w:spacing w:before="107"/>
              <w:ind w:right="34"/>
              <w:jc w:val="center"/>
              <w:rPr>
                <w:sz w:val="20"/>
              </w:rPr>
            </w:pPr>
            <w:r>
              <w:rPr>
                <w:sz w:val="20"/>
              </w:rPr>
              <w:t>9</w:t>
            </w:r>
          </w:p>
        </w:tc>
      </w:tr>
      <w:tr w:rsidR="00C75312" w14:paraId="2A582386" w14:textId="77777777">
        <w:trPr>
          <w:trHeight w:val="390"/>
        </w:trPr>
        <w:tc>
          <w:tcPr>
            <w:tcW w:w="1129" w:type="dxa"/>
            <w:tcBorders>
              <w:top w:val="single" w:sz="4" w:space="0" w:color="000000"/>
            </w:tcBorders>
          </w:tcPr>
          <w:p w14:paraId="103B2653" w14:textId="77777777" w:rsidR="00C75312" w:rsidRDefault="00BB293A">
            <w:pPr>
              <w:pStyle w:val="TableParagraph"/>
              <w:spacing w:before="43"/>
              <w:ind w:left="112"/>
              <w:rPr>
                <w:b/>
                <w:sz w:val="20"/>
              </w:rPr>
            </w:pPr>
            <w:proofErr w:type="spellStart"/>
            <w:r>
              <w:rPr>
                <w:b/>
                <w:sz w:val="20"/>
              </w:rPr>
              <w:t>Nonfocal</w:t>
            </w:r>
            <w:proofErr w:type="spellEnd"/>
          </w:p>
        </w:tc>
        <w:tc>
          <w:tcPr>
            <w:tcW w:w="1768" w:type="dxa"/>
            <w:tcBorders>
              <w:top w:val="single" w:sz="4" w:space="0" w:color="000000"/>
            </w:tcBorders>
          </w:tcPr>
          <w:p w14:paraId="4839F407" w14:textId="77777777" w:rsidR="00C75312" w:rsidRDefault="00BB293A">
            <w:pPr>
              <w:pStyle w:val="TableParagraph"/>
              <w:spacing w:before="43"/>
              <w:ind w:left="190" w:right="200"/>
              <w:jc w:val="center"/>
              <w:rPr>
                <w:sz w:val="20"/>
              </w:rPr>
            </w:pPr>
            <w:r>
              <w:rPr>
                <w:sz w:val="20"/>
              </w:rPr>
              <w:t>Above NT mean</w:t>
            </w:r>
          </w:p>
        </w:tc>
        <w:tc>
          <w:tcPr>
            <w:tcW w:w="975" w:type="dxa"/>
            <w:tcBorders>
              <w:top w:val="single" w:sz="4" w:space="0" w:color="000000"/>
            </w:tcBorders>
          </w:tcPr>
          <w:p w14:paraId="72537B05" w14:textId="77777777" w:rsidR="00C75312" w:rsidRDefault="00BB293A">
            <w:pPr>
              <w:pStyle w:val="TableParagraph"/>
              <w:spacing w:before="43"/>
              <w:ind w:right="133"/>
              <w:jc w:val="center"/>
              <w:rPr>
                <w:sz w:val="20"/>
              </w:rPr>
            </w:pPr>
            <w:r>
              <w:rPr>
                <w:sz w:val="20"/>
              </w:rPr>
              <w:t>7</w:t>
            </w:r>
          </w:p>
        </w:tc>
        <w:tc>
          <w:tcPr>
            <w:tcW w:w="1022" w:type="dxa"/>
            <w:tcBorders>
              <w:top w:val="single" w:sz="4" w:space="0" w:color="000000"/>
            </w:tcBorders>
          </w:tcPr>
          <w:p w14:paraId="07A35DCA" w14:textId="77777777" w:rsidR="00C75312" w:rsidRDefault="00BB293A">
            <w:pPr>
              <w:pStyle w:val="TableParagraph"/>
              <w:spacing w:before="43"/>
              <w:ind w:left="335" w:right="367"/>
              <w:jc w:val="center"/>
              <w:rPr>
                <w:sz w:val="20"/>
              </w:rPr>
            </w:pPr>
            <w:r>
              <w:rPr>
                <w:sz w:val="20"/>
              </w:rPr>
              <w:t>10</w:t>
            </w:r>
          </w:p>
        </w:tc>
        <w:tc>
          <w:tcPr>
            <w:tcW w:w="327" w:type="dxa"/>
            <w:tcBorders>
              <w:top w:val="single" w:sz="4" w:space="0" w:color="000000"/>
            </w:tcBorders>
          </w:tcPr>
          <w:p w14:paraId="2151C24F" w14:textId="77777777" w:rsidR="00C75312" w:rsidRDefault="00C75312">
            <w:pPr>
              <w:pStyle w:val="TableParagraph"/>
            </w:pPr>
          </w:p>
        </w:tc>
        <w:tc>
          <w:tcPr>
            <w:tcW w:w="1822" w:type="dxa"/>
            <w:tcBorders>
              <w:top w:val="single" w:sz="4" w:space="0" w:color="000000"/>
            </w:tcBorders>
          </w:tcPr>
          <w:p w14:paraId="589825D1" w14:textId="77777777" w:rsidR="00C75312" w:rsidRDefault="00BB293A">
            <w:pPr>
              <w:pStyle w:val="TableParagraph"/>
              <w:spacing w:before="43"/>
              <w:ind w:left="114"/>
              <w:rPr>
                <w:sz w:val="20"/>
              </w:rPr>
            </w:pPr>
            <w:r>
              <w:rPr>
                <w:sz w:val="20"/>
              </w:rPr>
              <w:t>Above NT median</w:t>
            </w:r>
          </w:p>
        </w:tc>
        <w:tc>
          <w:tcPr>
            <w:tcW w:w="971" w:type="dxa"/>
            <w:tcBorders>
              <w:top w:val="single" w:sz="4" w:space="0" w:color="000000"/>
            </w:tcBorders>
          </w:tcPr>
          <w:p w14:paraId="5FEFA9F3" w14:textId="77777777" w:rsidR="00C75312" w:rsidRDefault="00BB293A">
            <w:pPr>
              <w:pStyle w:val="TableParagraph"/>
              <w:spacing w:before="43"/>
              <w:ind w:right="146"/>
              <w:jc w:val="center"/>
              <w:rPr>
                <w:sz w:val="20"/>
              </w:rPr>
            </w:pPr>
            <w:r>
              <w:rPr>
                <w:sz w:val="20"/>
              </w:rPr>
              <w:t>7</w:t>
            </w:r>
          </w:p>
        </w:tc>
        <w:tc>
          <w:tcPr>
            <w:tcW w:w="1020" w:type="dxa"/>
            <w:tcBorders>
              <w:top w:val="single" w:sz="4" w:space="0" w:color="000000"/>
            </w:tcBorders>
          </w:tcPr>
          <w:p w14:paraId="0857C61E" w14:textId="77777777" w:rsidR="00C75312" w:rsidRDefault="00BB293A">
            <w:pPr>
              <w:pStyle w:val="TableParagraph"/>
              <w:spacing w:before="43"/>
              <w:ind w:left="335" w:right="366"/>
              <w:jc w:val="center"/>
              <w:rPr>
                <w:sz w:val="20"/>
              </w:rPr>
            </w:pPr>
            <w:r>
              <w:rPr>
                <w:sz w:val="20"/>
              </w:rPr>
              <w:t>10</w:t>
            </w:r>
          </w:p>
        </w:tc>
      </w:tr>
      <w:tr w:rsidR="00C75312" w14:paraId="1C946F43" w14:textId="77777777">
        <w:trPr>
          <w:trHeight w:val="516"/>
        </w:trPr>
        <w:tc>
          <w:tcPr>
            <w:tcW w:w="1129" w:type="dxa"/>
            <w:tcBorders>
              <w:bottom w:val="single" w:sz="4" w:space="0" w:color="000000"/>
            </w:tcBorders>
          </w:tcPr>
          <w:p w14:paraId="12578F1E" w14:textId="77777777" w:rsidR="00C75312" w:rsidRDefault="00BB293A">
            <w:pPr>
              <w:pStyle w:val="TableParagraph"/>
              <w:spacing w:before="109"/>
              <w:ind w:left="112"/>
              <w:rPr>
                <w:b/>
                <w:sz w:val="20"/>
              </w:rPr>
            </w:pPr>
            <w:r>
              <w:rPr>
                <w:b/>
                <w:sz w:val="20"/>
              </w:rPr>
              <w:t>condition</w:t>
            </w:r>
          </w:p>
        </w:tc>
        <w:tc>
          <w:tcPr>
            <w:tcW w:w="1768" w:type="dxa"/>
            <w:tcBorders>
              <w:bottom w:val="single" w:sz="4" w:space="0" w:color="000000"/>
            </w:tcBorders>
          </w:tcPr>
          <w:p w14:paraId="441A37A8" w14:textId="77777777" w:rsidR="00C75312" w:rsidRDefault="00BB293A">
            <w:pPr>
              <w:pStyle w:val="TableParagraph"/>
              <w:spacing w:before="109"/>
              <w:ind w:left="177" w:right="202"/>
              <w:jc w:val="center"/>
              <w:rPr>
                <w:sz w:val="20"/>
              </w:rPr>
            </w:pPr>
            <w:r>
              <w:rPr>
                <w:sz w:val="20"/>
              </w:rPr>
              <w:t>Below NT mean</w:t>
            </w:r>
          </w:p>
        </w:tc>
        <w:tc>
          <w:tcPr>
            <w:tcW w:w="975" w:type="dxa"/>
            <w:tcBorders>
              <w:bottom w:val="single" w:sz="4" w:space="0" w:color="000000"/>
            </w:tcBorders>
          </w:tcPr>
          <w:p w14:paraId="3CD605FE" w14:textId="77777777" w:rsidR="00C75312" w:rsidRDefault="00BB293A">
            <w:pPr>
              <w:pStyle w:val="TableParagraph"/>
              <w:spacing w:before="109"/>
              <w:ind w:left="194" w:right="332"/>
              <w:jc w:val="center"/>
              <w:rPr>
                <w:sz w:val="20"/>
              </w:rPr>
            </w:pPr>
            <w:r>
              <w:rPr>
                <w:sz w:val="20"/>
              </w:rPr>
              <w:t>13</w:t>
            </w:r>
          </w:p>
        </w:tc>
        <w:tc>
          <w:tcPr>
            <w:tcW w:w="1022" w:type="dxa"/>
            <w:tcBorders>
              <w:bottom w:val="single" w:sz="4" w:space="0" w:color="000000"/>
            </w:tcBorders>
          </w:tcPr>
          <w:p w14:paraId="79B0B291" w14:textId="77777777" w:rsidR="00C75312" w:rsidRDefault="00BB293A">
            <w:pPr>
              <w:pStyle w:val="TableParagraph"/>
              <w:spacing w:before="109"/>
              <w:ind w:left="335" w:right="367"/>
              <w:jc w:val="center"/>
              <w:rPr>
                <w:sz w:val="20"/>
              </w:rPr>
            </w:pPr>
            <w:r>
              <w:rPr>
                <w:sz w:val="20"/>
              </w:rPr>
              <w:t>10</w:t>
            </w:r>
          </w:p>
        </w:tc>
        <w:tc>
          <w:tcPr>
            <w:tcW w:w="327" w:type="dxa"/>
            <w:tcBorders>
              <w:bottom w:val="single" w:sz="4" w:space="0" w:color="000000"/>
            </w:tcBorders>
          </w:tcPr>
          <w:p w14:paraId="0ABF67F4" w14:textId="77777777" w:rsidR="00C75312" w:rsidRDefault="00C75312">
            <w:pPr>
              <w:pStyle w:val="TableParagraph"/>
            </w:pPr>
          </w:p>
        </w:tc>
        <w:tc>
          <w:tcPr>
            <w:tcW w:w="1822" w:type="dxa"/>
            <w:tcBorders>
              <w:bottom w:val="single" w:sz="4" w:space="0" w:color="000000"/>
            </w:tcBorders>
          </w:tcPr>
          <w:p w14:paraId="6C03B81B" w14:textId="77777777" w:rsidR="00C75312" w:rsidRDefault="00BB293A">
            <w:pPr>
              <w:pStyle w:val="TableParagraph"/>
              <w:spacing w:before="109"/>
              <w:ind w:left="118"/>
              <w:rPr>
                <w:sz w:val="20"/>
              </w:rPr>
            </w:pPr>
            <w:r>
              <w:rPr>
                <w:sz w:val="20"/>
              </w:rPr>
              <w:t>Below NT median</w:t>
            </w:r>
          </w:p>
        </w:tc>
        <w:tc>
          <w:tcPr>
            <w:tcW w:w="971" w:type="dxa"/>
            <w:tcBorders>
              <w:bottom w:val="single" w:sz="4" w:space="0" w:color="000000"/>
            </w:tcBorders>
          </w:tcPr>
          <w:p w14:paraId="65BAD40D" w14:textId="77777777" w:rsidR="00C75312" w:rsidRDefault="00BB293A">
            <w:pPr>
              <w:pStyle w:val="TableParagraph"/>
              <w:spacing w:before="109"/>
              <w:ind w:left="113" w:right="254"/>
              <w:jc w:val="center"/>
              <w:rPr>
                <w:sz w:val="20"/>
              </w:rPr>
            </w:pPr>
            <w:r>
              <w:rPr>
                <w:sz w:val="20"/>
              </w:rPr>
              <w:t>13</w:t>
            </w:r>
          </w:p>
        </w:tc>
        <w:tc>
          <w:tcPr>
            <w:tcW w:w="1020" w:type="dxa"/>
            <w:tcBorders>
              <w:bottom w:val="single" w:sz="4" w:space="0" w:color="000000"/>
            </w:tcBorders>
          </w:tcPr>
          <w:p w14:paraId="4B65D475" w14:textId="77777777" w:rsidR="00C75312" w:rsidRDefault="00BB293A">
            <w:pPr>
              <w:pStyle w:val="TableParagraph"/>
              <w:spacing w:before="109"/>
              <w:ind w:left="335" w:right="366"/>
              <w:jc w:val="center"/>
              <w:rPr>
                <w:sz w:val="20"/>
              </w:rPr>
            </w:pPr>
            <w:r>
              <w:rPr>
                <w:sz w:val="20"/>
              </w:rPr>
              <w:t>10</w:t>
            </w:r>
          </w:p>
        </w:tc>
      </w:tr>
    </w:tbl>
    <w:p w14:paraId="057D2041" w14:textId="77777777" w:rsidR="00C75312" w:rsidRDefault="00C75312">
      <w:pPr>
        <w:pStyle w:val="BodyText"/>
        <w:spacing w:before="10"/>
        <w:rPr>
          <w:b/>
          <w:sz w:val="23"/>
        </w:rPr>
      </w:pPr>
    </w:p>
    <w:p w14:paraId="2C4B18F5" w14:textId="77777777" w:rsidR="00C75312" w:rsidRDefault="00BB293A">
      <w:pPr>
        <w:pStyle w:val="Heading1"/>
        <w:jc w:val="both"/>
      </w:pPr>
      <w:r>
        <w:t>Correlations with ASD symptoms</w:t>
      </w:r>
    </w:p>
    <w:p w14:paraId="58094372" w14:textId="77777777" w:rsidR="00C75312" w:rsidRDefault="00C75312">
      <w:pPr>
        <w:pStyle w:val="BodyText"/>
        <w:spacing w:before="5"/>
        <w:rPr>
          <w:b/>
        </w:rPr>
      </w:pPr>
    </w:p>
    <w:p w14:paraId="766D6173" w14:textId="77777777" w:rsidR="00C75312" w:rsidRDefault="00BB293A">
      <w:pPr>
        <w:pStyle w:val="BodyText"/>
        <w:spacing w:line="480" w:lineRule="auto"/>
        <w:ind w:left="140" w:right="1429" w:firstLine="720"/>
        <w:jc w:val="both"/>
      </w:pPr>
      <w:r>
        <w:t xml:space="preserve">Non-parametric Spearman-Rho correlation analyses revealed no significant correlations between the SRS total score and </w:t>
      </w:r>
      <w:proofErr w:type="spellStart"/>
      <w:r>
        <w:t>behavioural</w:t>
      </w:r>
      <w:proofErr w:type="spellEnd"/>
      <w:r>
        <w:t xml:space="preserve"> performance (ongoing task and PM) when </w:t>
      </w:r>
      <w:proofErr w:type="spellStart"/>
      <w:r>
        <w:t>analysing</w:t>
      </w:r>
      <w:proofErr w:type="spellEnd"/>
      <w:r>
        <w:t xml:space="preserve"> the data collapsed across both groups (all </w:t>
      </w:r>
      <w:proofErr w:type="spellStart"/>
      <w:r>
        <w:rPr>
          <w:i/>
        </w:rPr>
        <w:t>r</w:t>
      </w:r>
      <w:r>
        <w:t>s</w:t>
      </w:r>
      <w:proofErr w:type="spellEnd"/>
      <w:r>
        <w:t xml:space="preserve"> ≤ -.28, all </w:t>
      </w:r>
      <w:proofErr w:type="spellStart"/>
      <w:r>
        <w:rPr>
          <w:i/>
        </w:rPr>
        <w:t>p</w:t>
      </w:r>
      <w:r>
        <w:t>s</w:t>
      </w:r>
      <w:proofErr w:type="spellEnd"/>
      <w:r>
        <w:t xml:space="preserve"> ≥ .08). When </w:t>
      </w:r>
      <w:proofErr w:type="spellStart"/>
      <w:r>
        <w:t>analysing</w:t>
      </w:r>
      <w:proofErr w:type="spellEnd"/>
      <w:r>
        <w:t xml:space="preserve"> groups separately, there were no significant correlations in the ASD group (all </w:t>
      </w:r>
      <w:proofErr w:type="spellStart"/>
      <w:r>
        <w:rPr>
          <w:i/>
        </w:rPr>
        <w:t>r</w:t>
      </w:r>
      <w:r>
        <w:t>s</w:t>
      </w:r>
      <w:proofErr w:type="spellEnd"/>
      <w:r>
        <w:t xml:space="preserve"> ≤</w:t>
      </w:r>
    </w:p>
    <w:p w14:paraId="5D406E57" w14:textId="77777777" w:rsidR="00C75312" w:rsidRDefault="00BB293A">
      <w:pPr>
        <w:pStyle w:val="BodyText"/>
        <w:spacing w:line="480" w:lineRule="auto"/>
        <w:ind w:left="140" w:right="1429"/>
        <w:jc w:val="both"/>
      </w:pPr>
      <w:r>
        <w:t xml:space="preserve">-.34, all </w:t>
      </w:r>
      <w:proofErr w:type="spellStart"/>
      <w:r>
        <w:rPr>
          <w:i/>
        </w:rPr>
        <w:t>p</w:t>
      </w:r>
      <w:r>
        <w:t>s</w:t>
      </w:r>
      <w:proofErr w:type="spellEnd"/>
      <w:r>
        <w:t xml:space="preserve"> ≥ .14) and for the NT group (all </w:t>
      </w:r>
      <w:proofErr w:type="spellStart"/>
      <w:r>
        <w:rPr>
          <w:i/>
        </w:rPr>
        <w:t>r</w:t>
      </w:r>
      <w:r>
        <w:t>s</w:t>
      </w:r>
      <w:proofErr w:type="spellEnd"/>
      <w:r>
        <w:t xml:space="preserve"> ≤ -.30, all </w:t>
      </w:r>
      <w:proofErr w:type="spellStart"/>
      <w:r>
        <w:rPr>
          <w:i/>
        </w:rPr>
        <w:t>p</w:t>
      </w:r>
      <w:r>
        <w:t>s</w:t>
      </w:r>
      <w:proofErr w:type="spellEnd"/>
      <w:r>
        <w:t xml:space="preserve"> ≥ .19), apart from one marginally significant correlation between overall PM accuracy in the </w:t>
      </w:r>
      <w:proofErr w:type="spellStart"/>
      <w:r>
        <w:t>nonfocal</w:t>
      </w:r>
      <w:proofErr w:type="spellEnd"/>
      <w:r>
        <w:t xml:space="preserve"> condition and the SRS total score (r = -.45, p = .05). This indicates that NT children scoring higher on the SRS (although still below the clinical cut-off), performed less well in the </w:t>
      </w:r>
      <w:proofErr w:type="spellStart"/>
      <w:r>
        <w:t>nonfocal</w:t>
      </w:r>
      <w:proofErr w:type="spellEnd"/>
      <w:r>
        <w:t xml:space="preserve"> PM condition.</w:t>
      </w:r>
    </w:p>
    <w:p w14:paraId="0BD5D94C" w14:textId="77777777" w:rsidR="00C75312" w:rsidRDefault="00C75312">
      <w:pPr>
        <w:spacing w:line="480" w:lineRule="auto"/>
        <w:jc w:val="both"/>
        <w:sectPr w:rsidR="00C75312">
          <w:pgSz w:w="11900" w:h="16840"/>
          <w:pgMar w:top="1140" w:right="0" w:bottom="280" w:left="1300" w:header="715" w:footer="0" w:gutter="0"/>
          <w:cols w:space="720"/>
        </w:sectPr>
      </w:pPr>
    </w:p>
    <w:p w14:paraId="25FDFC59" w14:textId="77777777" w:rsidR="00C75312" w:rsidRDefault="00C75312">
      <w:pPr>
        <w:pStyle w:val="BodyText"/>
        <w:spacing w:before="2"/>
        <w:rPr>
          <w:sz w:val="18"/>
        </w:rPr>
      </w:pPr>
    </w:p>
    <w:p w14:paraId="1BC69D9A" w14:textId="77777777" w:rsidR="00C75312" w:rsidRDefault="00BB293A">
      <w:pPr>
        <w:pStyle w:val="Heading1"/>
        <w:spacing w:before="90"/>
        <w:ind w:left="25" w:right="1329"/>
        <w:jc w:val="center"/>
      </w:pPr>
      <w:bookmarkStart w:id="12" w:name="_TOC_250021"/>
      <w:bookmarkEnd w:id="12"/>
      <w:r>
        <w:t>Discussion</w:t>
      </w:r>
    </w:p>
    <w:p w14:paraId="2D98EA6C" w14:textId="77777777" w:rsidR="00C75312" w:rsidRDefault="00C75312">
      <w:pPr>
        <w:pStyle w:val="BodyText"/>
        <w:rPr>
          <w:b/>
        </w:rPr>
      </w:pPr>
    </w:p>
    <w:p w14:paraId="5E660407" w14:textId="77777777" w:rsidR="00C75312" w:rsidRDefault="00BB293A">
      <w:pPr>
        <w:pStyle w:val="BodyText"/>
        <w:spacing w:line="480" w:lineRule="auto"/>
        <w:ind w:left="140" w:right="1426" w:firstLine="720"/>
        <w:jc w:val="both"/>
      </w:pPr>
      <w:r>
        <w:t>Previous studies of event-based PM in ASD have produced mixed findings, with</w:t>
      </w:r>
      <w:r>
        <w:rPr>
          <w:spacing w:val="-23"/>
        </w:rPr>
        <w:t xml:space="preserve"> </w:t>
      </w:r>
      <w:r>
        <w:t xml:space="preserve">some studies reporting event-based PM impairments in ASD, but others reporting that this ability is undiminished in ASD (see Chapter 1). Until now, no study has explored the effect </w:t>
      </w:r>
      <w:r>
        <w:rPr>
          <w:spacing w:val="-3"/>
        </w:rPr>
        <w:t xml:space="preserve">of </w:t>
      </w:r>
      <w:r>
        <w:t>cue focality</w:t>
      </w:r>
      <w:r>
        <w:rPr>
          <w:spacing w:val="-10"/>
        </w:rPr>
        <w:t xml:space="preserve"> </w:t>
      </w:r>
      <w:r>
        <w:t>on</w:t>
      </w:r>
      <w:r>
        <w:rPr>
          <w:spacing w:val="-9"/>
        </w:rPr>
        <w:t xml:space="preserve"> </w:t>
      </w:r>
      <w:r>
        <w:t>event-based</w:t>
      </w:r>
      <w:r>
        <w:rPr>
          <w:spacing w:val="-10"/>
        </w:rPr>
        <w:t xml:space="preserve"> </w:t>
      </w:r>
      <w:r>
        <w:t>PM</w:t>
      </w:r>
      <w:r>
        <w:rPr>
          <w:spacing w:val="-11"/>
        </w:rPr>
        <w:t xml:space="preserve"> </w:t>
      </w:r>
      <w:r>
        <w:t>in</w:t>
      </w:r>
      <w:r>
        <w:rPr>
          <w:spacing w:val="-10"/>
        </w:rPr>
        <w:t xml:space="preserve"> </w:t>
      </w:r>
      <w:r>
        <w:t>ASD.</w:t>
      </w:r>
      <w:r>
        <w:rPr>
          <w:spacing w:val="45"/>
        </w:rPr>
        <w:t xml:space="preserve"> </w:t>
      </w:r>
      <w:r>
        <w:t>Given</w:t>
      </w:r>
      <w:r>
        <w:rPr>
          <w:spacing w:val="-9"/>
        </w:rPr>
        <w:t xml:space="preserve"> </w:t>
      </w:r>
      <w:r>
        <w:t>that</w:t>
      </w:r>
      <w:r>
        <w:rPr>
          <w:spacing w:val="-9"/>
        </w:rPr>
        <w:t xml:space="preserve"> </w:t>
      </w:r>
      <w:r>
        <w:t>PM</w:t>
      </w:r>
      <w:r>
        <w:rPr>
          <w:spacing w:val="-11"/>
        </w:rPr>
        <w:t xml:space="preserve"> </w:t>
      </w:r>
      <w:r>
        <w:t>tasks</w:t>
      </w:r>
      <w:r>
        <w:rPr>
          <w:spacing w:val="-11"/>
        </w:rPr>
        <w:t xml:space="preserve"> </w:t>
      </w:r>
      <w:r>
        <w:t>involving</w:t>
      </w:r>
      <w:r>
        <w:rPr>
          <w:spacing w:val="-10"/>
        </w:rPr>
        <w:t xml:space="preserve"> </w:t>
      </w:r>
      <w:proofErr w:type="spellStart"/>
      <w:r>
        <w:t>nonfocal</w:t>
      </w:r>
      <w:proofErr w:type="spellEnd"/>
      <w:r>
        <w:rPr>
          <w:spacing w:val="-8"/>
        </w:rPr>
        <w:t xml:space="preserve"> </w:t>
      </w:r>
      <w:r>
        <w:t>cues</w:t>
      </w:r>
      <w:r>
        <w:rPr>
          <w:spacing w:val="-12"/>
        </w:rPr>
        <w:t xml:space="preserve"> </w:t>
      </w:r>
      <w:r>
        <w:t>(that</w:t>
      </w:r>
      <w:r>
        <w:rPr>
          <w:spacing w:val="-8"/>
        </w:rPr>
        <w:t xml:space="preserve"> </w:t>
      </w:r>
      <w:r>
        <w:t>are</w:t>
      </w:r>
      <w:r>
        <w:rPr>
          <w:spacing w:val="-10"/>
        </w:rPr>
        <w:t xml:space="preserve"> </w:t>
      </w:r>
      <w:r>
        <w:t>not processed directly as part of ongoing task completion) require greater executive control than do PM tasks that involve focal cues (that are processed directly as part of ongoing task completion),</w:t>
      </w:r>
      <w:r>
        <w:rPr>
          <w:spacing w:val="-8"/>
        </w:rPr>
        <w:t xml:space="preserve"> </w:t>
      </w:r>
      <w:r>
        <w:t>it</w:t>
      </w:r>
      <w:r>
        <w:rPr>
          <w:spacing w:val="-5"/>
        </w:rPr>
        <w:t xml:space="preserve"> </w:t>
      </w:r>
      <w:r>
        <w:t>was</w:t>
      </w:r>
      <w:r>
        <w:rPr>
          <w:spacing w:val="-8"/>
        </w:rPr>
        <w:t xml:space="preserve"> </w:t>
      </w:r>
      <w:r>
        <w:t>speculated</w:t>
      </w:r>
      <w:r>
        <w:rPr>
          <w:spacing w:val="-5"/>
        </w:rPr>
        <w:t xml:space="preserve"> </w:t>
      </w:r>
      <w:r>
        <w:t>that</w:t>
      </w:r>
      <w:r>
        <w:rPr>
          <w:spacing w:val="-5"/>
        </w:rPr>
        <w:t xml:space="preserve"> </w:t>
      </w:r>
      <w:r>
        <w:t>individuals</w:t>
      </w:r>
      <w:r>
        <w:rPr>
          <w:spacing w:val="-8"/>
        </w:rPr>
        <w:t xml:space="preserve"> </w:t>
      </w:r>
      <w:r>
        <w:t>with</w:t>
      </w:r>
      <w:r>
        <w:rPr>
          <w:spacing w:val="-5"/>
        </w:rPr>
        <w:t xml:space="preserve"> </w:t>
      </w:r>
      <w:r>
        <w:t>ASD</w:t>
      </w:r>
      <w:r>
        <w:rPr>
          <w:spacing w:val="-6"/>
        </w:rPr>
        <w:t xml:space="preserve"> </w:t>
      </w:r>
      <w:r>
        <w:t>might</w:t>
      </w:r>
      <w:r>
        <w:rPr>
          <w:spacing w:val="-10"/>
        </w:rPr>
        <w:t xml:space="preserve"> </w:t>
      </w:r>
      <w:r>
        <w:t>show</w:t>
      </w:r>
      <w:r>
        <w:rPr>
          <w:spacing w:val="-5"/>
        </w:rPr>
        <w:t xml:space="preserve"> </w:t>
      </w:r>
      <w:r>
        <w:t>diminished</w:t>
      </w:r>
      <w:r>
        <w:rPr>
          <w:spacing w:val="-6"/>
        </w:rPr>
        <w:t xml:space="preserve"> </w:t>
      </w:r>
      <w:r>
        <w:t xml:space="preserve">performance in a task that involved </w:t>
      </w:r>
      <w:proofErr w:type="spellStart"/>
      <w:r>
        <w:t>nonfocal</w:t>
      </w:r>
      <w:proofErr w:type="spellEnd"/>
      <w:r>
        <w:t xml:space="preserve"> cues, but not in a comparable task that involved focal cues. In that case, it might have partially explained discrepant results regarding event-based PM abilities</w:t>
      </w:r>
      <w:r>
        <w:rPr>
          <w:spacing w:val="-17"/>
        </w:rPr>
        <w:t xml:space="preserve"> </w:t>
      </w:r>
      <w:r>
        <w:t>in</w:t>
      </w:r>
      <w:r>
        <w:rPr>
          <w:spacing w:val="-14"/>
        </w:rPr>
        <w:t xml:space="preserve"> </w:t>
      </w:r>
      <w:r>
        <w:t>the</w:t>
      </w:r>
      <w:r>
        <w:rPr>
          <w:spacing w:val="-15"/>
        </w:rPr>
        <w:t xml:space="preserve"> </w:t>
      </w:r>
      <w:r>
        <w:t>literature</w:t>
      </w:r>
      <w:r>
        <w:rPr>
          <w:spacing w:val="-15"/>
        </w:rPr>
        <w:t xml:space="preserve"> </w:t>
      </w:r>
      <w:r>
        <w:t>to</w:t>
      </w:r>
      <w:r>
        <w:rPr>
          <w:spacing w:val="-14"/>
        </w:rPr>
        <w:t xml:space="preserve"> </w:t>
      </w:r>
      <w:r>
        <w:t>date.</w:t>
      </w:r>
      <w:r>
        <w:rPr>
          <w:spacing w:val="35"/>
        </w:rPr>
        <w:t xml:space="preserve"> </w:t>
      </w:r>
      <w:r>
        <w:t>On</w:t>
      </w:r>
      <w:r>
        <w:rPr>
          <w:spacing w:val="-14"/>
        </w:rPr>
        <w:t xml:space="preserve"> </w:t>
      </w:r>
      <w:r>
        <w:t>the</w:t>
      </w:r>
      <w:r>
        <w:rPr>
          <w:spacing w:val="-15"/>
        </w:rPr>
        <w:t xml:space="preserve"> </w:t>
      </w:r>
      <w:r>
        <w:t>contrary,</w:t>
      </w:r>
      <w:r>
        <w:rPr>
          <w:spacing w:val="-12"/>
        </w:rPr>
        <w:t xml:space="preserve"> </w:t>
      </w:r>
      <w:r>
        <w:t>however,</w:t>
      </w:r>
      <w:r>
        <w:rPr>
          <w:spacing w:val="-12"/>
        </w:rPr>
        <w:t xml:space="preserve"> </w:t>
      </w:r>
      <w:r>
        <w:t>participants</w:t>
      </w:r>
      <w:r>
        <w:rPr>
          <w:spacing w:val="-17"/>
        </w:rPr>
        <w:t xml:space="preserve"> </w:t>
      </w:r>
      <w:r>
        <w:t>with</w:t>
      </w:r>
      <w:r>
        <w:rPr>
          <w:spacing w:val="-14"/>
        </w:rPr>
        <w:t xml:space="preserve"> </w:t>
      </w:r>
      <w:r>
        <w:t>ASD</w:t>
      </w:r>
      <w:r>
        <w:rPr>
          <w:spacing w:val="-15"/>
        </w:rPr>
        <w:t xml:space="preserve"> </w:t>
      </w:r>
      <w:r>
        <w:t>in</w:t>
      </w:r>
      <w:r>
        <w:rPr>
          <w:spacing w:val="-13"/>
        </w:rPr>
        <w:t xml:space="preserve"> </w:t>
      </w:r>
      <w:r>
        <w:t>the</w:t>
      </w:r>
      <w:r>
        <w:rPr>
          <w:spacing w:val="-15"/>
        </w:rPr>
        <w:t xml:space="preserve"> </w:t>
      </w:r>
      <w:r>
        <w:t>current study</w:t>
      </w:r>
      <w:r>
        <w:rPr>
          <w:spacing w:val="-6"/>
        </w:rPr>
        <w:t xml:space="preserve"> </w:t>
      </w:r>
      <w:r>
        <w:t>showed</w:t>
      </w:r>
      <w:r>
        <w:rPr>
          <w:spacing w:val="-5"/>
        </w:rPr>
        <w:t xml:space="preserve"> </w:t>
      </w:r>
      <w:r>
        <w:t>no</w:t>
      </w:r>
      <w:r>
        <w:rPr>
          <w:spacing w:val="-6"/>
        </w:rPr>
        <w:t xml:space="preserve"> </w:t>
      </w:r>
      <w:r>
        <w:t>hint</w:t>
      </w:r>
      <w:r>
        <w:rPr>
          <w:spacing w:val="-4"/>
        </w:rPr>
        <w:t xml:space="preserve"> </w:t>
      </w:r>
      <w:r>
        <w:rPr>
          <w:spacing w:val="-3"/>
        </w:rPr>
        <w:t>of</w:t>
      </w:r>
      <w:r>
        <w:rPr>
          <w:spacing w:val="-4"/>
        </w:rPr>
        <w:t xml:space="preserve"> </w:t>
      </w:r>
      <w:r>
        <w:t>impairment</w:t>
      </w:r>
      <w:r>
        <w:rPr>
          <w:spacing w:val="-4"/>
        </w:rPr>
        <w:t xml:space="preserve"> </w:t>
      </w:r>
      <w:r>
        <w:t>on</w:t>
      </w:r>
      <w:r>
        <w:rPr>
          <w:spacing w:val="-11"/>
        </w:rPr>
        <w:t xml:space="preserve"> </w:t>
      </w:r>
      <w:r>
        <w:t>either</w:t>
      </w:r>
      <w:r>
        <w:rPr>
          <w:spacing w:val="-8"/>
        </w:rPr>
        <w:t xml:space="preserve"> </w:t>
      </w:r>
      <w:r>
        <w:t>focal</w:t>
      </w:r>
      <w:r>
        <w:rPr>
          <w:spacing w:val="-9"/>
        </w:rPr>
        <w:t xml:space="preserve"> </w:t>
      </w:r>
      <w:r>
        <w:t>or</w:t>
      </w:r>
      <w:r>
        <w:rPr>
          <w:spacing w:val="-4"/>
        </w:rPr>
        <w:t xml:space="preserve"> </w:t>
      </w:r>
      <w:proofErr w:type="spellStart"/>
      <w:r>
        <w:t>nonfocal</w:t>
      </w:r>
      <w:proofErr w:type="spellEnd"/>
      <w:r>
        <w:rPr>
          <w:spacing w:val="-4"/>
        </w:rPr>
        <w:t xml:space="preserve"> </w:t>
      </w:r>
      <w:r>
        <w:t>PM</w:t>
      </w:r>
      <w:r>
        <w:rPr>
          <w:spacing w:val="-7"/>
        </w:rPr>
        <w:t xml:space="preserve"> </w:t>
      </w:r>
      <w:r>
        <w:t>tasks,</w:t>
      </w:r>
      <w:r>
        <w:rPr>
          <w:spacing w:val="-8"/>
        </w:rPr>
        <w:t xml:space="preserve"> </w:t>
      </w:r>
      <w:r>
        <w:t>relative</w:t>
      </w:r>
      <w:r>
        <w:rPr>
          <w:spacing w:val="-6"/>
        </w:rPr>
        <w:t xml:space="preserve"> </w:t>
      </w:r>
      <w:r>
        <w:t>to</w:t>
      </w:r>
      <w:r>
        <w:rPr>
          <w:spacing w:val="-10"/>
        </w:rPr>
        <w:t xml:space="preserve"> </w:t>
      </w:r>
      <w:r>
        <w:t>age-,</w:t>
      </w:r>
      <w:r>
        <w:rPr>
          <w:spacing w:val="-3"/>
        </w:rPr>
        <w:t xml:space="preserve"> </w:t>
      </w:r>
      <w:r>
        <w:t>sex- and IQ-matched comparison participants. Both groups of participants performed significantly better</w:t>
      </w:r>
      <w:r>
        <w:rPr>
          <w:spacing w:val="-3"/>
        </w:rPr>
        <w:t xml:space="preserve"> </w:t>
      </w:r>
      <w:r>
        <w:t>(i.e.,</w:t>
      </w:r>
      <w:r>
        <w:rPr>
          <w:spacing w:val="-6"/>
        </w:rPr>
        <w:t xml:space="preserve"> </w:t>
      </w:r>
      <w:r>
        <w:t>remembered</w:t>
      </w:r>
      <w:r>
        <w:rPr>
          <w:spacing w:val="-10"/>
        </w:rPr>
        <w:t xml:space="preserve"> </w:t>
      </w:r>
      <w:r>
        <w:t>t</w:t>
      </w:r>
      <w:r>
        <w:t>o</w:t>
      </w:r>
      <w:r>
        <w:rPr>
          <w:spacing w:val="-9"/>
        </w:rPr>
        <w:t xml:space="preserve"> </w:t>
      </w:r>
      <w:r>
        <w:t>carry</w:t>
      </w:r>
      <w:r>
        <w:rPr>
          <w:spacing w:val="-10"/>
        </w:rPr>
        <w:t xml:space="preserve"> </w:t>
      </w:r>
      <w:r>
        <w:t>out</w:t>
      </w:r>
      <w:r>
        <w:rPr>
          <w:spacing w:val="-8"/>
        </w:rPr>
        <w:t xml:space="preserve"> </w:t>
      </w:r>
      <w:r>
        <w:t>the</w:t>
      </w:r>
      <w:r>
        <w:rPr>
          <w:spacing w:val="-10"/>
        </w:rPr>
        <w:t xml:space="preserve"> </w:t>
      </w:r>
      <w:r>
        <w:t>PM</w:t>
      </w:r>
      <w:r>
        <w:rPr>
          <w:spacing w:val="-12"/>
        </w:rPr>
        <w:t xml:space="preserve"> </w:t>
      </w:r>
      <w:r>
        <w:t>action)</w:t>
      </w:r>
      <w:r>
        <w:rPr>
          <w:spacing w:val="-7"/>
        </w:rPr>
        <w:t xml:space="preserve"> </w:t>
      </w:r>
      <w:r>
        <w:t>when</w:t>
      </w:r>
      <w:r>
        <w:rPr>
          <w:spacing w:val="-9"/>
        </w:rPr>
        <w:t xml:space="preserve"> </w:t>
      </w:r>
      <w:r>
        <w:t>cues</w:t>
      </w:r>
      <w:r>
        <w:rPr>
          <w:spacing w:val="-7"/>
        </w:rPr>
        <w:t xml:space="preserve"> </w:t>
      </w:r>
      <w:r>
        <w:t>were</w:t>
      </w:r>
      <w:r>
        <w:rPr>
          <w:spacing w:val="-10"/>
        </w:rPr>
        <w:t xml:space="preserve"> </w:t>
      </w:r>
      <w:r>
        <w:t>focal</w:t>
      </w:r>
      <w:r>
        <w:rPr>
          <w:spacing w:val="-8"/>
        </w:rPr>
        <w:t xml:space="preserve"> </w:t>
      </w:r>
      <w:r>
        <w:t>than</w:t>
      </w:r>
      <w:r>
        <w:rPr>
          <w:spacing w:val="-5"/>
        </w:rPr>
        <w:t xml:space="preserve"> </w:t>
      </w:r>
      <w:r>
        <w:t>when</w:t>
      </w:r>
      <w:r>
        <w:rPr>
          <w:spacing w:val="-9"/>
        </w:rPr>
        <w:t xml:space="preserve"> </w:t>
      </w:r>
      <w:r>
        <w:t>they</w:t>
      </w:r>
      <w:r>
        <w:rPr>
          <w:spacing w:val="-10"/>
        </w:rPr>
        <w:t xml:space="preserve"> </w:t>
      </w:r>
      <w:r>
        <w:t xml:space="preserve">were </w:t>
      </w:r>
      <w:proofErr w:type="spellStart"/>
      <w:r>
        <w:t>nonfocal</w:t>
      </w:r>
      <w:proofErr w:type="spellEnd"/>
      <w:r>
        <w:t xml:space="preserve">, and there were no group differences in the extent to which cue focality influenced performance. Importantly, the Bayesian analyses strongly </w:t>
      </w:r>
      <w:proofErr w:type="spellStart"/>
      <w:r>
        <w:t>favoured</w:t>
      </w:r>
      <w:proofErr w:type="spellEnd"/>
      <w:r>
        <w:t xml:space="preserve"> the alternative hypothesis that focal task performance was superior to </w:t>
      </w:r>
      <w:proofErr w:type="spellStart"/>
      <w:r>
        <w:t>nonfocal</w:t>
      </w:r>
      <w:proofErr w:type="spellEnd"/>
      <w:r>
        <w:t xml:space="preserve"> task performance, but supported the null hypothesis that there were no between-groups differences in levels of patterns of performance on the PM task. Furthermore, categorical analyses indicated that the number of participants performing below the mean level of perfor</w:t>
      </w:r>
      <w:r>
        <w:t xml:space="preserve">mance of the control group was similar between groups. Thus, it did not identify cases of individuals with ASD who performed abnormally low relative to control participants in either condition. This indicates that the analysis of PM performance at group level did not mask a specific impairment with </w:t>
      </w:r>
      <w:proofErr w:type="spellStart"/>
      <w:r>
        <w:t>nonfocal</w:t>
      </w:r>
      <w:proofErr w:type="spellEnd"/>
      <w:r>
        <w:t xml:space="preserve"> PM cues in individual cases with ASD. These results suggest that school-aged children and young adolescents with ASD with intellectual abilities in the typical range do not manifest an</w:t>
      </w:r>
      <w:r>
        <w:rPr>
          <w:spacing w:val="36"/>
        </w:rPr>
        <w:t xml:space="preserve"> </w:t>
      </w:r>
      <w:r>
        <w:t>event-</w:t>
      </w:r>
    </w:p>
    <w:p w14:paraId="0AB575BC" w14:textId="77777777" w:rsidR="00C75312" w:rsidRDefault="00C75312">
      <w:pPr>
        <w:spacing w:line="480" w:lineRule="auto"/>
        <w:jc w:val="both"/>
        <w:sectPr w:rsidR="00C75312">
          <w:pgSz w:w="11900" w:h="16840"/>
          <w:pgMar w:top="1140" w:right="0" w:bottom="280" w:left="1300" w:header="715" w:footer="0" w:gutter="0"/>
          <w:cols w:space="720"/>
        </w:sectPr>
      </w:pPr>
    </w:p>
    <w:p w14:paraId="6E726411" w14:textId="77777777" w:rsidR="00C75312" w:rsidRDefault="00C75312">
      <w:pPr>
        <w:pStyle w:val="BodyText"/>
        <w:spacing w:before="2"/>
        <w:rPr>
          <w:sz w:val="18"/>
        </w:rPr>
      </w:pPr>
    </w:p>
    <w:p w14:paraId="3575D7EA" w14:textId="77777777" w:rsidR="00C75312" w:rsidRDefault="00BB293A">
      <w:pPr>
        <w:pStyle w:val="BodyText"/>
        <w:spacing w:before="90" w:line="480" w:lineRule="auto"/>
        <w:ind w:left="140" w:right="1427"/>
        <w:jc w:val="both"/>
      </w:pPr>
      <w:r>
        <w:t>based PM deficit even when task demands (and executive load) are relatively high. Therefore, these</w:t>
      </w:r>
      <w:r>
        <w:rPr>
          <w:spacing w:val="-12"/>
        </w:rPr>
        <w:t xml:space="preserve"> </w:t>
      </w:r>
      <w:r>
        <w:t>current</w:t>
      </w:r>
      <w:r>
        <w:rPr>
          <w:spacing w:val="-14"/>
        </w:rPr>
        <w:t xml:space="preserve"> </w:t>
      </w:r>
      <w:r>
        <w:t>results</w:t>
      </w:r>
      <w:r>
        <w:rPr>
          <w:spacing w:val="-13"/>
        </w:rPr>
        <w:t xml:space="preserve"> </w:t>
      </w:r>
      <w:r>
        <w:t>provide</w:t>
      </w:r>
      <w:r>
        <w:rPr>
          <w:spacing w:val="-20"/>
        </w:rPr>
        <w:t xml:space="preserve"> </w:t>
      </w:r>
      <w:r>
        <w:t>further</w:t>
      </w:r>
      <w:r>
        <w:rPr>
          <w:spacing w:val="-13"/>
        </w:rPr>
        <w:t xml:space="preserve"> </w:t>
      </w:r>
      <w:r>
        <w:t>support</w:t>
      </w:r>
      <w:r>
        <w:rPr>
          <w:spacing w:val="-15"/>
        </w:rPr>
        <w:t xml:space="preserve"> </w:t>
      </w:r>
      <w:r>
        <w:t>for</w:t>
      </w:r>
      <w:r>
        <w:rPr>
          <w:spacing w:val="-13"/>
        </w:rPr>
        <w:t xml:space="preserve"> </w:t>
      </w:r>
      <w:r>
        <w:t>the</w:t>
      </w:r>
      <w:r>
        <w:rPr>
          <w:spacing w:val="-20"/>
        </w:rPr>
        <w:t xml:space="preserve"> </w:t>
      </w:r>
      <w:r>
        <w:t>view</w:t>
      </w:r>
      <w:r>
        <w:rPr>
          <w:spacing w:val="-11"/>
        </w:rPr>
        <w:t xml:space="preserve"> </w:t>
      </w:r>
      <w:r>
        <w:t>that</w:t>
      </w:r>
      <w:r>
        <w:rPr>
          <w:spacing w:val="-14"/>
        </w:rPr>
        <w:t xml:space="preserve"> </w:t>
      </w:r>
      <w:r>
        <w:t>event-based</w:t>
      </w:r>
      <w:r>
        <w:rPr>
          <w:spacing w:val="-11"/>
        </w:rPr>
        <w:t xml:space="preserve"> </w:t>
      </w:r>
      <w:r>
        <w:t>PM</w:t>
      </w:r>
      <w:r>
        <w:rPr>
          <w:spacing w:val="-12"/>
        </w:rPr>
        <w:t xml:space="preserve"> </w:t>
      </w:r>
      <w:r>
        <w:t>task</w:t>
      </w:r>
      <w:r>
        <w:rPr>
          <w:spacing w:val="-11"/>
        </w:rPr>
        <w:t xml:space="preserve"> </w:t>
      </w:r>
      <w:r>
        <w:t xml:space="preserve">performance is undiminished in ASD. This finding is particularly striking because the tasks used in the current study were demanding in a number </w:t>
      </w:r>
      <w:r>
        <w:rPr>
          <w:spacing w:val="-3"/>
        </w:rPr>
        <w:t xml:space="preserve">of </w:t>
      </w:r>
      <w:r>
        <w:t xml:space="preserve">ways. Both tasks involved complex PM instructions that required participants to carry out a PM action upon the occurrence </w:t>
      </w:r>
      <w:r>
        <w:rPr>
          <w:spacing w:val="-3"/>
        </w:rPr>
        <w:t xml:space="preserve">of </w:t>
      </w:r>
      <w:r>
        <w:t>either one of two cues. Remembering to carry out an intended action in such circumstances is not straightforward. Hence, the fact that participants with ASD sho</w:t>
      </w:r>
      <w:r>
        <w:t>wed almost identical levels of PM</w:t>
      </w:r>
      <w:r>
        <w:rPr>
          <w:spacing w:val="-7"/>
        </w:rPr>
        <w:t xml:space="preserve"> </w:t>
      </w:r>
      <w:r>
        <w:t>performance</w:t>
      </w:r>
      <w:r>
        <w:rPr>
          <w:spacing w:val="-11"/>
        </w:rPr>
        <w:t xml:space="preserve"> </w:t>
      </w:r>
      <w:r>
        <w:t>overall</w:t>
      </w:r>
      <w:r>
        <w:rPr>
          <w:spacing w:val="-4"/>
        </w:rPr>
        <w:t xml:space="preserve"> </w:t>
      </w:r>
      <w:r>
        <w:t>suggests</w:t>
      </w:r>
      <w:r>
        <w:rPr>
          <w:spacing w:val="-7"/>
        </w:rPr>
        <w:t xml:space="preserve"> </w:t>
      </w:r>
      <w:r>
        <w:t>that</w:t>
      </w:r>
      <w:r>
        <w:rPr>
          <w:spacing w:val="-8"/>
        </w:rPr>
        <w:t xml:space="preserve"> </w:t>
      </w:r>
      <w:r>
        <w:t>their</w:t>
      </w:r>
      <w:r>
        <w:rPr>
          <w:spacing w:val="-8"/>
        </w:rPr>
        <w:t xml:space="preserve"> </w:t>
      </w:r>
      <w:r>
        <w:t>PM</w:t>
      </w:r>
      <w:r>
        <w:rPr>
          <w:spacing w:val="-7"/>
        </w:rPr>
        <w:t xml:space="preserve"> </w:t>
      </w:r>
      <w:r>
        <w:t>abilities</w:t>
      </w:r>
      <w:r>
        <w:rPr>
          <w:spacing w:val="-7"/>
        </w:rPr>
        <w:t xml:space="preserve"> </w:t>
      </w:r>
      <w:r>
        <w:t>are</w:t>
      </w:r>
      <w:r>
        <w:rPr>
          <w:spacing w:val="-6"/>
        </w:rPr>
        <w:t xml:space="preserve"> </w:t>
      </w:r>
      <w:r>
        <w:t>as</w:t>
      </w:r>
      <w:r>
        <w:rPr>
          <w:spacing w:val="-6"/>
        </w:rPr>
        <w:t xml:space="preserve"> </w:t>
      </w:r>
      <w:r>
        <w:t>good</w:t>
      </w:r>
      <w:r>
        <w:rPr>
          <w:spacing w:val="-10"/>
        </w:rPr>
        <w:t xml:space="preserve"> </w:t>
      </w:r>
      <w:r>
        <w:t>as</w:t>
      </w:r>
      <w:r>
        <w:rPr>
          <w:spacing w:val="-7"/>
        </w:rPr>
        <w:t xml:space="preserve"> </w:t>
      </w:r>
      <w:r>
        <w:t>those</w:t>
      </w:r>
      <w:r>
        <w:rPr>
          <w:spacing w:val="-6"/>
        </w:rPr>
        <w:t xml:space="preserve"> </w:t>
      </w:r>
      <w:r>
        <w:t>of</w:t>
      </w:r>
      <w:r>
        <w:rPr>
          <w:spacing w:val="-7"/>
        </w:rPr>
        <w:t xml:space="preserve"> </w:t>
      </w:r>
      <w:r>
        <w:rPr>
          <w:spacing w:val="-3"/>
        </w:rPr>
        <w:t xml:space="preserve">NT </w:t>
      </w:r>
      <w:r>
        <w:t>individuals even</w:t>
      </w:r>
      <w:r>
        <w:rPr>
          <w:spacing w:val="-5"/>
        </w:rPr>
        <w:t xml:space="preserve"> </w:t>
      </w:r>
      <w:r>
        <w:t>when</w:t>
      </w:r>
      <w:r>
        <w:rPr>
          <w:spacing w:val="-5"/>
        </w:rPr>
        <w:t xml:space="preserve"> </w:t>
      </w:r>
      <w:r>
        <w:t>task</w:t>
      </w:r>
      <w:r>
        <w:rPr>
          <w:spacing w:val="-5"/>
        </w:rPr>
        <w:t xml:space="preserve"> </w:t>
      </w:r>
      <w:r>
        <w:t>demands</w:t>
      </w:r>
      <w:r>
        <w:rPr>
          <w:spacing w:val="-7"/>
        </w:rPr>
        <w:t xml:space="preserve"> </w:t>
      </w:r>
      <w:r>
        <w:t>are</w:t>
      </w:r>
      <w:r>
        <w:rPr>
          <w:spacing w:val="-10"/>
        </w:rPr>
        <w:t xml:space="preserve"> </w:t>
      </w:r>
      <w:r>
        <w:t>high.</w:t>
      </w:r>
      <w:r>
        <w:rPr>
          <w:spacing w:val="44"/>
        </w:rPr>
        <w:t xml:space="preserve"> </w:t>
      </w:r>
      <w:r>
        <w:t>Moreover,</w:t>
      </w:r>
      <w:r>
        <w:rPr>
          <w:spacing w:val="-7"/>
        </w:rPr>
        <w:t xml:space="preserve"> </w:t>
      </w:r>
      <w:r>
        <w:t>the</w:t>
      </w:r>
      <w:r>
        <w:rPr>
          <w:spacing w:val="-5"/>
        </w:rPr>
        <w:t xml:space="preserve"> </w:t>
      </w:r>
      <w:r>
        <w:t>executive</w:t>
      </w:r>
      <w:r>
        <w:rPr>
          <w:spacing w:val="-6"/>
        </w:rPr>
        <w:t xml:space="preserve"> </w:t>
      </w:r>
      <w:r>
        <w:t>load</w:t>
      </w:r>
      <w:r>
        <w:rPr>
          <w:spacing w:val="-5"/>
        </w:rPr>
        <w:t xml:space="preserve"> </w:t>
      </w:r>
      <w:r>
        <w:t>of</w:t>
      </w:r>
      <w:r>
        <w:rPr>
          <w:spacing w:val="-3"/>
        </w:rPr>
        <w:t xml:space="preserve"> </w:t>
      </w:r>
      <w:r>
        <w:t>carrying</w:t>
      </w:r>
      <w:r>
        <w:rPr>
          <w:spacing w:val="-10"/>
        </w:rPr>
        <w:t xml:space="preserve"> </w:t>
      </w:r>
      <w:r>
        <w:t>out</w:t>
      </w:r>
      <w:r>
        <w:rPr>
          <w:spacing w:val="-8"/>
        </w:rPr>
        <w:t xml:space="preserve"> </w:t>
      </w:r>
      <w:r>
        <w:t>the</w:t>
      </w:r>
      <w:r>
        <w:rPr>
          <w:spacing w:val="-11"/>
        </w:rPr>
        <w:t xml:space="preserve"> </w:t>
      </w:r>
      <w:r>
        <w:t>PM</w:t>
      </w:r>
      <w:r>
        <w:rPr>
          <w:spacing w:val="-7"/>
        </w:rPr>
        <w:t xml:space="preserve"> </w:t>
      </w:r>
      <w:r>
        <w:t>action in</w:t>
      </w:r>
      <w:r>
        <w:rPr>
          <w:spacing w:val="-1"/>
        </w:rPr>
        <w:t xml:space="preserve"> </w:t>
      </w:r>
      <w:r>
        <w:t>the</w:t>
      </w:r>
      <w:r>
        <w:rPr>
          <w:spacing w:val="-6"/>
        </w:rPr>
        <w:t xml:space="preserve"> </w:t>
      </w:r>
      <w:proofErr w:type="spellStart"/>
      <w:r>
        <w:t>nonfocal</w:t>
      </w:r>
      <w:proofErr w:type="spellEnd"/>
      <w:r>
        <w:rPr>
          <w:spacing w:val="-4"/>
        </w:rPr>
        <w:t xml:space="preserve"> </w:t>
      </w:r>
      <w:r>
        <w:t>task was</w:t>
      </w:r>
      <w:r>
        <w:rPr>
          <w:spacing w:val="-2"/>
        </w:rPr>
        <w:t xml:space="preserve"> </w:t>
      </w:r>
      <w:r>
        <w:t>especially</w:t>
      </w:r>
      <w:r>
        <w:rPr>
          <w:spacing w:val="-5"/>
        </w:rPr>
        <w:t xml:space="preserve"> </w:t>
      </w:r>
      <w:r>
        <w:t>high</w:t>
      </w:r>
      <w:r>
        <w:rPr>
          <w:spacing w:val="-5"/>
        </w:rPr>
        <w:t xml:space="preserve"> </w:t>
      </w:r>
      <w:r>
        <w:t>and</w:t>
      </w:r>
      <w:r>
        <w:rPr>
          <w:spacing w:val="-5"/>
        </w:rPr>
        <w:t xml:space="preserve"> </w:t>
      </w:r>
      <w:r>
        <w:t>resulted in</w:t>
      </w:r>
      <w:r>
        <w:rPr>
          <w:spacing w:val="-5"/>
        </w:rPr>
        <w:t xml:space="preserve"> </w:t>
      </w:r>
      <w:r>
        <w:t>a</w:t>
      </w:r>
      <w:r>
        <w:rPr>
          <w:spacing w:val="-5"/>
        </w:rPr>
        <w:t xml:space="preserve"> </w:t>
      </w:r>
      <w:r>
        <w:t>decrease</w:t>
      </w:r>
      <w:r>
        <w:rPr>
          <w:spacing w:val="-2"/>
        </w:rPr>
        <w:t xml:space="preserve"> </w:t>
      </w:r>
      <w:r>
        <w:t>in</w:t>
      </w:r>
      <w:r>
        <w:rPr>
          <w:spacing w:val="-5"/>
        </w:rPr>
        <w:t xml:space="preserve"> </w:t>
      </w:r>
      <w:r>
        <w:t>PM</w:t>
      </w:r>
      <w:r>
        <w:rPr>
          <w:spacing w:val="-2"/>
        </w:rPr>
        <w:t xml:space="preserve"> </w:t>
      </w:r>
      <w:r>
        <w:t>performance</w:t>
      </w:r>
      <w:r>
        <w:rPr>
          <w:spacing w:val="-5"/>
        </w:rPr>
        <w:t xml:space="preserve"> </w:t>
      </w:r>
      <w:r>
        <w:t>relative to PM performance in the focal task. The fact that the ASD group was equally affected by cue focality</w:t>
      </w:r>
      <w:r>
        <w:rPr>
          <w:spacing w:val="-7"/>
        </w:rPr>
        <w:t xml:space="preserve"> </w:t>
      </w:r>
      <w:r>
        <w:t>as</w:t>
      </w:r>
      <w:r>
        <w:rPr>
          <w:spacing w:val="-8"/>
        </w:rPr>
        <w:t xml:space="preserve"> </w:t>
      </w:r>
      <w:r>
        <w:rPr>
          <w:spacing w:val="-3"/>
        </w:rPr>
        <w:t>NT</w:t>
      </w:r>
      <w:r>
        <w:rPr>
          <w:spacing w:val="-8"/>
        </w:rPr>
        <w:t xml:space="preserve"> </w:t>
      </w:r>
      <w:r>
        <w:t>comparison</w:t>
      </w:r>
      <w:r>
        <w:rPr>
          <w:spacing w:val="-6"/>
        </w:rPr>
        <w:t xml:space="preserve"> </w:t>
      </w:r>
      <w:r>
        <w:t>participants</w:t>
      </w:r>
      <w:r>
        <w:rPr>
          <w:spacing w:val="-8"/>
        </w:rPr>
        <w:t xml:space="preserve"> </w:t>
      </w:r>
      <w:r>
        <w:t>suggests</w:t>
      </w:r>
      <w:r>
        <w:rPr>
          <w:spacing w:val="-8"/>
        </w:rPr>
        <w:t xml:space="preserve"> </w:t>
      </w:r>
      <w:r>
        <w:t>that</w:t>
      </w:r>
      <w:r>
        <w:rPr>
          <w:spacing w:val="-5"/>
        </w:rPr>
        <w:t xml:space="preserve"> </w:t>
      </w:r>
      <w:r>
        <w:t>the</w:t>
      </w:r>
      <w:r>
        <w:rPr>
          <w:spacing w:val="-12"/>
        </w:rPr>
        <w:t xml:space="preserve"> </w:t>
      </w:r>
      <w:r>
        <w:t>underlying</w:t>
      </w:r>
      <w:r>
        <w:rPr>
          <w:spacing w:val="-11"/>
        </w:rPr>
        <w:t xml:space="preserve"> </w:t>
      </w:r>
      <w:r>
        <w:t>system</w:t>
      </w:r>
      <w:r>
        <w:rPr>
          <w:spacing w:val="-5"/>
        </w:rPr>
        <w:t xml:space="preserve"> </w:t>
      </w:r>
      <w:r>
        <w:t>responsible</w:t>
      </w:r>
      <w:r>
        <w:rPr>
          <w:spacing w:val="-7"/>
        </w:rPr>
        <w:t xml:space="preserve"> </w:t>
      </w:r>
      <w:r>
        <w:t>for</w:t>
      </w:r>
      <w:r>
        <w:rPr>
          <w:spacing w:val="-9"/>
        </w:rPr>
        <w:t xml:space="preserve"> </w:t>
      </w:r>
      <w:r>
        <w:t>PM works similarly in each population.</w:t>
      </w:r>
    </w:p>
    <w:p w14:paraId="04E8E9AD" w14:textId="77777777" w:rsidR="00C75312" w:rsidRDefault="00BB293A">
      <w:pPr>
        <w:pStyle w:val="BodyText"/>
        <w:spacing w:before="120" w:line="480" w:lineRule="auto"/>
        <w:ind w:left="140" w:right="1425" w:firstLine="720"/>
        <w:jc w:val="both"/>
      </w:pPr>
      <w:r>
        <w:t xml:space="preserve">If these findings are reliable it still leaves unanswered a question about why some previous studies have reported event-based PM deficits in ASD. One possible explanation are methodological limitations of previous research </w:t>
      </w:r>
      <w:r>
        <w:rPr>
          <w:spacing w:val="-3"/>
        </w:rPr>
        <w:t xml:space="preserve">as </w:t>
      </w:r>
      <w:r>
        <w:t>outlined by Williams et al. (2014). For example, of the five studies that report an event-based PM impairment in ASD, two did not equate</w:t>
      </w:r>
      <w:r>
        <w:rPr>
          <w:spacing w:val="-7"/>
        </w:rPr>
        <w:t xml:space="preserve"> </w:t>
      </w:r>
      <w:r>
        <w:t>groups</w:t>
      </w:r>
      <w:r>
        <w:rPr>
          <w:spacing w:val="-12"/>
        </w:rPr>
        <w:t xml:space="preserve"> </w:t>
      </w:r>
      <w:r>
        <w:t>for</w:t>
      </w:r>
      <w:r>
        <w:rPr>
          <w:spacing w:val="-8"/>
        </w:rPr>
        <w:t xml:space="preserve"> </w:t>
      </w:r>
      <w:r>
        <w:t>ongoing</w:t>
      </w:r>
      <w:r>
        <w:rPr>
          <w:spacing w:val="-10"/>
        </w:rPr>
        <w:t xml:space="preserve"> </w:t>
      </w:r>
      <w:r>
        <w:t>task</w:t>
      </w:r>
      <w:r>
        <w:rPr>
          <w:spacing w:val="-5"/>
        </w:rPr>
        <w:t xml:space="preserve"> </w:t>
      </w:r>
      <w:r>
        <w:t>performance</w:t>
      </w:r>
      <w:r>
        <w:rPr>
          <w:spacing w:val="-11"/>
        </w:rPr>
        <w:t xml:space="preserve"> </w:t>
      </w:r>
      <w:r>
        <w:t>(</w:t>
      </w:r>
      <w:proofErr w:type="spellStart"/>
      <w:r>
        <w:t>Altgassen</w:t>
      </w:r>
      <w:proofErr w:type="spellEnd"/>
      <w:r>
        <w:rPr>
          <w:spacing w:val="-5"/>
        </w:rPr>
        <w:t xml:space="preserve"> </w:t>
      </w:r>
      <w:r>
        <w:t>et</w:t>
      </w:r>
      <w:r>
        <w:rPr>
          <w:spacing w:val="-4"/>
        </w:rPr>
        <w:t xml:space="preserve"> </w:t>
      </w:r>
      <w:r>
        <w:t>al.,</w:t>
      </w:r>
      <w:r>
        <w:rPr>
          <w:spacing w:val="-7"/>
        </w:rPr>
        <w:t xml:space="preserve"> </w:t>
      </w:r>
      <w:r>
        <w:t>2012;</w:t>
      </w:r>
      <w:r>
        <w:rPr>
          <w:spacing w:val="-9"/>
        </w:rPr>
        <w:t xml:space="preserve"> </w:t>
      </w:r>
      <w:proofErr w:type="spellStart"/>
      <w:r>
        <w:t>Brandimonte</w:t>
      </w:r>
      <w:proofErr w:type="spellEnd"/>
      <w:r>
        <w:rPr>
          <w:spacing w:val="-11"/>
        </w:rPr>
        <w:t xml:space="preserve"> </w:t>
      </w:r>
      <w:r>
        <w:t>et</w:t>
      </w:r>
      <w:r>
        <w:rPr>
          <w:spacing w:val="-9"/>
        </w:rPr>
        <w:t xml:space="preserve"> </w:t>
      </w:r>
      <w:r>
        <w:t>al.,</w:t>
      </w:r>
      <w:r>
        <w:rPr>
          <w:spacing w:val="-7"/>
        </w:rPr>
        <w:t xml:space="preserve"> </w:t>
      </w:r>
      <w:r>
        <w:t>2011); three did not rule out forgetting of the PM instruction as reason for poor PM performance in the ASD group (</w:t>
      </w:r>
      <w:proofErr w:type="spellStart"/>
      <w:r>
        <w:t>Altgassen</w:t>
      </w:r>
      <w:proofErr w:type="spellEnd"/>
      <w:r>
        <w:t xml:space="preserve"> et al., 2012; </w:t>
      </w:r>
      <w:proofErr w:type="spellStart"/>
      <w:r>
        <w:t>Brandimonte</w:t>
      </w:r>
      <w:proofErr w:type="spellEnd"/>
      <w:r>
        <w:t xml:space="preserve"> et al., 2011; Yi et al., 2014); and three studies did not equate groups for baseline characteristics (</w:t>
      </w:r>
      <w:proofErr w:type="spellStart"/>
      <w:r>
        <w:t>Brandimonte</w:t>
      </w:r>
      <w:proofErr w:type="spellEnd"/>
      <w:r>
        <w:t xml:space="preserve"> et al., 2011; Sheppard et</w:t>
      </w:r>
      <w:r>
        <w:rPr>
          <w:spacing w:val="-9"/>
        </w:rPr>
        <w:t xml:space="preserve"> </w:t>
      </w:r>
      <w:r>
        <w:t>al.,</w:t>
      </w:r>
      <w:r>
        <w:rPr>
          <w:spacing w:val="-6"/>
        </w:rPr>
        <w:t xml:space="preserve"> </w:t>
      </w:r>
      <w:r>
        <w:t>2016;</w:t>
      </w:r>
      <w:r>
        <w:rPr>
          <w:spacing w:val="-8"/>
        </w:rPr>
        <w:t xml:space="preserve"> </w:t>
      </w:r>
      <w:r>
        <w:t>Yi</w:t>
      </w:r>
      <w:r>
        <w:rPr>
          <w:spacing w:val="-8"/>
        </w:rPr>
        <w:t xml:space="preserve"> </w:t>
      </w:r>
      <w:r>
        <w:t>et</w:t>
      </w:r>
      <w:r>
        <w:rPr>
          <w:spacing w:val="-8"/>
        </w:rPr>
        <w:t xml:space="preserve"> </w:t>
      </w:r>
      <w:r>
        <w:t>al.,</w:t>
      </w:r>
      <w:r>
        <w:rPr>
          <w:spacing w:val="-6"/>
        </w:rPr>
        <w:t xml:space="preserve"> </w:t>
      </w:r>
      <w:r>
        <w:t>2014)).</w:t>
      </w:r>
      <w:r>
        <w:rPr>
          <w:spacing w:val="40"/>
        </w:rPr>
        <w:t xml:space="preserve"> </w:t>
      </w:r>
      <w:r>
        <w:t>In</w:t>
      </w:r>
      <w:r>
        <w:rPr>
          <w:spacing w:val="-9"/>
        </w:rPr>
        <w:t xml:space="preserve"> </w:t>
      </w:r>
      <w:r>
        <w:t>the</w:t>
      </w:r>
      <w:r>
        <w:rPr>
          <w:spacing w:val="-10"/>
        </w:rPr>
        <w:t xml:space="preserve"> </w:t>
      </w:r>
      <w:r>
        <w:t>current</w:t>
      </w:r>
      <w:r>
        <w:rPr>
          <w:spacing w:val="-8"/>
        </w:rPr>
        <w:t xml:space="preserve"> </w:t>
      </w:r>
      <w:r>
        <w:t>study,</w:t>
      </w:r>
      <w:r>
        <w:rPr>
          <w:spacing w:val="-11"/>
        </w:rPr>
        <w:t xml:space="preserve"> </w:t>
      </w:r>
      <w:r>
        <w:t>participant</w:t>
      </w:r>
      <w:r>
        <w:rPr>
          <w:spacing w:val="-8"/>
        </w:rPr>
        <w:t xml:space="preserve"> </w:t>
      </w:r>
      <w:r>
        <w:t>groups</w:t>
      </w:r>
      <w:r>
        <w:rPr>
          <w:spacing w:val="-11"/>
        </w:rPr>
        <w:t xml:space="preserve"> </w:t>
      </w:r>
      <w:r>
        <w:t>were</w:t>
      </w:r>
      <w:r>
        <w:rPr>
          <w:spacing w:val="-10"/>
        </w:rPr>
        <w:t xml:space="preserve"> </w:t>
      </w:r>
      <w:r>
        <w:t>equated</w:t>
      </w:r>
      <w:r>
        <w:rPr>
          <w:spacing w:val="-10"/>
        </w:rPr>
        <w:t xml:space="preserve"> </w:t>
      </w:r>
      <w:r>
        <w:t>for</w:t>
      </w:r>
      <w:r>
        <w:rPr>
          <w:spacing w:val="-7"/>
        </w:rPr>
        <w:t xml:space="preserve"> </w:t>
      </w:r>
      <w:r>
        <w:t>baseline characteristics, showed no differences in ongoing task performance, and recalled PM task instructions</w:t>
      </w:r>
      <w:r>
        <w:rPr>
          <w:spacing w:val="-18"/>
        </w:rPr>
        <w:t xml:space="preserve"> </w:t>
      </w:r>
      <w:r>
        <w:t>equivalently.</w:t>
      </w:r>
      <w:r>
        <w:rPr>
          <w:spacing w:val="33"/>
        </w:rPr>
        <w:t xml:space="preserve"> </w:t>
      </w:r>
      <w:r>
        <w:t>This</w:t>
      </w:r>
      <w:r>
        <w:rPr>
          <w:spacing w:val="-17"/>
        </w:rPr>
        <w:t xml:space="preserve"> </w:t>
      </w:r>
      <w:r>
        <w:t>suggests</w:t>
      </w:r>
      <w:r>
        <w:rPr>
          <w:spacing w:val="-17"/>
        </w:rPr>
        <w:t xml:space="preserve"> </w:t>
      </w:r>
      <w:r>
        <w:t>that</w:t>
      </w:r>
      <w:r>
        <w:rPr>
          <w:spacing w:val="-14"/>
        </w:rPr>
        <w:t xml:space="preserve"> </w:t>
      </w:r>
      <w:r>
        <w:t>under</w:t>
      </w:r>
      <w:r>
        <w:rPr>
          <w:spacing w:val="-19"/>
        </w:rPr>
        <w:t xml:space="preserve"> </w:t>
      </w:r>
      <w:r>
        <w:t>controlled</w:t>
      </w:r>
      <w:r>
        <w:rPr>
          <w:spacing w:val="-14"/>
        </w:rPr>
        <w:t xml:space="preserve"> </w:t>
      </w:r>
      <w:r>
        <w:t>conditions,</w:t>
      </w:r>
      <w:r>
        <w:rPr>
          <w:spacing w:val="-13"/>
        </w:rPr>
        <w:t xml:space="preserve"> </w:t>
      </w:r>
      <w:r>
        <w:t>among</w:t>
      </w:r>
      <w:r>
        <w:rPr>
          <w:spacing w:val="-14"/>
        </w:rPr>
        <w:t xml:space="preserve"> </w:t>
      </w:r>
      <w:r>
        <w:t>appropriately- matched groups, event-based PM is unimpaired in ASD.</w:t>
      </w:r>
    </w:p>
    <w:p w14:paraId="76595821" w14:textId="77777777" w:rsidR="00C75312" w:rsidRDefault="00C75312">
      <w:pPr>
        <w:spacing w:line="480" w:lineRule="auto"/>
        <w:jc w:val="both"/>
        <w:sectPr w:rsidR="00C75312">
          <w:pgSz w:w="11900" w:h="16840"/>
          <w:pgMar w:top="1140" w:right="0" w:bottom="280" w:left="1300" w:header="715" w:footer="0" w:gutter="0"/>
          <w:cols w:space="720"/>
        </w:sectPr>
      </w:pPr>
    </w:p>
    <w:p w14:paraId="5C96D25D" w14:textId="77777777" w:rsidR="00C75312" w:rsidRDefault="00C75312">
      <w:pPr>
        <w:pStyle w:val="BodyText"/>
        <w:spacing w:before="2"/>
        <w:rPr>
          <w:sz w:val="18"/>
        </w:rPr>
      </w:pPr>
    </w:p>
    <w:p w14:paraId="211114AD" w14:textId="77777777" w:rsidR="00C75312" w:rsidRDefault="00BB293A">
      <w:pPr>
        <w:pStyle w:val="BodyText"/>
        <w:spacing w:before="90" w:line="480" w:lineRule="auto"/>
        <w:ind w:left="140" w:right="1427" w:firstLine="720"/>
        <w:jc w:val="both"/>
      </w:pPr>
      <w:r>
        <w:t xml:space="preserve">An important previous finding is Williams et al. (2014)’s suggestions, that children in the ASD group may use inner rehearsal strategies </w:t>
      </w:r>
      <w:r>
        <w:rPr>
          <w:spacing w:val="-3"/>
        </w:rPr>
        <w:t xml:space="preserve">to </w:t>
      </w:r>
      <w:r>
        <w:t xml:space="preserve">maintain the PM instruction constantly in mind while performing the ongoing task. That is, although on a </w:t>
      </w:r>
      <w:proofErr w:type="spellStart"/>
      <w:r>
        <w:t>behavioural</w:t>
      </w:r>
      <w:proofErr w:type="spellEnd"/>
      <w:r>
        <w:t xml:space="preserve"> level no impairment may be apparent, the underlying PM mechanisms in ASD may be supported by compensatory strategies, and hence the actual PM competence would be limited. It is impossible</w:t>
      </w:r>
      <w:r>
        <w:rPr>
          <w:spacing w:val="-11"/>
        </w:rPr>
        <w:t xml:space="preserve"> </w:t>
      </w:r>
      <w:r>
        <w:t>to</w:t>
      </w:r>
      <w:r>
        <w:rPr>
          <w:spacing w:val="-10"/>
        </w:rPr>
        <w:t xml:space="preserve"> </w:t>
      </w:r>
      <w:r>
        <w:t>know</w:t>
      </w:r>
      <w:r>
        <w:rPr>
          <w:spacing w:val="-15"/>
        </w:rPr>
        <w:t xml:space="preserve"> </w:t>
      </w:r>
      <w:r>
        <w:t>whether</w:t>
      </w:r>
      <w:r>
        <w:rPr>
          <w:spacing w:val="-12"/>
        </w:rPr>
        <w:t xml:space="preserve"> </w:t>
      </w:r>
      <w:r>
        <w:t>this</w:t>
      </w:r>
      <w:r>
        <w:rPr>
          <w:spacing w:val="-17"/>
        </w:rPr>
        <w:t xml:space="preserve"> </w:t>
      </w:r>
      <w:r>
        <w:t>could</w:t>
      </w:r>
      <w:r>
        <w:rPr>
          <w:spacing w:val="-14"/>
        </w:rPr>
        <w:t xml:space="preserve"> </w:t>
      </w:r>
      <w:r>
        <w:t>have</w:t>
      </w:r>
      <w:r>
        <w:rPr>
          <w:spacing w:val="-10"/>
        </w:rPr>
        <w:t xml:space="preserve"> </w:t>
      </w:r>
      <w:r>
        <w:t>been</w:t>
      </w:r>
      <w:r>
        <w:rPr>
          <w:spacing w:val="-14"/>
        </w:rPr>
        <w:t xml:space="preserve"> </w:t>
      </w:r>
      <w:r>
        <w:t>the</w:t>
      </w:r>
      <w:r>
        <w:rPr>
          <w:spacing w:val="-11"/>
        </w:rPr>
        <w:t xml:space="preserve"> </w:t>
      </w:r>
      <w:r>
        <w:t>case</w:t>
      </w:r>
      <w:r>
        <w:rPr>
          <w:spacing w:val="-11"/>
        </w:rPr>
        <w:t xml:space="preserve"> </w:t>
      </w:r>
      <w:r>
        <w:t>for</w:t>
      </w:r>
      <w:r>
        <w:rPr>
          <w:spacing w:val="-12"/>
        </w:rPr>
        <w:t xml:space="preserve"> </w:t>
      </w:r>
      <w:r>
        <w:t>this</w:t>
      </w:r>
      <w:r>
        <w:rPr>
          <w:spacing w:val="-17"/>
        </w:rPr>
        <w:t xml:space="preserve"> </w:t>
      </w:r>
      <w:r>
        <w:t>study.</w:t>
      </w:r>
      <w:r>
        <w:rPr>
          <w:spacing w:val="35"/>
        </w:rPr>
        <w:t xml:space="preserve"> </w:t>
      </w:r>
      <w:r>
        <w:t>However,</w:t>
      </w:r>
      <w:r>
        <w:rPr>
          <w:spacing w:val="-12"/>
        </w:rPr>
        <w:t xml:space="preserve"> </w:t>
      </w:r>
      <w:r>
        <w:t>the</w:t>
      </w:r>
      <w:r>
        <w:rPr>
          <w:spacing w:val="-15"/>
        </w:rPr>
        <w:t xml:space="preserve"> </w:t>
      </w:r>
      <w:r>
        <w:t>ongoing task used in this study inherently involved verbal/subvocal processes (counting). Research</w:t>
      </w:r>
      <w:r>
        <w:rPr>
          <w:spacing w:val="-44"/>
        </w:rPr>
        <w:t xml:space="preserve"> </w:t>
      </w:r>
      <w:r>
        <w:t>has shown that counting taps i</w:t>
      </w:r>
      <w:r>
        <w:t xml:space="preserve">nto verbal working memory capacity and can be disrupted by secondary verbal task (Healy &amp; </w:t>
      </w:r>
      <w:proofErr w:type="spellStart"/>
      <w:r>
        <w:t>Nairne</w:t>
      </w:r>
      <w:proofErr w:type="spellEnd"/>
      <w:r>
        <w:t xml:space="preserve">, 1985; </w:t>
      </w:r>
      <w:proofErr w:type="spellStart"/>
      <w:r>
        <w:t>Logie</w:t>
      </w:r>
      <w:proofErr w:type="spellEnd"/>
      <w:r>
        <w:t>, Gilhooly, &amp; Wynn, 1994). Thus, this may</w:t>
      </w:r>
      <w:r>
        <w:rPr>
          <w:spacing w:val="-11"/>
        </w:rPr>
        <w:t xml:space="preserve"> </w:t>
      </w:r>
      <w:r>
        <w:t>have</w:t>
      </w:r>
      <w:r>
        <w:rPr>
          <w:spacing w:val="-11"/>
        </w:rPr>
        <w:t xml:space="preserve"> </w:t>
      </w:r>
      <w:r>
        <w:t>prevented</w:t>
      </w:r>
      <w:r>
        <w:rPr>
          <w:spacing w:val="-10"/>
        </w:rPr>
        <w:t xml:space="preserve"> </w:t>
      </w:r>
      <w:r>
        <w:t>the</w:t>
      </w:r>
      <w:r>
        <w:rPr>
          <w:spacing w:val="-11"/>
        </w:rPr>
        <w:t xml:space="preserve"> </w:t>
      </w:r>
      <w:r>
        <w:t>use</w:t>
      </w:r>
      <w:r>
        <w:rPr>
          <w:spacing w:val="-11"/>
        </w:rPr>
        <w:t xml:space="preserve"> </w:t>
      </w:r>
      <w:r>
        <w:t>of</w:t>
      </w:r>
      <w:r>
        <w:rPr>
          <w:spacing w:val="-8"/>
        </w:rPr>
        <w:t xml:space="preserve"> </w:t>
      </w:r>
      <w:r>
        <w:t>verbal</w:t>
      </w:r>
      <w:r>
        <w:rPr>
          <w:spacing w:val="-14"/>
        </w:rPr>
        <w:t xml:space="preserve"> </w:t>
      </w:r>
      <w:r>
        <w:t>rehearsal</w:t>
      </w:r>
      <w:r>
        <w:rPr>
          <w:spacing w:val="-10"/>
        </w:rPr>
        <w:t xml:space="preserve"> </w:t>
      </w:r>
      <w:r>
        <w:t>strategies</w:t>
      </w:r>
      <w:r>
        <w:rPr>
          <w:spacing w:val="-12"/>
        </w:rPr>
        <w:t xml:space="preserve"> </w:t>
      </w:r>
      <w:r>
        <w:t>to</w:t>
      </w:r>
      <w:r>
        <w:rPr>
          <w:spacing w:val="-10"/>
        </w:rPr>
        <w:t xml:space="preserve"> </w:t>
      </w:r>
      <w:r>
        <w:t>support</w:t>
      </w:r>
      <w:r>
        <w:rPr>
          <w:spacing w:val="-9"/>
        </w:rPr>
        <w:t xml:space="preserve"> </w:t>
      </w:r>
      <w:r>
        <w:t>PM</w:t>
      </w:r>
      <w:r>
        <w:rPr>
          <w:spacing w:val="-12"/>
        </w:rPr>
        <w:t xml:space="preserve"> </w:t>
      </w:r>
      <w:r>
        <w:t>at</w:t>
      </w:r>
      <w:r>
        <w:rPr>
          <w:spacing w:val="-9"/>
        </w:rPr>
        <w:t xml:space="preserve"> </w:t>
      </w:r>
      <w:r>
        <w:t>least</w:t>
      </w:r>
      <w:r>
        <w:rPr>
          <w:spacing w:val="-10"/>
        </w:rPr>
        <w:t xml:space="preserve"> </w:t>
      </w:r>
      <w:r>
        <w:t>to</w:t>
      </w:r>
      <w:r>
        <w:rPr>
          <w:spacing w:val="-10"/>
        </w:rPr>
        <w:t xml:space="preserve"> </w:t>
      </w:r>
      <w:r>
        <w:t>some</w:t>
      </w:r>
      <w:r>
        <w:rPr>
          <w:spacing w:val="-11"/>
        </w:rPr>
        <w:t xml:space="preserve"> </w:t>
      </w:r>
      <w:r>
        <w:t>extent. Nevertheless, future studies should address this hypothesis more directly, which will be the focus of Chapter</w:t>
      </w:r>
      <w:r>
        <w:rPr>
          <w:spacing w:val="7"/>
        </w:rPr>
        <w:t xml:space="preserve"> </w:t>
      </w:r>
      <w:r>
        <w:rPr>
          <w:spacing w:val="-3"/>
        </w:rPr>
        <w:t>3.</w:t>
      </w:r>
    </w:p>
    <w:p w14:paraId="2752F0FD" w14:textId="77777777" w:rsidR="00C75312" w:rsidRDefault="00BB293A">
      <w:pPr>
        <w:pStyle w:val="BodyText"/>
        <w:spacing w:before="120" w:line="480" w:lineRule="auto"/>
        <w:ind w:left="140" w:right="1427" w:firstLine="720"/>
        <w:jc w:val="both"/>
      </w:pPr>
      <w:r>
        <w:t>With regard to the ageing hypothesis of memory in ASD (Bowler et al., 2011; Craik</w:t>
      </w:r>
      <w:r>
        <w:rPr>
          <w:spacing w:val="-37"/>
        </w:rPr>
        <w:t xml:space="preserve"> </w:t>
      </w:r>
      <w:r>
        <w:t>&amp; Anderson, 1999), the current results failed to provide support for the assumption that not only retrospective but also prospective memory in ASD compares to memory in healthy ageing. Individuals with ASD showed similar performance in both conditions whereas typically healthy</w:t>
      </w:r>
      <w:r>
        <w:rPr>
          <w:spacing w:val="-6"/>
        </w:rPr>
        <w:t xml:space="preserve"> </w:t>
      </w:r>
      <w:r>
        <w:t>older</w:t>
      </w:r>
      <w:r>
        <w:rPr>
          <w:spacing w:val="-3"/>
        </w:rPr>
        <w:t xml:space="preserve"> </w:t>
      </w:r>
      <w:r>
        <w:t>adults</w:t>
      </w:r>
      <w:r>
        <w:rPr>
          <w:spacing w:val="-8"/>
        </w:rPr>
        <w:t xml:space="preserve"> </w:t>
      </w:r>
      <w:r>
        <w:t>usually</w:t>
      </w:r>
      <w:r>
        <w:rPr>
          <w:spacing w:val="-5"/>
        </w:rPr>
        <w:t xml:space="preserve"> </w:t>
      </w:r>
      <w:r>
        <w:t>perform</w:t>
      </w:r>
      <w:r>
        <w:rPr>
          <w:spacing w:val="-4"/>
        </w:rPr>
        <w:t xml:space="preserve"> </w:t>
      </w:r>
      <w:r>
        <w:t>worse</w:t>
      </w:r>
      <w:r>
        <w:rPr>
          <w:spacing w:val="-7"/>
        </w:rPr>
        <w:t xml:space="preserve"> </w:t>
      </w:r>
      <w:r>
        <w:t>on</w:t>
      </w:r>
      <w:r>
        <w:rPr>
          <w:spacing w:val="-5"/>
        </w:rPr>
        <w:t xml:space="preserve"> </w:t>
      </w:r>
      <w:proofErr w:type="spellStart"/>
      <w:r>
        <w:t>nonfocal</w:t>
      </w:r>
      <w:proofErr w:type="spellEnd"/>
      <w:r>
        <w:rPr>
          <w:spacing w:val="-4"/>
        </w:rPr>
        <w:t xml:space="preserve"> </w:t>
      </w:r>
      <w:r>
        <w:t>tasks</w:t>
      </w:r>
      <w:r>
        <w:rPr>
          <w:spacing w:val="-8"/>
        </w:rPr>
        <w:t xml:space="preserve"> </w:t>
      </w:r>
      <w:r>
        <w:t>under</w:t>
      </w:r>
      <w:r>
        <w:rPr>
          <w:spacing w:val="-3"/>
        </w:rPr>
        <w:t xml:space="preserve"> </w:t>
      </w:r>
      <w:r>
        <w:t>laboratory</w:t>
      </w:r>
      <w:r>
        <w:rPr>
          <w:spacing w:val="-5"/>
        </w:rPr>
        <w:t xml:space="preserve"> </w:t>
      </w:r>
      <w:r>
        <w:t>conditions</w:t>
      </w:r>
      <w:r>
        <w:rPr>
          <w:spacing w:val="-12"/>
        </w:rPr>
        <w:t xml:space="preserve"> </w:t>
      </w:r>
      <w:r>
        <w:t xml:space="preserve">(Ihle et al., 2013). The age-paradox of prospective memory (Rendell &amp; Craik, 2000; </w:t>
      </w:r>
      <w:proofErr w:type="spellStart"/>
      <w:r>
        <w:t>Schnitzspahn</w:t>
      </w:r>
      <w:proofErr w:type="spellEnd"/>
      <w:r>
        <w:t>, Ihle,</w:t>
      </w:r>
      <w:r>
        <w:rPr>
          <w:spacing w:val="-13"/>
        </w:rPr>
        <w:t xml:space="preserve"> </w:t>
      </w:r>
      <w:r>
        <w:t>Henry,</w:t>
      </w:r>
      <w:r>
        <w:rPr>
          <w:spacing w:val="-13"/>
        </w:rPr>
        <w:t xml:space="preserve"> </w:t>
      </w:r>
      <w:r>
        <w:t>Rendell,</w:t>
      </w:r>
      <w:r>
        <w:rPr>
          <w:spacing w:val="-13"/>
        </w:rPr>
        <w:t xml:space="preserve"> </w:t>
      </w:r>
      <w:r>
        <w:t>&amp;</w:t>
      </w:r>
      <w:r>
        <w:rPr>
          <w:spacing w:val="-15"/>
        </w:rPr>
        <w:t xml:space="preserve"> </w:t>
      </w:r>
      <w:proofErr w:type="spellStart"/>
      <w:r>
        <w:t>Kliegel</w:t>
      </w:r>
      <w:proofErr w:type="spellEnd"/>
      <w:r>
        <w:t>,</w:t>
      </w:r>
      <w:r>
        <w:rPr>
          <w:spacing w:val="-13"/>
        </w:rPr>
        <w:t xml:space="preserve"> </w:t>
      </w:r>
      <w:r>
        <w:t>2011)</w:t>
      </w:r>
      <w:r>
        <w:rPr>
          <w:spacing w:val="-19"/>
        </w:rPr>
        <w:t xml:space="preserve"> </w:t>
      </w:r>
      <w:r>
        <w:t>might</w:t>
      </w:r>
      <w:r>
        <w:rPr>
          <w:spacing w:val="-15"/>
        </w:rPr>
        <w:t xml:space="preserve"> </w:t>
      </w:r>
      <w:r>
        <w:t>provide</w:t>
      </w:r>
      <w:r>
        <w:rPr>
          <w:spacing w:val="-16"/>
        </w:rPr>
        <w:t xml:space="preserve"> </w:t>
      </w:r>
      <w:r>
        <w:t>an</w:t>
      </w:r>
      <w:r>
        <w:rPr>
          <w:spacing w:val="-14"/>
        </w:rPr>
        <w:t xml:space="preserve"> </w:t>
      </w:r>
      <w:r>
        <w:t>explanation</w:t>
      </w:r>
      <w:r>
        <w:rPr>
          <w:spacing w:val="-15"/>
        </w:rPr>
        <w:t xml:space="preserve"> </w:t>
      </w:r>
      <w:r>
        <w:t>for</w:t>
      </w:r>
      <w:r>
        <w:rPr>
          <w:spacing w:val="-14"/>
        </w:rPr>
        <w:t xml:space="preserve"> </w:t>
      </w:r>
      <w:r>
        <w:t>this</w:t>
      </w:r>
      <w:r>
        <w:rPr>
          <w:spacing w:val="-18"/>
        </w:rPr>
        <w:t xml:space="preserve"> </w:t>
      </w:r>
      <w:r>
        <w:t>discrepant</w:t>
      </w:r>
      <w:r>
        <w:rPr>
          <w:spacing w:val="-15"/>
        </w:rPr>
        <w:t xml:space="preserve"> </w:t>
      </w:r>
      <w:r>
        <w:t>finding. The age-paradox reflects the phenomenon that in comparison to younger adults, older adults show age deficits when PM tasks have to be carried out under laboratory conditions but show an</w:t>
      </w:r>
      <w:r>
        <w:rPr>
          <w:spacing w:val="-14"/>
        </w:rPr>
        <w:t xml:space="preserve"> </w:t>
      </w:r>
      <w:r>
        <w:t>age</w:t>
      </w:r>
      <w:r>
        <w:rPr>
          <w:spacing w:val="-14"/>
        </w:rPr>
        <w:t xml:space="preserve"> </w:t>
      </w:r>
      <w:r>
        <w:t>advantage</w:t>
      </w:r>
      <w:r>
        <w:rPr>
          <w:spacing w:val="-14"/>
        </w:rPr>
        <w:t xml:space="preserve"> </w:t>
      </w:r>
      <w:r>
        <w:t>when</w:t>
      </w:r>
      <w:r>
        <w:rPr>
          <w:spacing w:val="-13"/>
        </w:rPr>
        <w:t xml:space="preserve"> </w:t>
      </w:r>
      <w:r>
        <w:t>PM</w:t>
      </w:r>
      <w:r>
        <w:rPr>
          <w:spacing w:val="-16"/>
        </w:rPr>
        <w:t xml:space="preserve"> </w:t>
      </w:r>
      <w:r>
        <w:t>tasks</w:t>
      </w:r>
      <w:r>
        <w:rPr>
          <w:spacing w:val="-16"/>
        </w:rPr>
        <w:t xml:space="preserve"> </w:t>
      </w:r>
      <w:r>
        <w:t>have</w:t>
      </w:r>
      <w:r>
        <w:rPr>
          <w:spacing w:val="-14"/>
        </w:rPr>
        <w:t xml:space="preserve"> </w:t>
      </w:r>
      <w:r>
        <w:t>to</w:t>
      </w:r>
      <w:r>
        <w:rPr>
          <w:spacing w:val="-13"/>
        </w:rPr>
        <w:t xml:space="preserve"> </w:t>
      </w:r>
      <w:r>
        <w:t>be</w:t>
      </w:r>
      <w:r>
        <w:rPr>
          <w:spacing w:val="-14"/>
        </w:rPr>
        <w:t xml:space="preserve"> </w:t>
      </w:r>
      <w:r>
        <w:t>carried</w:t>
      </w:r>
      <w:r>
        <w:rPr>
          <w:spacing w:val="-13"/>
        </w:rPr>
        <w:t xml:space="preserve"> </w:t>
      </w:r>
      <w:r>
        <w:t>out</w:t>
      </w:r>
      <w:r>
        <w:rPr>
          <w:spacing w:val="-13"/>
        </w:rPr>
        <w:t xml:space="preserve"> </w:t>
      </w:r>
      <w:r>
        <w:t>in</w:t>
      </w:r>
      <w:r>
        <w:rPr>
          <w:spacing w:val="-13"/>
        </w:rPr>
        <w:t xml:space="preserve"> </w:t>
      </w:r>
      <w:r>
        <w:t>the</w:t>
      </w:r>
      <w:r>
        <w:rPr>
          <w:spacing w:val="-14"/>
        </w:rPr>
        <w:t xml:space="preserve"> </w:t>
      </w:r>
      <w:r>
        <w:t>context</w:t>
      </w:r>
      <w:r>
        <w:rPr>
          <w:spacing w:val="-13"/>
        </w:rPr>
        <w:t xml:space="preserve"> </w:t>
      </w:r>
      <w:r>
        <w:t>of</w:t>
      </w:r>
      <w:r>
        <w:rPr>
          <w:spacing w:val="-12"/>
        </w:rPr>
        <w:t xml:space="preserve"> </w:t>
      </w:r>
      <w:r>
        <w:t>everyday</w:t>
      </w:r>
      <w:r>
        <w:rPr>
          <w:spacing w:val="-13"/>
        </w:rPr>
        <w:t xml:space="preserve"> </w:t>
      </w:r>
      <w:r>
        <w:t>life</w:t>
      </w:r>
      <w:r>
        <w:rPr>
          <w:spacing w:val="-14"/>
        </w:rPr>
        <w:t xml:space="preserve"> </w:t>
      </w:r>
      <w:r>
        <w:t xml:space="preserve">demands. It has been suggested that older adults </w:t>
      </w:r>
      <w:r>
        <w:t>struggle with the rigid dual-task character of laboratory PM</w:t>
      </w:r>
      <w:r>
        <w:rPr>
          <w:spacing w:val="-9"/>
        </w:rPr>
        <w:t xml:space="preserve"> </w:t>
      </w:r>
      <w:r>
        <w:t>tasks,</w:t>
      </w:r>
      <w:r>
        <w:rPr>
          <w:spacing w:val="-4"/>
        </w:rPr>
        <w:t xml:space="preserve"> </w:t>
      </w:r>
      <w:r>
        <w:t>which</w:t>
      </w:r>
      <w:r>
        <w:rPr>
          <w:spacing w:val="-6"/>
        </w:rPr>
        <w:t xml:space="preserve"> </w:t>
      </w:r>
      <w:r>
        <w:t>are</w:t>
      </w:r>
      <w:r>
        <w:rPr>
          <w:spacing w:val="-7"/>
        </w:rPr>
        <w:t xml:space="preserve"> </w:t>
      </w:r>
      <w:r>
        <w:t>particularly</w:t>
      </w:r>
      <w:r>
        <w:rPr>
          <w:spacing w:val="-7"/>
        </w:rPr>
        <w:t xml:space="preserve"> </w:t>
      </w:r>
      <w:r>
        <w:t>challenging</w:t>
      </w:r>
      <w:r>
        <w:rPr>
          <w:spacing w:val="-6"/>
        </w:rPr>
        <w:t xml:space="preserve"> </w:t>
      </w:r>
      <w:r>
        <w:t>attentional</w:t>
      </w:r>
      <w:r>
        <w:rPr>
          <w:spacing w:val="-6"/>
        </w:rPr>
        <w:t xml:space="preserve"> </w:t>
      </w:r>
      <w:r>
        <w:t>control</w:t>
      </w:r>
      <w:r>
        <w:rPr>
          <w:spacing w:val="-10"/>
        </w:rPr>
        <w:t xml:space="preserve"> </w:t>
      </w:r>
      <w:r>
        <w:t>resources</w:t>
      </w:r>
      <w:r>
        <w:rPr>
          <w:spacing w:val="-8"/>
        </w:rPr>
        <w:t xml:space="preserve"> </w:t>
      </w:r>
      <w:r>
        <w:t>(</w:t>
      </w:r>
      <w:proofErr w:type="spellStart"/>
      <w:r>
        <w:t>Schnitzspahn</w:t>
      </w:r>
      <w:proofErr w:type="spellEnd"/>
      <w:r>
        <w:rPr>
          <w:spacing w:val="-7"/>
        </w:rPr>
        <w:t xml:space="preserve"> </w:t>
      </w:r>
      <w:r>
        <w:t>et</w:t>
      </w:r>
      <w:r>
        <w:rPr>
          <w:spacing w:val="-5"/>
        </w:rPr>
        <w:t xml:space="preserve"> </w:t>
      </w:r>
      <w:r>
        <w:t>al., 2011). In contrast, individuals with ASD might benefit from the structured</w:t>
      </w:r>
      <w:r>
        <w:rPr>
          <w:spacing w:val="18"/>
        </w:rPr>
        <w:t xml:space="preserve"> </w:t>
      </w:r>
      <w:r>
        <w:t>laboratory</w:t>
      </w:r>
    </w:p>
    <w:p w14:paraId="33F3DFF8" w14:textId="77777777" w:rsidR="00C75312" w:rsidRDefault="00C75312">
      <w:pPr>
        <w:spacing w:line="480" w:lineRule="auto"/>
        <w:jc w:val="both"/>
        <w:sectPr w:rsidR="00C75312">
          <w:pgSz w:w="11900" w:h="16840"/>
          <w:pgMar w:top="1140" w:right="0" w:bottom="280" w:left="1300" w:header="715" w:footer="0" w:gutter="0"/>
          <w:cols w:space="720"/>
        </w:sectPr>
      </w:pPr>
    </w:p>
    <w:p w14:paraId="2DE40091" w14:textId="77777777" w:rsidR="00C75312" w:rsidRDefault="00C75312">
      <w:pPr>
        <w:pStyle w:val="BodyText"/>
        <w:spacing w:before="2"/>
        <w:rPr>
          <w:sz w:val="18"/>
        </w:rPr>
      </w:pPr>
    </w:p>
    <w:p w14:paraId="1EF67B7E" w14:textId="77777777" w:rsidR="00C75312" w:rsidRDefault="00BB293A">
      <w:pPr>
        <w:pStyle w:val="BodyText"/>
        <w:spacing w:before="90" w:line="480" w:lineRule="auto"/>
        <w:ind w:left="140" w:right="1434"/>
        <w:jc w:val="both"/>
      </w:pPr>
      <w:r>
        <w:t>environment and circumscribed PM cues, in line with the task support hypothesis that cued memory retrieval is undiminished in ASD (Bowler, Gardiner, &amp; Grice, 2000).</w:t>
      </w:r>
    </w:p>
    <w:p w14:paraId="70EC48D1" w14:textId="77777777" w:rsidR="00C75312" w:rsidRDefault="00BB293A">
      <w:pPr>
        <w:pStyle w:val="BodyText"/>
        <w:spacing w:before="120" w:line="480" w:lineRule="auto"/>
        <w:ind w:left="140" w:right="1428" w:firstLine="720"/>
        <w:jc w:val="both"/>
      </w:pPr>
      <w:r>
        <w:t xml:space="preserve">Finally, with regard to research on PM development, the study results are in line with the predictions of the </w:t>
      </w:r>
      <w:proofErr w:type="spellStart"/>
      <w:r>
        <w:t>multiprocess</w:t>
      </w:r>
      <w:proofErr w:type="spellEnd"/>
      <w:r>
        <w:t xml:space="preserve"> framework (Einstein &amp; McDaniel, 2005; McDaniel &amp; Einstein, 2000) and other studies demonstrating an advantage of focal in comparison to </w:t>
      </w:r>
      <w:proofErr w:type="spellStart"/>
      <w:r>
        <w:t>nonfocal</w:t>
      </w:r>
      <w:proofErr w:type="spellEnd"/>
      <w:r>
        <w:t xml:space="preserve"> cues (</w:t>
      </w:r>
      <w:proofErr w:type="spellStart"/>
      <w:r>
        <w:t>Cona</w:t>
      </w:r>
      <w:proofErr w:type="spellEnd"/>
      <w:r>
        <w:t xml:space="preserve">, </w:t>
      </w:r>
      <w:proofErr w:type="spellStart"/>
      <w:r>
        <w:t>Bisiacchi</w:t>
      </w:r>
      <w:proofErr w:type="spellEnd"/>
      <w:r>
        <w:t xml:space="preserve">, &amp; Moscovitch, 2014; Scullin et al., 2010; L. J. Wang et al., 2011). Importantly, the sensory domain of the PM cue did not differentially influence PM in </w:t>
      </w:r>
      <w:r>
        <w:rPr>
          <w:position w:val="2"/>
        </w:rPr>
        <w:t xml:space="preserve">either group. The </w:t>
      </w:r>
      <w:proofErr w:type="spellStart"/>
      <w:r>
        <w:rPr>
          <w:position w:val="2"/>
        </w:rPr>
        <w:t>PM</w:t>
      </w:r>
      <w:r>
        <w:rPr>
          <w:position w:val="2"/>
          <w:vertAlign w:val="subscript"/>
        </w:rPr>
        <w:t>amount</w:t>
      </w:r>
      <w:proofErr w:type="spellEnd"/>
      <w:r>
        <w:rPr>
          <w:position w:val="2"/>
        </w:rPr>
        <w:t xml:space="preserve"> cue turned out to be the easiest cue to respond to (resulting in the </w:t>
      </w:r>
      <w:r>
        <w:t>highest PM performance of all four cue types) since it was directly dependent on t</w:t>
      </w:r>
      <w:r>
        <w:t xml:space="preserve">he correct response to the ongoing task and thus in maximal attentional focus. However, performance did not differ for any </w:t>
      </w:r>
      <w:r>
        <w:rPr>
          <w:spacing w:val="-3"/>
        </w:rPr>
        <w:t xml:space="preserve">of </w:t>
      </w:r>
      <w:r>
        <w:t>the other three PM cues, irrespective of being visual or auditory. This indicates that the auditory PM cue was not significantly more difficult for the ASD group to process compared to the NT group as no Group × Cue type interaction emerged. Thus, cue modality did not negatively affect PM performance in the ASD group. As this study used relatively simple cues, this is line with the c</w:t>
      </w:r>
      <w:r>
        <w:t>onclusions of Baum et al. (2015) who predicted sensory</w:t>
      </w:r>
      <w:r>
        <w:rPr>
          <w:spacing w:val="-11"/>
        </w:rPr>
        <w:t xml:space="preserve"> </w:t>
      </w:r>
      <w:r>
        <w:t>processing</w:t>
      </w:r>
      <w:r>
        <w:rPr>
          <w:spacing w:val="-11"/>
        </w:rPr>
        <w:t xml:space="preserve"> </w:t>
      </w:r>
      <w:r>
        <w:t>problems</w:t>
      </w:r>
      <w:r>
        <w:rPr>
          <w:spacing w:val="-12"/>
        </w:rPr>
        <w:t xml:space="preserve"> </w:t>
      </w:r>
      <w:r>
        <w:t>in</w:t>
      </w:r>
      <w:r>
        <w:rPr>
          <w:spacing w:val="-14"/>
        </w:rPr>
        <w:t xml:space="preserve"> </w:t>
      </w:r>
      <w:r>
        <w:t>ASD</w:t>
      </w:r>
      <w:r>
        <w:rPr>
          <w:spacing w:val="-16"/>
        </w:rPr>
        <w:t xml:space="preserve"> </w:t>
      </w:r>
      <w:r>
        <w:t>with</w:t>
      </w:r>
      <w:r>
        <w:rPr>
          <w:spacing w:val="-14"/>
        </w:rPr>
        <w:t xml:space="preserve"> </w:t>
      </w:r>
      <w:r>
        <w:t>more</w:t>
      </w:r>
      <w:r>
        <w:rPr>
          <w:spacing w:val="-15"/>
        </w:rPr>
        <w:t xml:space="preserve"> </w:t>
      </w:r>
      <w:r>
        <w:t>complex</w:t>
      </w:r>
      <w:r>
        <w:rPr>
          <w:spacing w:val="-14"/>
        </w:rPr>
        <w:t xml:space="preserve"> </w:t>
      </w:r>
      <w:r>
        <w:t>stimuli.</w:t>
      </w:r>
      <w:r>
        <w:rPr>
          <w:spacing w:val="33"/>
        </w:rPr>
        <w:t xml:space="preserve"> </w:t>
      </w:r>
      <w:r>
        <w:t>Therefore,</w:t>
      </w:r>
      <w:r>
        <w:rPr>
          <w:spacing w:val="-13"/>
        </w:rPr>
        <w:t xml:space="preserve"> </w:t>
      </w:r>
      <w:r>
        <w:t>even</w:t>
      </w:r>
      <w:r>
        <w:rPr>
          <w:spacing w:val="-10"/>
        </w:rPr>
        <w:t xml:space="preserve"> </w:t>
      </w:r>
      <w:r>
        <w:t>if</w:t>
      </w:r>
      <w:r>
        <w:rPr>
          <w:spacing w:val="-14"/>
        </w:rPr>
        <w:t xml:space="preserve"> </w:t>
      </w:r>
      <w:r>
        <w:t>there</w:t>
      </w:r>
      <w:r>
        <w:rPr>
          <w:spacing w:val="-11"/>
        </w:rPr>
        <w:t xml:space="preserve"> </w:t>
      </w:r>
      <w:r>
        <w:t>were higher order auditory/visual sensory processing differences in ASD, these did not play a role in this</w:t>
      </w:r>
      <w:r>
        <w:rPr>
          <w:spacing w:val="1"/>
        </w:rPr>
        <w:t xml:space="preserve"> </w:t>
      </w:r>
      <w:r>
        <w:t>study.</w:t>
      </w:r>
    </w:p>
    <w:p w14:paraId="33B27509" w14:textId="77777777" w:rsidR="00C75312" w:rsidRDefault="00BB293A">
      <w:pPr>
        <w:pStyle w:val="BodyText"/>
        <w:spacing w:before="101" w:line="480" w:lineRule="auto"/>
        <w:ind w:left="140" w:right="1428" w:firstLine="720"/>
        <w:jc w:val="both"/>
      </w:pPr>
      <w:r>
        <w:t>In sum, this study provides further evidence for undiminished event-based PM in</w:t>
      </w:r>
      <w:r>
        <w:rPr>
          <w:spacing w:val="-37"/>
        </w:rPr>
        <w:t xml:space="preserve"> </w:t>
      </w:r>
      <w:r>
        <w:t>ASD independent</w:t>
      </w:r>
      <w:r>
        <w:rPr>
          <w:spacing w:val="-9"/>
        </w:rPr>
        <w:t xml:space="preserve"> </w:t>
      </w:r>
      <w:r>
        <w:t>of</w:t>
      </w:r>
      <w:r>
        <w:rPr>
          <w:spacing w:val="-7"/>
        </w:rPr>
        <w:t xml:space="preserve"> </w:t>
      </w:r>
      <w:r>
        <w:t>cue</w:t>
      </w:r>
      <w:r>
        <w:rPr>
          <w:spacing w:val="-11"/>
        </w:rPr>
        <w:t xml:space="preserve"> </w:t>
      </w:r>
      <w:r>
        <w:t>focality.</w:t>
      </w:r>
      <w:r>
        <w:rPr>
          <w:spacing w:val="40"/>
        </w:rPr>
        <w:t xml:space="preserve"> </w:t>
      </w:r>
      <w:r>
        <w:t>Importantly</w:t>
      </w:r>
      <w:r>
        <w:rPr>
          <w:spacing w:val="-8"/>
        </w:rPr>
        <w:t xml:space="preserve"> </w:t>
      </w:r>
      <w:r>
        <w:t>it</w:t>
      </w:r>
      <w:r>
        <w:rPr>
          <w:spacing w:val="-13"/>
        </w:rPr>
        <w:t xml:space="preserve"> </w:t>
      </w:r>
      <w:r>
        <w:t>was</w:t>
      </w:r>
      <w:r>
        <w:rPr>
          <w:spacing w:val="-12"/>
        </w:rPr>
        <w:t xml:space="preserve"> </w:t>
      </w:r>
      <w:r>
        <w:t>found</w:t>
      </w:r>
      <w:r>
        <w:rPr>
          <w:spacing w:val="-9"/>
        </w:rPr>
        <w:t xml:space="preserve"> </w:t>
      </w:r>
      <w:r>
        <w:t>that</w:t>
      </w:r>
      <w:r>
        <w:rPr>
          <w:spacing w:val="-8"/>
        </w:rPr>
        <w:t xml:space="preserve"> </w:t>
      </w:r>
      <w:r>
        <w:t>children</w:t>
      </w:r>
      <w:r>
        <w:rPr>
          <w:spacing w:val="-10"/>
        </w:rPr>
        <w:t xml:space="preserve"> </w:t>
      </w:r>
      <w:r>
        <w:t>with</w:t>
      </w:r>
      <w:r>
        <w:rPr>
          <w:spacing w:val="-13"/>
        </w:rPr>
        <w:t xml:space="preserve"> </w:t>
      </w:r>
      <w:r>
        <w:t>ASD</w:t>
      </w:r>
      <w:r>
        <w:rPr>
          <w:spacing w:val="-10"/>
        </w:rPr>
        <w:t xml:space="preserve"> </w:t>
      </w:r>
      <w:r>
        <w:t>are</w:t>
      </w:r>
      <w:r>
        <w:rPr>
          <w:spacing w:val="-10"/>
        </w:rPr>
        <w:t xml:space="preserve"> </w:t>
      </w:r>
      <w:r>
        <w:t>able</w:t>
      </w:r>
      <w:r>
        <w:rPr>
          <w:spacing w:val="-10"/>
        </w:rPr>
        <w:t xml:space="preserve"> </w:t>
      </w:r>
      <w:r>
        <w:t>to</w:t>
      </w:r>
      <w:r>
        <w:rPr>
          <w:spacing w:val="-14"/>
        </w:rPr>
        <w:t xml:space="preserve"> </w:t>
      </w:r>
      <w:r>
        <w:t xml:space="preserve">detect both focal and </w:t>
      </w:r>
      <w:proofErr w:type="spellStart"/>
      <w:r>
        <w:t>nonfocal</w:t>
      </w:r>
      <w:proofErr w:type="spellEnd"/>
      <w:r>
        <w:t xml:space="preserve"> cues to the same extent as NT comparison children while being engaged</w:t>
      </w:r>
      <w:r>
        <w:rPr>
          <w:spacing w:val="-10"/>
        </w:rPr>
        <w:t xml:space="preserve"> </w:t>
      </w:r>
      <w:r>
        <w:t>in</w:t>
      </w:r>
      <w:r>
        <w:rPr>
          <w:spacing w:val="-10"/>
        </w:rPr>
        <w:t xml:space="preserve"> </w:t>
      </w:r>
      <w:r>
        <w:t>a</w:t>
      </w:r>
      <w:r>
        <w:rPr>
          <w:spacing w:val="-11"/>
        </w:rPr>
        <w:t xml:space="preserve"> </w:t>
      </w:r>
      <w:r>
        <w:t>demanding</w:t>
      </w:r>
      <w:r>
        <w:rPr>
          <w:spacing w:val="-10"/>
        </w:rPr>
        <w:t xml:space="preserve"> </w:t>
      </w:r>
      <w:r>
        <w:t>ongoing</w:t>
      </w:r>
      <w:r>
        <w:rPr>
          <w:spacing w:val="-10"/>
        </w:rPr>
        <w:t xml:space="preserve"> </w:t>
      </w:r>
      <w:r>
        <w:t>activity.</w:t>
      </w:r>
      <w:r>
        <w:rPr>
          <w:spacing w:val="39"/>
        </w:rPr>
        <w:t xml:space="preserve"> </w:t>
      </w:r>
      <w:r>
        <w:t>These</w:t>
      </w:r>
      <w:r>
        <w:rPr>
          <w:spacing w:val="-11"/>
        </w:rPr>
        <w:t xml:space="preserve"> </w:t>
      </w:r>
      <w:r>
        <w:t>findings</w:t>
      </w:r>
      <w:r>
        <w:rPr>
          <w:spacing w:val="-12"/>
        </w:rPr>
        <w:t xml:space="preserve"> </w:t>
      </w:r>
      <w:r>
        <w:t>imply</w:t>
      </w:r>
      <w:r>
        <w:rPr>
          <w:spacing w:val="-10"/>
        </w:rPr>
        <w:t xml:space="preserve"> </w:t>
      </w:r>
      <w:r>
        <w:t>that</w:t>
      </w:r>
      <w:r>
        <w:rPr>
          <w:spacing w:val="-9"/>
        </w:rPr>
        <w:t xml:space="preserve"> </w:t>
      </w:r>
      <w:r>
        <w:t>use</w:t>
      </w:r>
      <w:r>
        <w:rPr>
          <w:spacing w:val="-11"/>
        </w:rPr>
        <w:t xml:space="preserve"> </w:t>
      </w:r>
      <w:r>
        <w:t>of</w:t>
      </w:r>
      <w:r>
        <w:rPr>
          <w:spacing w:val="-8"/>
        </w:rPr>
        <w:t xml:space="preserve"> </w:t>
      </w:r>
      <w:r>
        <w:t>cues</w:t>
      </w:r>
      <w:r>
        <w:rPr>
          <w:spacing w:val="-11"/>
        </w:rPr>
        <w:t xml:space="preserve"> </w:t>
      </w:r>
      <w:r>
        <w:t>by</w:t>
      </w:r>
      <w:r>
        <w:rPr>
          <w:spacing w:val="-10"/>
        </w:rPr>
        <w:t xml:space="preserve"> </w:t>
      </w:r>
      <w:r>
        <w:t>individuals with ASD should be a particularly effective approach to supporting PM in everyday</w:t>
      </w:r>
      <w:r>
        <w:rPr>
          <w:spacing w:val="-15"/>
        </w:rPr>
        <w:t xml:space="preserve"> </w:t>
      </w:r>
      <w:r>
        <w:t>life.</w:t>
      </w:r>
    </w:p>
    <w:p w14:paraId="60409E87" w14:textId="77777777" w:rsidR="00C75312" w:rsidRDefault="00C75312">
      <w:pPr>
        <w:spacing w:line="480" w:lineRule="auto"/>
        <w:jc w:val="both"/>
        <w:sectPr w:rsidR="00C75312">
          <w:pgSz w:w="11900" w:h="16840"/>
          <w:pgMar w:top="1140" w:right="0" w:bottom="280" w:left="1300" w:header="715" w:footer="0" w:gutter="0"/>
          <w:cols w:space="720"/>
        </w:sectPr>
      </w:pPr>
    </w:p>
    <w:p w14:paraId="2A0E8D17" w14:textId="77777777" w:rsidR="00C75312" w:rsidRDefault="00C75312">
      <w:pPr>
        <w:pStyle w:val="BodyText"/>
        <w:spacing w:before="7"/>
        <w:rPr>
          <w:sz w:val="28"/>
        </w:rPr>
      </w:pPr>
    </w:p>
    <w:p w14:paraId="0B47825A" w14:textId="77777777" w:rsidR="00C75312" w:rsidRDefault="00BB293A">
      <w:pPr>
        <w:pStyle w:val="Heading1"/>
        <w:spacing w:before="90"/>
        <w:ind w:left="25" w:right="1328"/>
        <w:jc w:val="center"/>
      </w:pPr>
      <w:r>
        <w:t>CHAPTER 3</w:t>
      </w:r>
    </w:p>
    <w:p w14:paraId="516065C0" w14:textId="77777777" w:rsidR="00C75312" w:rsidRDefault="00C75312">
      <w:pPr>
        <w:pStyle w:val="BodyText"/>
        <w:rPr>
          <w:b/>
          <w:sz w:val="26"/>
        </w:rPr>
      </w:pPr>
    </w:p>
    <w:p w14:paraId="7A2C5349" w14:textId="77777777" w:rsidR="00C75312" w:rsidRDefault="00BB293A">
      <w:pPr>
        <w:spacing w:before="217" w:line="480" w:lineRule="auto"/>
        <w:ind w:left="25" w:right="1328"/>
        <w:jc w:val="center"/>
        <w:rPr>
          <w:b/>
          <w:sz w:val="24"/>
        </w:rPr>
      </w:pPr>
      <w:r>
        <w:rPr>
          <w:b/>
          <w:sz w:val="24"/>
        </w:rPr>
        <w:t>THE ROLES OF VERBAL AND VISUOSPATIAL PROCESSING IN EVENT-BASED PROSPECTIVE MEMORY: POSSIBLE COMPENSATORY STRATEGIES BY CHILDREN WITH AUTISM</w:t>
      </w:r>
    </w:p>
    <w:p w14:paraId="1183FDE0" w14:textId="77777777" w:rsidR="00C75312" w:rsidRDefault="00C75312">
      <w:pPr>
        <w:pStyle w:val="BodyText"/>
        <w:spacing w:before="10"/>
        <w:rPr>
          <w:b/>
          <w:sz w:val="20"/>
        </w:rPr>
      </w:pPr>
    </w:p>
    <w:p w14:paraId="0FAF32A6" w14:textId="77777777" w:rsidR="00C75312" w:rsidRDefault="00BB293A">
      <w:pPr>
        <w:pStyle w:val="Heading1"/>
        <w:ind w:left="25" w:right="1324"/>
        <w:jc w:val="center"/>
      </w:pPr>
      <w:bookmarkStart w:id="13" w:name="_TOC_250020"/>
      <w:bookmarkEnd w:id="13"/>
      <w:r>
        <w:t>Introduction</w:t>
      </w:r>
    </w:p>
    <w:p w14:paraId="4F36CD97" w14:textId="77777777" w:rsidR="00C75312" w:rsidRDefault="00C75312">
      <w:pPr>
        <w:pStyle w:val="BodyText"/>
        <w:rPr>
          <w:b/>
        </w:rPr>
      </w:pPr>
    </w:p>
    <w:p w14:paraId="0479F80B" w14:textId="77777777" w:rsidR="00C75312" w:rsidRDefault="00BB293A">
      <w:pPr>
        <w:pStyle w:val="BodyText"/>
        <w:spacing w:line="480" w:lineRule="auto"/>
        <w:ind w:left="140" w:right="1434" w:firstLine="720"/>
        <w:jc w:val="both"/>
      </w:pPr>
      <w:r>
        <w:t>The previous chapter explored whether specific characteristics of the PM cue, namely its focality in relation to the ongoing task, affect PM retrieval in ASD. The following chapter will</w:t>
      </w:r>
      <w:r>
        <w:rPr>
          <w:spacing w:val="-2"/>
        </w:rPr>
        <w:t xml:space="preserve"> </w:t>
      </w:r>
      <w:r>
        <w:t>report</w:t>
      </w:r>
      <w:r>
        <w:rPr>
          <w:spacing w:val="-5"/>
        </w:rPr>
        <w:t xml:space="preserve"> </w:t>
      </w:r>
      <w:r>
        <w:t>a</w:t>
      </w:r>
      <w:r>
        <w:rPr>
          <w:spacing w:val="-2"/>
        </w:rPr>
        <w:t xml:space="preserve"> </w:t>
      </w:r>
      <w:r>
        <w:t>study</w:t>
      </w:r>
      <w:r>
        <w:rPr>
          <w:spacing w:val="-6"/>
        </w:rPr>
        <w:t xml:space="preserve"> </w:t>
      </w:r>
      <w:r>
        <w:t>exploring</w:t>
      </w:r>
      <w:r>
        <w:rPr>
          <w:spacing w:val="-2"/>
        </w:rPr>
        <w:t xml:space="preserve"> </w:t>
      </w:r>
      <w:r>
        <w:t>event-based</w:t>
      </w:r>
      <w:r>
        <w:rPr>
          <w:spacing w:val="-1"/>
        </w:rPr>
        <w:t xml:space="preserve"> </w:t>
      </w:r>
      <w:r>
        <w:t>PM</w:t>
      </w:r>
      <w:r>
        <w:rPr>
          <w:spacing w:val="-4"/>
        </w:rPr>
        <w:t xml:space="preserve"> </w:t>
      </w:r>
      <w:r>
        <w:t>in</w:t>
      </w:r>
      <w:r>
        <w:rPr>
          <w:spacing w:val="-6"/>
        </w:rPr>
        <w:t xml:space="preserve"> </w:t>
      </w:r>
      <w:r>
        <w:t>children</w:t>
      </w:r>
      <w:r>
        <w:rPr>
          <w:spacing w:val="-1"/>
        </w:rPr>
        <w:t xml:space="preserve"> </w:t>
      </w:r>
      <w:r>
        <w:t>with</w:t>
      </w:r>
      <w:r>
        <w:rPr>
          <w:spacing w:val="-6"/>
        </w:rPr>
        <w:t xml:space="preserve"> </w:t>
      </w:r>
      <w:r>
        <w:t>ASD</w:t>
      </w:r>
      <w:r>
        <w:rPr>
          <w:spacing w:val="-6"/>
        </w:rPr>
        <w:t xml:space="preserve"> </w:t>
      </w:r>
      <w:r>
        <w:t>under</w:t>
      </w:r>
      <w:r>
        <w:rPr>
          <w:spacing w:val="-4"/>
        </w:rPr>
        <w:t xml:space="preserve"> </w:t>
      </w:r>
      <w:r>
        <w:t>different</w:t>
      </w:r>
      <w:r>
        <w:rPr>
          <w:spacing w:val="-6"/>
        </w:rPr>
        <w:t xml:space="preserve"> </w:t>
      </w:r>
      <w:r>
        <w:t>processing demands during the intention maintenance phase.</w:t>
      </w:r>
    </w:p>
    <w:p w14:paraId="562D7DD5" w14:textId="77777777" w:rsidR="00C75312" w:rsidRDefault="00BB293A">
      <w:pPr>
        <w:pStyle w:val="BodyText"/>
        <w:spacing w:before="120" w:line="480" w:lineRule="auto"/>
        <w:ind w:left="140" w:right="1433" w:firstLine="720"/>
        <w:jc w:val="both"/>
      </w:pPr>
      <w:r>
        <w:t xml:space="preserve">Event-based PM involves remembering to carry out a delayed intention at the appropriate point in the future, upon the occurrence of a certain trigger or cue (e.g., taking the food out of the oven when the timer goes off; the timer being the event or cue to complete the prospective action; Einstein &amp; McDaniel, 1990; McDaniel &amp; Einstein, 2007). Importantly, PM is a process divided into different phases: </w:t>
      </w:r>
      <w:r>
        <w:rPr>
          <w:i/>
        </w:rPr>
        <w:t xml:space="preserve">intention formation or encoding, retention interval, intention retrieval and execution, </w:t>
      </w:r>
      <w:r>
        <w:t xml:space="preserve">and </w:t>
      </w:r>
      <w:r>
        <w:rPr>
          <w:i/>
        </w:rPr>
        <w:t xml:space="preserve">outcome evaluation </w:t>
      </w:r>
      <w:r>
        <w:t>(Ellis, 1996). During intention formation, the intention or plan is formed and its content (when to do what) encoded into memory. This information needs to be stored over a delay period until the appropriate retrieval</w:t>
      </w:r>
      <w:r>
        <w:rPr>
          <w:spacing w:val="-5"/>
        </w:rPr>
        <w:t xml:space="preserve"> </w:t>
      </w:r>
      <w:r>
        <w:t>context</w:t>
      </w:r>
      <w:r>
        <w:rPr>
          <w:spacing w:val="-4"/>
        </w:rPr>
        <w:t xml:space="preserve"> </w:t>
      </w:r>
      <w:r>
        <w:t>occurs</w:t>
      </w:r>
      <w:r>
        <w:rPr>
          <w:spacing w:val="-7"/>
        </w:rPr>
        <w:t xml:space="preserve"> </w:t>
      </w:r>
      <w:r>
        <w:t>(i.e.,</w:t>
      </w:r>
      <w:r>
        <w:rPr>
          <w:spacing w:val="-7"/>
        </w:rPr>
        <w:t xml:space="preserve"> </w:t>
      </w:r>
      <w:r>
        <w:t>the</w:t>
      </w:r>
      <w:r>
        <w:rPr>
          <w:spacing w:val="-6"/>
        </w:rPr>
        <w:t xml:space="preserve"> </w:t>
      </w:r>
      <w:r>
        <w:t>timer</w:t>
      </w:r>
      <w:r>
        <w:rPr>
          <w:spacing w:val="-3"/>
        </w:rPr>
        <w:t xml:space="preserve"> </w:t>
      </w:r>
      <w:r>
        <w:t>going</w:t>
      </w:r>
      <w:r>
        <w:rPr>
          <w:spacing w:val="-10"/>
        </w:rPr>
        <w:t xml:space="preserve"> </w:t>
      </w:r>
      <w:r>
        <w:t>off</w:t>
      </w:r>
      <w:r>
        <w:rPr>
          <w:spacing w:val="-4"/>
        </w:rPr>
        <w:t xml:space="preserve"> </w:t>
      </w:r>
      <w:r>
        <w:t>in</w:t>
      </w:r>
      <w:r>
        <w:rPr>
          <w:spacing w:val="-13"/>
        </w:rPr>
        <w:t xml:space="preserve"> </w:t>
      </w:r>
      <w:r>
        <w:t>the</w:t>
      </w:r>
      <w:r>
        <w:rPr>
          <w:spacing w:val="-6"/>
        </w:rPr>
        <w:t xml:space="preserve"> </w:t>
      </w:r>
      <w:r>
        <w:t>example</w:t>
      </w:r>
      <w:r>
        <w:rPr>
          <w:spacing w:val="-7"/>
        </w:rPr>
        <w:t xml:space="preserve"> </w:t>
      </w:r>
      <w:r>
        <w:t>above).</w:t>
      </w:r>
      <w:r>
        <w:rPr>
          <w:spacing w:val="53"/>
        </w:rPr>
        <w:t xml:space="preserve"> </w:t>
      </w:r>
      <w:r>
        <w:t>At</w:t>
      </w:r>
      <w:r>
        <w:rPr>
          <w:spacing w:val="-9"/>
        </w:rPr>
        <w:t xml:space="preserve"> </w:t>
      </w:r>
      <w:r>
        <w:t>this</w:t>
      </w:r>
      <w:r>
        <w:rPr>
          <w:spacing w:val="-7"/>
        </w:rPr>
        <w:t xml:space="preserve"> </w:t>
      </w:r>
      <w:r>
        <w:t>point,</w:t>
      </w:r>
      <w:r>
        <w:rPr>
          <w:spacing w:val="-2"/>
        </w:rPr>
        <w:t xml:space="preserve"> </w:t>
      </w:r>
      <w:r>
        <w:t>a</w:t>
      </w:r>
      <w:r>
        <w:rPr>
          <w:spacing w:val="-11"/>
        </w:rPr>
        <w:t xml:space="preserve"> </w:t>
      </w:r>
      <w:r>
        <w:t>person has to retrieve</w:t>
      </w:r>
      <w:r>
        <w:rPr>
          <w:spacing w:val="-45"/>
        </w:rPr>
        <w:t xml:space="preserve"> </w:t>
      </w:r>
      <w:r>
        <w:t>the content of their intention and execute it accordingly. Based on the outcom</w:t>
      </w:r>
      <w:r>
        <w:t>e, an intention is either flagged as completed, or failed and requiring a reattempt. As such, PM failure</w:t>
      </w:r>
      <w:r>
        <w:rPr>
          <w:spacing w:val="-6"/>
        </w:rPr>
        <w:t xml:space="preserve"> </w:t>
      </w:r>
      <w:r>
        <w:t>can</w:t>
      </w:r>
      <w:r>
        <w:rPr>
          <w:spacing w:val="-5"/>
        </w:rPr>
        <w:t xml:space="preserve"> </w:t>
      </w:r>
      <w:r>
        <w:t>occur</w:t>
      </w:r>
      <w:r>
        <w:rPr>
          <w:spacing w:val="-7"/>
        </w:rPr>
        <w:t xml:space="preserve"> </w:t>
      </w:r>
      <w:r>
        <w:t>due</w:t>
      </w:r>
      <w:r>
        <w:rPr>
          <w:spacing w:val="-6"/>
        </w:rPr>
        <w:t xml:space="preserve"> </w:t>
      </w:r>
      <w:r>
        <w:t>to:</w:t>
      </w:r>
      <w:r>
        <w:rPr>
          <w:spacing w:val="-8"/>
        </w:rPr>
        <w:t xml:space="preserve"> </w:t>
      </w:r>
      <w:r>
        <w:t>a)</w:t>
      </w:r>
      <w:r>
        <w:rPr>
          <w:spacing w:val="-3"/>
        </w:rPr>
        <w:t xml:space="preserve"> </w:t>
      </w:r>
      <w:r>
        <w:t>failure</w:t>
      </w:r>
      <w:r>
        <w:rPr>
          <w:spacing w:val="-6"/>
        </w:rPr>
        <w:t xml:space="preserve"> </w:t>
      </w:r>
      <w:r>
        <w:t>to</w:t>
      </w:r>
      <w:r>
        <w:rPr>
          <w:spacing w:val="-9"/>
        </w:rPr>
        <w:t xml:space="preserve"> </w:t>
      </w:r>
      <w:r>
        <w:t>remember</w:t>
      </w:r>
      <w:r>
        <w:rPr>
          <w:spacing w:val="-8"/>
        </w:rPr>
        <w:t xml:space="preserve"> </w:t>
      </w:r>
      <w:r>
        <w:t>the</w:t>
      </w:r>
      <w:r>
        <w:rPr>
          <w:spacing w:val="-10"/>
        </w:rPr>
        <w:t xml:space="preserve"> </w:t>
      </w:r>
      <w:r>
        <w:t>retrieval</w:t>
      </w:r>
      <w:r>
        <w:rPr>
          <w:spacing w:val="-4"/>
        </w:rPr>
        <w:t xml:space="preserve"> </w:t>
      </w:r>
      <w:r>
        <w:t>context,</w:t>
      </w:r>
      <w:r>
        <w:rPr>
          <w:spacing w:val="-2"/>
        </w:rPr>
        <w:t xml:space="preserve"> </w:t>
      </w:r>
      <w:r>
        <w:t>thus</w:t>
      </w:r>
      <w:r>
        <w:rPr>
          <w:spacing w:val="-6"/>
        </w:rPr>
        <w:t xml:space="preserve"> </w:t>
      </w:r>
      <w:r>
        <w:t>the</w:t>
      </w:r>
      <w:r>
        <w:rPr>
          <w:spacing w:val="-6"/>
        </w:rPr>
        <w:t xml:space="preserve"> </w:t>
      </w:r>
      <w:r>
        <w:t>characteristics</w:t>
      </w:r>
      <w:r>
        <w:rPr>
          <w:spacing w:val="-7"/>
        </w:rPr>
        <w:t xml:space="preserve"> </w:t>
      </w:r>
      <w:r>
        <w:t>of the appropriate moment to carry out the delayed intention, which is equivalent to forgetting</w:t>
      </w:r>
      <w:r>
        <w:rPr>
          <w:spacing w:val="-31"/>
        </w:rPr>
        <w:t xml:space="preserve"> </w:t>
      </w:r>
      <w:r>
        <w:t xml:space="preserve">of the PM cue; b) failure to remember the intended action one was supposed to carry out in the future; </w:t>
      </w:r>
      <w:r>
        <w:rPr>
          <w:spacing w:val="-3"/>
        </w:rPr>
        <w:t xml:space="preserve">or </w:t>
      </w:r>
      <w:r>
        <w:t>c) failure to remember that one had a delayed intention in the first place.</w:t>
      </w:r>
      <w:r>
        <w:rPr>
          <w:spacing w:val="30"/>
        </w:rPr>
        <w:t xml:space="preserve"> </w:t>
      </w:r>
      <w:r>
        <w:t>According</w:t>
      </w:r>
    </w:p>
    <w:p w14:paraId="2A414B4B" w14:textId="77777777" w:rsidR="00C75312" w:rsidRDefault="00C75312">
      <w:pPr>
        <w:spacing w:line="480" w:lineRule="auto"/>
        <w:jc w:val="both"/>
        <w:sectPr w:rsidR="00C75312">
          <w:headerReference w:type="default" r:id="rId29"/>
          <w:pgSz w:w="11900" w:h="16840"/>
          <w:pgMar w:top="1140" w:right="0" w:bottom="280" w:left="1300" w:header="720" w:footer="0" w:gutter="0"/>
          <w:pgNumType w:start="69"/>
          <w:cols w:space="720"/>
        </w:sectPr>
      </w:pPr>
    </w:p>
    <w:p w14:paraId="25F239D7" w14:textId="77777777" w:rsidR="00C75312" w:rsidRDefault="00C75312">
      <w:pPr>
        <w:pStyle w:val="BodyText"/>
        <w:spacing w:before="2"/>
        <w:rPr>
          <w:sz w:val="18"/>
        </w:rPr>
      </w:pPr>
    </w:p>
    <w:p w14:paraId="58A1AC6B" w14:textId="77777777" w:rsidR="00C75312" w:rsidRDefault="00BB293A">
      <w:pPr>
        <w:pStyle w:val="BodyText"/>
        <w:spacing w:before="90" w:line="480" w:lineRule="auto"/>
        <w:ind w:left="140" w:right="1433"/>
        <w:jc w:val="both"/>
      </w:pPr>
      <w:r>
        <w:t xml:space="preserve">to the </w:t>
      </w:r>
      <w:proofErr w:type="spellStart"/>
      <w:r>
        <w:t>multiprocess</w:t>
      </w:r>
      <w:proofErr w:type="spellEnd"/>
      <w:r>
        <w:t xml:space="preserve"> framework (Einstein &amp; McDaniel, 2005; McDaniel &amp; Einstein, 2000), event-based PM failure depends on a variety of factors (e.g., PM cue and task characteristics), which can affect processing during the different PM phases. Specifically, this framework suggests that, in relatively simple event-based PM tasks, intention retrieval can be facilitated to a great extent through automatic, non-attention-demanding processes. However, as task complexity increases, so does the need for attention-demanding</w:t>
      </w:r>
      <w:r>
        <w:t xml:space="preserve"> strategic monitoring of the environment for the appropriate cue/event to signal that one’s prospective action should be carried out. Thus, studies aiming to identify causes for event-based PM failure have focused on</w:t>
      </w:r>
      <w:r>
        <w:rPr>
          <w:spacing w:val="-10"/>
        </w:rPr>
        <w:t xml:space="preserve"> </w:t>
      </w:r>
      <w:r>
        <w:t>these</w:t>
      </w:r>
      <w:r>
        <w:rPr>
          <w:spacing w:val="-11"/>
        </w:rPr>
        <w:t xml:space="preserve"> </w:t>
      </w:r>
      <w:r>
        <w:t>factors</w:t>
      </w:r>
      <w:r>
        <w:rPr>
          <w:spacing w:val="-11"/>
        </w:rPr>
        <w:t xml:space="preserve"> </w:t>
      </w:r>
      <w:r>
        <w:t>and</w:t>
      </w:r>
      <w:r>
        <w:rPr>
          <w:spacing w:val="-10"/>
        </w:rPr>
        <w:t xml:space="preserve"> </w:t>
      </w:r>
      <w:r>
        <w:t>the</w:t>
      </w:r>
      <w:r>
        <w:rPr>
          <w:spacing w:val="-10"/>
        </w:rPr>
        <w:t xml:space="preserve"> </w:t>
      </w:r>
      <w:r>
        <w:t>associated</w:t>
      </w:r>
      <w:r>
        <w:rPr>
          <w:spacing w:val="-10"/>
        </w:rPr>
        <w:t xml:space="preserve"> </w:t>
      </w:r>
      <w:r>
        <w:t>memory</w:t>
      </w:r>
      <w:r>
        <w:rPr>
          <w:spacing w:val="-10"/>
        </w:rPr>
        <w:t xml:space="preserve"> </w:t>
      </w:r>
      <w:r>
        <w:t>and</w:t>
      </w:r>
      <w:r>
        <w:rPr>
          <w:spacing w:val="-9"/>
        </w:rPr>
        <w:t xml:space="preserve"> </w:t>
      </w:r>
      <w:r>
        <w:t>executive</w:t>
      </w:r>
      <w:r>
        <w:rPr>
          <w:spacing w:val="-11"/>
        </w:rPr>
        <w:t xml:space="preserve"> </w:t>
      </w:r>
      <w:r>
        <w:t>control</w:t>
      </w:r>
      <w:r>
        <w:rPr>
          <w:spacing w:val="-8"/>
        </w:rPr>
        <w:t xml:space="preserve"> </w:t>
      </w:r>
      <w:r>
        <w:t>functions</w:t>
      </w:r>
      <w:r>
        <w:rPr>
          <w:spacing w:val="-16"/>
        </w:rPr>
        <w:t xml:space="preserve"> </w:t>
      </w:r>
      <w:r>
        <w:t>(Mahy</w:t>
      </w:r>
      <w:r>
        <w:rPr>
          <w:spacing w:val="-9"/>
        </w:rPr>
        <w:t xml:space="preserve"> </w:t>
      </w:r>
      <w:r>
        <w:t>et</w:t>
      </w:r>
      <w:r>
        <w:rPr>
          <w:spacing w:val="-9"/>
        </w:rPr>
        <w:t xml:space="preserve"> </w:t>
      </w:r>
      <w:r>
        <w:t>al.,</w:t>
      </w:r>
      <w:r>
        <w:rPr>
          <w:spacing w:val="-12"/>
        </w:rPr>
        <w:t xml:space="preserve"> </w:t>
      </w:r>
      <w:r>
        <w:t>2014;</w:t>
      </w:r>
    </w:p>
    <w:p w14:paraId="4D60715E" w14:textId="77777777" w:rsidR="00C75312" w:rsidRDefault="00BB293A">
      <w:pPr>
        <w:pStyle w:val="BodyText"/>
        <w:ind w:left="140"/>
        <w:jc w:val="both"/>
      </w:pPr>
      <w:r>
        <w:t>M. Martin et al., 2003).</w:t>
      </w:r>
    </w:p>
    <w:p w14:paraId="07E9FD97" w14:textId="77777777" w:rsidR="00C75312" w:rsidRDefault="00C75312">
      <w:pPr>
        <w:pStyle w:val="BodyText"/>
        <w:spacing w:before="5"/>
        <w:rPr>
          <w:sz w:val="34"/>
        </w:rPr>
      </w:pPr>
    </w:p>
    <w:p w14:paraId="36B2468C" w14:textId="77777777" w:rsidR="00C75312" w:rsidRDefault="00BB293A">
      <w:pPr>
        <w:pStyle w:val="BodyText"/>
        <w:spacing w:line="480" w:lineRule="auto"/>
        <w:ind w:left="140" w:right="1434" w:firstLine="720"/>
        <w:jc w:val="both"/>
      </w:pPr>
      <w:r>
        <w:t>In</w:t>
      </w:r>
      <w:r>
        <w:rPr>
          <w:spacing w:val="-11"/>
        </w:rPr>
        <w:t xml:space="preserve"> </w:t>
      </w:r>
      <w:r>
        <w:t>laboratory</w:t>
      </w:r>
      <w:r>
        <w:rPr>
          <w:spacing w:val="-14"/>
        </w:rPr>
        <w:t xml:space="preserve"> </w:t>
      </w:r>
      <w:r>
        <w:t>studies</w:t>
      </w:r>
      <w:r>
        <w:rPr>
          <w:spacing w:val="-12"/>
        </w:rPr>
        <w:t xml:space="preserve"> </w:t>
      </w:r>
      <w:r>
        <w:t>of</w:t>
      </w:r>
      <w:r>
        <w:rPr>
          <w:spacing w:val="-8"/>
        </w:rPr>
        <w:t xml:space="preserve"> </w:t>
      </w:r>
      <w:r>
        <w:t>event-based</w:t>
      </w:r>
      <w:r>
        <w:rPr>
          <w:spacing w:val="-11"/>
        </w:rPr>
        <w:t xml:space="preserve"> </w:t>
      </w:r>
      <w:r>
        <w:t>PM,</w:t>
      </w:r>
      <w:r>
        <w:rPr>
          <w:spacing w:val="-7"/>
        </w:rPr>
        <w:t xml:space="preserve"> </w:t>
      </w:r>
      <w:r>
        <w:t>manipulation</w:t>
      </w:r>
      <w:r>
        <w:rPr>
          <w:spacing w:val="-10"/>
        </w:rPr>
        <w:t xml:space="preserve"> </w:t>
      </w:r>
      <w:r>
        <w:t>of</w:t>
      </w:r>
      <w:r>
        <w:rPr>
          <w:spacing w:val="-9"/>
        </w:rPr>
        <w:t xml:space="preserve"> </w:t>
      </w:r>
      <w:r>
        <w:t>ongoing</w:t>
      </w:r>
      <w:r>
        <w:rPr>
          <w:spacing w:val="-14"/>
        </w:rPr>
        <w:t xml:space="preserve"> </w:t>
      </w:r>
      <w:r>
        <w:t>task</w:t>
      </w:r>
      <w:r>
        <w:rPr>
          <w:spacing w:val="-10"/>
        </w:rPr>
        <w:t xml:space="preserve"> </w:t>
      </w:r>
      <w:r>
        <w:t>demands</w:t>
      </w:r>
      <w:r>
        <w:rPr>
          <w:spacing w:val="-12"/>
        </w:rPr>
        <w:t xml:space="preserve"> </w:t>
      </w:r>
      <w:r>
        <w:t xml:space="preserve">affects the ease with which one can inhibit attending to the ongoing task and switch flexibly to carry out the target PM action at the appropriate time. The nature </w:t>
      </w:r>
      <w:r>
        <w:rPr>
          <w:spacing w:val="-3"/>
        </w:rPr>
        <w:t xml:space="preserve">of </w:t>
      </w:r>
      <w:r>
        <w:t xml:space="preserve">ongoing task demands dependent on the task’s difficulty level </w:t>
      </w:r>
      <w:r>
        <w:rPr>
          <w:spacing w:val="-3"/>
        </w:rPr>
        <w:t xml:space="preserve">or </w:t>
      </w:r>
      <w:r>
        <w:t xml:space="preserve">load on memory and/or executive resources (Meier &amp; Zimmermann, 2015) and thus determines the </w:t>
      </w:r>
      <w:r>
        <w:rPr>
          <w:spacing w:val="-2"/>
        </w:rPr>
        <w:t xml:space="preserve">extent </w:t>
      </w:r>
      <w:r>
        <w:t>to which it is perceived as absorbing and engaging. As a result, these demands play a substantial role in how much attentional capacity</w:t>
      </w:r>
      <w:r>
        <w:rPr>
          <w:spacing w:val="-5"/>
        </w:rPr>
        <w:t xml:space="preserve"> </w:t>
      </w:r>
      <w:r>
        <w:t>a</w:t>
      </w:r>
      <w:r>
        <w:rPr>
          <w:spacing w:val="-6"/>
        </w:rPr>
        <w:t xml:space="preserve"> </w:t>
      </w:r>
      <w:r>
        <w:t>participant</w:t>
      </w:r>
      <w:r>
        <w:rPr>
          <w:spacing w:val="-4"/>
        </w:rPr>
        <w:t xml:space="preserve"> </w:t>
      </w:r>
      <w:r>
        <w:t>has</w:t>
      </w:r>
      <w:r>
        <w:rPr>
          <w:spacing w:val="-6"/>
        </w:rPr>
        <w:t xml:space="preserve"> </w:t>
      </w:r>
      <w:r>
        <w:t>to</w:t>
      </w:r>
      <w:r>
        <w:rPr>
          <w:spacing w:val="-10"/>
        </w:rPr>
        <w:t xml:space="preserve"> </w:t>
      </w:r>
      <w:r>
        <w:t>devote</w:t>
      </w:r>
      <w:r>
        <w:rPr>
          <w:spacing w:val="-10"/>
        </w:rPr>
        <w:t xml:space="preserve"> </w:t>
      </w:r>
      <w:r>
        <w:t>to</w:t>
      </w:r>
      <w:r>
        <w:rPr>
          <w:spacing w:val="-5"/>
        </w:rPr>
        <w:t xml:space="preserve"> </w:t>
      </w:r>
      <w:r>
        <w:t>the</w:t>
      </w:r>
      <w:r>
        <w:rPr>
          <w:spacing w:val="-11"/>
        </w:rPr>
        <w:t xml:space="preserve"> </w:t>
      </w:r>
      <w:r>
        <w:t>task</w:t>
      </w:r>
      <w:r>
        <w:rPr>
          <w:spacing w:val="-4"/>
        </w:rPr>
        <w:t xml:space="preserve"> </w:t>
      </w:r>
      <w:r>
        <w:t>of</w:t>
      </w:r>
      <w:r>
        <w:rPr>
          <w:spacing w:val="-8"/>
        </w:rPr>
        <w:t xml:space="preserve"> </w:t>
      </w:r>
      <w:r>
        <w:t>d</w:t>
      </w:r>
      <w:r>
        <w:t>etecting</w:t>
      </w:r>
      <w:r>
        <w:rPr>
          <w:spacing w:val="-5"/>
        </w:rPr>
        <w:t xml:space="preserve"> </w:t>
      </w:r>
      <w:r>
        <w:t>the</w:t>
      </w:r>
      <w:r>
        <w:rPr>
          <w:spacing w:val="-5"/>
        </w:rPr>
        <w:t xml:space="preserve"> </w:t>
      </w:r>
      <w:r>
        <w:t>event</w:t>
      </w:r>
      <w:r>
        <w:rPr>
          <w:spacing w:val="-4"/>
        </w:rPr>
        <w:t xml:space="preserve"> </w:t>
      </w:r>
      <w:r>
        <w:t>that</w:t>
      </w:r>
      <w:r>
        <w:rPr>
          <w:spacing w:val="-9"/>
        </w:rPr>
        <w:t xml:space="preserve"> </w:t>
      </w:r>
      <w:r>
        <w:t>signals</w:t>
      </w:r>
      <w:r>
        <w:rPr>
          <w:spacing w:val="-6"/>
        </w:rPr>
        <w:t xml:space="preserve"> </w:t>
      </w:r>
      <w:r>
        <w:t>the</w:t>
      </w:r>
      <w:r>
        <w:rPr>
          <w:spacing w:val="-6"/>
        </w:rPr>
        <w:t xml:space="preserve"> </w:t>
      </w:r>
      <w:r>
        <w:t>PM</w:t>
      </w:r>
      <w:r>
        <w:rPr>
          <w:spacing w:val="-12"/>
        </w:rPr>
        <w:t xml:space="preserve"> </w:t>
      </w:r>
      <w:r>
        <w:t xml:space="preserve">action should be carried out. While the </w:t>
      </w:r>
      <w:proofErr w:type="spellStart"/>
      <w:r>
        <w:t>multiprocess</w:t>
      </w:r>
      <w:proofErr w:type="spellEnd"/>
      <w:r>
        <w:t xml:space="preserve"> framework assumes that thinking about a delayed intention is exhibited as external monitoring for PM cues (Einstein &amp; McDaniel, 2005), the intention monitoring hypothesis additionally suggests that individuals periodically will think about what they have to do in the future; i.e., refresh their intention in their mind,</w:t>
      </w:r>
      <w:r>
        <w:rPr>
          <w:spacing w:val="-42"/>
        </w:rPr>
        <w:t xml:space="preserve"> </w:t>
      </w:r>
      <w:r>
        <w:t>to support PM (Mahy &amp; Moses,</w:t>
      </w:r>
      <w:r>
        <w:rPr>
          <w:spacing w:val="6"/>
        </w:rPr>
        <w:t xml:space="preserve"> </w:t>
      </w:r>
      <w:r>
        <w:t>2015).</w:t>
      </w:r>
    </w:p>
    <w:p w14:paraId="704947A4" w14:textId="77777777" w:rsidR="00C75312" w:rsidRDefault="00BB293A">
      <w:pPr>
        <w:pStyle w:val="BodyText"/>
        <w:spacing w:before="121" w:line="480" w:lineRule="auto"/>
        <w:ind w:left="140" w:right="1436" w:firstLine="720"/>
        <w:jc w:val="both"/>
      </w:pPr>
      <w:r>
        <w:t>Hence, considering these ongoing task aspects and their influence leading up to PM retrieval is critical for our understanding of PM processes/failures. Of particular interest, working memory capacity is crucially involved in the intention maintenance phase during the</w:t>
      </w:r>
    </w:p>
    <w:p w14:paraId="464E562A" w14:textId="77777777" w:rsidR="00C75312" w:rsidRDefault="00C75312">
      <w:pPr>
        <w:spacing w:line="480" w:lineRule="auto"/>
        <w:jc w:val="both"/>
        <w:sectPr w:rsidR="00C75312">
          <w:pgSz w:w="11900" w:h="16840"/>
          <w:pgMar w:top="1140" w:right="0" w:bottom="280" w:left="1300" w:header="720" w:footer="0" w:gutter="0"/>
          <w:cols w:space="720"/>
        </w:sectPr>
      </w:pPr>
    </w:p>
    <w:p w14:paraId="464C5F33" w14:textId="77777777" w:rsidR="00C75312" w:rsidRDefault="00C75312">
      <w:pPr>
        <w:pStyle w:val="BodyText"/>
        <w:spacing w:before="2"/>
        <w:rPr>
          <w:sz w:val="18"/>
        </w:rPr>
      </w:pPr>
    </w:p>
    <w:p w14:paraId="7AED0E7A" w14:textId="77777777" w:rsidR="00C75312" w:rsidRDefault="00BB293A">
      <w:pPr>
        <w:pStyle w:val="BodyText"/>
        <w:spacing w:before="90" w:line="480" w:lineRule="auto"/>
        <w:ind w:left="140" w:right="1433"/>
        <w:jc w:val="both"/>
      </w:pPr>
      <w:r>
        <w:t>execution of the ongoing task, serving as a bridge between intention encoding and the delay until</w:t>
      </w:r>
      <w:r>
        <w:rPr>
          <w:spacing w:val="-4"/>
        </w:rPr>
        <w:t xml:space="preserve"> </w:t>
      </w:r>
      <w:r>
        <w:t>the</w:t>
      </w:r>
      <w:r>
        <w:rPr>
          <w:spacing w:val="-11"/>
        </w:rPr>
        <w:t xml:space="preserve"> </w:t>
      </w:r>
      <w:r>
        <w:t>intention</w:t>
      </w:r>
      <w:r>
        <w:rPr>
          <w:spacing w:val="-9"/>
        </w:rPr>
        <w:t xml:space="preserve"> </w:t>
      </w:r>
      <w:r>
        <w:t>retrieval</w:t>
      </w:r>
      <w:r>
        <w:rPr>
          <w:spacing w:val="-9"/>
        </w:rPr>
        <w:t xml:space="preserve"> </w:t>
      </w:r>
      <w:r>
        <w:t>(Mahy</w:t>
      </w:r>
      <w:r>
        <w:rPr>
          <w:spacing w:val="-5"/>
        </w:rPr>
        <w:t xml:space="preserve"> </w:t>
      </w:r>
      <w:r>
        <w:t>et</w:t>
      </w:r>
      <w:r>
        <w:rPr>
          <w:spacing w:val="-8"/>
        </w:rPr>
        <w:t xml:space="preserve"> </w:t>
      </w:r>
      <w:r>
        <w:t>al.,</w:t>
      </w:r>
      <w:r>
        <w:rPr>
          <w:spacing w:val="-7"/>
        </w:rPr>
        <w:t xml:space="preserve"> </w:t>
      </w:r>
      <w:r>
        <w:t>2014).</w:t>
      </w:r>
      <w:r>
        <w:rPr>
          <w:spacing w:val="40"/>
        </w:rPr>
        <w:t xml:space="preserve"> </w:t>
      </w:r>
      <w:r>
        <w:t>The</w:t>
      </w:r>
      <w:r>
        <w:rPr>
          <w:spacing w:val="-6"/>
        </w:rPr>
        <w:t xml:space="preserve"> </w:t>
      </w:r>
      <w:r>
        <w:t>availability</w:t>
      </w:r>
      <w:r>
        <w:rPr>
          <w:spacing w:val="-10"/>
        </w:rPr>
        <w:t xml:space="preserve"> </w:t>
      </w:r>
      <w:r>
        <w:t>of</w:t>
      </w:r>
      <w:r>
        <w:rPr>
          <w:spacing w:val="-7"/>
        </w:rPr>
        <w:t xml:space="preserve"> </w:t>
      </w:r>
      <w:r>
        <w:t>working</w:t>
      </w:r>
      <w:r>
        <w:rPr>
          <w:spacing w:val="-10"/>
        </w:rPr>
        <w:t xml:space="preserve"> </w:t>
      </w:r>
      <w:r>
        <w:t>memory</w:t>
      </w:r>
      <w:r>
        <w:rPr>
          <w:spacing w:val="-13"/>
        </w:rPr>
        <w:t xml:space="preserve"> </w:t>
      </w:r>
      <w:r>
        <w:t xml:space="preserve">resources determines whether incoming information can be processed or is dismissed due to capacity limitations (Hiebel &amp; Zimmer, 2015). In the context of a PM task, the working memory demands of the ongoing task influence attentional processes supporting readiness to respond to a PM cue (R. E. Smith &amp; Bayen, 2005). Thus, it is unsurprising that increases in working memory capacity from toddlerhood to childhood are linked to the ability to maintain an intention over a delay (Mahy &amp; Moses, 2011), </w:t>
      </w:r>
      <w:r>
        <w:rPr>
          <w:spacing w:val="-3"/>
        </w:rPr>
        <w:t xml:space="preserve">or </w:t>
      </w:r>
      <w:r>
        <w:t>that posi</w:t>
      </w:r>
      <w:r>
        <w:t xml:space="preserve">tive relationships have been found between working memory capacity and PM among NT adults (R. E. Smith, 2003; </w:t>
      </w:r>
      <w:r>
        <w:rPr>
          <w:spacing w:val="-3"/>
        </w:rPr>
        <w:t xml:space="preserve">Y. </w:t>
      </w:r>
      <w:r>
        <w:t xml:space="preserve">Wang, Cao, Cui, Shum, &amp; Chan, 2013). Importantly, different levels of load on working memory components differentially affect concurrent event-based PM processing. In experiments with NT adults, </w:t>
      </w:r>
      <w:r>
        <w:rPr>
          <w:spacing w:val="-3"/>
        </w:rPr>
        <w:t xml:space="preserve">it </w:t>
      </w:r>
      <w:r>
        <w:t>has been found that high demands on executive processing and visuospatial storage</w:t>
      </w:r>
      <w:r>
        <w:rPr>
          <w:spacing w:val="-16"/>
        </w:rPr>
        <w:t xml:space="preserve"> </w:t>
      </w:r>
      <w:r>
        <w:t>negatively</w:t>
      </w:r>
      <w:r>
        <w:rPr>
          <w:spacing w:val="-14"/>
        </w:rPr>
        <w:t xml:space="preserve"> </w:t>
      </w:r>
      <w:r>
        <w:t>affect</w:t>
      </w:r>
      <w:r>
        <w:rPr>
          <w:spacing w:val="-15"/>
        </w:rPr>
        <w:t xml:space="preserve"> </w:t>
      </w:r>
      <w:r>
        <w:t>event-based</w:t>
      </w:r>
      <w:r>
        <w:rPr>
          <w:spacing w:val="-15"/>
        </w:rPr>
        <w:t xml:space="preserve"> </w:t>
      </w:r>
      <w:r>
        <w:t>PM,</w:t>
      </w:r>
      <w:r>
        <w:rPr>
          <w:spacing w:val="-12"/>
        </w:rPr>
        <w:t xml:space="preserve"> </w:t>
      </w:r>
      <w:r>
        <w:t>whereas</w:t>
      </w:r>
      <w:r>
        <w:rPr>
          <w:spacing w:val="-21"/>
        </w:rPr>
        <w:t xml:space="preserve"> </w:t>
      </w:r>
      <w:r>
        <w:t>verbal</w:t>
      </w:r>
      <w:r>
        <w:rPr>
          <w:spacing w:val="-15"/>
        </w:rPr>
        <w:t xml:space="preserve"> </w:t>
      </w:r>
      <w:r>
        <w:t>working</w:t>
      </w:r>
      <w:r>
        <w:rPr>
          <w:spacing w:val="-19"/>
        </w:rPr>
        <w:t xml:space="preserve"> </w:t>
      </w:r>
      <w:r>
        <w:t>memory</w:t>
      </w:r>
      <w:r>
        <w:rPr>
          <w:spacing w:val="-19"/>
        </w:rPr>
        <w:t xml:space="preserve"> </w:t>
      </w:r>
      <w:r>
        <w:t>demands</w:t>
      </w:r>
      <w:r>
        <w:rPr>
          <w:spacing w:val="-18"/>
        </w:rPr>
        <w:t xml:space="preserve"> </w:t>
      </w:r>
      <w:r>
        <w:t>have</w:t>
      </w:r>
      <w:r>
        <w:rPr>
          <w:spacing w:val="-15"/>
        </w:rPr>
        <w:t xml:space="preserve"> </w:t>
      </w:r>
      <w:r>
        <w:t>little influence (Marsh &amp; Hicks, 1998). Th</w:t>
      </w:r>
      <w:r>
        <w:t xml:space="preserve">is suggests that in </w:t>
      </w:r>
      <w:r>
        <w:rPr>
          <w:spacing w:val="-3"/>
        </w:rPr>
        <w:t xml:space="preserve">NT </w:t>
      </w:r>
      <w:r>
        <w:t xml:space="preserve">adults, intention retention (which is required for successful intention retrieval, </w:t>
      </w:r>
      <w:r>
        <w:rPr>
          <w:spacing w:val="-3"/>
        </w:rPr>
        <w:t xml:space="preserve">of </w:t>
      </w:r>
      <w:r>
        <w:t>course) is not primarily verbally mediated</w:t>
      </w:r>
      <w:r>
        <w:rPr>
          <w:spacing w:val="-31"/>
        </w:rPr>
        <w:t xml:space="preserve"> </w:t>
      </w:r>
      <w:r>
        <w:t>(but see Mahy, Mohun, Müller, &amp; Moses,</w:t>
      </w:r>
      <w:r>
        <w:rPr>
          <w:spacing w:val="13"/>
        </w:rPr>
        <w:t xml:space="preserve"> </w:t>
      </w:r>
      <w:r>
        <w:t>2016).</w:t>
      </w:r>
    </w:p>
    <w:p w14:paraId="73514E2F" w14:textId="77777777" w:rsidR="00C75312" w:rsidRDefault="00BB293A">
      <w:pPr>
        <w:pStyle w:val="BodyText"/>
        <w:spacing w:before="121" w:line="480" w:lineRule="auto"/>
        <w:ind w:left="140" w:right="1433" w:firstLine="720"/>
        <w:jc w:val="both"/>
      </w:pPr>
      <w:r>
        <w:t>A</w:t>
      </w:r>
      <w:r>
        <w:rPr>
          <w:spacing w:val="-2"/>
        </w:rPr>
        <w:t xml:space="preserve"> </w:t>
      </w:r>
      <w:r>
        <w:t>possible</w:t>
      </w:r>
      <w:r>
        <w:rPr>
          <w:spacing w:val="-2"/>
        </w:rPr>
        <w:t xml:space="preserve"> </w:t>
      </w:r>
      <w:r>
        <w:t>explanation</w:t>
      </w:r>
      <w:r>
        <w:rPr>
          <w:spacing w:val="-1"/>
        </w:rPr>
        <w:t xml:space="preserve"> </w:t>
      </w:r>
      <w:r>
        <w:t>for</w:t>
      </w:r>
      <w:r>
        <w:rPr>
          <w:spacing w:val="-3"/>
        </w:rPr>
        <w:t xml:space="preserve"> </w:t>
      </w:r>
      <w:r>
        <w:t>the</w:t>
      </w:r>
      <w:r>
        <w:rPr>
          <w:spacing w:val="-7"/>
        </w:rPr>
        <w:t xml:space="preserve"> </w:t>
      </w:r>
      <w:r>
        <w:t>link</w:t>
      </w:r>
      <w:r>
        <w:rPr>
          <w:spacing w:val="-5"/>
        </w:rPr>
        <w:t xml:space="preserve"> </w:t>
      </w:r>
      <w:r>
        <w:t>between</w:t>
      </w:r>
      <w:r>
        <w:rPr>
          <w:spacing w:val="-1"/>
        </w:rPr>
        <w:t xml:space="preserve"> </w:t>
      </w:r>
      <w:r>
        <w:t>visuospatial</w:t>
      </w:r>
      <w:r>
        <w:rPr>
          <w:spacing w:val="-1"/>
        </w:rPr>
        <w:t xml:space="preserve"> </w:t>
      </w:r>
      <w:r>
        <w:t>capacity and</w:t>
      </w:r>
      <w:r>
        <w:rPr>
          <w:spacing w:val="-6"/>
        </w:rPr>
        <w:t xml:space="preserve"> </w:t>
      </w:r>
      <w:r>
        <w:t>PM</w:t>
      </w:r>
      <w:r>
        <w:rPr>
          <w:spacing w:val="-7"/>
        </w:rPr>
        <w:t xml:space="preserve"> </w:t>
      </w:r>
      <w:r>
        <w:t>might</w:t>
      </w:r>
      <w:r>
        <w:rPr>
          <w:spacing w:val="-5"/>
        </w:rPr>
        <w:t xml:space="preserve"> </w:t>
      </w:r>
      <w:r>
        <w:t>be</w:t>
      </w:r>
      <w:r>
        <w:rPr>
          <w:spacing w:val="-6"/>
        </w:rPr>
        <w:t xml:space="preserve"> </w:t>
      </w:r>
      <w:r>
        <w:t>the relevance of visuospatial processing for episodic future thinking (</w:t>
      </w:r>
      <w:proofErr w:type="spellStart"/>
      <w:r>
        <w:t>Atance</w:t>
      </w:r>
      <w:proofErr w:type="spellEnd"/>
      <w:r>
        <w:t xml:space="preserve"> &amp; O'Neill, 2001). Episodic</w:t>
      </w:r>
      <w:r>
        <w:rPr>
          <w:spacing w:val="-7"/>
        </w:rPr>
        <w:t xml:space="preserve"> </w:t>
      </w:r>
      <w:r>
        <w:t>future</w:t>
      </w:r>
      <w:r>
        <w:rPr>
          <w:spacing w:val="-7"/>
        </w:rPr>
        <w:t xml:space="preserve"> </w:t>
      </w:r>
      <w:r>
        <w:t>thinking,</w:t>
      </w:r>
      <w:r>
        <w:rPr>
          <w:spacing w:val="-7"/>
        </w:rPr>
        <w:t xml:space="preserve"> </w:t>
      </w:r>
      <w:r>
        <w:t>also</w:t>
      </w:r>
      <w:r>
        <w:rPr>
          <w:spacing w:val="-6"/>
        </w:rPr>
        <w:t xml:space="preserve"> </w:t>
      </w:r>
      <w:r>
        <w:t>known</w:t>
      </w:r>
      <w:r>
        <w:rPr>
          <w:spacing w:val="-10"/>
        </w:rPr>
        <w:t xml:space="preserve"> </w:t>
      </w:r>
      <w:r>
        <w:t>as</w:t>
      </w:r>
      <w:r>
        <w:rPr>
          <w:spacing w:val="-8"/>
        </w:rPr>
        <w:t xml:space="preserve"> </w:t>
      </w:r>
      <w:r>
        <w:t>“prospection”,</w:t>
      </w:r>
      <w:r>
        <w:rPr>
          <w:spacing w:val="-3"/>
        </w:rPr>
        <w:t xml:space="preserve"> </w:t>
      </w:r>
      <w:r>
        <w:t>is</w:t>
      </w:r>
      <w:r>
        <w:rPr>
          <w:spacing w:val="-12"/>
        </w:rPr>
        <w:t xml:space="preserve"> </w:t>
      </w:r>
      <w:r>
        <w:t>the</w:t>
      </w:r>
      <w:r>
        <w:rPr>
          <w:spacing w:val="-6"/>
        </w:rPr>
        <w:t xml:space="preserve"> </w:t>
      </w:r>
      <w:r>
        <w:t>ability</w:t>
      </w:r>
      <w:r>
        <w:rPr>
          <w:spacing w:val="-11"/>
        </w:rPr>
        <w:t xml:space="preserve"> </w:t>
      </w:r>
      <w:r>
        <w:t>to</w:t>
      </w:r>
      <w:r>
        <w:rPr>
          <w:spacing w:val="-10"/>
        </w:rPr>
        <w:t xml:space="preserve"> </w:t>
      </w:r>
      <w:r>
        <w:t>project</w:t>
      </w:r>
      <w:r>
        <w:rPr>
          <w:spacing w:val="-5"/>
        </w:rPr>
        <w:t xml:space="preserve"> </w:t>
      </w:r>
      <w:r>
        <w:t>one-self</w:t>
      </w:r>
      <w:r>
        <w:rPr>
          <w:spacing w:val="-4"/>
        </w:rPr>
        <w:t xml:space="preserve"> </w:t>
      </w:r>
      <w:r>
        <w:t>into</w:t>
      </w:r>
      <w:r>
        <w:rPr>
          <w:spacing w:val="-10"/>
        </w:rPr>
        <w:t xml:space="preserve"> </w:t>
      </w:r>
      <w:r>
        <w:t>the future</w:t>
      </w:r>
      <w:r>
        <w:rPr>
          <w:spacing w:val="-15"/>
        </w:rPr>
        <w:t xml:space="preserve"> </w:t>
      </w:r>
      <w:r>
        <w:t>and</w:t>
      </w:r>
      <w:r>
        <w:rPr>
          <w:spacing w:val="-14"/>
        </w:rPr>
        <w:t xml:space="preserve"> </w:t>
      </w:r>
      <w:r>
        <w:t>plan,</w:t>
      </w:r>
      <w:r>
        <w:rPr>
          <w:spacing w:val="-12"/>
        </w:rPr>
        <w:t xml:space="preserve"> </w:t>
      </w:r>
      <w:r>
        <w:t>imagine</w:t>
      </w:r>
      <w:r>
        <w:rPr>
          <w:spacing w:val="-15"/>
        </w:rPr>
        <w:t xml:space="preserve"> </w:t>
      </w:r>
      <w:r>
        <w:t>and</w:t>
      </w:r>
      <w:r>
        <w:rPr>
          <w:spacing w:val="-14"/>
        </w:rPr>
        <w:t xml:space="preserve"> </w:t>
      </w:r>
      <w:r>
        <w:t>pre-experience</w:t>
      </w:r>
      <w:r>
        <w:rPr>
          <w:spacing w:val="-15"/>
        </w:rPr>
        <w:t xml:space="preserve"> </w:t>
      </w:r>
      <w:r>
        <w:t>future</w:t>
      </w:r>
      <w:r>
        <w:rPr>
          <w:spacing w:val="-15"/>
        </w:rPr>
        <w:t xml:space="preserve"> </w:t>
      </w:r>
      <w:r>
        <w:t>events.</w:t>
      </w:r>
      <w:r>
        <w:rPr>
          <w:spacing w:val="34"/>
        </w:rPr>
        <w:t xml:space="preserve"> </w:t>
      </w:r>
      <w:r>
        <w:t>Clearly,</w:t>
      </w:r>
      <w:r>
        <w:rPr>
          <w:spacing w:val="-12"/>
        </w:rPr>
        <w:t xml:space="preserve"> </w:t>
      </w:r>
      <w:r>
        <w:t>this</w:t>
      </w:r>
      <w:r>
        <w:rPr>
          <w:spacing w:val="-17"/>
        </w:rPr>
        <w:t xml:space="preserve"> </w:t>
      </w:r>
      <w:r>
        <w:t>form</w:t>
      </w:r>
      <w:r>
        <w:rPr>
          <w:spacing w:val="-14"/>
        </w:rPr>
        <w:t xml:space="preserve"> </w:t>
      </w:r>
      <w:r>
        <w:rPr>
          <w:spacing w:val="-3"/>
        </w:rPr>
        <w:t>of</w:t>
      </w:r>
      <w:r>
        <w:rPr>
          <w:spacing w:val="-13"/>
        </w:rPr>
        <w:t xml:space="preserve"> </w:t>
      </w:r>
      <w:r>
        <w:t>future-oriented cognition is relevant during the encoding of a delayed intention in a PM task, and it has been suggested that an individual might mentally simulate the execution of a PM task as a me</w:t>
      </w:r>
      <w:r>
        <w:t>ntal encounter with the specified retrieval context (G. A. Brewer &amp; Marsh, 2010). This form of mental simulation must be related to one’s ability to generate and manipulate mental images. Visual mental imagery encompasses the mental simulation</w:t>
      </w:r>
      <w:r>
        <w:rPr>
          <w:spacing w:val="-17"/>
        </w:rPr>
        <w:t xml:space="preserve"> </w:t>
      </w:r>
      <w:r>
        <w:t>and transformation of perceptual</w:t>
      </w:r>
    </w:p>
    <w:p w14:paraId="1131689F" w14:textId="77777777" w:rsidR="00C75312" w:rsidRDefault="00C75312">
      <w:pPr>
        <w:spacing w:line="480" w:lineRule="auto"/>
        <w:jc w:val="both"/>
        <w:sectPr w:rsidR="00C75312">
          <w:pgSz w:w="11900" w:h="16840"/>
          <w:pgMar w:top="1140" w:right="0" w:bottom="280" w:left="1300" w:header="720" w:footer="0" w:gutter="0"/>
          <w:cols w:space="720"/>
        </w:sectPr>
      </w:pPr>
    </w:p>
    <w:p w14:paraId="2F8765DE" w14:textId="77777777" w:rsidR="00C75312" w:rsidRDefault="00C75312">
      <w:pPr>
        <w:pStyle w:val="BodyText"/>
        <w:spacing w:before="2"/>
        <w:rPr>
          <w:sz w:val="18"/>
        </w:rPr>
      </w:pPr>
    </w:p>
    <w:p w14:paraId="785BC1C6" w14:textId="77777777" w:rsidR="00C75312" w:rsidRDefault="00BB293A">
      <w:pPr>
        <w:pStyle w:val="BodyText"/>
        <w:spacing w:before="90" w:line="480" w:lineRule="auto"/>
        <w:ind w:left="140" w:right="1434"/>
        <w:jc w:val="both"/>
      </w:pPr>
      <w:r>
        <w:t>information from memory (</w:t>
      </w:r>
      <w:proofErr w:type="spellStart"/>
      <w:r>
        <w:t>Kosslyn</w:t>
      </w:r>
      <w:proofErr w:type="spellEnd"/>
      <w:r>
        <w:t xml:space="preserve">, Ganis, &amp; Thompson, 2001), which is facilitated by visuospatial working memory (Keogh &amp; Pearson, 2011; Tong, 2013). This imagination process is thought to be beneficial for strengthening the association between the retrieval context and the intended PM action, and thus reduces demands on intention maintenance in </w:t>
      </w:r>
      <w:proofErr w:type="spellStart"/>
      <w:r>
        <w:t>favour</w:t>
      </w:r>
      <w:proofErr w:type="spellEnd"/>
      <w:r>
        <w:t xml:space="preserve"> of more spontaneous automatic-associative intention retrieval and execution (G. A. Brewer et al., 2011; Terrett et al., 2016). For example, when forming the intention to pick up a par</w:t>
      </w:r>
      <w:r>
        <w:t>cel after work, one might imagine the route to take and the particular junction where one needs to turn right to go to the post office (including the change of lane, indicating right, etc.) instead of going straight home. Later, when driving up to this junction, the previous mental simulation of the environment might facilitate the retrieval and execution of the PM action. Exploration of these processes is potentially important to extend our understanding of event- based PM in</w:t>
      </w:r>
      <w:r>
        <w:rPr>
          <w:spacing w:val="3"/>
        </w:rPr>
        <w:t xml:space="preserve"> </w:t>
      </w:r>
      <w:r>
        <w:t>ASD.</w:t>
      </w:r>
    </w:p>
    <w:p w14:paraId="7325B7BF" w14:textId="77777777" w:rsidR="00C75312" w:rsidRDefault="00BB293A">
      <w:pPr>
        <w:pStyle w:val="BodyText"/>
        <w:spacing w:before="120" w:line="480" w:lineRule="auto"/>
        <w:ind w:left="140" w:right="1433" w:firstLine="720"/>
        <w:jc w:val="both"/>
      </w:pPr>
      <w:r>
        <w:t xml:space="preserve">It is clear from results in Chapters 1 and 2 that controversy remains about whether, </w:t>
      </w:r>
      <w:r>
        <w:rPr>
          <w:spacing w:val="-3"/>
        </w:rPr>
        <w:t xml:space="preserve">or </w:t>
      </w:r>
      <w:r>
        <w:t>the extent to which, event-based PM is impaired in ASD. It is possible that event-based PM is genuinely unimpaired in this disorder; studies may report diminished event-based PM in</w:t>
      </w:r>
      <w:r>
        <w:rPr>
          <w:spacing w:val="-25"/>
        </w:rPr>
        <w:t xml:space="preserve"> </w:t>
      </w:r>
      <w:r>
        <w:t xml:space="preserve">ASD only because of methodological limitations that confound the study results. However, an alternative possibility is that individuals with ASD might use compensatory strategies to perform well on event-based PM tasks, but in the absence of typical underlying competence (see e.g., Williams et al., 2014). Specifically, their evidence implied that despite apparently intact performance the underlying competence of event-based </w:t>
      </w:r>
      <w:r>
        <w:rPr>
          <w:spacing w:val="2"/>
        </w:rPr>
        <w:t xml:space="preserve">PM </w:t>
      </w:r>
      <w:r>
        <w:t>in ASD may differ from typical development. This would mean that they might accom</w:t>
      </w:r>
      <w:r>
        <w:t>plish similar event-based PM task</w:t>
      </w:r>
      <w:r>
        <w:rPr>
          <w:spacing w:val="-7"/>
        </w:rPr>
        <w:t xml:space="preserve"> </w:t>
      </w:r>
      <w:r>
        <w:t>performance</w:t>
      </w:r>
      <w:r>
        <w:rPr>
          <w:spacing w:val="-7"/>
        </w:rPr>
        <w:t xml:space="preserve"> </w:t>
      </w:r>
      <w:r>
        <w:t>to</w:t>
      </w:r>
      <w:r>
        <w:rPr>
          <w:spacing w:val="-11"/>
        </w:rPr>
        <w:t xml:space="preserve"> </w:t>
      </w:r>
      <w:r>
        <w:t>NT</w:t>
      </w:r>
      <w:r>
        <w:rPr>
          <w:spacing w:val="-8"/>
        </w:rPr>
        <w:t xml:space="preserve"> </w:t>
      </w:r>
      <w:r>
        <w:t>individuals,</w:t>
      </w:r>
      <w:r>
        <w:rPr>
          <w:spacing w:val="-3"/>
        </w:rPr>
        <w:t xml:space="preserve"> </w:t>
      </w:r>
      <w:r>
        <w:t>despite</w:t>
      </w:r>
      <w:r>
        <w:rPr>
          <w:spacing w:val="-7"/>
        </w:rPr>
        <w:t xml:space="preserve"> </w:t>
      </w:r>
      <w:r>
        <w:t>engaging</w:t>
      </w:r>
      <w:r>
        <w:rPr>
          <w:spacing w:val="-6"/>
        </w:rPr>
        <w:t xml:space="preserve"> </w:t>
      </w:r>
      <w:r>
        <w:t>different</w:t>
      </w:r>
      <w:r>
        <w:rPr>
          <w:spacing w:val="-6"/>
        </w:rPr>
        <w:t xml:space="preserve"> </w:t>
      </w:r>
      <w:r>
        <w:t>underlying</w:t>
      </w:r>
      <w:r>
        <w:rPr>
          <w:spacing w:val="-11"/>
        </w:rPr>
        <w:t xml:space="preserve"> </w:t>
      </w:r>
      <w:r>
        <w:t>cognitive</w:t>
      </w:r>
      <w:r>
        <w:rPr>
          <w:spacing w:val="-12"/>
        </w:rPr>
        <w:t xml:space="preserve"> </w:t>
      </w:r>
      <w:r>
        <w:t>processes to succeed. In this context, it is interesting that Williams et al. (2014) found alternative cognitive correlates of successful event-based PM in participants with and without ASD. Specifically, they found that verbal working memory span was associated with</w:t>
      </w:r>
      <w:r>
        <w:rPr>
          <w:spacing w:val="-19"/>
        </w:rPr>
        <w:t xml:space="preserve"> </w:t>
      </w:r>
      <w:r>
        <w:t>event-based</w:t>
      </w:r>
    </w:p>
    <w:p w14:paraId="09070D1B" w14:textId="77777777" w:rsidR="00C75312" w:rsidRDefault="00C75312">
      <w:pPr>
        <w:spacing w:line="480" w:lineRule="auto"/>
        <w:jc w:val="both"/>
        <w:sectPr w:rsidR="00C75312">
          <w:pgSz w:w="11900" w:h="16840"/>
          <w:pgMar w:top="1140" w:right="0" w:bottom="280" w:left="1300" w:header="720" w:footer="0" w:gutter="0"/>
          <w:cols w:space="720"/>
        </w:sectPr>
      </w:pPr>
    </w:p>
    <w:p w14:paraId="6E8E7BE1" w14:textId="77777777" w:rsidR="00C75312" w:rsidRDefault="00C75312">
      <w:pPr>
        <w:pStyle w:val="BodyText"/>
        <w:spacing w:before="2"/>
        <w:rPr>
          <w:sz w:val="18"/>
        </w:rPr>
      </w:pPr>
    </w:p>
    <w:p w14:paraId="6B3353FB" w14:textId="77777777" w:rsidR="00C75312" w:rsidRDefault="00BB293A">
      <w:pPr>
        <w:pStyle w:val="BodyText"/>
        <w:spacing w:before="90" w:line="480" w:lineRule="auto"/>
        <w:ind w:left="140" w:right="1433"/>
        <w:jc w:val="both"/>
      </w:pPr>
      <w:r>
        <w:t>PM</w:t>
      </w:r>
      <w:r>
        <w:rPr>
          <w:spacing w:val="-8"/>
        </w:rPr>
        <w:t xml:space="preserve"> </w:t>
      </w:r>
      <w:r>
        <w:t>success</w:t>
      </w:r>
      <w:r>
        <w:rPr>
          <w:spacing w:val="-7"/>
        </w:rPr>
        <w:t xml:space="preserve"> </w:t>
      </w:r>
      <w:r>
        <w:t>in</w:t>
      </w:r>
      <w:r>
        <w:rPr>
          <w:spacing w:val="-5"/>
        </w:rPr>
        <w:t xml:space="preserve"> </w:t>
      </w:r>
      <w:r>
        <w:t>ASD</w:t>
      </w:r>
      <w:r>
        <w:rPr>
          <w:spacing w:val="-6"/>
        </w:rPr>
        <w:t xml:space="preserve"> </w:t>
      </w:r>
      <w:r>
        <w:t>(</w:t>
      </w:r>
      <w:r>
        <w:rPr>
          <w:i/>
        </w:rPr>
        <w:t>r</w:t>
      </w:r>
      <w:r>
        <w:rPr>
          <w:i/>
          <w:spacing w:val="-7"/>
        </w:rPr>
        <w:t xml:space="preserve"> </w:t>
      </w:r>
      <w:r>
        <w:t>=</w:t>
      </w:r>
      <w:r>
        <w:rPr>
          <w:spacing w:val="-11"/>
        </w:rPr>
        <w:t xml:space="preserve"> </w:t>
      </w:r>
      <w:r>
        <w:t>.52),</w:t>
      </w:r>
      <w:r>
        <w:rPr>
          <w:spacing w:val="-7"/>
        </w:rPr>
        <w:t xml:space="preserve"> </w:t>
      </w:r>
      <w:r>
        <w:t>whereas</w:t>
      </w:r>
      <w:r>
        <w:rPr>
          <w:spacing w:val="-8"/>
        </w:rPr>
        <w:t xml:space="preserve"> </w:t>
      </w:r>
      <w:r>
        <w:t>visuospatial</w:t>
      </w:r>
      <w:r>
        <w:rPr>
          <w:spacing w:val="-4"/>
        </w:rPr>
        <w:t xml:space="preserve"> </w:t>
      </w:r>
      <w:r>
        <w:t>working</w:t>
      </w:r>
      <w:r>
        <w:rPr>
          <w:spacing w:val="-5"/>
        </w:rPr>
        <w:t xml:space="preserve"> </w:t>
      </w:r>
      <w:r>
        <w:t>memory</w:t>
      </w:r>
      <w:r>
        <w:rPr>
          <w:spacing w:val="-6"/>
        </w:rPr>
        <w:t xml:space="preserve"> </w:t>
      </w:r>
      <w:r>
        <w:t>span</w:t>
      </w:r>
      <w:r>
        <w:rPr>
          <w:spacing w:val="-5"/>
        </w:rPr>
        <w:t xml:space="preserve"> </w:t>
      </w:r>
      <w:r>
        <w:t>was</w:t>
      </w:r>
      <w:r>
        <w:rPr>
          <w:spacing w:val="-7"/>
        </w:rPr>
        <w:t xml:space="preserve"> </w:t>
      </w:r>
      <w:r>
        <w:t>associated</w:t>
      </w:r>
      <w:r>
        <w:rPr>
          <w:spacing w:val="-6"/>
        </w:rPr>
        <w:t xml:space="preserve"> </w:t>
      </w:r>
      <w:r>
        <w:t>with event-based PM success in NT controls (</w:t>
      </w:r>
      <w:r>
        <w:rPr>
          <w:i/>
        </w:rPr>
        <w:t xml:space="preserve">r </w:t>
      </w:r>
      <w:r>
        <w:t xml:space="preserve">= .50). This finding suggests that event-based PM in ASD may be verbally mediated; i.e., they might use inner speech or rehearsal to maintain the type of cue they would need to react to (in this case words representing musical instruments). In contrast, </w:t>
      </w:r>
      <w:r>
        <w:rPr>
          <w:spacing w:val="-3"/>
        </w:rPr>
        <w:t xml:space="preserve">NT </w:t>
      </w:r>
      <w:r>
        <w:t>participants might have used mental simulation to imagine encountering</w:t>
      </w:r>
      <w:r>
        <w:rPr>
          <w:spacing w:val="-10"/>
        </w:rPr>
        <w:t xml:space="preserve"> </w:t>
      </w:r>
      <w:r>
        <w:t>the</w:t>
      </w:r>
      <w:r>
        <w:rPr>
          <w:spacing w:val="-10"/>
        </w:rPr>
        <w:t xml:space="preserve"> </w:t>
      </w:r>
      <w:r>
        <w:t>PM</w:t>
      </w:r>
      <w:r>
        <w:rPr>
          <w:spacing w:val="-12"/>
        </w:rPr>
        <w:t xml:space="preserve"> </w:t>
      </w:r>
      <w:r>
        <w:t>cue.</w:t>
      </w:r>
      <w:r>
        <w:rPr>
          <w:spacing w:val="35"/>
        </w:rPr>
        <w:t xml:space="preserve"> </w:t>
      </w:r>
      <w:r>
        <w:t>In</w:t>
      </w:r>
      <w:r>
        <w:rPr>
          <w:spacing w:val="-13"/>
        </w:rPr>
        <w:t xml:space="preserve"> </w:t>
      </w:r>
      <w:r>
        <w:t>this</w:t>
      </w:r>
      <w:r>
        <w:rPr>
          <w:spacing w:val="-12"/>
        </w:rPr>
        <w:t xml:space="preserve"> </w:t>
      </w:r>
      <w:r>
        <w:t>study,</w:t>
      </w:r>
      <w:r>
        <w:rPr>
          <w:spacing w:val="-11"/>
        </w:rPr>
        <w:t xml:space="preserve"> </w:t>
      </w:r>
      <w:r>
        <w:t>the</w:t>
      </w:r>
      <w:r>
        <w:rPr>
          <w:spacing w:val="-10"/>
        </w:rPr>
        <w:t xml:space="preserve"> </w:t>
      </w:r>
      <w:r>
        <w:t>PM</w:t>
      </w:r>
      <w:r>
        <w:rPr>
          <w:spacing w:val="-12"/>
        </w:rPr>
        <w:t xml:space="preserve"> </w:t>
      </w:r>
      <w:r>
        <w:t>cue</w:t>
      </w:r>
      <w:r>
        <w:rPr>
          <w:spacing w:val="-14"/>
        </w:rPr>
        <w:t xml:space="preserve"> </w:t>
      </w:r>
      <w:r>
        <w:t>was</w:t>
      </w:r>
      <w:r>
        <w:rPr>
          <w:spacing w:val="-12"/>
        </w:rPr>
        <w:t xml:space="preserve"> </w:t>
      </w:r>
      <w:r>
        <w:t>categorical,</w:t>
      </w:r>
      <w:r>
        <w:rPr>
          <w:spacing w:val="-6"/>
        </w:rPr>
        <w:t xml:space="preserve"> </w:t>
      </w:r>
      <w:r>
        <w:t>so</w:t>
      </w:r>
      <w:r>
        <w:rPr>
          <w:spacing w:val="-10"/>
        </w:rPr>
        <w:t xml:space="preserve"> </w:t>
      </w:r>
      <w:r>
        <w:t>participants</w:t>
      </w:r>
      <w:r>
        <w:rPr>
          <w:spacing w:val="-11"/>
        </w:rPr>
        <w:t xml:space="preserve"> </w:t>
      </w:r>
      <w:r>
        <w:t>might</w:t>
      </w:r>
      <w:r>
        <w:rPr>
          <w:spacing w:val="-14"/>
        </w:rPr>
        <w:t xml:space="preserve"> </w:t>
      </w:r>
      <w:r>
        <w:t>have imagined different objects of this particular category (common musical instruments), which may have helped later PM</w:t>
      </w:r>
      <w:r>
        <w:rPr>
          <w:spacing w:val="3"/>
        </w:rPr>
        <w:t xml:space="preserve"> </w:t>
      </w:r>
      <w:r>
        <w:t>retrieval.</w:t>
      </w:r>
    </w:p>
    <w:p w14:paraId="2B29BE18" w14:textId="77777777" w:rsidR="00C75312" w:rsidRDefault="00BB293A">
      <w:pPr>
        <w:pStyle w:val="BodyText"/>
        <w:spacing w:before="120" w:line="480" w:lineRule="auto"/>
        <w:ind w:left="140" w:right="1435" w:firstLine="720"/>
        <w:jc w:val="both"/>
      </w:pPr>
      <w:r>
        <w:t xml:space="preserve">Somewhat related to this is the study of </w:t>
      </w:r>
      <w:proofErr w:type="spellStart"/>
      <w:r>
        <w:t>Altgassen</w:t>
      </w:r>
      <w:proofErr w:type="spellEnd"/>
      <w:r>
        <w:t>, Schmitz-Hübsch, et al. (2010) who studied event-based PM in the context of an ongoing task requiring visuospatial working memory.</w:t>
      </w:r>
      <w:r>
        <w:rPr>
          <w:spacing w:val="29"/>
        </w:rPr>
        <w:t xml:space="preserve"> </w:t>
      </w:r>
      <w:r>
        <w:t>No</w:t>
      </w:r>
      <w:r>
        <w:rPr>
          <w:spacing w:val="-14"/>
        </w:rPr>
        <w:t xml:space="preserve"> </w:t>
      </w:r>
      <w:r>
        <w:t>group</w:t>
      </w:r>
      <w:r>
        <w:rPr>
          <w:spacing w:val="-19"/>
        </w:rPr>
        <w:t xml:space="preserve"> </w:t>
      </w:r>
      <w:r>
        <w:t>differences</w:t>
      </w:r>
      <w:r>
        <w:rPr>
          <w:spacing w:val="-16"/>
        </w:rPr>
        <w:t xml:space="preserve"> </w:t>
      </w:r>
      <w:r>
        <w:t>were</w:t>
      </w:r>
      <w:r>
        <w:rPr>
          <w:spacing w:val="-15"/>
        </w:rPr>
        <w:t xml:space="preserve"> </w:t>
      </w:r>
      <w:r>
        <w:t>found</w:t>
      </w:r>
      <w:r>
        <w:rPr>
          <w:spacing w:val="-14"/>
        </w:rPr>
        <w:t xml:space="preserve"> </w:t>
      </w:r>
      <w:r>
        <w:t>by</w:t>
      </w:r>
      <w:r>
        <w:rPr>
          <w:spacing w:val="-19"/>
        </w:rPr>
        <w:t xml:space="preserve"> </w:t>
      </w:r>
      <w:proofErr w:type="spellStart"/>
      <w:r>
        <w:t>Altgassen</w:t>
      </w:r>
      <w:proofErr w:type="spellEnd"/>
      <w:r>
        <w:rPr>
          <w:spacing w:val="-13"/>
        </w:rPr>
        <w:t xml:space="preserve"> </w:t>
      </w:r>
      <w:r>
        <w:t>and</w:t>
      </w:r>
      <w:r>
        <w:rPr>
          <w:spacing w:val="-14"/>
        </w:rPr>
        <w:t xml:space="preserve"> </w:t>
      </w:r>
      <w:r>
        <w:t>colleagues</w:t>
      </w:r>
      <w:r>
        <w:rPr>
          <w:spacing w:val="-17"/>
        </w:rPr>
        <w:t xml:space="preserve"> </w:t>
      </w:r>
      <w:r>
        <w:t>for</w:t>
      </w:r>
      <w:r>
        <w:rPr>
          <w:spacing w:val="-13"/>
        </w:rPr>
        <w:t xml:space="preserve"> </w:t>
      </w:r>
      <w:r>
        <w:t>either</w:t>
      </w:r>
      <w:r>
        <w:rPr>
          <w:spacing w:val="-18"/>
        </w:rPr>
        <w:t xml:space="preserve"> </w:t>
      </w:r>
      <w:r>
        <w:t>PM</w:t>
      </w:r>
      <w:r>
        <w:rPr>
          <w:spacing w:val="-16"/>
        </w:rPr>
        <w:t xml:space="preserve"> </w:t>
      </w:r>
      <w:r>
        <w:t>accuracy or ongoing task performance. Their finding might indirectly imply that the visuospatial working memory demands of the ongoing task did not affect event-based PM performance in ASD, which would be in line with Williams et al. (2014). No other research has explicitly addressed working memo</w:t>
      </w:r>
      <w:r>
        <w:t>ry components/processes in investigations of event-based PM in ASD.</w:t>
      </w:r>
    </w:p>
    <w:p w14:paraId="7B6E6692" w14:textId="77777777" w:rsidR="00C75312" w:rsidRDefault="00BB293A">
      <w:pPr>
        <w:pStyle w:val="BodyText"/>
        <w:spacing w:before="121" w:line="480" w:lineRule="auto"/>
        <w:ind w:left="140" w:right="1433" w:firstLine="720"/>
        <w:jc w:val="both"/>
      </w:pPr>
      <w:r>
        <w:t>There is mixed evidence whether individuals with ASD engage in inner speech or verbal</w:t>
      </w:r>
      <w:r>
        <w:rPr>
          <w:spacing w:val="-10"/>
        </w:rPr>
        <w:t xml:space="preserve"> </w:t>
      </w:r>
      <w:r>
        <w:t>processes</w:t>
      </w:r>
      <w:r>
        <w:rPr>
          <w:spacing w:val="-12"/>
        </w:rPr>
        <w:t xml:space="preserve"> </w:t>
      </w:r>
      <w:r>
        <w:t>to</w:t>
      </w:r>
      <w:r>
        <w:rPr>
          <w:spacing w:val="-10"/>
        </w:rPr>
        <w:t xml:space="preserve"> </w:t>
      </w:r>
      <w:r>
        <w:t>support</w:t>
      </w:r>
      <w:r>
        <w:rPr>
          <w:spacing w:val="-9"/>
        </w:rPr>
        <w:t xml:space="preserve"> </w:t>
      </w:r>
      <w:r>
        <w:t>different</w:t>
      </w:r>
      <w:r>
        <w:rPr>
          <w:spacing w:val="-10"/>
        </w:rPr>
        <w:t xml:space="preserve"> </w:t>
      </w:r>
      <w:r>
        <w:t>aspects</w:t>
      </w:r>
      <w:r>
        <w:rPr>
          <w:spacing w:val="-12"/>
        </w:rPr>
        <w:t xml:space="preserve"> </w:t>
      </w:r>
      <w:r>
        <w:t>of</w:t>
      </w:r>
      <w:r>
        <w:rPr>
          <w:spacing w:val="-8"/>
        </w:rPr>
        <w:t xml:space="preserve"> </w:t>
      </w:r>
      <w:r>
        <w:t>cognition</w:t>
      </w:r>
      <w:r>
        <w:rPr>
          <w:spacing w:val="-10"/>
        </w:rPr>
        <w:t xml:space="preserve"> </w:t>
      </w:r>
      <w:r>
        <w:t>in</w:t>
      </w:r>
      <w:r>
        <w:rPr>
          <w:spacing w:val="-10"/>
        </w:rPr>
        <w:t xml:space="preserve"> </w:t>
      </w:r>
      <w:r>
        <w:t>a</w:t>
      </w:r>
      <w:r>
        <w:rPr>
          <w:spacing w:val="-12"/>
        </w:rPr>
        <w:t xml:space="preserve"> </w:t>
      </w:r>
      <w:r>
        <w:t>similar</w:t>
      </w:r>
      <w:r>
        <w:rPr>
          <w:spacing w:val="-13"/>
        </w:rPr>
        <w:t xml:space="preserve"> </w:t>
      </w:r>
      <w:r>
        <w:t>fashion</w:t>
      </w:r>
      <w:r>
        <w:rPr>
          <w:spacing w:val="-10"/>
        </w:rPr>
        <w:t xml:space="preserve"> </w:t>
      </w:r>
      <w:r>
        <w:t>as</w:t>
      </w:r>
      <w:r>
        <w:rPr>
          <w:spacing w:val="-12"/>
        </w:rPr>
        <w:t xml:space="preserve"> </w:t>
      </w:r>
      <w:r>
        <w:t>NT</w:t>
      </w:r>
      <w:r>
        <w:rPr>
          <w:spacing w:val="-12"/>
        </w:rPr>
        <w:t xml:space="preserve"> </w:t>
      </w:r>
      <w:r>
        <w:t xml:space="preserve">individuals (Williams, Peng, et al., 2016). In their review, Williams, Peng, et al. (2016) </w:t>
      </w:r>
      <w:proofErr w:type="spellStart"/>
      <w:r>
        <w:t>summarise</w:t>
      </w:r>
      <w:proofErr w:type="spellEnd"/>
      <w:r>
        <w:t xml:space="preserve"> that evidence indicates that individuals with ASD either use inner speech in a typical fashion to support certain aspects of cognition or do not use inner speech but without an obvious cost</w:t>
      </w:r>
      <w:r>
        <w:rPr>
          <w:spacing w:val="-36"/>
        </w:rPr>
        <w:t xml:space="preserve"> </w:t>
      </w:r>
      <w:r>
        <w:t>for the respective task. In contrast, episodic future thinking which is thought to play a supportive role</w:t>
      </w:r>
      <w:r>
        <w:rPr>
          <w:spacing w:val="-12"/>
        </w:rPr>
        <w:t xml:space="preserve"> </w:t>
      </w:r>
      <w:r>
        <w:t>in</w:t>
      </w:r>
      <w:r>
        <w:rPr>
          <w:spacing w:val="-14"/>
        </w:rPr>
        <w:t xml:space="preserve"> </w:t>
      </w:r>
      <w:r>
        <w:t>event-based</w:t>
      </w:r>
      <w:r>
        <w:rPr>
          <w:spacing w:val="-10"/>
        </w:rPr>
        <w:t xml:space="preserve"> </w:t>
      </w:r>
      <w:r>
        <w:t>PM</w:t>
      </w:r>
      <w:r>
        <w:rPr>
          <w:spacing w:val="-12"/>
        </w:rPr>
        <w:t xml:space="preserve"> </w:t>
      </w:r>
      <w:r>
        <w:t>has</w:t>
      </w:r>
      <w:r>
        <w:rPr>
          <w:spacing w:val="-12"/>
        </w:rPr>
        <w:t xml:space="preserve"> </w:t>
      </w:r>
      <w:r>
        <w:t>consistently</w:t>
      </w:r>
      <w:r>
        <w:rPr>
          <w:spacing w:val="-11"/>
        </w:rPr>
        <w:t xml:space="preserve"> </w:t>
      </w:r>
      <w:r>
        <w:t>been</w:t>
      </w:r>
      <w:r>
        <w:rPr>
          <w:spacing w:val="-14"/>
        </w:rPr>
        <w:t xml:space="preserve"> </w:t>
      </w:r>
      <w:r>
        <w:t>found</w:t>
      </w:r>
      <w:r>
        <w:rPr>
          <w:spacing w:val="-14"/>
        </w:rPr>
        <w:t xml:space="preserve"> </w:t>
      </w:r>
      <w:r>
        <w:t>impaired</w:t>
      </w:r>
      <w:r>
        <w:rPr>
          <w:spacing w:val="-14"/>
        </w:rPr>
        <w:t xml:space="preserve"> </w:t>
      </w:r>
      <w:r>
        <w:t>in</w:t>
      </w:r>
      <w:r>
        <w:rPr>
          <w:spacing w:val="-14"/>
        </w:rPr>
        <w:t xml:space="preserve"> </w:t>
      </w:r>
      <w:r>
        <w:t>ASD</w:t>
      </w:r>
      <w:r>
        <w:rPr>
          <w:spacing w:val="-15"/>
        </w:rPr>
        <w:t xml:space="preserve"> </w:t>
      </w:r>
      <w:r>
        <w:t>(Hanson</w:t>
      </w:r>
      <w:r>
        <w:rPr>
          <w:spacing w:val="-10"/>
        </w:rPr>
        <w:t xml:space="preserve"> </w:t>
      </w:r>
      <w:r>
        <w:t>&amp;</w:t>
      </w:r>
      <w:r>
        <w:rPr>
          <w:spacing w:val="-14"/>
        </w:rPr>
        <w:t xml:space="preserve"> </w:t>
      </w:r>
      <w:proofErr w:type="spellStart"/>
      <w:r>
        <w:t>Atance</w:t>
      </w:r>
      <w:proofErr w:type="spellEnd"/>
      <w:r>
        <w:t>,</w:t>
      </w:r>
      <w:r>
        <w:rPr>
          <w:spacing w:val="-12"/>
        </w:rPr>
        <w:t xml:space="preserve"> </w:t>
      </w:r>
      <w:r>
        <w:t>2014; Lind, Williams, Raber, Peel, &amp; Bowler, 2013; Terrett et al.,</w:t>
      </w:r>
      <w:r>
        <w:rPr>
          <w:spacing w:val="9"/>
        </w:rPr>
        <w:t xml:space="preserve"> </w:t>
      </w:r>
      <w:r>
        <w:t>2013).</w:t>
      </w:r>
    </w:p>
    <w:p w14:paraId="5561F6A9" w14:textId="77777777" w:rsidR="00C75312" w:rsidRDefault="00C75312">
      <w:pPr>
        <w:spacing w:line="480" w:lineRule="auto"/>
        <w:jc w:val="both"/>
        <w:sectPr w:rsidR="00C75312">
          <w:pgSz w:w="11900" w:h="16840"/>
          <w:pgMar w:top="1140" w:right="0" w:bottom="280" w:left="1300" w:header="720" w:footer="0" w:gutter="0"/>
          <w:cols w:space="720"/>
        </w:sectPr>
      </w:pPr>
    </w:p>
    <w:p w14:paraId="2A40828B" w14:textId="77777777" w:rsidR="00C75312" w:rsidRDefault="00C75312">
      <w:pPr>
        <w:pStyle w:val="BodyText"/>
        <w:spacing w:before="2"/>
        <w:rPr>
          <w:sz w:val="18"/>
        </w:rPr>
      </w:pPr>
    </w:p>
    <w:p w14:paraId="07DCDD79" w14:textId="77777777" w:rsidR="00C75312" w:rsidRDefault="00BB293A">
      <w:pPr>
        <w:pStyle w:val="BodyText"/>
        <w:spacing w:before="90" w:line="480" w:lineRule="auto"/>
        <w:ind w:left="140" w:right="1433" w:firstLine="720"/>
        <w:jc w:val="both"/>
      </w:pPr>
      <w:r>
        <w:t>Therefore,</w:t>
      </w:r>
      <w:r>
        <w:rPr>
          <w:spacing w:val="-7"/>
        </w:rPr>
        <w:t xml:space="preserve"> </w:t>
      </w:r>
      <w:r>
        <w:t>the</w:t>
      </w:r>
      <w:r>
        <w:rPr>
          <w:spacing w:val="-6"/>
        </w:rPr>
        <w:t xml:space="preserve"> </w:t>
      </w:r>
      <w:r>
        <w:t>current</w:t>
      </w:r>
      <w:r>
        <w:rPr>
          <w:spacing w:val="-4"/>
        </w:rPr>
        <w:t xml:space="preserve"> </w:t>
      </w:r>
      <w:r>
        <w:t>study</w:t>
      </w:r>
      <w:r>
        <w:rPr>
          <w:spacing w:val="-5"/>
        </w:rPr>
        <w:t xml:space="preserve"> </w:t>
      </w:r>
      <w:r>
        <w:t>aimed</w:t>
      </w:r>
      <w:r>
        <w:rPr>
          <w:spacing w:val="-5"/>
        </w:rPr>
        <w:t xml:space="preserve"> </w:t>
      </w:r>
      <w:r>
        <w:t>to</w:t>
      </w:r>
      <w:r>
        <w:rPr>
          <w:spacing w:val="-5"/>
        </w:rPr>
        <w:t xml:space="preserve"> </w:t>
      </w:r>
      <w:r>
        <w:t>explore</w:t>
      </w:r>
      <w:r>
        <w:rPr>
          <w:spacing w:val="-6"/>
        </w:rPr>
        <w:t xml:space="preserve"> </w:t>
      </w:r>
      <w:r>
        <w:t>whether</w:t>
      </w:r>
      <w:r>
        <w:rPr>
          <w:spacing w:val="-3"/>
        </w:rPr>
        <w:t xml:space="preserve"> </w:t>
      </w:r>
      <w:r>
        <w:t>event-based</w:t>
      </w:r>
      <w:r>
        <w:rPr>
          <w:spacing w:val="-5"/>
        </w:rPr>
        <w:t xml:space="preserve"> </w:t>
      </w:r>
      <w:r>
        <w:rPr>
          <w:spacing w:val="2"/>
        </w:rPr>
        <w:t>PM</w:t>
      </w:r>
      <w:r>
        <w:rPr>
          <w:spacing w:val="-7"/>
        </w:rPr>
        <w:t xml:space="preserve"> </w:t>
      </w:r>
      <w:r>
        <w:t>is</w:t>
      </w:r>
      <w:r>
        <w:rPr>
          <w:spacing w:val="-7"/>
        </w:rPr>
        <w:t xml:space="preserve"> </w:t>
      </w:r>
      <w:r>
        <w:t>facilitated</w:t>
      </w:r>
      <w:r>
        <w:rPr>
          <w:spacing w:val="-4"/>
        </w:rPr>
        <w:t xml:space="preserve"> </w:t>
      </w:r>
      <w:r>
        <w:t>by the</w:t>
      </w:r>
      <w:r>
        <w:rPr>
          <w:spacing w:val="-12"/>
        </w:rPr>
        <w:t xml:space="preserve"> </w:t>
      </w:r>
      <w:r>
        <w:t>use</w:t>
      </w:r>
      <w:r>
        <w:rPr>
          <w:spacing w:val="-11"/>
        </w:rPr>
        <w:t xml:space="preserve"> </w:t>
      </w:r>
      <w:r>
        <w:t>of</w:t>
      </w:r>
      <w:r>
        <w:rPr>
          <w:spacing w:val="-8"/>
        </w:rPr>
        <w:t xml:space="preserve"> </w:t>
      </w:r>
      <w:r>
        <w:t>compensatory</w:t>
      </w:r>
      <w:r>
        <w:rPr>
          <w:spacing w:val="-11"/>
        </w:rPr>
        <w:t xml:space="preserve"> </w:t>
      </w:r>
      <w:r>
        <w:t>strategies</w:t>
      </w:r>
      <w:r>
        <w:rPr>
          <w:spacing w:val="-12"/>
        </w:rPr>
        <w:t xml:space="preserve"> </w:t>
      </w:r>
      <w:r>
        <w:t>in</w:t>
      </w:r>
      <w:r>
        <w:rPr>
          <w:spacing w:val="-10"/>
        </w:rPr>
        <w:t xml:space="preserve"> </w:t>
      </w:r>
      <w:r>
        <w:t>ASD.</w:t>
      </w:r>
      <w:r>
        <w:rPr>
          <w:spacing w:val="43"/>
        </w:rPr>
        <w:t xml:space="preserve"> </w:t>
      </w:r>
      <w:r>
        <w:t>An</w:t>
      </w:r>
      <w:r>
        <w:rPr>
          <w:spacing w:val="-10"/>
        </w:rPr>
        <w:t xml:space="preserve"> </w:t>
      </w:r>
      <w:r>
        <w:t>experiment</w:t>
      </w:r>
      <w:r>
        <w:rPr>
          <w:spacing w:val="-9"/>
        </w:rPr>
        <w:t xml:space="preserve"> </w:t>
      </w:r>
      <w:r>
        <w:t>was</w:t>
      </w:r>
      <w:r>
        <w:rPr>
          <w:spacing w:val="-13"/>
        </w:rPr>
        <w:t xml:space="preserve"> </w:t>
      </w:r>
      <w:r>
        <w:t>designed</w:t>
      </w:r>
      <w:r>
        <w:rPr>
          <w:spacing w:val="-10"/>
        </w:rPr>
        <w:t xml:space="preserve"> </w:t>
      </w:r>
      <w:r>
        <w:t>to</w:t>
      </w:r>
      <w:r>
        <w:rPr>
          <w:spacing w:val="-10"/>
        </w:rPr>
        <w:t xml:space="preserve"> </w:t>
      </w:r>
      <w:r>
        <w:t>tested</w:t>
      </w:r>
      <w:r>
        <w:rPr>
          <w:spacing w:val="-6"/>
        </w:rPr>
        <w:t xml:space="preserve"> </w:t>
      </w:r>
      <w:r>
        <w:t>event-based PM under two conditions of ongoing task demands. In one condition, the ongoing task placed strong demands on verbal working memory/processing for success, whereas in the other condition the ongoing task tapped visuospatial working memory/processing. The logic of the design was as follows. If NT participants rely predominantly on visuospatial processing/mental simulation to succeed on PM tasks, then an ongoing task that specifically requires mental imagery should impair their performance by placi</w:t>
      </w:r>
      <w:r>
        <w:t xml:space="preserve">ng higher demands on visuospatial processing resources. In contrast, if participants with ASD employ verbal rehearsal strategies to facilitate event-based PM then an ongoing task that inherently requires verbal processing resources should prevent inner speech use to facilitate event-based PM. Thus, it was predicted that the ASD group would perform significantly worse on the event- based PM task in the verbal ongoing task condition in comparison to the NT group, and vice versa that the </w:t>
      </w:r>
      <w:r>
        <w:rPr>
          <w:spacing w:val="-3"/>
        </w:rPr>
        <w:t xml:space="preserve">NT </w:t>
      </w:r>
      <w:r>
        <w:t>group would show de</w:t>
      </w:r>
      <w:r>
        <w:t>creased event-based PM performance relative to the ASD group in the visuospatial task condition (Group × Task</w:t>
      </w:r>
      <w:r>
        <w:rPr>
          <w:spacing w:val="5"/>
        </w:rPr>
        <w:t xml:space="preserve"> </w:t>
      </w:r>
      <w:r>
        <w:t>interaction).</w:t>
      </w:r>
    </w:p>
    <w:p w14:paraId="3F292FAB" w14:textId="77777777" w:rsidR="00C75312" w:rsidRDefault="00C75312">
      <w:pPr>
        <w:pStyle w:val="BodyText"/>
        <w:spacing w:before="10"/>
        <w:rPr>
          <w:sz w:val="20"/>
        </w:rPr>
      </w:pPr>
    </w:p>
    <w:p w14:paraId="2A167C41" w14:textId="77777777" w:rsidR="00C75312" w:rsidRDefault="00BB293A">
      <w:pPr>
        <w:pStyle w:val="Heading1"/>
        <w:spacing w:before="1"/>
        <w:ind w:left="25" w:right="1326"/>
        <w:jc w:val="center"/>
      </w:pPr>
      <w:bookmarkStart w:id="14" w:name="_TOC_250019"/>
      <w:bookmarkEnd w:id="14"/>
      <w:r>
        <w:t>Methods</w:t>
      </w:r>
    </w:p>
    <w:p w14:paraId="3BA987E1" w14:textId="77777777" w:rsidR="00C75312" w:rsidRDefault="00C75312">
      <w:pPr>
        <w:pStyle w:val="BodyText"/>
        <w:spacing w:before="3"/>
        <w:rPr>
          <w:b/>
          <w:sz w:val="27"/>
        </w:rPr>
      </w:pPr>
    </w:p>
    <w:p w14:paraId="71CE9A67" w14:textId="77777777" w:rsidR="00C75312" w:rsidRDefault="00BB293A">
      <w:pPr>
        <w:spacing w:before="1"/>
        <w:ind w:left="140"/>
        <w:rPr>
          <w:b/>
          <w:sz w:val="24"/>
        </w:rPr>
      </w:pPr>
      <w:r>
        <w:rPr>
          <w:b/>
          <w:sz w:val="24"/>
        </w:rPr>
        <w:t>Power analysis</w:t>
      </w:r>
    </w:p>
    <w:p w14:paraId="1E064F31" w14:textId="77777777" w:rsidR="00C75312" w:rsidRDefault="00C75312">
      <w:pPr>
        <w:pStyle w:val="BodyText"/>
        <w:spacing w:before="11"/>
        <w:rPr>
          <w:b/>
          <w:sz w:val="23"/>
        </w:rPr>
      </w:pPr>
    </w:p>
    <w:p w14:paraId="7318C252" w14:textId="77777777" w:rsidR="00C75312" w:rsidRDefault="00BB293A">
      <w:pPr>
        <w:pStyle w:val="BodyText"/>
        <w:spacing w:line="480" w:lineRule="auto"/>
        <w:ind w:left="140" w:right="1433" w:firstLine="720"/>
        <w:jc w:val="both"/>
      </w:pPr>
      <w:r>
        <w:t xml:space="preserve">The issue </w:t>
      </w:r>
      <w:r>
        <w:rPr>
          <w:spacing w:val="-3"/>
        </w:rPr>
        <w:t xml:space="preserve">of </w:t>
      </w:r>
      <w:r>
        <w:t xml:space="preserve">statistical power was addressed in a similar way as in chapter </w:t>
      </w:r>
      <w:r>
        <w:rPr>
          <w:spacing w:val="-3"/>
        </w:rPr>
        <w:t xml:space="preserve">2. </w:t>
      </w:r>
      <w:r>
        <w:t>An a priori power analysis using G*Power 3 (Faul et al., 2007) was conducted to determine the sample size that would have been required to detect between group difference in event-based PM on the verbal task if they truly existed. Deriving an effect size for this analysis was not straightforward. If event-based PM was indeed supported by verbally-mediated strategies in ASD, impeding such strategy use should result in a similar size impairment</w:t>
      </w:r>
      <w:r>
        <w:t xml:space="preserve"> of time-based PM in</w:t>
      </w:r>
      <w:r>
        <w:rPr>
          <w:spacing w:val="-10"/>
        </w:rPr>
        <w:t xml:space="preserve"> </w:t>
      </w:r>
      <w:r>
        <w:t>ASD,</w:t>
      </w:r>
      <w:r>
        <w:rPr>
          <w:spacing w:val="-12"/>
        </w:rPr>
        <w:t xml:space="preserve"> </w:t>
      </w:r>
      <w:r>
        <w:t>which</w:t>
      </w:r>
      <w:r>
        <w:rPr>
          <w:spacing w:val="-14"/>
        </w:rPr>
        <w:t xml:space="preserve"> </w:t>
      </w:r>
      <w:r>
        <w:t>does</w:t>
      </w:r>
      <w:r>
        <w:rPr>
          <w:spacing w:val="-12"/>
        </w:rPr>
        <w:t xml:space="preserve"> </w:t>
      </w:r>
      <w:r>
        <w:t>not</w:t>
      </w:r>
      <w:r>
        <w:rPr>
          <w:spacing w:val="-14"/>
        </w:rPr>
        <w:t xml:space="preserve"> </w:t>
      </w:r>
      <w:r>
        <w:t>lend</w:t>
      </w:r>
      <w:r>
        <w:rPr>
          <w:spacing w:val="-10"/>
        </w:rPr>
        <w:t xml:space="preserve"> </w:t>
      </w:r>
      <w:r>
        <w:t>itself</w:t>
      </w:r>
      <w:r>
        <w:rPr>
          <w:spacing w:val="-13"/>
        </w:rPr>
        <w:t xml:space="preserve"> </w:t>
      </w:r>
      <w:r>
        <w:t>to</w:t>
      </w:r>
      <w:r>
        <w:rPr>
          <w:spacing w:val="-13"/>
        </w:rPr>
        <w:t xml:space="preserve"> </w:t>
      </w:r>
      <w:r>
        <w:t>strategy</w:t>
      </w:r>
      <w:r>
        <w:rPr>
          <w:spacing w:val="-10"/>
        </w:rPr>
        <w:t xml:space="preserve"> </w:t>
      </w:r>
      <w:r>
        <w:t>use.</w:t>
      </w:r>
      <w:r>
        <w:rPr>
          <w:spacing w:val="29"/>
        </w:rPr>
        <w:t xml:space="preserve"> </w:t>
      </w:r>
      <w:r>
        <w:t>Thus,</w:t>
      </w:r>
      <w:r>
        <w:rPr>
          <w:spacing w:val="-12"/>
        </w:rPr>
        <w:t xml:space="preserve"> </w:t>
      </w:r>
      <w:r>
        <w:t>for</w:t>
      </w:r>
      <w:r>
        <w:rPr>
          <w:spacing w:val="-13"/>
        </w:rPr>
        <w:t xml:space="preserve"> </w:t>
      </w:r>
      <w:r>
        <w:t>the</w:t>
      </w:r>
      <w:r>
        <w:rPr>
          <w:spacing w:val="-11"/>
        </w:rPr>
        <w:t xml:space="preserve"> </w:t>
      </w:r>
      <w:r>
        <w:t>purpose</w:t>
      </w:r>
      <w:r>
        <w:rPr>
          <w:spacing w:val="-10"/>
        </w:rPr>
        <w:t xml:space="preserve"> </w:t>
      </w:r>
      <w:r>
        <w:t>of</w:t>
      </w:r>
      <w:r>
        <w:rPr>
          <w:spacing w:val="-13"/>
        </w:rPr>
        <w:t xml:space="preserve"> </w:t>
      </w:r>
      <w:r>
        <w:t>this</w:t>
      </w:r>
      <w:r>
        <w:rPr>
          <w:spacing w:val="-12"/>
        </w:rPr>
        <w:t xml:space="preserve"> </w:t>
      </w:r>
      <w:r>
        <w:t>power</w:t>
      </w:r>
      <w:r>
        <w:rPr>
          <w:spacing w:val="-13"/>
        </w:rPr>
        <w:t xml:space="preserve"> </w:t>
      </w:r>
      <w:r>
        <w:t>analysis,</w:t>
      </w:r>
    </w:p>
    <w:p w14:paraId="17E3B47C" w14:textId="77777777" w:rsidR="00C75312" w:rsidRDefault="00C75312">
      <w:pPr>
        <w:spacing w:line="480" w:lineRule="auto"/>
        <w:jc w:val="both"/>
        <w:sectPr w:rsidR="00C75312">
          <w:pgSz w:w="11900" w:h="16840"/>
          <w:pgMar w:top="1140" w:right="0" w:bottom="280" w:left="1300" w:header="720" w:footer="0" w:gutter="0"/>
          <w:cols w:space="720"/>
        </w:sectPr>
      </w:pPr>
    </w:p>
    <w:p w14:paraId="158FB3B8" w14:textId="77777777" w:rsidR="00C75312" w:rsidRDefault="00C75312">
      <w:pPr>
        <w:pStyle w:val="BodyText"/>
        <w:spacing w:before="2"/>
        <w:rPr>
          <w:sz w:val="18"/>
        </w:rPr>
      </w:pPr>
    </w:p>
    <w:p w14:paraId="44EE55F0" w14:textId="77777777" w:rsidR="00C75312" w:rsidRDefault="00BB293A">
      <w:pPr>
        <w:pStyle w:val="BodyText"/>
        <w:spacing w:before="90" w:line="480" w:lineRule="auto"/>
        <w:ind w:left="140" w:right="1301"/>
      </w:pPr>
      <w:r>
        <w:t>the mean weighted effect size for between-group differences in time-based PM (</w:t>
      </w:r>
      <w:r>
        <w:rPr>
          <w:i/>
        </w:rPr>
        <w:t xml:space="preserve">d </w:t>
      </w:r>
      <w:r>
        <w:t>= 0.87, see Chapter 1) was used resulting in a required sample size of 18 participants per group.</w:t>
      </w:r>
    </w:p>
    <w:p w14:paraId="0663A598" w14:textId="77777777" w:rsidR="00C75312" w:rsidRDefault="00BB293A">
      <w:pPr>
        <w:pStyle w:val="Heading1"/>
        <w:spacing w:before="120"/>
      </w:pPr>
      <w:r>
        <w:t>Participants</w:t>
      </w:r>
    </w:p>
    <w:p w14:paraId="37D45DAF" w14:textId="77777777" w:rsidR="00C75312" w:rsidRDefault="00C75312">
      <w:pPr>
        <w:pStyle w:val="BodyText"/>
        <w:rPr>
          <w:b/>
        </w:rPr>
      </w:pPr>
    </w:p>
    <w:p w14:paraId="691AD585" w14:textId="77777777" w:rsidR="00C75312" w:rsidRDefault="00BB293A">
      <w:pPr>
        <w:pStyle w:val="BodyText"/>
        <w:spacing w:line="480" w:lineRule="auto"/>
        <w:ind w:left="140" w:right="1433" w:firstLine="720"/>
        <w:jc w:val="both"/>
      </w:pPr>
      <w:r>
        <w:t>Participants</w:t>
      </w:r>
      <w:r>
        <w:rPr>
          <w:spacing w:val="-12"/>
        </w:rPr>
        <w:t xml:space="preserve"> </w:t>
      </w:r>
      <w:r>
        <w:t>were</w:t>
      </w:r>
      <w:r>
        <w:rPr>
          <w:spacing w:val="-10"/>
        </w:rPr>
        <w:t xml:space="preserve"> </w:t>
      </w:r>
      <w:r>
        <w:t>20</w:t>
      </w:r>
      <w:r>
        <w:rPr>
          <w:spacing w:val="-9"/>
        </w:rPr>
        <w:t xml:space="preserve"> </w:t>
      </w:r>
      <w:r>
        <w:t>children</w:t>
      </w:r>
      <w:r>
        <w:rPr>
          <w:spacing w:val="-9"/>
        </w:rPr>
        <w:t xml:space="preserve"> </w:t>
      </w:r>
      <w:r>
        <w:t>with</w:t>
      </w:r>
      <w:r>
        <w:rPr>
          <w:spacing w:val="-9"/>
        </w:rPr>
        <w:t xml:space="preserve"> </w:t>
      </w:r>
      <w:r>
        <w:t>ASD</w:t>
      </w:r>
      <w:r>
        <w:rPr>
          <w:spacing w:val="-14"/>
        </w:rPr>
        <w:t xml:space="preserve"> </w:t>
      </w:r>
      <w:r>
        <w:t>(15</w:t>
      </w:r>
      <w:r>
        <w:rPr>
          <w:spacing w:val="-9"/>
        </w:rPr>
        <w:t xml:space="preserve"> </w:t>
      </w:r>
      <w:r>
        <w:t>male)</w:t>
      </w:r>
      <w:r>
        <w:rPr>
          <w:spacing w:val="-12"/>
        </w:rPr>
        <w:t xml:space="preserve"> </w:t>
      </w:r>
      <w:r>
        <w:t>and</w:t>
      </w:r>
      <w:r>
        <w:rPr>
          <w:spacing w:val="-9"/>
        </w:rPr>
        <w:t xml:space="preserve"> </w:t>
      </w:r>
      <w:r>
        <w:t>20</w:t>
      </w:r>
      <w:r>
        <w:rPr>
          <w:spacing w:val="-9"/>
        </w:rPr>
        <w:t xml:space="preserve"> </w:t>
      </w:r>
      <w:r>
        <w:t>typically</w:t>
      </w:r>
      <w:r>
        <w:rPr>
          <w:spacing w:val="-9"/>
        </w:rPr>
        <w:t xml:space="preserve"> </w:t>
      </w:r>
      <w:r>
        <w:t>developing</w:t>
      </w:r>
      <w:r>
        <w:rPr>
          <w:spacing w:val="-9"/>
        </w:rPr>
        <w:t xml:space="preserve"> </w:t>
      </w:r>
      <w:r>
        <w:t>children (16 male) aged between eight to 14 years old</w:t>
      </w:r>
      <w:r>
        <w:rPr>
          <w:position w:val="8"/>
          <w:sz w:val="16"/>
        </w:rPr>
        <w:t>8</w:t>
      </w:r>
      <w:r>
        <w:t>. Thirty-four (17 ASD and 17 NT) of these participants took part in the study described in Chapter 2. All participants with ASD had a formal</w:t>
      </w:r>
      <w:r>
        <w:rPr>
          <w:spacing w:val="-9"/>
        </w:rPr>
        <w:t xml:space="preserve"> </w:t>
      </w:r>
      <w:r>
        <w:t>diagnosis</w:t>
      </w:r>
      <w:r>
        <w:rPr>
          <w:spacing w:val="-11"/>
        </w:rPr>
        <w:t xml:space="preserve"> </w:t>
      </w:r>
      <w:r>
        <w:t>of</w:t>
      </w:r>
      <w:r>
        <w:rPr>
          <w:spacing w:val="-8"/>
        </w:rPr>
        <w:t xml:space="preserve"> </w:t>
      </w:r>
      <w:r>
        <w:t>autistic</w:t>
      </w:r>
      <w:r>
        <w:rPr>
          <w:spacing w:val="-10"/>
        </w:rPr>
        <w:t xml:space="preserve"> </w:t>
      </w:r>
      <w:r>
        <w:t>disorder</w:t>
      </w:r>
      <w:r>
        <w:rPr>
          <w:spacing w:val="-12"/>
        </w:rPr>
        <w:t xml:space="preserve"> </w:t>
      </w:r>
      <w:r>
        <w:t>(</w:t>
      </w:r>
      <w:r>
        <w:rPr>
          <w:i/>
        </w:rPr>
        <w:t>n</w:t>
      </w:r>
      <w:r>
        <w:rPr>
          <w:i/>
          <w:spacing w:val="-13"/>
        </w:rPr>
        <w:t xml:space="preserve"> </w:t>
      </w:r>
      <w:r>
        <w:rPr>
          <w:i/>
        </w:rPr>
        <w:t>=</w:t>
      </w:r>
      <w:r>
        <w:rPr>
          <w:i/>
          <w:spacing w:val="-8"/>
        </w:rPr>
        <w:t xml:space="preserve"> </w:t>
      </w:r>
      <w:r>
        <w:rPr>
          <w:i/>
        </w:rPr>
        <w:t>13)</w:t>
      </w:r>
      <w:r>
        <w:rPr>
          <w:i/>
          <w:spacing w:val="-12"/>
        </w:rPr>
        <w:t xml:space="preserve"> </w:t>
      </w:r>
      <w:r>
        <w:t>or</w:t>
      </w:r>
      <w:r>
        <w:rPr>
          <w:spacing w:val="-7"/>
        </w:rPr>
        <w:t xml:space="preserve"> </w:t>
      </w:r>
      <w:r>
        <w:t>Asperger’s</w:t>
      </w:r>
      <w:r>
        <w:rPr>
          <w:spacing w:val="-12"/>
        </w:rPr>
        <w:t xml:space="preserve"> </w:t>
      </w:r>
      <w:r>
        <w:t>disorder</w:t>
      </w:r>
      <w:r>
        <w:rPr>
          <w:spacing w:val="-7"/>
        </w:rPr>
        <w:t xml:space="preserve"> </w:t>
      </w:r>
      <w:r>
        <w:t>(</w:t>
      </w:r>
      <w:r>
        <w:rPr>
          <w:i/>
        </w:rPr>
        <w:t>n</w:t>
      </w:r>
      <w:r>
        <w:rPr>
          <w:i/>
          <w:spacing w:val="-13"/>
        </w:rPr>
        <w:t xml:space="preserve"> </w:t>
      </w:r>
      <w:r>
        <w:rPr>
          <w:i/>
        </w:rPr>
        <w:t>=</w:t>
      </w:r>
      <w:r>
        <w:rPr>
          <w:i/>
          <w:spacing w:val="-8"/>
        </w:rPr>
        <w:t xml:space="preserve"> </w:t>
      </w:r>
      <w:r>
        <w:rPr>
          <w:spacing w:val="-3"/>
        </w:rPr>
        <w:t>7)</w:t>
      </w:r>
      <w:r>
        <w:rPr>
          <w:spacing w:val="-7"/>
        </w:rPr>
        <w:t xml:space="preserve"> </w:t>
      </w:r>
      <w:r>
        <w:t>in</w:t>
      </w:r>
      <w:r>
        <w:rPr>
          <w:spacing w:val="-13"/>
        </w:rPr>
        <w:t xml:space="preserve"> </w:t>
      </w:r>
      <w:r>
        <w:t>accordance</w:t>
      </w:r>
      <w:r>
        <w:rPr>
          <w:spacing w:val="-11"/>
        </w:rPr>
        <w:t xml:space="preserve"> </w:t>
      </w:r>
      <w:r>
        <w:t>with established</w:t>
      </w:r>
      <w:r>
        <w:rPr>
          <w:spacing w:val="-8"/>
        </w:rPr>
        <w:t xml:space="preserve"> </w:t>
      </w:r>
      <w:r>
        <w:t>criteria</w:t>
      </w:r>
      <w:r>
        <w:rPr>
          <w:spacing w:val="-9"/>
        </w:rPr>
        <w:t xml:space="preserve"> </w:t>
      </w:r>
      <w:r>
        <w:t>(DSM-IV,</w:t>
      </w:r>
      <w:r>
        <w:rPr>
          <w:spacing w:val="-10"/>
        </w:rPr>
        <w:t xml:space="preserve"> </w:t>
      </w:r>
      <w:r>
        <w:t>American</w:t>
      </w:r>
      <w:r>
        <w:rPr>
          <w:spacing w:val="-12"/>
        </w:rPr>
        <w:t xml:space="preserve"> </w:t>
      </w:r>
      <w:r>
        <w:t>Psychiatric</w:t>
      </w:r>
      <w:r>
        <w:rPr>
          <w:spacing w:val="-9"/>
        </w:rPr>
        <w:t xml:space="preserve"> </w:t>
      </w:r>
      <w:r>
        <w:t>Association,</w:t>
      </w:r>
      <w:r>
        <w:rPr>
          <w:spacing w:val="-5"/>
        </w:rPr>
        <w:t xml:space="preserve"> </w:t>
      </w:r>
      <w:r>
        <w:t>2000;</w:t>
      </w:r>
      <w:r>
        <w:rPr>
          <w:spacing w:val="-12"/>
        </w:rPr>
        <w:t xml:space="preserve"> </w:t>
      </w:r>
      <w:r>
        <w:t>ICD-10,</w:t>
      </w:r>
      <w:r>
        <w:rPr>
          <w:spacing w:val="-10"/>
        </w:rPr>
        <w:t xml:space="preserve"> </w:t>
      </w:r>
      <w:r>
        <w:t>World</w:t>
      </w:r>
      <w:r>
        <w:rPr>
          <w:spacing w:val="-12"/>
        </w:rPr>
        <w:t xml:space="preserve"> </w:t>
      </w:r>
      <w:r>
        <w:t xml:space="preserve">Health </w:t>
      </w:r>
      <w:proofErr w:type="spellStart"/>
      <w:r>
        <w:t>Organisation</w:t>
      </w:r>
      <w:proofErr w:type="spellEnd"/>
      <w:r>
        <w:t xml:space="preserve">, 2006). No </w:t>
      </w:r>
      <w:r>
        <w:rPr>
          <w:spacing w:val="-3"/>
        </w:rPr>
        <w:t xml:space="preserve">NT </w:t>
      </w:r>
      <w:r>
        <w:t xml:space="preserve">participant had a diagnosis of any developmental disorder, and no concerns were raised about any child’s development by parents </w:t>
      </w:r>
      <w:r>
        <w:rPr>
          <w:spacing w:val="-3"/>
        </w:rPr>
        <w:t>or</w:t>
      </w:r>
      <w:r>
        <w:rPr>
          <w:spacing w:val="4"/>
        </w:rPr>
        <w:t xml:space="preserve"> </w:t>
      </w:r>
      <w:r>
        <w:t>teachers.</w:t>
      </w:r>
    </w:p>
    <w:p w14:paraId="457E2C14" w14:textId="77777777" w:rsidR="00C75312" w:rsidRDefault="00BB293A">
      <w:pPr>
        <w:pStyle w:val="BodyText"/>
        <w:spacing w:before="115" w:line="480" w:lineRule="auto"/>
        <w:ind w:left="140" w:right="1434" w:firstLine="720"/>
        <w:jc w:val="both"/>
      </w:pPr>
      <w:r>
        <w:t xml:space="preserve">Sample characteristics are shown in Table 9. Experimental groups were equated closely for chronological age, as well as for verbal and nonverbal ability using the Wechsler Abbreviated Scale </w:t>
      </w:r>
      <w:r>
        <w:rPr>
          <w:spacing w:val="-3"/>
        </w:rPr>
        <w:t xml:space="preserve">of </w:t>
      </w:r>
      <w:r>
        <w:t>Intelligence second edition (WASI-II; Wechsler, 2011). For all participants,</w:t>
      </w:r>
      <w:r>
        <w:rPr>
          <w:spacing w:val="-9"/>
        </w:rPr>
        <w:t xml:space="preserve"> </w:t>
      </w:r>
      <w:r>
        <w:t>parents</w:t>
      </w:r>
      <w:r>
        <w:rPr>
          <w:spacing w:val="-18"/>
        </w:rPr>
        <w:t xml:space="preserve"> </w:t>
      </w:r>
      <w:r>
        <w:t>completed</w:t>
      </w:r>
      <w:r>
        <w:rPr>
          <w:spacing w:val="-11"/>
        </w:rPr>
        <w:t xml:space="preserve"> </w:t>
      </w:r>
      <w:r>
        <w:t>the</w:t>
      </w:r>
      <w:r>
        <w:rPr>
          <w:spacing w:val="-16"/>
        </w:rPr>
        <w:t xml:space="preserve"> </w:t>
      </w:r>
      <w:r>
        <w:t>Social</w:t>
      </w:r>
      <w:r>
        <w:rPr>
          <w:spacing w:val="-14"/>
        </w:rPr>
        <w:t xml:space="preserve"> </w:t>
      </w:r>
      <w:r>
        <w:t>Responsiveness</w:t>
      </w:r>
      <w:r>
        <w:rPr>
          <w:spacing w:val="-14"/>
        </w:rPr>
        <w:t xml:space="preserve"> </w:t>
      </w:r>
      <w:r>
        <w:t>Scale</w:t>
      </w:r>
      <w:r>
        <w:rPr>
          <w:spacing w:val="-12"/>
        </w:rPr>
        <w:t xml:space="preserve"> </w:t>
      </w:r>
      <w:r>
        <w:t>(Constantino</w:t>
      </w:r>
      <w:r>
        <w:rPr>
          <w:spacing w:val="-11"/>
        </w:rPr>
        <w:t xml:space="preserve"> </w:t>
      </w:r>
      <w:r>
        <w:t>&amp;</w:t>
      </w:r>
      <w:r>
        <w:rPr>
          <w:spacing w:val="-15"/>
        </w:rPr>
        <w:t xml:space="preserve"> </w:t>
      </w:r>
      <w:r>
        <w:t>Gruber,</w:t>
      </w:r>
      <w:r>
        <w:rPr>
          <w:spacing w:val="-13"/>
        </w:rPr>
        <w:t xml:space="preserve"> </w:t>
      </w:r>
      <w:r>
        <w:t>2005) to assess autistic/ASD-like characteristics. All participants with ASD scored above the ASD cut-off of 60 on the SRS, in line with their diagnosis. Three TD participants scored above 60 (with</w:t>
      </w:r>
      <w:r>
        <w:rPr>
          <w:spacing w:val="-11"/>
        </w:rPr>
        <w:t xml:space="preserve"> </w:t>
      </w:r>
      <w:r>
        <w:t>scores</w:t>
      </w:r>
      <w:r>
        <w:rPr>
          <w:spacing w:val="-13"/>
        </w:rPr>
        <w:t xml:space="preserve"> </w:t>
      </w:r>
      <w:r>
        <w:t>of</w:t>
      </w:r>
      <w:r>
        <w:rPr>
          <w:spacing w:val="-8"/>
        </w:rPr>
        <w:t xml:space="preserve"> </w:t>
      </w:r>
      <w:r>
        <w:t>62,</w:t>
      </w:r>
      <w:r>
        <w:rPr>
          <w:spacing w:val="-8"/>
        </w:rPr>
        <w:t xml:space="preserve"> </w:t>
      </w:r>
      <w:r>
        <w:t>64,</w:t>
      </w:r>
      <w:r>
        <w:rPr>
          <w:spacing w:val="-8"/>
        </w:rPr>
        <w:t xml:space="preserve"> </w:t>
      </w:r>
      <w:r>
        <w:t>and</w:t>
      </w:r>
      <w:r>
        <w:rPr>
          <w:spacing w:val="-11"/>
        </w:rPr>
        <w:t xml:space="preserve"> </w:t>
      </w:r>
      <w:r>
        <w:t>67,</w:t>
      </w:r>
      <w:r>
        <w:rPr>
          <w:spacing w:val="-8"/>
        </w:rPr>
        <w:t xml:space="preserve"> </w:t>
      </w:r>
      <w:r>
        <w:t>respectively).</w:t>
      </w:r>
      <w:r>
        <w:rPr>
          <w:spacing w:val="43"/>
        </w:rPr>
        <w:t xml:space="preserve"> </w:t>
      </w:r>
      <w:r>
        <w:t>However,</w:t>
      </w:r>
      <w:r>
        <w:rPr>
          <w:spacing w:val="-8"/>
        </w:rPr>
        <w:t xml:space="preserve"> </w:t>
      </w:r>
      <w:r>
        <w:t>these</w:t>
      </w:r>
      <w:r>
        <w:rPr>
          <w:spacing w:val="-11"/>
        </w:rPr>
        <w:t xml:space="preserve"> </w:t>
      </w:r>
      <w:r>
        <w:t>participants</w:t>
      </w:r>
      <w:r>
        <w:rPr>
          <w:spacing w:val="-13"/>
        </w:rPr>
        <w:t xml:space="preserve"> </w:t>
      </w:r>
      <w:r>
        <w:t>attended</w:t>
      </w:r>
      <w:r>
        <w:rPr>
          <w:spacing w:val="-11"/>
        </w:rPr>
        <w:t xml:space="preserve"> </w:t>
      </w:r>
      <w:r>
        <w:t xml:space="preserve">mainstream schools and had no history </w:t>
      </w:r>
      <w:r>
        <w:rPr>
          <w:spacing w:val="-3"/>
        </w:rPr>
        <w:t xml:space="preserve">of </w:t>
      </w:r>
      <w:r>
        <w:t xml:space="preserve">any developmental disorder. Therefore, </w:t>
      </w:r>
      <w:r>
        <w:rPr>
          <w:spacing w:val="-3"/>
        </w:rPr>
        <w:t xml:space="preserve">it </w:t>
      </w:r>
      <w:r>
        <w:t xml:space="preserve">is </w:t>
      </w:r>
      <w:r>
        <w:t>unlikely that these participants</w:t>
      </w:r>
      <w:r>
        <w:rPr>
          <w:spacing w:val="39"/>
        </w:rPr>
        <w:t xml:space="preserve"> </w:t>
      </w:r>
      <w:r>
        <w:t>had</w:t>
      </w:r>
      <w:r>
        <w:rPr>
          <w:spacing w:val="42"/>
        </w:rPr>
        <w:t xml:space="preserve"> </w:t>
      </w:r>
      <w:r>
        <w:t>an</w:t>
      </w:r>
      <w:r>
        <w:rPr>
          <w:spacing w:val="42"/>
        </w:rPr>
        <w:t xml:space="preserve"> </w:t>
      </w:r>
      <w:r>
        <w:t>undiagnosed</w:t>
      </w:r>
      <w:r>
        <w:rPr>
          <w:spacing w:val="42"/>
        </w:rPr>
        <w:t xml:space="preserve"> </w:t>
      </w:r>
      <w:r>
        <w:t>ASD.</w:t>
      </w:r>
      <w:r>
        <w:rPr>
          <w:spacing w:val="40"/>
        </w:rPr>
        <w:t xml:space="preserve"> </w:t>
      </w:r>
      <w:r>
        <w:t>Nevertheless,</w:t>
      </w:r>
      <w:r>
        <w:rPr>
          <w:spacing w:val="45"/>
        </w:rPr>
        <w:t xml:space="preserve"> </w:t>
      </w:r>
      <w:r>
        <w:t>to</w:t>
      </w:r>
      <w:r>
        <w:rPr>
          <w:spacing w:val="42"/>
        </w:rPr>
        <w:t xml:space="preserve"> </w:t>
      </w:r>
      <w:r>
        <w:t>ensure</w:t>
      </w:r>
      <w:r>
        <w:rPr>
          <w:spacing w:val="41"/>
        </w:rPr>
        <w:t xml:space="preserve"> </w:t>
      </w:r>
      <w:r>
        <w:t>that</w:t>
      </w:r>
      <w:r>
        <w:rPr>
          <w:spacing w:val="42"/>
        </w:rPr>
        <w:t xml:space="preserve"> </w:t>
      </w:r>
      <w:r>
        <w:t>the</w:t>
      </w:r>
      <w:r>
        <w:rPr>
          <w:spacing w:val="37"/>
        </w:rPr>
        <w:t xml:space="preserve"> </w:t>
      </w:r>
      <w:r>
        <w:t>inclusion</w:t>
      </w:r>
      <w:r>
        <w:rPr>
          <w:spacing w:val="41"/>
        </w:rPr>
        <w:t xml:space="preserve"> </w:t>
      </w:r>
      <w:r>
        <w:t>of</w:t>
      </w:r>
      <w:r>
        <w:rPr>
          <w:spacing w:val="39"/>
        </w:rPr>
        <w:t xml:space="preserve"> </w:t>
      </w:r>
      <w:r>
        <w:t>these</w:t>
      </w:r>
    </w:p>
    <w:p w14:paraId="146DD02A" w14:textId="77777777" w:rsidR="00C75312" w:rsidRDefault="00BB293A">
      <w:pPr>
        <w:pStyle w:val="BodyText"/>
        <w:spacing w:before="2"/>
        <w:rPr>
          <w:sz w:val="28"/>
        </w:rPr>
      </w:pPr>
      <w:r>
        <w:pict w14:anchorId="5780405C">
          <v:shape id="_x0000_s2735" style="position:absolute;margin-left:1in;margin-top:18.45pt;width:2in;height:.1pt;z-index:-251602944;mso-wrap-distance-left:0;mso-wrap-distance-right:0;mso-position-horizontal-relative:page" coordorigin="1440,369" coordsize="2880,0" path="m1440,369r2880,e" filled="f" strokeweight=".48pt">
            <v:path arrowok="t"/>
            <w10:wrap type="topAndBottom" anchorx="page"/>
          </v:shape>
        </w:pict>
      </w:r>
    </w:p>
    <w:p w14:paraId="53D78704" w14:textId="77777777" w:rsidR="00C75312" w:rsidRDefault="00BB293A">
      <w:pPr>
        <w:spacing w:before="62" w:line="480" w:lineRule="auto"/>
        <w:ind w:left="140" w:right="1434"/>
        <w:jc w:val="both"/>
        <w:rPr>
          <w:sz w:val="20"/>
        </w:rPr>
      </w:pPr>
      <w:r>
        <w:rPr>
          <w:position w:val="7"/>
          <w:sz w:val="13"/>
        </w:rPr>
        <w:t xml:space="preserve">8 </w:t>
      </w:r>
      <w:r>
        <w:rPr>
          <w:sz w:val="20"/>
        </w:rPr>
        <w:t xml:space="preserve">Fifty-nine participants were originally recruited to take part in this study (ASD: </w:t>
      </w:r>
      <w:r>
        <w:rPr>
          <w:i/>
          <w:sz w:val="20"/>
        </w:rPr>
        <w:t xml:space="preserve">n </w:t>
      </w:r>
      <w:r>
        <w:rPr>
          <w:sz w:val="20"/>
        </w:rPr>
        <w:t xml:space="preserve">= 30, NT: </w:t>
      </w:r>
      <w:r>
        <w:rPr>
          <w:i/>
          <w:sz w:val="20"/>
        </w:rPr>
        <w:t xml:space="preserve">n </w:t>
      </w:r>
      <w:r>
        <w:rPr>
          <w:sz w:val="20"/>
        </w:rPr>
        <w:t>= 29). However, data from 10 participants with ASD due to their IQ being below the cut-off of 70 (</w:t>
      </w:r>
      <w:r>
        <w:rPr>
          <w:i/>
          <w:sz w:val="20"/>
        </w:rPr>
        <w:t xml:space="preserve">n </w:t>
      </w:r>
      <w:r>
        <w:rPr>
          <w:sz w:val="20"/>
        </w:rPr>
        <w:t>= 3), not being able to remember</w:t>
      </w:r>
      <w:r>
        <w:rPr>
          <w:spacing w:val="-8"/>
          <w:sz w:val="20"/>
        </w:rPr>
        <w:t xml:space="preserve"> </w:t>
      </w:r>
      <w:r>
        <w:rPr>
          <w:sz w:val="20"/>
        </w:rPr>
        <w:t>the</w:t>
      </w:r>
      <w:r>
        <w:rPr>
          <w:spacing w:val="-1"/>
          <w:sz w:val="20"/>
        </w:rPr>
        <w:t xml:space="preserve"> </w:t>
      </w:r>
      <w:r>
        <w:rPr>
          <w:sz w:val="20"/>
        </w:rPr>
        <w:t>PM</w:t>
      </w:r>
      <w:r>
        <w:rPr>
          <w:spacing w:val="-9"/>
          <w:sz w:val="20"/>
        </w:rPr>
        <w:t xml:space="preserve"> </w:t>
      </w:r>
      <w:r>
        <w:rPr>
          <w:sz w:val="20"/>
        </w:rPr>
        <w:t>instruction</w:t>
      </w:r>
      <w:r>
        <w:rPr>
          <w:spacing w:val="-7"/>
          <w:sz w:val="20"/>
        </w:rPr>
        <w:t xml:space="preserve"> </w:t>
      </w:r>
      <w:r>
        <w:rPr>
          <w:sz w:val="20"/>
        </w:rPr>
        <w:t>in</w:t>
      </w:r>
      <w:r>
        <w:rPr>
          <w:spacing w:val="-3"/>
          <w:sz w:val="20"/>
        </w:rPr>
        <w:t xml:space="preserve"> </w:t>
      </w:r>
      <w:r>
        <w:rPr>
          <w:sz w:val="20"/>
        </w:rPr>
        <w:t>the</w:t>
      </w:r>
      <w:r>
        <w:rPr>
          <w:spacing w:val="-1"/>
          <w:sz w:val="20"/>
        </w:rPr>
        <w:t xml:space="preserve"> </w:t>
      </w:r>
      <w:r>
        <w:rPr>
          <w:sz w:val="20"/>
        </w:rPr>
        <w:t>visuospatial</w:t>
      </w:r>
      <w:r>
        <w:rPr>
          <w:spacing w:val="-6"/>
          <w:sz w:val="20"/>
        </w:rPr>
        <w:t xml:space="preserve"> </w:t>
      </w:r>
      <w:r>
        <w:rPr>
          <w:sz w:val="20"/>
        </w:rPr>
        <w:t>condition</w:t>
      </w:r>
      <w:r>
        <w:rPr>
          <w:spacing w:val="-2"/>
          <w:sz w:val="20"/>
        </w:rPr>
        <w:t xml:space="preserve"> </w:t>
      </w:r>
      <w:r>
        <w:rPr>
          <w:sz w:val="20"/>
        </w:rPr>
        <w:t>(</w:t>
      </w:r>
      <w:r>
        <w:rPr>
          <w:i/>
          <w:sz w:val="20"/>
        </w:rPr>
        <w:t>n</w:t>
      </w:r>
      <w:r>
        <w:rPr>
          <w:i/>
          <w:spacing w:val="-8"/>
          <w:sz w:val="20"/>
        </w:rPr>
        <w:t xml:space="preserve"> </w:t>
      </w:r>
      <w:r>
        <w:rPr>
          <w:sz w:val="20"/>
        </w:rPr>
        <w:t>=</w:t>
      </w:r>
      <w:r>
        <w:rPr>
          <w:spacing w:val="-1"/>
          <w:sz w:val="20"/>
        </w:rPr>
        <w:t xml:space="preserve"> </w:t>
      </w:r>
      <w:r>
        <w:rPr>
          <w:sz w:val="20"/>
        </w:rPr>
        <w:t>5),</w:t>
      </w:r>
      <w:r>
        <w:rPr>
          <w:spacing w:val="-5"/>
          <w:sz w:val="20"/>
        </w:rPr>
        <w:t xml:space="preserve"> </w:t>
      </w:r>
      <w:r>
        <w:rPr>
          <w:sz w:val="20"/>
        </w:rPr>
        <w:t>or</w:t>
      </w:r>
      <w:r>
        <w:rPr>
          <w:spacing w:val="-3"/>
          <w:sz w:val="20"/>
        </w:rPr>
        <w:t xml:space="preserve"> </w:t>
      </w:r>
      <w:r>
        <w:rPr>
          <w:sz w:val="20"/>
        </w:rPr>
        <w:t>to</w:t>
      </w:r>
      <w:r>
        <w:rPr>
          <w:spacing w:val="-2"/>
          <w:sz w:val="20"/>
        </w:rPr>
        <w:t xml:space="preserve"> </w:t>
      </w:r>
      <w:r>
        <w:rPr>
          <w:sz w:val="20"/>
        </w:rPr>
        <w:t>improve</w:t>
      </w:r>
      <w:r>
        <w:rPr>
          <w:spacing w:val="-1"/>
          <w:sz w:val="20"/>
        </w:rPr>
        <w:t xml:space="preserve"> </w:t>
      </w:r>
      <w:r>
        <w:rPr>
          <w:sz w:val="20"/>
        </w:rPr>
        <w:t>the</w:t>
      </w:r>
      <w:r>
        <w:rPr>
          <w:spacing w:val="-1"/>
          <w:sz w:val="20"/>
        </w:rPr>
        <w:t xml:space="preserve"> </w:t>
      </w:r>
      <w:r>
        <w:rPr>
          <w:sz w:val="20"/>
        </w:rPr>
        <w:t>matching</w:t>
      </w:r>
      <w:r>
        <w:rPr>
          <w:spacing w:val="-3"/>
          <w:sz w:val="20"/>
        </w:rPr>
        <w:t xml:space="preserve"> </w:t>
      </w:r>
      <w:r>
        <w:rPr>
          <w:sz w:val="20"/>
        </w:rPr>
        <w:t>with</w:t>
      </w:r>
      <w:r>
        <w:rPr>
          <w:spacing w:val="-7"/>
          <w:sz w:val="20"/>
        </w:rPr>
        <w:t xml:space="preserve"> </w:t>
      </w:r>
      <w:r>
        <w:rPr>
          <w:sz w:val="20"/>
        </w:rPr>
        <w:t>the</w:t>
      </w:r>
      <w:r>
        <w:rPr>
          <w:spacing w:val="-1"/>
          <w:sz w:val="20"/>
        </w:rPr>
        <w:t xml:space="preserve"> </w:t>
      </w:r>
      <w:r>
        <w:rPr>
          <w:spacing w:val="-4"/>
          <w:sz w:val="20"/>
        </w:rPr>
        <w:t>NT</w:t>
      </w:r>
      <w:r>
        <w:rPr>
          <w:spacing w:val="-1"/>
          <w:sz w:val="20"/>
        </w:rPr>
        <w:t xml:space="preserve"> </w:t>
      </w:r>
      <w:r>
        <w:rPr>
          <w:sz w:val="20"/>
        </w:rPr>
        <w:t>group (</w:t>
      </w:r>
      <w:r>
        <w:rPr>
          <w:i/>
          <w:sz w:val="20"/>
        </w:rPr>
        <w:t>n</w:t>
      </w:r>
      <w:r>
        <w:rPr>
          <w:i/>
          <w:spacing w:val="-3"/>
          <w:sz w:val="20"/>
        </w:rPr>
        <w:t xml:space="preserve"> </w:t>
      </w:r>
      <w:r>
        <w:rPr>
          <w:sz w:val="20"/>
        </w:rPr>
        <w:t>=</w:t>
      </w:r>
      <w:r>
        <w:rPr>
          <w:spacing w:val="-1"/>
          <w:sz w:val="20"/>
        </w:rPr>
        <w:t xml:space="preserve"> </w:t>
      </w:r>
      <w:r>
        <w:rPr>
          <w:sz w:val="20"/>
        </w:rPr>
        <w:t>2),</w:t>
      </w:r>
      <w:r>
        <w:rPr>
          <w:spacing w:val="-5"/>
          <w:sz w:val="20"/>
        </w:rPr>
        <w:t xml:space="preserve"> </w:t>
      </w:r>
      <w:r>
        <w:rPr>
          <w:sz w:val="20"/>
        </w:rPr>
        <w:t>as well</w:t>
      </w:r>
      <w:r>
        <w:rPr>
          <w:spacing w:val="-6"/>
          <w:sz w:val="20"/>
        </w:rPr>
        <w:t xml:space="preserve"> </w:t>
      </w:r>
      <w:r>
        <w:rPr>
          <w:sz w:val="20"/>
        </w:rPr>
        <w:t>as</w:t>
      </w:r>
      <w:r>
        <w:rPr>
          <w:spacing w:val="-4"/>
          <w:sz w:val="20"/>
        </w:rPr>
        <w:t xml:space="preserve"> </w:t>
      </w:r>
      <w:r>
        <w:rPr>
          <w:sz w:val="20"/>
        </w:rPr>
        <w:t>data</w:t>
      </w:r>
      <w:r>
        <w:rPr>
          <w:spacing w:val="-1"/>
          <w:sz w:val="20"/>
        </w:rPr>
        <w:t xml:space="preserve"> </w:t>
      </w:r>
      <w:r>
        <w:rPr>
          <w:sz w:val="20"/>
        </w:rPr>
        <w:t>from</w:t>
      </w:r>
      <w:r>
        <w:rPr>
          <w:spacing w:val="-7"/>
          <w:sz w:val="20"/>
        </w:rPr>
        <w:t xml:space="preserve"> </w:t>
      </w:r>
      <w:r>
        <w:rPr>
          <w:sz w:val="20"/>
        </w:rPr>
        <w:t>nine</w:t>
      </w:r>
      <w:r>
        <w:rPr>
          <w:spacing w:val="-1"/>
          <w:sz w:val="20"/>
        </w:rPr>
        <w:t xml:space="preserve"> </w:t>
      </w:r>
      <w:r>
        <w:rPr>
          <w:sz w:val="20"/>
        </w:rPr>
        <w:t>NT</w:t>
      </w:r>
      <w:r>
        <w:rPr>
          <w:spacing w:val="-1"/>
          <w:sz w:val="20"/>
        </w:rPr>
        <w:t xml:space="preserve"> </w:t>
      </w:r>
      <w:r>
        <w:rPr>
          <w:sz w:val="20"/>
        </w:rPr>
        <w:t>children</w:t>
      </w:r>
      <w:r>
        <w:rPr>
          <w:spacing w:val="-3"/>
          <w:sz w:val="20"/>
        </w:rPr>
        <w:t xml:space="preserve"> </w:t>
      </w:r>
      <w:r>
        <w:rPr>
          <w:sz w:val="20"/>
        </w:rPr>
        <w:t>due</w:t>
      </w:r>
      <w:r>
        <w:rPr>
          <w:spacing w:val="-1"/>
          <w:sz w:val="20"/>
        </w:rPr>
        <w:t xml:space="preserve"> </w:t>
      </w:r>
      <w:r>
        <w:rPr>
          <w:sz w:val="20"/>
        </w:rPr>
        <w:t>to</w:t>
      </w:r>
      <w:r>
        <w:rPr>
          <w:spacing w:val="-2"/>
          <w:sz w:val="20"/>
        </w:rPr>
        <w:t xml:space="preserve"> </w:t>
      </w:r>
      <w:r>
        <w:rPr>
          <w:sz w:val="20"/>
        </w:rPr>
        <w:t>not</w:t>
      </w:r>
      <w:r>
        <w:rPr>
          <w:spacing w:val="-2"/>
          <w:sz w:val="20"/>
        </w:rPr>
        <w:t xml:space="preserve"> </w:t>
      </w:r>
      <w:r>
        <w:rPr>
          <w:sz w:val="20"/>
        </w:rPr>
        <w:t>being</w:t>
      </w:r>
      <w:r>
        <w:rPr>
          <w:spacing w:val="2"/>
          <w:sz w:val="20"/>
        </w:rPr>
        <w:t xml:space="preserve"> </w:t>
      </w:r>
      <w:r>
        <w:rPr>
          <w:sz w:val="20"/>
        </w:rPr>
        <w:t>able</w:t>
      </w:r>
      <w:r>
        <w:rPr>
          <w:spacing w:val="-1"/>
          <w:sz w:val="20"/>
        </w:rPr>
        <w:t xml:space="preserve"> </w:t>
      </w:r>
      <w:r>
        <w:rPr>
          <w:sz w:val="20"/>
        </w:rPr>
        <w:t>to</w:t>
      </w:r>
      <w:r>
        <w:rPr>
          <w:spacing w:val="-2"/>
          <w:sz w:val="20"/>
        </w:rPr>
        <w:t xml:space="preserve"> </w:t>
      </w:r>
      <w:r>
        <w:rPr>
          <w:sz w:val="20"/>
        </w:rPr>
        <w:t>remember</w:t>
      </w:r>
      <w:r>
        <w:rPr>
          <w:spacing w:val="-3"/>
          <w:sz w:val="20"/>
        </w:rPr>
        <w:t xml:space="preserve"> </w:t>
      </w:r>
      <w:r>
        <w:rPr>
          <w:sz w:val="20"/>
        </w:rPr>
        <w:t>the</w:t>
      </w:r>
      <w:r>
        <w:rPr>
          <w:spacing w:val="-1"/>
          <w:sz w:val="20"/>
        </w:rPr>
        <w:t xml:space="preserve"> </w:t>
      </w:r>
      <w:r>
        <w:rPr>
          <w:sz w:val="20"/>
        </w:rPr>
        <w:t>PM</w:t>
      </w:r>
      <w:r>
        <w:rPr>
          <w:spacing w:val="-4"/>
          <w:sz w:val="20"/>
        </w:rPr>
        <w:t xml:space="preserve"> </w:t>
      </w:r>
      <w:r>
        <w:rPr>
          <w:sz w:val="20"/>
        </w:rPr>
        <w:t>instruction</w:t>
      </w:r>
      <w:r>
        <w:rPr>
          <w:spacing w:val="-3"/>
          <w:sz w:val="20"/>
        </w:rPr>
        <w:t xml:space="preserve"> </w:t>
      </w:r>
      <w:r>
        <w:rPr>
          <w:sz w:val="20"/>
        </w:rPr>
        <w:t>in</w:t>
      </w:r>
      <w:r>
        <w:rPr>
          <w:spacing w:val="-7"/>
          <w:sz w:val="20"/>
        </w:rPr>
        <w:t xml:space="preserve"> </w:t>
      </w:r>
      <w:r>
        <w:rPr>
          <w:sz w:val="20"/>
        </w:rPr>
        <w:t>the</w:t>
      </w:r>
      <w:r>
        <w:rPr>
          <w:spacing w:val="-1"/>
          <w:sz w:val="20"/>
        </w:rPr>
        <w:t xml:space="preserve"> </w:t>
      </w:r>
      <w:r>
        <w:rPr>
          <w:sz w:val="20"/>
        </w:rPr>
        <w:t>verbal (</w:t>
      </w:r>
      <w:r>
        <w:rPr>
          <w:i/>
          <w:sz w:val="20"/>
        </w:rPr>
        <w:t xml:space="preserve">n </w:t>
      </w:r>
      <w:r>
        <w:rPr>
          <w:sz w:val="20"/>
        </w:rPr>
        <w:t>= 1) or visuospatial condition (</w:t>
      </w:r>
      <w:r>
        <w:rPr>
          <w:i/>
          <w:sz w:val="20"/>
        </w:rPr>
        <w:t xml:space="preserve">n </w:t>
      </w:r>
      <w:r>
        <w:rPr>
          <w:sz w:val="20"/>
        </w:rPr>
        <w:t>= 4), or to improve matching with the ASD group (</w:t>
      </w:r>
      <w:r>
        <w:rPr>
          <w:i/>
          <w:sz w:val="20"/>
        </w:rPr>
        <w:t xml:space="preserve">n </w:t>
      </w:r>
      <w:r>
        <w:rPr>
          <w:sz w:val="20"/>
        </w:rPr>
        <w:t>= 4) was excluded from the final data</w:t>
      </w:r>
      <w:r>
        <w:rPr>
          <w:spacing w:val="-4"/>
          <w:sz w:val="20"/>
        </w:rPr>
        <w:t xml:space="preserve"> </w:t>
      </w:r>
      <w:r>
        <w:rPr>
          <w:sz w:val="20"/>
        </w:rPr>
        <w:t>analysis.</w:t>
      </w:r>
    </w:p>
    <w:p w14:paraId="0E63814B" w14:textId="77777777" w:rsidR="00C75312" w:rsidRDefault="00C75312">
      <w:pPr>
        <w:spacing w:line="480" w:lineRule="auto"/>
        <w:jc w:val="both"/>
        <w:rPr>
          <w:sz w:val="20"/>
        </w:rPr>
        <w:sectPr w:rsidR="00C75312">
          <w:pgSz w:w="11900" w:h="16840"/>
          <w:pgMar w:top="1140" w:right="0" w:bottom="280" w:left="1300" w:header="720" w:footer="0" w:gutter="0"/>
          <w:cols w:space="720"/>
        </w:sectPr>
      </w:pPr>
    </w:p>
    <w:p w14:paraId="1A63CFBF" w14:textId="77777777" w:rsidR="00C75312" w:rsidRDefault="00C75312">
      <w:pPr>
        <w:pStyle w:val="BodyText"/>
        <w:spacing w:before="2"/>
        <w:rPr>
          <w:sz w:val="18"/>
        </w:rPr>
      </w:pPr>
    </w:p>
    <w:p w14:paraId="0225A064" w14:textId="77777777" w:rsidR="00C75312" w:rsidRDefault="00BB293A">
      <w:pPr>
        <w:pStyle w:val="BodyText"/>
        <w:spacing w:before="90" w:after="5" w:line="480" w:lineRule="auto"/>
        <w:ind w:left="140" w:right="1432"/>
        <w:jc w:val="both"/>
      </w:pPr>
      <w:r>
        <w:t>participants did not affect the results of the study, all experimental analyses presented were rerun after excluding them. Key experimental results after removing these participants are reported</w:t>
      </w:r>
      <w:r>
        <w:rPr>
          <w:position w:val="8"/>
          <w:sz w:val="16"/>
        </w:rPr>
        <w:t>9</w:t>
      </w:r>
      <w:r>
        <w:t>. The results were almost identical with and without these NT participants included. The study was approved by the local ethics committee of the School of Psychology at the University of Kent and written informed consent was obtained from the participants’ parents</w:t>
      </w:r>
    </w:p>
    <w:tbl>
      <w:tblPr>
        <w:tblW w:w="0" w:type="auto"/>
        <w:tblInd w:w="140" w:type="dxa"/>
        <w:tblLayout w:type="fixed"/>
        <w:tblCellMar>
          <w:left w:w="0" w:type="dxa"/>
          <w:right w:w="0" w:type="dxa"/>
        </w:tblCellMar>
        <w:tblLook w:val="01E0" w:firstRow="1" w:lastRow="1" w:firstColumn="1" w:lastColumn="1" w:noHBand="0" w:noVBand="0"/>
      </w:tblPr>
      <w:tblGrid>
        <w:gridCol w:w="4066"/>
        <w:gridCol w:w="1576"/>
        <w:gridCol w:w="934"/>
        <w:gridCol w:w="1035"/>
        <w:gridCol w:w="1417"/>
      </w:tblGrid>
      <w:tr w:rsidR="00C75312" w14:paraId="722B7FB2" w14:textId="77777777">
        <w:trPr>
          <w:trHeight w:val="461"/>
        </w:trPr>
        <w:tc>
          <w:tcPr>
            <w:tcW w:w="4066" w:type="dxa"/>
          </w:tcPr>
          <w:p w14:paraId="7886D32C" w14:textId="77777777" w:rsidR="00C75312" w:rsidRDefault="00BB293A">
            <w:pPr>
              <w:pStyle w:val="TableParagraph"/>
              <w:spacing w:line="266" w:lineRule="exact"/>
              <w:ind w:left="7"/>
              <w:rPr>
                <w:sz w:val="24"/>
              </w:rPr>
            </w:pPr>
            <w:r>
              <w:rPr>
                <w:sz w:val="24"/>
              </w:rPr>
              <w:t>prior to the study.</w:t>
            </w:r>
          </w:p>
        </w:tc>
        <w:tc>
          <w:tcPr>
            <w:tcW w:w="4962" w:type="dxa"/>
            <w:gridSpan w:val="4"/>
            <w:vMerge w:val="restart"/>
            <w:tcBorders>
              <w:bottom w:val="single" w:sz="4" w:space="0" w:color="000000"/>
            </w:tcBorders>
          </w:tcPr>
          <w:p w14:paraId="67603DB0" w14:textId="77777777" w:rsidR="00C75312" w:rsidRDefault="00C75312">
            <w:pPr>
              <w:pStyle w:val="TableParagraph"/>
              <w:rPr>
                <w:sz w:val="20"/>
              </w:rPr>
            </w:pPr>
          </w:p>
        </w:tc>
      </w:tr>
      <w:tr w:rsidR="00C75312" w14:paraId="2D478FC2" w14:textId="77777777">
        <w:trPr>
          <w:trHeight w:val="620"/>
        </w:trPr>
        <w:tc>
          <w:tcPr>
            <w:tcW w:w="4066" w:type="dxa"/>
            <w:tcBorders>
              <w:bottom w:val="single" w:sz="4" w:space="0" w:color="000000"/>
            </w:tcBorders>
          </w:tcPr>
          <w:p w14:paraId="09CECC0C" w14:textId="77777777" w:rsidR="00C75312" w:rsidRDefault="00BB293A">
            <w:pPr>
              <w:pStyle w:val="TableParagraph"/>
              <w:spacing w:before="189"/>
              <w:ind w:left="7"/>
              <w:rPr>
                <w:i/>
                <w:sz w:val="20"/>
              </w:rPr>
            </w:pPr>
            <w:r>
              <w:rPr>
                <w:i/>
                <w:sz w:val="20"/>
              </w:rPr>
              <w:t>Table 9. Sample characteristics</w:t>
            </w:r>
          </w:p>
        </w:tc>
        <w:tc>
          <w:tcPr>
            <w:tcW w:w="4962" w:type="dxa"/>
            <w:gridSpan w:val="4"/>
            <w:vMerge/>
            <w:tcBorders>
              <w:top w:val="nil"/>
              <w:bottom w:val="single" w:sz="4" w:space="0" w:color="000000"/>
            </w:tcBorders>
          </w:tcPr>
          <w:p w14:paraId="5D76AFEA" w14:textId="77777777" w:rsidR="00C75312" w:rsidRDefault="00C75312">
            <w:pPr>
              <w:rPr>
                <w:sz w:val="2"/>
                <w:szCs w:val="2"/>
              </w:rPr>
            </w:pPr>
          </w:p>
        </w:tc>
      </w:tr>
      <w:tr w:rsidR="00C75312" w14:paraId="642B075A" w14:textId="77777777">
        <w:trPr>
          <w:trHeight w:val="422"/>
        </w:trPr>
        <w:tc>
          <w:tcPr>
            <w:tcW w:w="4066" w:type="dxa"/>
            <w:tcBorders>
              <w:top w:val="single" w:sz="4" w:space="0" w:color="000000"/>
              <w:bottom w:val="single" w:sz="4" w:space="0" w:color="000000"/>
            </w:tcBorders>
          </w:tcPr>
          <w:p w14:paraId="2D62C099" w14:textId="77777777" w:rsidR="00C75312" w:rsidRDefault="00BB293A">
            <w:pPr>
              <w:pStyle w:val="TableParagraph"/>
              <w:spacing w:before="43"/>
              <w:ind w:right="13"/>
              <w:jc w:val="right"/>
              <w:rPr>
                <w:b/>
                <w:sz w:val="20"/>
              </w:rPr>
            </w:pPr>
            <w:r>
              <w:rPr>
                <w:b/>
                <w:sz w:val="20"/>
              </w:rPr>
              <w:t>Group means</w:t>
            </w:r>
          </w:p>
        </w:tc>
        <w:tc>
          <w:tcPr>
            <w:tcW w:w="1576" w:type="dxa"/>
            <w:tcBorders>
              <w:top w:val="single" w:sz="4" w:space="0" w:color="000000"/>
              <w:bottom w:val="single" w:sz="4" w:space="0" w:color="000000"/>
            </w:tcBorders>
          </w:tcPr>
          <w:p w14:paraId="40836D1F" w14:textId="77777777" w:rsidR="00C75312" w:rsidRDefault="00BB293A">
            <w:pPr>
              <w:pStyle w:val="TableParagraph"/>
              <w:spacing w:before="43"/>
              <w:ind w:left="30"/>
              <w:rPr>
                <w:b/>
                <w:sz w:val="20"/>
              </w:rPr>
            </w:pPr>
            <w:r>
              <w:rPr>
                <w:b/>
                <w:sz w:val="20"/>
              </w:rPr>
              <w:t>(SD)</w:t>
            </w:r>
          </w:p>
        </w:tc>
        <w:tc>
          <w:tcPr>
            <w:tcW w:w="934" w:type="dxa"/>
            <w:tcBorders>
              <w:top w:val="single" w:sz="4" w:space="0" w:color="000000"/>
            </w:tcBorders>
          </w:tcPr>
          <w:p w14:paraId="0CFE194E" w14:textId="77777777" w:rsidR="00C75312" w:rsidRDefault="00C75312">
            <w:pPr>
              <w:pStyle w:val="TableParagraph"/>
              <w:rPr>
                <w:sz w:val="20"/>
              </w:rPr>
            </w:pPr>
          </w:p>
        </w:tc>
        <w:tc>
          <w:tcPr>
            <w:tcW w:w="1035" w:type="dxa"/>
            <w:tcBorders>
              <w:top w:val="single" w:sz="4" w:space="0" w:color="000000"/>
            </w:tcBorders>
          </w:tcPr>
          <w:p w14:paraId="0B1D6D0D" w14:textId="77777777" w:rsidR="00C75312" w:rsidRDefault="00C75312">
            <w:pPr>
              <w:pStyle w:val="TableParagraph"/>
              <w:rPr>
                <w:sz w:val="20"/>
              </w:rPr>
            </w:pPr>
          </w:p>
        </w:tc>
        <w:tc>
          <w:tcPr>
            <w:tcW w:w="1417" w:type="dxa"/>
            <w:tcBorders>
              <w:top w:val="single" w:sz="4" w:space="0" w:color="000000"/>
            </w:tcBorders>
          </w:tcPr>
          <w:p w14:paraId="02ED498B" w14:textId="77777777" w:rsidR="00C75312" w:rsidRDefault="00C75312">
            <w:pPr>
              <w:pStyle w:val="TableParagraph"/>
              <w:rPr>
                <w:sz w:val="20"/>
              </w:rPr>
            </w:pPr>
          </w:p>
        </w:tc>
      </w:tr>
      <w:tr w:rsidR="00C75312" w14:paraId="7DE47E93" w14:textId="77777777">
        <w:trPr>
          <w:trHeight w:val="426"/>
        </w:trPr>
        <w:tc>
          <w:tcPr>
            <w:tcW w:w="4066" w:type="dxa"/>
            <w:tcBorders>
              <w:top w:val="single" w:sz="4" w:space="0" w:color="000000"/>
              <w:bottom w:val="single" w:sz="4" w:space="0" w:color="000000"/>
            </w:tcBorders>
          </w:tcPr>
          <w:p w14:paraId="61C5E7D4" w14:textId="77777777" w:rsidR="00C75312" w:rsidRDefault="00BB293A">
            <w:pPr>
              <w:pStyle w:val="TableParagraph"/>
              <w:spacing w:before="43"/>
              <w:ind w:left="2147"/>
              <w:rPr>
                <w:b/>
                <w:sz w:val="20"/>
              </w:rPr>
            </w:pPr>
            <w:r>
              <w:rPr>
                <w:b/>
                <w:sz w:val="20"/>
              </w:rPr>
              <w:t>ASD (</w:t>
            </w:r>
            <w:r>
              <w:rPr>
                <w:b/>
                <w:i/>
                <w:sz w:val="20"/>
              </w:rPr>
              <w:t xml:space="preserve">n </w:t>
            </w:r>
            <w:r>
              <w:rPr>
                <w:b/>
                <w:sz w:val="20"/>
              </w:rPr>
              <w:t>= 20)</w:t>
            </w:r>
          </w:p>
        </w:tc>
        <w:tc>
          <w:tcPr>
            <w:tcW w:w="1576" w:type="dxa"/>
            <w:tcBorders>
              <w:top w:val="single" w:sz="4" w:space="0" w:color="000000"/>
              <w:bottom w:val="single" w:sz="4" w:space="0" w:color="000000"/>
            </w:tcBorders>
          </w:tcPr>
          <w:p w14:paraId="005BA296" w14:textId="77777777" w:rsidR="00C75312" w:rsidRDefault="00BB293A">
            <w:pPr>
              <w:pStyle w:val="TableParagraph"/>
              <w:spacing w:before="43"/>
              <w:ind w:left="102"/>
              <w:rPr>
                <w:b/>
                <w:sz w:val="20"/>
              </w:rPr>
            </w:pPr>
            <w:r>
              <w:rPr>
                <w:b/>
                <w:sz w:val="20"/>
              </w:rPr>
              <w:t>NT (</w:t>
            </w:r>
            <w:r>
              <w:rPr>
                <w:b/>
                <w:i/>
                <w:sz w:val="20"/>
              </w:rPr>
              <w:t xml:space="preserve">n </w:t>
            </w:r>
            <w:r>
              <w:rPr>
                <w:b/>
                <w:sz w:val="20"/>
              </w:rPr>
              <w:t>= 20)</w:t>
            </w:r>
          </w:p>
        </w:tc>
        <w:tc>
          <w:tcPr>
            <w:tcW w:w="934" w:type="dxa"/>
            <w:tcBorders>
              <w:bottom w:val="single" w:sz="4" w:space="0" w:color="000000"/>
            </w:tcBorders>
          </w:tcPr>
          <w:p w14:paraId="5678FD8D" w14:textId="77777777" w:rsidR="00C75312" w:rsidRDefault="00BB293A">
            <w:pPr>
              <w:pStyle w:val="TableParagraph"/>
              <w:spacing w:before="43"/>
              <w:ind w:right="11"/>
              <w:jc w:val="center"/>
              <w:rPr>
                <w:b/>
                <w:i/>
                <w:sz w:val="20"/>
              </w:rPr>
            </w:pPr>
            <w:r>
              <w:rPr>
                <w:b/>
                <w:i/>
                <w:sz w:val="20"/>
              </w:rPr>
              <w:t>t</w:t>
            </w:r>
          </w:p>
        </w:tc>
        <w:tc>
          <w:tcPr>
            <w:tcW w:w="1035" w:type="dxa"/>
            <w:tcBorders>
              <w:bottom w:val="single" w:sz="4" w:space="0" w:color="000000"/>
            </w:tcBorders>
          </w:tcPr>
          <w:p w14:paraId="7AA3F8BD" w14:textId="77777777" w:rsidR="00C75312" w:rsidRDefault="00BB293A">
            <w:pPr>
              <w:pStyle w:val="TableParagraph"/>
              <w:spacing w:before="43"/>
              <w:ind w:right="34"/>
              <w:jc w:val="center"/>
              <w:rPr>
                <w:b/>
                <w:i/>
                <w:sz w:val="20"/>
              </w:rPr>
            </w:pPr>
            <w:r>
              <w:rPr>
                <w:b/>
                <w:i/>
                <w:sz w:val="20"/>
              </w:rPr>
              <w:t>p</w:t>
            </w:r>
          </w:p>
        </w:tc>
        <w:tc>
          <w:tcPr>
            <w:tcW w:w="1417" w:type="dxa"/>
            <w:tcBorders>
              <w:bottom w:val="single" w:sz="4" w:space="0" w:color="000000"/>
            </w:tcBorders>
          </w:tcPr>
          <w:p w14:paraId="7F8A762C" w14:textId="77777777" w:rsidR="00C75312" w:rsidRDefault="00BB293A">
            <w:pPr>
              <w:pStyle w:val="TableParagraph"/>
              <w:spacing w:before="43"/>
              <w:ind w:left="256" w:right="270"/>
              <w:jc w:val="center"/>
              <w:rPr>
                <w:b/>
                <w:i/>
                <w:sz w:val="20"/>
              </w:rPr>
            </w:pPr>
            <w:r>
              <w:rPr>
                <w:b/>
                <w:sz w:val="20"/>
              </w:rPr>
              <w:t xml:space="preserve">Cohen’s </w:t>
            </w:r>
            <w:r>
              <w:rPr>
                <w:b/>
                <w:i/>
                <w:sz w:val="20"/>
              </w:rPr>
              <w:t>d</w:t>
            </w:r>
          </w:p>
        </w:tc>
      </w:tr>
      <w:tr w:rsidR="00C75312" w14:paraId="6634BE81" w14:textId="77777777">
        <w:trPr>
          <w:trHeight w:val="373"/>
        </w:trPr>
        <w:tc>
          <w:tcPr>
            <w:tcW w:w="4066" w:type="dxa"/>
            <w:tcBorders>
              <w:top w:val="single" w:sz="4" w:space="0" w:color="000000"/>
            </w:tcBorders>
          </w:tcPr>
          <w:p w14:paraId="41D8D2B3" w14:textId="77777777" w:rsidR="00C75312" w:rsidRDefault="00BB293A">
            <w:pPr>
              <w:pStyle w:val="TableParagraph"/>
              <w:tabs>
                <w:tab w:val="left" w:pos="2224"/>
              </w:tabs>
              <w:spacing w:before="43"/>
              <w:ind w:left="35"/>
              <w:rPr>
                <w:sz w:val="20"/>
              </w:rPr>
            </w:pPr>
            <w:r>
              <w:rPr>
                <w:sz w:val="20"/>
              </w:rPr>
              <w:t>Age</w:t>
            </w:r>
            <w:r>
              <w:rPr>
                <w:sz w:val="20"/>
              </w:rPr>
              <w:tab/>
              <w:t>11.64</w:t>
            </w:r>
            <w:r>
              <w:rPr>
                <w:spacing w:val="2"/>
                <w:sz w:val="20"/>
              </w:rPr>
              <w:t xml:space="preserve"> </w:t>
            </w:r>
            <w:r>
              <w:rPr>
                <w:sz w:val="20"/>
              </w:rPr>
              <w:t>(1.82)</w:t>
            </w:r>
          </w:p>
        </w:tc>
        <w:tc>
          <w:tcPr>
            <w:tcW w:w="1576" w:type="dxa"/>
            <w:tcBorders>
              <w:top w:val="single" w:sz="4" w:space="0" w:color="000000"/>
            </w:tcBorders>
          </w:tcPr>
          <w:p w14:paraId="3617FC43" w14:textId="77777777" w:rsidR="00C75312" w:rsidRDefault="00BB293A">
            <w:pPr>
              <w:pStyle w:val="TableParagraph"/>
              <w:spacing w:before="43"/>
              <w:ind w:left="117"/>
              <w:rPr>
                <w:sz w:val="20"/>
              </w:rPr>
            </w:pPr>
            <w:r>
              <w:rPr>
                <w:sz w:val="20"/>
              </w:rPr>
              <w:t>11.23 (1.69)</w:t>
            </w:r>
          </w:p>
        </w:tc>
        <w:tc>
          <w:tcPr>
            <w:tcW w:w="934" w:type="dxa"/>
            <w:tcBorders>
              <w:top w:val="single" w:sz="4" w:space="0" w:color="000000"/>
            </w:tcBorders>
          </w:tcPr>
          <w:p w14:paraId="51356B02" w14:textId="77777777" w:rsidR="00C75312" w:rsidRDefault="00BB293A">
            <w:pPr>
              <w:pStyle w:val="TableParagraph"/>
              <w:spacing w:before="43"/>
              <w:ind w:left="215" w:right="224"/>
              <w:jc w:val="center"/>
              <w:rPr>
                <w:sz w:val="20"/>
              </w:rPr>
            </w:pPr>
            <w:r>
              <w:rPr>
                <w:sz w:val="20"/>
              </w:rPr>
              <w:t>0.74</w:t>
            </w:r>
          </w:p>
        </w:tc>
        <w:tc>
          <w:tcPr>
            <w:tcW w:w="1035" w:type="dxa"/>
            <w:tcBorders>
              <w:top w:val="single" w:sz="4" w:space="0" w:color="000000"/>
            </w:tcBorders>
          </w:tcPr>
          <w:p w14:paraId="09570F4F" w14:textId="77777777" w:rsidR="00C75312" w:rsidRDefault="00BB293A">
            <w:pPr>
              <w:pStyle w:val="TableParagraph"/>
              <w:spacing w:before="43"/>
              <w:ind w:left="226" w:right="251"/>
              <w:jc w:val="center"/>
              <w:rPr>
                <w:sz w:val="20"/>
              </w:rPr>
            </w:pPr>
            <w:r>
              <w:rPr>
                <w:sz w:val="20"/>
              </w:rPr>
              <w:t>.47</w:t>
            </w:r>
          </w:p>
        </w:tc>
        <w:tc>
          <w:tcPr>
            <w:tcW w:w="1417" w:type="dxa"/>
            <w:tcBorders>
              <w:top w:val="single" w:sz="4" w:space="0" w:color="000000"/>
            </w:tcBorders>
          </w:tcPr>
          <w:p w14:paraId="6BF30C88" w14:textId="77777777" w:rsidR="00C75312" w:rsidRDefault="00BB293A">
            <w:pPr>
              <w:pStyle w:val="TableParagraph"/>
              <w:spacing w:before="43"/>
              <w:ind w:left="256" w:right="270"/>
              <w:jc w:val="center"/>
              <w:rPr>
                <w:sz w:val="20"/>
              </w:rPr>
            </w:pPr>
            <w:r>
              <w:rPr>
                <w:sz w:val="20"/>
              </w:rPr>
              <w:t>-0.23</w:t>
            </w:r>
          </w:p>
        </w:tc>
      </w:tr>
      <w:tr w:rsidR="00C75312" w14:paraId="6073913D" w14:textId="77777777">
        <w:trPr>
          <w:trHeight w:val="424"/>
        </w:trPr>
        <w:tc>
          <w:tcPr>
            <w:tcW w:w="4066" w:type="dxa"/>
          </w:tcPr>
          <w:p w14:paraId="107D59DF" w14:textId="77777777" w:rsidR="00C75312" w:rsidRDefault="00BB293A">
            <w:pPr>
              <w:pStyle w:val="TableParagraph"/>
              <w:tabs>
                <w:tab w:val="left" w:pos="2123"/>
              </w:tabs>
              <w:spacing w:before="92"/>
              <w:ind w:left="35"/>
              <w:rPr>
                <w:sz w:val="20"/>
              </w:rPr>
            </w:pPr>
            <w:r>
              <w:rPr>
                <w:sz w:val="20"/>
              </w:rPr>
              <w:t>VIQ</w:t>
            </w:r>
            <w:r>
              <w:rPr>
                <w:sz w:val="20"/>
              </w:rPr>
              <w:tab/>
              <w:t>101.90</w:t>
            </w:r>
            <w:r>
              <w:rPr>
                <w:spacing w:val="2"/>
                <w:sz w:val="20"/>
              </w:rPr>
              <w:t xml:space="preserve"> </w:t>
            </w:r>
            <w:r>
              <w:rPr>
                <w:sz w:val="20"/>
              </w:rPr>
              <w:t>(10.38)</w:t>
            </w:r>
          </w:p>
        </w:tc>
        <w:tc>
          <w:tcPr>
            <w:tcW w:w="1576" w:type="dxa"/>
          </w:tcPr>
          <w:p w14:paraId="33ED6EEB" w14:textId="77777777" w:rsidR="00C75312" w:rsidRDefault="00BB293A">
            <w:pPr>
              <w:pStyle w:val="TableParagraph"/>
              <w:spacing w:before="92"/>
              <w:ind w:left="16"/>
              <w:rPr>
                <w:sz w:val="20"/>
              </w:rPr>
            </w:pPr>
            <w:r>
              <w:rPr>
                <w:sz w:val="20"/>
              </w:rPr>
              <w:t>101.75 (10.76)</w:t>
            </w:r>
          </w:p>
        </w:tc>
        <w:tc>
          <w:tcPr>
            <w:tcW w:w="934" w:type="dxa"/>
          </w:tcPr>
          <w:p w14:paraId="36C4FBF9" w14:textId="77777777" w:rsidR="00C75312" w:rsidRDefault="00BB293A">
            <w:pPr>
              <w:pStyle w:val="TableParagraph"/>
              <w:spacing w:before="92"/>
              <w:ind w:left="215" w:right="224"/>
              <w:jc w:val="center"/>
              <w:rPr>
                <w:sz w:val="20"/>
              </w:rPr>
            </w:pPr>
            <w:r>
              <w:rPr>
                <w:sz w:val="20"/>
              </w:rPr>
              <w:t>0.05</w:t>
            </w:r>
          </w:p>
        </w:tc>
        <w:tc>
          <w:tcPr>
            <w:tcW w:w="1035" w:type="dxa"/>
          </w:tcPr>
          <w:p w14:paraId="3E0347B0" w14:textId="77777777" w:rsidR="00C75312" w:rsidRDefault="00BB293A">
            <w:pPr>
              <w:pStyle w:val="TableParagraph"/>
              <w:spacing w:before="92"/>
              <w:ind w:left="226" w:right="251"/>
              <w:jc w:val="center"/>
              <w:rPr>
                <w:sz w:val="20"/>
              </w:rPr>
            </w:pPr>
            <w:r>
              <w:rPr>
                <w:sz w:val="20"/>
              </w:rPr>
              <w:t>.96</w:t>
            </w:r>
          </w:p>
        </w:tc>
        <w:tc>
          <w:tcPr>
            <w:tcW w:w="1417" w:type="dxa"/>
          </w:tcPr>
          <w:p w14:paraId="1EE208AD" w14:textId="77777777" w:rsidR="00C75312" w:rsidRDefault="00BB293A">
            <w:pPr>
              <w:pStyle w:val="TableParagraph"/>
              <w:spacing w:before="92"/>
              <w:ind w:left="256" w:right="270"/>
              <w:jc w:val="center"/>
              <w:rPr>
                <w:sz w:val="20"/>
              </w:rPr>
            </w:pPr>
            <w:r>
              <w:rPr>
                <w:sz w:val="20"/>
              </w:rPr>
              <w:t>-0.01</w:t>
            </w:r>
          </w:p>
        </w:tc>
      </w:tr>
      <w:tr w:rsidR="00C75312" w14:paraId="11E984C6" w14:textId="77777777">
        <w:trPr>
          <w:trHeight w:val="424"/>
        </w:trPr>
        <w:tc>
          <w:tcPr>
            <w:tcW w:w="4066" w:type="dxa"/>
          </w:tcPr>
          <w:p w14:paraId="4C97BA6F" w14:textId="77777777" w:rsidR="00C75312" w:rsidRDefault="00BB293A">
            <w:pPr>
              <w:pStyle w:val="TableParagraph"/>
              <w:tabs>
                <w:tab w:val="left" w:pos="2224"/>
              </w:tabs>
              <w:spacing w:before="95"/>
              <w:ind w:left="35"/>
              <w:rPr>
                <w:sz w:val="20"/>
              </w:rPr>
            </w:pPr>
            <w:r>
              <w:rPr>
                <w:sz w:val="20"/>
              </w:rPr>
              <w:t>PIQ</w:t>
            </w:r>
            <w:r>
              <w:rPr>
                <w:sz w:val="20"/>
              </w:rPr>
              <w:tab/>
              <w:t>99.75</w:t>
            </w:r>
            <w:r>
              <w:rPr>
                <w:spacing w:val="2"/>
                <w:sz w:val="20"/>
              </w:rPr>
              <w:t xml:space="preserve"> </w:t>
            </w:r>
            <w:r>
              <w:rPr>
                <w:sz w:val="20"/>
              </w:rPr>
              <w:t>(17.28)</w:t>
            </w:r>
          </w:p>
        </w:tc>
        <w:tc>
          <w:tcPr>
            <w:tcW w:w="1576" w:type="dxa"/>
          </w:tcPr>
          <w:p w14:paraId="73D81607" w14:textId="77777777" w:rsidR="00C75312" w:rsidRDefault="00BB293A">
            <w:pPr>
              <w:pStyle w:val="TableParagraph"/>
              <w:spacing w:before="95"/>
              <w:ind w:left="16"/>
              <w:rPr>
                <w:sz w:val="20"/>
              </w:rPr>
            </w:pPr>
            <w:r>
              <w:rPr>
                <w:sz w:val="20"/>
              </w:rPr>
              <w:t>106.00 (8.62)</w:t>
            </w:r>
          </w:p>
        </w:tc>
        <w:tc>
          <w:tcPr>
            <w:tcW w:w="934" w:type="dxa"/>
          </w:tcPr>
          <w:p w14:paraId="43D2055A" w14:textId="77777777" w:rsidR="00C75312" w:rsidRDefault="00BB293A">
            <w:pPr>
              <w:pStyle w:val="TableParagraph"/>
              <w:spacing w:before="95"/>
              <w:ind w:left="215" w:right="224"/>
              <w:jc w:val="center"/>
              <w:rPr>
                <w:sz w:val="20"/>
              </w:rPr>
            </w:pPr>
            <w:r>
              <w:rPr>
                <w:sz w:val="20"/>
              </w:rPr>
              <w:t>-1.45</w:t>
            </w:r>
          </w:p>
        </w:tc>
        <w:tc>
          <w:tcPr>
            <w:tcW w:w="1035" w:type="dxa"/>
          </w:tcPr>
          <w:p w14:paraId="6B241C71" w14:textId="77777777" w:rsidR="00C75312" w:rsidRDefault="00BB293A">
            <w:pPr>
              <w:pStyle w:val="TableParagraph"/>
              <w:spacing w:before="95"/>
              <w:ind w:left="226" w:right="255"/>
              <w:jc w:val="center"/>
              <w:rPr>
                <w:sz w:val="20"/>
              </w:rPr>
            </w:pPr>
            <w:r>
              <w:rPr>
                <w:sz w:val="20"/>
              </w:rPr>
              <w:t>0.16</w:t>
            </w:r>
          </w:p>
        </w:tc>
        <w:tc>
          <w:tcPr>
            <w:tcW w:w="1417" w:type="dxa"/>
          </w:tcPr>
          <w:p w14:paraId="63641794" w14:textId="77777777" w:rsidR="00C75312" w:rsidRDefault="00BB293A">
            <w:pPr>
              <w:pStyle w:val="TableParagraph"/>
              <w:spacing w:before="95"/>
              <w:ind w:left="256" w:right="270"/>
              <w:jc w:val="center"/>
              <w:rPr>
                <w:sz w:val="20"/>
              </w:rPr>
            </w:pPr>
            <w:r>
              <w:rPr>
                <w:sz w:val="20"/>
              </w:rPr>
              <w:t>0.46</w:t>
            </w:r>
          </w:p>
        </w:tc>
      </w:tr>
      <w:tr w:rsidR="00C75312" w14:paraId="073BBFB0" w14:textId="77777777">
        <w:trPr>
          <w:trHeight w:val="424"/>
        </w:trPr>
        <w:tc>
          <w:tcPr>
            <w:tcW w:w="4066" w:type="dxa"/>
          </w:tcPr>
          <w:p w14:paraId="46976B02" w14:textId="77777777" w:rsidR="00C75312" w:rsidRDefault="00BB293A">
            <w:pPr>
              <w:pStyle w:val="TableParagraph"/>
              <w:tabs>
                <w:tab w:val="left" w:pos="2123"/>
              </w:tabs>
              <w:spacing w:before="92"/>
              <w:ind w:left="35"/>
              <w:rPr>
                <w:sz w:val="20"/>
              </w:rPr>
            </w:pPr>
            <w:r>
              <w:rPr>
                <w:sz w:val="20"/>
              </w:rPr>
              <w:t>FSIQ</w:t>
            </w:r>
            <w:r>
              <w:rPr>
                <w:sz w:val="20"/>
              </w:rPr>
              <w:tab/>
              <w:t>100.85</w:t>
            </w:r>
            <w:r>
              <w:rPr>
                <w:spacing w:val="2"/>
                <w:sz w:val="20"/>
              </w:rPr>
              <w:t xml:space="preserve"> </w:t>
            </w:r>
            <w:r>
              <w:rPr>
                <w:sz w:val="20"/>
              </w:rPr>
              <w:t>(13.74)</w:t>
            </w:r>
          </w:p>
        </w:tc>
        <w:tc>
          <w:tcPr>
            <w:tcW w:w="1576" w:type="dxa"/>
          </w:tcPr>
          <w:p w14:paraId="39F105B7" w14:textId="77777777" w:rsidR="00C75312" w:rsidRDefault="00BB293A">
            <w:pPr>
              <w:pStyle w:val="TableParagraph"/>
              <w:spacing w:before="92"/>
              <w:ind w:left="16"/>
              <w:rPr>
                <w:sz w:val="20"/>
              </w:rPr>
            </w:pPr>
            <w:r>
              <w:rPr>
                <w:sz w:val="20"/>
              </w:rPr>
              <w:t>104.50 (9.55)</w:t>
            </w:r>
          </w:p>
        </w:tc>
        <w:tc>
          <w:tcPr>
            <w:tcW w:w="934" w:type="dxa"/>
          </w:tcPr>
          <w:p w14:paraId="6E751D16" w14:textId="77777777" w:rsidR="00C75312" w:rsidRDefault="00BB293A">
            <w:pPr>
              <w:pStyle w:val="TableParagraph"/>
              <w:spacing w:before="92"/>
              <w:ind w:left="215" w:right="224"/>
              <w:jc w:val="center"/>
              <w:rPr>
                <w:sz w:val="20"/>
              </w:rPr>
            </w:pPr>
            <w:r>
              <w:rPr>
                <w:sz w:val="20"/>
              </w:rPr>
              <w:t>-0.98</w:t>
            </w:r>
          </w:p>
        </w:tc>
        <w:tc>
          <w:tcPr>
            <w:tcW w:w="1035" w:type="dxa"/>
          </w:tcPr>
          <w:p w14:paraId="1DE9CC81" w14:textId="77777777" w:rsidR="00C75312" w:rsidRDefault="00BB293A">
            <w:pPr>
              <w:pStyle w:val="TableParagraph"/>
              <w:spacing w:before="92"/>
              <w:ind w:left="226" w:right="255"/>
              <w:jc w:val="center"/>
              <w:rPr>
                <w:sz w:val="20"/>
              </w:rPr>
            </w:pPr>
            <w:r>
              <w:rPr>
                <w:sz w:val="20"/>
              </w:rPr>
              <w:t>0.34</w:t>
            </w:r>
          </w:p>
        </w:tc>
        <w:tc>
          <w:tcPr>
            <w:tcW w:w="1417" w:type="dxa"/>
          </w:tcPr>
          <w:p w14:paraId="2D573FEA" w14:textId="77777777" w:rsidR="00C75312" w:rsidRDefault="00BB293A">
            <w:pPr>
              <w:pStyle w:val="TableParagraph"/>
              <w:spacing w:before="92"/>
              <w:ind w:left="256" w:right="270"/>
              <w:jc w:val="center"/>
              <w:rPr>
                <w:sz w:val="20"/>
              </w:rPr>
            </w:pPr>
            <w:r>
              <w:rPr>
                <w:sz w:val="20"/>
              </w:rPr>
              <w:t>0.31</w:t>
            </w:r>
          </w:p>
        </w:tc>
      </w:tr>
      <w:tr w:rsidR="00C75312" w14:paraId="7755953E" w14:textId="77777777">
        <w:trPr>
          <w:trHeight w:val="478"/>
        </w:trPr>
        <w:tc>
          <w:tcPr>
            <w:tcW w:w="4066" w:type="dxa"/>
            <w:tcBorders>
              <w:bottom w:val="single" w:sz="4" w:space="0" w:color="000000"/>
            </w:tcBorders>
          </w:tcPr>
          <w:p w14:paraId="1A3587F3" w14:textId="77777777" w:rsidR="00C75312" w:rsidRDefault="00BB293A">
            <w:pPr>
              <w:pStyle w:val="TableParagraph"/>
              <w:tabs>
                <w:tab w:val="left" w:pos="2224"/>
              </w:tabs>
              <w:spacing w:before="95"/>
              <w:ind w:left="35"/>
              <w:rPr>
                <w:sz w:val="20"/>
              </w:rPr>
            </w:pPr>
            <w:r>
              <w:rPr>
                <w:sz w:val="20"/>
              </w:rPr>
              <w:t>SRS</w:t>
            </w:r>
            <w:r>
              <w:rPr>
                <w:spacing w:val="1"/>
                <w:sz w:val="20"/>
              </w:rPr>
              <w:t xml:space="preserve"> </w:t>
            </w:r>
            <w:r>
              <w:rPr>
                <w:sz w:val="20"/>
              </w:rPr>
              <w:t>total</w:t>
            </w:r>
            <w:r>
              <w:rPr>
                <w:spacing w:val="-6"/>
                <w:sz w:val="20"/>
              </w:rPr>
              <w:t xml:space="preserve"> </w:t>
            </w:r>
            <w:r>
              <w:rPr>
                <w:sz w:val="20"/>
              </w:rPr>
              <w:t>T-score</w:t>
            </w:r>
            <w:r>
              <w:rPr>
                <w:sz w:val="20"/>
              </w:rPr>
              <w:tab/>
              <w:t>86.30</w:t>
            </w:r>
            <w:r>
              <w:rPr>
                <w:spacing w:val="2"/>
                <w:sz w:val="20"/>
              </w:rPr>
              <w:t xml:space="preserve"> </w:t>
            </w:r>
            <w:r>
              <w:rPr>
                <w:sz w:val="20"/>
              </w:rPr>
              <w:t>(5.98)</w:t>
            </w:r>
          </w:p>
        </w:tc>
        <w:tc>
          <w:tcPr>
            <w:tcW w:w="1576" w:type="dxa"/>
            <w:tcBorders>
              <w:bottom w:val="single" w:sz="4" w:space="0" w:color="000000"/>
            </w:tcBorders>
          </w:tcPr>
          <w:p w14:paraId="12AD33EC" w14:textId="77777777" w:rsidR="00C75312" w:rsidRDefault="00BB293A">
            <w:pPr>
              <w:pStyle w:val="TableParagraph"/>
              <w:spacing w:before="95"/>
              <w:ind w:left="117"/>
              <w:rPr>
                <w:sz w:val="20"/>
              </w:rPr>
            </w:pPr>
            <w:r>
              <w:rPr>
                <w:sz w:val="20"/>
              </w:rPr>
              <w:t>47.30 (9.37)</w:t>
            </w:r>
          </w:p>
        </w:tc>
        <w:tc>
          <w:tcPr>
            <w:tcW w:w="934" w:type="dxa"/>
            <w:tcBorders>
              <w:bottom w:val="single" w:sz="4" w:space="0" w:color="000000"/>
            </w:tcBorders>
          </w:tcPr>
          <w:p w14:paraId="19AD9285" w14:textId="77777777" w:rsidR="00C75312" w:rsidRDefault="00BB293A">
            <w:pPr>
              <w:pStyle w:val="TableParagraph"/>
              <w:spacing w:before="95"/>
              <w:ind w:left="220" w:right="224"/>
              <w:jc w:val="center"/>
              <w:rPr>
                <w:sz w:val="20"/>
              </w:rPr>
            </w:pPr>
            <w:r>
              <w:rPr>
                <w:sz w:val="20"/>
              </w:rPr>
              <w:t>15.70</w:t>
            </w:r>
          </w:p>
        </w:tc>
        <w:tc>
          <w:tcPr>
            <w:tcW w:w="1035" w:type="dxa"/>
            <w:tcBorders>
              <w:bottom w:val="single" w:sz="4" w:space="0" w:color="000000"/>
            </w:tcBorders>
          </w:tcPr>
          <w:p w14:paraId="32DAAB1E" w14:textId="77777777" w:rsidR="00C75312" w:rsidRDefault="00BB293A">
            <w:pPr>
              <w:pStyle w:val="TableParagraph"/>
              <w:spacing w:before="95"/>
              <w:ind w:left="226" w:right="255"/>
              <w:jc w:val="center"/>
              <w:rPr>
                <w:sz w:val="20"/>
              </w:rPr>
            </w:pPr>
            <w:r>
              <w:rPr>
                <w:sz w:val="20"/>
              </w:rPr>
              <w:t>&lt; .001</w:t>
            </w:r>
          </w:p>
        </w:tc>
        <w:tc>
          <w:tcPr>
            <w:tcW w:w="1417" w:type="dxa"/>
            <w:tcBorders>
              <w:bottom w:val="single" w:sz="4" w:space="0" w:color="000000"/>
            </w:tcBorders>
          </w:tcPr>
          <w:p w14:paraId="09E37D96" w14:textId="77777777" w:rsidR="00C75312" w:rsidRDefault="00BB293A">
            <w:pPr>
              <w:pStyle w:val="TableParagraph"/>
              <w:spacing w:before="95"/>
              <w:ind w:left="256" w:right="270"/>
              <w:jc w:val="center"/>
              <w:rPr>
                <w:sz w:val="20"/>
              </w:rPr>
            </w:pPr>
            <w:r>
              <w:rPr>
                <w:sz w:val="20"/>
              </w:rPr>
              <w:t>-4.97</w:t>
            </w:r>
          </w:p>
        </w:tc>
      </w:tr>
    </w:tbl>
    <w:p w14:paraId="294B5CBE" w14:textId="77777777" w:rsidR="00C75312" w:rsidRPr="002C3022" w:rsidRDefault="00BB293A">
      <w:pPr>
        <w:ind w:left="140" w:right="2309"/>
        <w:rPr>
          <w:sz w:val="20"/>
          <w:lang w:val="fr-FR"/>
        </w:rPr>
      </w:pPr>
      <w:r w:rsidRPr="002C3022">
        <w:rPr>
          <w:i/>
          <w:sz w:val="20"/>
          <w:lang w:val="fr-FR"/>
        </w:rPr>
        <w:t xml:space="preserve">Note: </w:t>
      </w:r>
      <w:r w:rsidRPr="002C3022">
        <w:rPr>
          <w:sz w:val="20"/>
          <w:lang w:val="fr-FR"/>
        </w:rPr>
        <w:t>VIQ = verbal intelligence quotient; PIQ = performance intelligence quotient; FSIQ = Full-scale intelligence quotient; SRS = Social Responsiveness Scale</w:t>
      </w:r>
    </w:p>
    <w:p w14:paraId="4B31AA2F" w14:textId="77777777" w:rsidR="00C75312" w:rsidRPr="002C3022" w:rsidRDefault="00C75312">
      <w:pPr>
        <w:pStyle w:val="BodyText"/>
        <w:rPr>
          <w:sz w:val="20"/>
          <w:lang w:val="fr-FR"/>
        </w:rPr>
      </w:pPr>
    </w:p>
    <w:p w14:paraId="4B5A99A7" w14:textId="77777777" w:rsidR="00C75312" w:rsidRPr="002C3022" w:rsidRDefault="00C75312">
      <w:pPr>
        <w:pStyle w:val="BodyText"/>
        <w:rPr>
          <w:sz w:val="20"/>
          <w:lang w:val="fr-FR"/>
        </w:rPr>
      </w:pPr>
    </w:p>
    <w:p w14:paraId="6DC56791" w14:textId="77777777" w:rsidR="00C75312" w:rsidRPr="002C3022" w:rsidRDefault="00C75312">
      <w:pPr>
        <w:pStyle w:val="BodyText"/>
        <w:rPr>
          <w:sz w:val="20"/>
          <w:lang w:val="fr-FR"/>
        </w:rPr>
      </w:pPr>
    </w:p>
    <w:p w14:paraId="492325F4" w14:textId="77777777" w:rsidR="00C75312" w:rsidRPr="002C3022" w:rsidRDefault="00C75312">
      <w:pPr>
        <w:pStyle w:val="BodyText"/>
        <w:rPr>
          <w:sz w:val="20"/>
          <w:lang w:val="fr-FR"/>
        </w:rPr>
      </w:pPr>
    </w:p>
    <w:p w14:paraId="6473DA47" w14:textId="77777777" w:rsidR="00C75312" w:rsidRPr="002C3022" w:rsidRDefault="00C75312">
      <w:pPr>
        <w:pStyle w:val="BodyText"/>
        <w:rPr>
          <w:sz w:val="20"/>
          <w:lang w:val="fr-FR"/>
        </w:rPr>
      </w:pPr>
    </w:p>
    <w:p w14:paraId="4B89D16D" w14:textId="77777777" w:rsidR="00C75312" w:rsidRPr="002C3022" w:rsidRDefault="00C75312">
      <w:pPr>
        <w:pStyle w:val="BodyText"/>
        <w:rPr>
          <w:sz w:val="20"/>
          <w:lang w:val="fr-FR"/>
        </w:rPr>
      </w:pPr>
    </w:p>
    <w:p w14:paraId="01341134" w14:textId="77777777" w:rsidR="00C75312" w:rsidRPr="002C3022" w:rsidRDefault="00C75312">
      <w:pPr>
        <w:pStyle w:val="BodyText"/>
        <w:rPr>
          <w:sz w:val="20"/>
          <w:lang w:val="fr-FR"/>
        </w:rPr>
      </w:pPr>
    </w:p>
    <w:p w14:paraId="458499C2" w14:textId="77777777" w:rsidR="00C75312" w:rsidRPr="002C3022" w:rsidRDefault="00BB293A">
      <w:pPr>
        <w:pStyle w:val="BodyText"/>
        <w:spacing w:before="9"/>
        <w:rPr>
          <w:sz w:val="14"/>
          <w:lang w:val="fr-FR"/>
        </w:rPr>
      </w:pPr>
      <w:r>
        <w:pict w14:anchorId="6E31DB64">
          <v:shape id="_x0000_s2734" style="position:absolute;margin-left:1in;margin-top:10.7pt;width:2in;height:.1pt;z-index:-251601920;mso-wrap-distance-left:0;mso-wrap-distance-right:0;mso-position-horizontal-relative:page" coordorigin="1440,214" coordsize="2880,0" path="m1440,214r2880,e" filled="f" strokeweight=".48pt">
            <v:path arrowok="t"/>
            <w10:wrap type="topAndBottom" anchorx="page"/>
          </v:shape>
        </w:pict>
      </w:r>
    </w:p>
    <w:p w14:paraId="0B0B8537" w14:textId="77777777" w:rsidR="00C75312" w:rsidRDefault="00BB293A">
      <w:pPr>
        <w:spacing w:before="62" w:line="480" w:lineRule="auto"/>
        <w:ind w:left="140" w:right="1433"/>
        <w:jc w:val="both"/>
        <w:rPr>
          <w:sz w:val="20"/>
        </w:rPr>
      </w:pPr>
      <w:r>
        <w:rPr>
          <w:position w:val="7"/>
          <w:sz w:val="13"/>
        </w:rPr>
        <w:t>9</w:t>
      </w:r>
      <w:r>
        <w:rPr>
          <w:spacing w:val="12"/>
          <w:position w:val="7"/>
          <w:sz w:val="13"/>
        </w:rPr>
        <w:t xml:space="preserve"> </w:t>
      </w:r>
      <w:r>
        <w:rPr>
          <w:sz w:val="20"/>
        </w:rPr>
        <w:t>As</w:t>
      </w:r>
      <w:r>
        <w:rPr>
          <w:spacing w:val="-9"/>
          <w:sz w:val="20"/>
        </w:rPr>
        <w:t xml:space="preserve"> </w:t>
      </w:r>
      <w:r>
        <w:rPr>
          <w:sz w:val="20"/>
        </w:rPr>
        <w:t>noted</w:t>
      </w:r>
      <w:r>
        <w:rPr>
          <w:spacing w:val="-13"/>
          <w:sz w:val="20"/>
        </w:rPr>
        <w:t xml:space="preserve"> </w:t>
      </w:r>
      <w:r>
        <w:rPr>
          <w:sz w:val="20"/>
        </w:rPr>
        <w:t>on</w:t>
      </w:r>
      <w:r>
        <w:rPr>
          <w:spacing w:val="-7"/>
          <w:sz w:val="20"/>
        </w:rPr>
        <w:t xml:space="preserve"> </w:t>
      </w:r>
      <w:r>
        <w:rPr>
          <w:spacing w:val="-3"/>
          <w:sz w:val="20"/>
        </w:rPr>
        <w:t>p.</w:t>
      </w:r>
      <w:r>
        <w:rPr>
          <w:spacing w:val="-6"/>
          <w:sz w:val="20"/>
        </w:rPr>
        <w:t xml:space="preserve"> </w:t>
      </w:r>
      <w:r>
        <w:rPr>
          <w:sz w:val="20"/>
        </w:rPr>
        <w:t>75,</w:t>
      </w:r>
      <w:r>
        <w:rPr>
          <w:spacing w:val="-5"/>
          <w:sz w:val="20"/>
        </w:rPr>
        <w:t xml:space="preserve"> </w:t>
      </w:r>
      <w:r>
        <w:rPr>
          <w:sz w:val="20"/>
        </w:rPr>
        <w:t>three</w:t>
      </w:r>
      <w:r>
        <w:rPr>
          <w:spacing w:val="-7"/>
          <w:sz w:val="20"/>
        </w:rPr>
        <w:t xml:space="preserve"> </w:t>
      </w:r>
      <w:r>
        <w:rPr>
          <w:sz w:val="20"/>
        </w:rPr>
        <w:t>NT</w:t>
      </w:r>
      <w:r>
        <w:rPr>
          <w:spacing w:val="-10"/>
          <w:sz w:val="20"/>
        </w:rPr>
        <w:t xml:space="preserve"> </w:t>
      </w:r>
      <w:r>
        <w:rPr>
          <w:sz w:val="20"/>
        </w:rPr>
        <w:t>participants</w:t>
      </w:r>
      <w:r>
        <w:rPr>
          <w:spacing w:val="-10"/>
          <w:sz w:val="20"/>
        </w:rPr>
        <w:t xml:space="preserve"> </w:t>
      </w:r>
      <w:r>
        <w:rPr>
          <w:sz w:val="20"/>
        </w:rPr>
        <w:t>scored</w:t>
      </w:r>
      <w:r>
        <w:rPr>
          <w:spacing w:val="-12"/>
          <w:sz w:val="20"/>
        </w:rPr>
        <w:t xml:space="preserve"> </w:t>
      </w:r>
      <w:r>
        <w:rPr>
          <w:sz w:val="20"/>
        </w:rPr>
        <w:t>above</w:t>
      </w:r>
      <w:r>
        <w:rPr>
          <w:spacing w:val="-10"/>
          <w:sz w:val="20"/>
        </w:rPr>
        <w:t xml:space="preserve"> </w:t>
      </w:r>
      <w:r>
        <w:rPr>
          <w:sz w:val="20"/>
        </w:rPr>
        <w:t>cut-off</w:t>
      </w:r>
      <w:r>
        <w:rPr>
          <w:spacing w:val="-13"/>
          <w:sz w:val="20"/>
        </w:rPr>
        <w:t xml:space="preserve"> </w:t>
      </w:r>
      <w:r>
        <w:rPr>
          <w:sz w:val="20"/>
        </w:rPr>
        <w:t>on</w:t>
      </w:r>
      <w:r>
        <w:rPr>
          <w:spacing w:val="-7"/>
          <w:sz w:val="20"/>
        </w:rPr>
        <w:t xml:space="preserve"> </w:t>
      </w:r>
      <w:r>
        <w:rPr>
          <w:sz w:val="20"/>
        </w:rPr>
        <w:t>the</w:t>
      </w:r>
      <w:r>
        <w:rPr>
          <w:spacing w:val="-7"/>
          <w:sz w:val="20"/>
        </w:rPr>
        <w:t xml:space="preserve"> </w:t>
      </w:r>
      <w:r>
        <w:rPr>
          <w:sz w:val="20"/>
        </w:rPr>
        <w:t>SRS.</w:t>
      </w:r>
      <w:r>
        <w:rPr>
          <w:spacing w:val="33"/>
          <w:sz w:val="20"/>
        </w:rPr>
        <w:t xml:space="preserve"> </w:t>
      </w:r>
      <w:r>
        <w:rPr>
          <w:sz w:val="20"/>
        </w:rPr>
        <w:t>Groups</w:t>
      </w:r>
      <w:r>
        <w:rPr>
          <w:spacing w:val="-9"/>
          <w:sz w:val="20"/>
        </w:rPr>
        <w:t xml:space="preserve"> </w:t>
      </w:r>
      <w:r>
        <w:rPr>
          <w:sz w:val="20"/>
        </w:rPr>
        <w:t>remained</w:t>
      </w:r>
      <w:r>
        <w:rPr>
          <w:spacing w:val="-13"/>
          <w:sz w:val="20"/>
        </w:rPr>
        <w:t xml:space="preserve"> </w:t>
      </w:r>
      <w:r>
        <w:rPr>
          <w:sz w:val="20"/>
        </w:rPr>
        <w:t>equated</w:t>
      </w:r>
      <w:r>
        <w:rPr>
          <w:spacing w:val="-7"/>
          <w:sz w:val="20"/>
        </w:rPr>
        <w:t xml:space="preserve"> </w:t>
      </w:r>
      <w:r>
        <w:rPr>
          <w:sz w:val="20"/>
        </w:rPr>
        <w:t>for</w:t>
      </w:r>
      <w:r>
        <w:rPr>
          <w:spacing w:val="-7"/>
          <w:sz w:val="20"/>
        </w:rPr>
        <w:t xml:space="preserve"> </w:t>
      </w:r>
      <w:r>
        <w:rPr>
          <w:sz w:val="20"/>
        </w:rPr>
        <w:t xml:space="preserve">baseline characteristics after excluding their data from the analyses (all </w:t>
      </w:r>
      <w:proofErr w:type="spellStart"/>
      <w:r>
        <w:rPr>
          <w:i/>
          <w:sz w:val="20"/>
        </w:rPr>
        <w:t>t</w:t>
      </w:r>
      <w:r>
        <w:rPr>
          <w:sz w:val="20"/>
        </w:rPr>
        <w:t>s</w:t>
      </w:r>
      <w:proofErr w:type="spellEnd"/>
      <w:r>
        <w:rPr>
          <w:sz w:val="20"/>
        </w:rPr>
        <w:t xml:space="preserve"> ≤ 0.65, all </w:t>
      </w:r>
      <w:proofErr w:type="spellStart"/>
      <w:r>
        <w:rPr>
          <w:i/>
          <w:sz w:val="20"/>
        </w:rPr>
        <w:t>p</w:t>
      </w:r>
      <w:r>
        <w:rPr>
          <w:sz w:val="20"/>
        </w:rPr>
        <w:t>s</w:t>
      </w:r>
      <w:proofErr w:type="spellEnd"/>
      <w:r>
        <w:rPr>
          <w:sz w:val="20"/>
        </w:rPr>
        <w:t xml:space="preserve"> ≥ .10, all </w:t>
      </w:r>
      <w:r>
        <w:rPr>
          <w:i/>
          <w:sz w:val="20"/>
        </w:rPr>
        <w:t>d</w:t>
      </w:r>
      <w:r>
        <w:rPr>
          <w:sz w:val="20"/>
        </w:rPr>
        <w:t xml:space="preserve">s ≤ 0.55). When the ANOVA concerning ongoing task performance, reported </w:t>
      </w:r>
      <w:r>
        <w:rPr>
          <w:spacing w:val="-3"/>
          <w:sz w:val="20"/>
        </w:rPr>
        <w:t xml:space="preserve">on </w:t>
      </w:r>
      <w:r>
        <w:rPr>
          <w:sz w:val="20"/>
        </w:rPr>
        <w:t>pp. 80-81, was re-run with these three participants excluded,</w:t>
      </w:r>
      <w:r>
        <w:rPr>
          <w:spacing w:val="12"/>
          <w:sz w:val="20"/>
        </w:rPr>
        <w:t xml:space="preserve"> </w:t>
      </w:r>
      <w:r>
        <w:rPr>
          <w:sz w:val="20"/>
        </w:rPr>
        <w:t>the</w:t>
      </w:r>
      <w:r>
        <w:rPr>
          <w:spacing w:val="13"/>
          <w:sz w:val="20"/>
        </w:rPr>
        <w:t xml:space="preserve"> </w:t>
      </w:r>
      <w:r>
        <w:rPr>
          <w:sz w:val="20"/>
        </w:rPr>
        <w:t>results</w:t>
      </w:r>
      <w:r>
        <w:rPr>
          <w:spacing w:val="13"/>
          <w:sz w:val="20"/>
        </w:rPr>
        <w:t xml:space="preserve"> </w:t>
      </w:r>
      <w:r>
        <w:rPr>
          <w:sz w:val="20"/>
        </w:rPr>
        <w:t>were</w:t>
      </w:r>
      <w:r>
        <w:rPr>
          <w:spacing w:val="13"/>
          <w:sz w:val="20"/>
        </w:rPr>
        <w:t xml:space="preserve"> </w:t>
      </w:r>
      <w:r>
        <w:rPr>
          <w:sz w:val="20"/>
        </w:rPr>
        <w:t>almost</w:t>
      </w:r>
      <w:r>
        <w:rPr>
          <w:spacing w:val="12"/>
          <w:sz w:val="20"/>
        </w:rPr>
        <w:t xml:space="preserve"> </w:t>
      </w:r>
      <w:r>
        <w:rPr>
          <w:sz w:val="20"/>
        </w:rPr>
        <w:t xml:space="preserve">identical. </w:t>
      </w:r>
      <w:r>
        <w:rPr>
          <w:spacing w:val="28"/>
          <w:sz w:val="20"/>
        </w:rPr>
        <w:t xml:space="preserve"> </w:t>
      </w:r>
      <w:r>
        <w:rPr>
          <w:sz w:val="20"/>
        </w:rPr>
        <w:t>There</w:t>
      </w:r>
      <w:r>
        <w:rPr>
          <w:spacing w:val="17"/>
          <w:sz w:val="20"/>
        </w:rPr>
        <w:t xml:space="preserve"> </w:t>
      </w:r>
      <w:r>
        <w:rPr>
          <w:sz w:val="20"/>
        </w:rPr>
        <w:t>was</w:t>
      </w:r>
      <w:r>
        <w:rPr>
          <w:spacing w:val="14"/>
          <w:sz w:val="20"/>
        </w:rPr>
        <w:t xml:space="preserve"> </w:t>
      </w:r>
      <w:r>
        <w:rPr>
          <w:sz w:val="20"/>
        </w:rPr>
        <w:t>a</w:t>
      </w:r>
      <w:r>
        <w:rPr>
          <w:spacing w:val="13"/>
          <w:sz w:val="20"/>
        </w:rPr>
        <w:t xml:space="preserve"> </w:t>
      </w:r>
      <w:r>
        <w:rPr>
          <w:sz w:val="20"/>
        </w:rPr>
        <w:t>significant</w:t>
      </w:r>
      <w:r>
        <w:rPr>
          <w:spacing w:val="11"/>
          <w:sz w:val="20"/>
        </w:rPr>
        <w:t xml:space="preserve"> </w:t>
      </w:r>
      <w:r>
        <w:rPr>
          <w:sz w:val="20"/>
        </w:rPr>
        <w:t>main</w:t>
      </w:r>
      <w:r>
        <w:rPr>
          <w:spacing w:val="11"/>
          <w:sz w:val="20"/>
        </w:rPr>
        <w:t xml:space="preserve"> </w:t>
      </w:r>
      <w:r>
        <w:rPr>
          <w:sz w:val="20"/>
        </w:rPr>
        <w:t>effect</w:t>
      </w:r>
      <w:r>
        <w:rPr>
          <w:spacing w:val="12"/>
          <w:sz w:val="20"/>
        </w:rPr>
        <w:t xml:space="preserve"> </w:t>
      </w:r>
      <w:r>
        <w:rPr>
          <w:sz w:val="20"/>
        </w:rPr>
        <w:t>of</w:t>
      </w:r>
      <w:r>
        <w:rPr>
          <w:spacing w:val="10"/>
          <w:sz w:val="20"/>
        </w:rPr>
        <w:t xml:space="preserve"> </w:t>
      </w:r>
      <w:r>
        <w:rPr>
          <w:sz w:val="20"/>
        </w:rPr>
        <w:t>task,</w:t>
      </w:r>
      <w:r>
        <w:rPr>
          <w:spacing w:val="13"/>
          <w:sz w:val="20"/>
        </w:rPr>
        <w:t xml:space="preserve"> </w:t>
      </w:r>
      <w:r>
        <w:rPr>
          <w:i/>
          <w:sz w:val="20"/>
        </w:rPr>
        <w:t>F</w:t>
      </w:r>
      <w:r>
        <w:rPr>
          <w:sz w:val="20"/>
        </w:rPr>
        <w:t>(1,</w:t>
      </w:r>
      <w:r>
        <w:rPr>
          <w:spacing w:val="13"/>
          <w:sz w:val="20"/>
        </w:rPr>
        <w:t xml:space="preserve"> </w:t>
      </w:r>
      <w:r>
        <w:rPr>
          <w:sz w:val="20"/>
        </w:rPr>
        <w:t>35)</w:t>
      </w:r>
      <w:r>
        <w:rPr>
          <w:spacing w:val="10"/>
          <w:sz w:val="20"/>
        </w:rPr>
        <w:t xml:space="preserve"> </w:t>
      </w:r>
      <w:r>
        <w:rPr>
          <w:sz w:val="20"/>
        </w:rPr>
        <w:t>=</w:t>
      </w:r>
      <w:r>
        <w:rPr>
          <w:spacing w:val="12"/>
          <w:sz w:val="20"/>
        </w:rPr>
        <w:t xml:space="preserve"> </w:t>
      </w:r>
      <w:r>
        <w:rPr>
          <w:sz w:val="20"/>
        </w:rPr>
        <w:t>91.32,</w:t>
      </w:r>
      <w:r>
        <w:rPr>
          <w:spacing w:val="13"/>
          <w:sz w:val="20"/>
        </w:rPr>
        <w:t xml:space="preserve"> </w:t>
      </w:r>
      <w:r>
        <w:rPr>
          <w:i/>
          <w:sz w:val="20"/>
        </w:rPr>
        <w:t>p</w:t>
      </w:r>
      <w:r>
        <w:rPr>
          <w:i/>
          <w:spacing w:val="10"/>
          <w:sz w:val="20"/>
        </w:rPr>
        <w:t xml:space="preserve"> </w:t>
      </w:r>
      <w:r>
        <w:rPr>
          <w:sz w:val="20"/>
        </w:rPr>
        <w:t>≤</w:t>
      </w:r>
    </w:p>
    <w:p w14:paraId="540256D6" w14:textId="77777777" w:rsidR="00C75312" w:rsidRDefault="00BB293A">
      <w:pPr>
        <w:spacing w:line="101" w:lineRule="exact"/>
        <w:ind w:left="140"/>
        <w:jc w:val="both"/>
        <w:rPr>
          <w:sz w:val="20"/>
        </w:rPr>
      </w:pPr>
      <w:r>
        <w:rPr>
          <w:w w:val="105"/>
          <w:sz w:val="20"/>
        </w:rPr>
        <w:t>.001,</w:t>
      </w:r>
      <w:r>
        <w:rPr>
          <w:spacing w:val="-19"/>
          <w:w w:val="105"/>
          <w:sz w:val="20"/>
        </w:rPr>
        <w:t xml:space="preserve"> </w:t>
      </w:r>
      <w:r>
        <w:rPr>
          <w:rFonts w:ascii="Cambria Math" w:hAnsi="Cambria Math"/>
          <w:spacing w:val="4"/>
          <w:w w:val="115"/>
          <w:sz w:val="20"/>
        </w:rPr>
        <w:t>!</w:t>
      </w:r>
      <w:r>
        <w:rPr>
          <w:rFonts w:ascii="Cambria Math" w:hAnsi="Cambria Math"/>
          <w:spacing w:val="4"/>
          <w:w w:val="115"/>
          <w:position w:val="7"/>
          <w:sz w:val="14"/>
        </w:rPr>
        <w:t>#</w:t>
      </w:r>
      <w:r>
        <w:rPr>
          <w:spacing w:val="4"/>
          <w:w w:val="115"/>
          <w:sz w:val="20"/>
        </w:rPr>
        <w:t>=</w:t>
      </w:r>
      <w:r>
        <w:rPr>
          <w:spacing w:val="-23"/>
          <w:w w:val="115"/>
          <w:sz w:val="20"/>
        </w:rPr>
        <w:t xml:space="preserve"> </w:t>
      </w:r>
      <w:r>
        <w:rPr>
          <w:w w:val="105"/>
          <w:sz w:val="20"/>
        </w:rPr>
        <w:t>.72</w:t>
      </w:r>
      <w:r>
        <w:rPr>
          <w:spacing w:val="-20"/>
          <w:w w:val="105"/>
          <w:sz w:val="20"/>
        </w:rPr>
        <w:t xml:space="preserve"> </w:t>
      </w:r>
      <w:r>
        <w:rPr>
          <w:w w:val="105"/>
          <w:sz w:val="20"/>
        </w:rPr>
        <w:t>(note:</w:t>
      </w:r>
      <w:r>
        <w:rPr>
          <w:spacing w:val="-19"/>
          <w:w w:val="105"/>
          <w:sz w:val="20"/>
        </w:rPr>
        <w:t xml:space="preserve"> </w:t>
      </w:r>
      <w:r>
        <w:rPr>
          <w:w w:val="105"/>
          <w:sz w:val="20"/>
        </w:rPr>
        <w:t>in</w:t>
      </w:r>
      <w:r>
        <w:rPr>
          <w:spacing w:val="-19"/>
          <w:w w:val="105"/>
          <w:sz w:val="20"/>
        </w:rPr>
        <w:t xml:space="preserve"> </w:t>
      </w:r>
      <w:r>
        <w:rPr>
          <w:w w:val="105"/>
          <w:sz w:val="20"/>
        </w:rPr>
        <w:t>the</w:t>
      </w:r>
      <w:r>
        <w:rPr>
          <w:spacing w:val="-19"/>
          <w:w w:val="105"/>
          <w:sz w:val="20"/>
        </w:rPr>
        <w:t xml:space="preserve"> </w:t>
      </w:r>
      <w:r>
        <w:rPr>
          <w:w w:val="105"/>
          <w:sz w:val="20"/>
        </w:rPr>
        <w:t>original</w:t>
      </w:r>
      <w:r>
        <w:rPr>
          <w:spacing w:val="-19"/>
          <w:w w:val="105"/>
          <w:sz w:val="20"/>
        </w:rPr>
        <w:t xml:space="preserve"> </w:t>
      </w:r>
      <w:r>
        <w:rPr>
          <w:w w:val="105"/>
          <w:sz w:val="20"/>
        </w:rPr>
        <w:t>analysis,</w:t>
      </w:r>
      <w:r>
        <w:rPr>
          <w:spacing w:val="-14"/>
          <w:w w:val="105"/>
          <w:sz w:val="20"/>
        </w:rPr>
        <w:t xml:space="preserve"> </w:t>
      </w:r>
      <w:r>
        <w:rPr>
          <w:i/>
          <w:w w:val="105"/>
          <w:sz w:val="20"/>
        </w:rPr>
        <w:t>p</w:t>
      </w:r>
      <w:r>
        <w:rPr>
          <w:i/>
          <w:spacing w:val="-20"/>
          <w:w w:val="105"/>
          <w:sz w:val="20"/>
        </w:rPr>
        <w:t xml:space="preserve"> </w:t>
      </w:r>
      <w:r>
        <w:rPr>
          <w:w w:val="105"/>
          <w:sz w:val="20"/>
        </w:rPr>
        <w:t>≤</w:t>
      </w:r>
      <w:r>
        <w:rPr>
          <w:spacing w:val="-20"/>
          <w:w w:val="105"/>
          <w:sz w:val="20"/>
        </w:rPr>
        <w:t xml:space="preserve"> </w:t>
      </w:r>
      <w:r>
        <w:rPr>
          <w:w w:val="105"/>
          <w:sz w:val="20"/>
        </w:rPr>
        <w:t>.001,</w:t>
      </w:r>
      <w:r>
        <w:rPr>
          <w:spacing w:val="-18"/>
          <w:w w:val="105"/>
          <w:sz w:val="20"/>
        </w:rPr>
        <w:t xml:space="preserve"> </w:t>
      </w:r>
      <w:r>
        <w:rPr>
          <w:rFonts w:ascii="Cambria Math" w:hAnsi="Cambria Math"/>
          <w:w w:val="115"/>
          <w:sz w:val="20"/>
        </w:rPr>
        <w:t>!</w:t>
      </w:r>
      <w:r>
        <w:rPr>
          <w:rFonts w:ascii="Cambria Math" w:hAnsi="Cambria Math"/>
          <w:w w:val="115"/>
          <w:position w:val="7"/>
          <w:sz w:val="14"/>
        </w:rPr>
        <w:t>#</w:t>
      </w:r>
      <w:r>
        <w:rPr>
          <w:rFonts w:ascii="Cambria Math" w:hAnsi="Cambria Math"/>
          <w:spacing w:val="8"/>
          <w:w w:val="115"/>
          <w:position w:val="7"/>
          <w:sz w:val="14"/>
        </w:rPr>
        <w:t xml:space="preserve"> </w:t>
      </w:r>
      <w:r>
        <w:rPr>
          <w:w w:val="105"/>
          <w:sz w:val="20"/>
        </w:rPr>
        <w:t>=</w:t>
      </w:r>
      <w:r>
        <w:rPr>
          <w:spacing w:val="-19"/>
          <w:w w:val="105"/>
          <w:sz w:val="20"/>
        </w:rPr>
        <w:t xml:space="preserve"> </w:t>
      </w:r>
      <w:r>
        <w:rPr>
          <w:w w:val="105"/>
          <w:sz w:val="20"/>
        </w:rPr>
        <w:t>.73),</w:t>
      </w:r>
      <w:r>
        <w:rPr>
          <w:spacing w:val="-18"/>
          <w:w w:val="105"/>
          <w:sz w:val="20"/>
        </w:rPr>
        <w:t xml:space="preserve"> </w:t>
      </w:r>
      <w:r>
        <w:rPr>
          <w:w w:val="105"/>
          <w:sz w:val="20"/>
        </w:rPr>
        <w:t>but</w:t>
      </w:r>
      <w:r>
        <w:rPr>
          <w:spacing w:val="-16"/>
          <w:w w:val="105"/>
          <w:sz w:val="20"/>
        </w:rPr>
        <w:t xml:space="preserve"> </w:t>
      </w:r>
      <w:r>
        <w:rPr>
          <w:w w:val="105"/>
          <w:sz w:val="20"/>
        </w:rPr>
        <w:t>no</w:t>
      </w:r>
      <w:r>
        <w:rPr>
          <w:spacing w:val="-19"/>
          <w:w w:val="105"/>
          <w:sz w:val="20"/>
        </w:rPr>
        <w:t xml:space="preserve"> </w:t>
      </w:r>
      <w:r>
        <w:rPr>
          <w:w w:val="105"/>
          <w:sz w:val="20"/>
        </w:rPr>
        <w:t>significant</w:t>
      </w:r>
      <w:r>
        <w:rPr>
          <w:spacing w:val="-15"/>
          <w:w w:val="105"/>
          <w:sz w:val="20"/>
        </w:rPr>
        <w:t xml:space="preserve"> </w:t>
      </w:r>
      <w:r>
        <w:rPr>
          <w:w w:val="105"/>
          <w:sz w:val="20"/>
        </w:rPr>
        <w:t>main</w:t>
      </w:r>
      <w:r>
        <w:rPr>
          <w:spacing w:val="-20"/>
          <w:w w:val="105"/>
          <w:sz w:val="20"/>
        </w:rPr>
        <w:t xml:space="preserve"> </w:t>
      </w:r>
      <w:r>
        <w:rPr>
          <w:w w:val="105"/>
          <w:sz w:val="20"/>
        </w:rPr>
        <w:t>effect</w:t>
      </w:r>
      <w:r>
        <w:rPr>
          <w:spacing w:val="-15"/>
          <w:w w:val="105"/>
          <w:sz w:val="20"/>
        </w:rPr>
        <w:t xml:space="preserve"> </w:t>
      </w:r>
      <w:r>
        <w:rPr>
          <w:spacing w:val="-3"/>
          <w:w w:val="105"/>
          <w:sz w:val="20"/>
        </w:rPr>
        <w:t>of</w:t>
      </w:r>
      <w:r>
        <w:rPr>
          <w:spacing w:val="-17"/>
          <w:w w:val="105"/>
          <w:sz w:val="20"/>
        </w:rPr>
        <w:t xml:space="preserve"> </w:t>
      </w:r>
      <w:r>
        <w:rPr>
          <w:w w:val="105"/>
          <w:sz w:val="20"/>
        </w:rPr>
        <w:t>group</w:t>
      </w:r>
      <w:r>
        <w:rPr>
          <w:spacing w:val="-17"/>
          <w:w w:val="105"/>
          <w:sz w:val="20"/>
        </w:rPr>
        <w:t xml:space="preserve"> </w:t>
      </w:r>
      <w:r>
        <w:rPr>
          <w:spacing w:val="-3"/>
          <w:w w:val="105"/>
          <w:sz w:val="20"/>
        </w:rPr>
        <w:t>or</w:t>
      </w:r>
      <w:r>
        <w:rPr>
          <w:spacing w:val="-16"/>
          <w:w w:val="105"/>
          <w:sz w:val="20"/>
        </w:rPr>
        <w:t xml:space="preserve"> </w:t>
      </w:r>
      <w:r>
        <w:rPr>
          <w:w w:val="105"/>
          <w:sz w:val="20"/>
        </w:rPr>
        <w:t>Group</w:t>
      </w:r>
    </w:p>
    <w:p w14:paraId="78CA30FF" w14:textId="77777777" w:rsidR="00C75312" w:rsidRDefault="00BB293A">
      <w:pPr>
        <w:tabs>
          <w:tab w:val="left" w:pos="4560"/>
        </w:tabs>
        <w:ind w:left="696"/>
        <w:rPr>
          <w:rFonts w:ascii="Cambria Math"/>
          <w:sz w:val="14"/>
        </w:rPr>
      </w:pPr>
      <w:r>
        <w:rPr>
          <w:rFonts w:ascii="Cambria Math"/>
          <w:w w:val="160"/>
          <w:sz w:val="14"/>
        </w:rPr>
        <w:t>"</w:t>
      </w:r>
      <w:r>
        <w:rPr>
          <w:rFonts w:ascii="Cambria Math"/>
          <w:w w:val="160"/>
          <w:sz w:val="14"/>
        </w:rPr>
        <w:tab/>
        <w:t>"</w:t>
      </w:r>
    </w:p>
    <w:p w14:paraId="7FC69DFE" w14:textId="77777777" w:rsidR="00C75312" w:rsidRDefault="00C75312">
      <w:pPr>
        <w:pStyle w:val="BodyText"/>
        <w:spacing w:before="5"/>
        <w:rPr>
          <w:rFonts w:ascii="Cambria Math"/>
          <w:sz w:val="9"/>
        </w:rPr>
      </w:pPr>
    </w:p>
    <w:p w14:paraId="01A8271E" w14:textId="77777777" w:rsidR="00C75312" w:rsidRDefault="00BB293A">
      <w:pPr>
        <w:spacing w:before="101" w:line="114" w:lineRule="exact"/>
        <w:ind w:left="140"/>
        <w:rPr>
          <w:sz w:val="20"/>
        </w:rPr>
      </w:pPr>
      <w:r>
        <w:rPr>
          <w:sz w:val="20"/>
        </w:rPr>
        <w:t xml:space="preserve">× Task interaction, all </w:t>
      </w:r>
      <w:proofErr w:type="spellStart"/>
      <w:r>
        <w:rPr>
          <w:i/>
          <w:sz w:val="20"/>
        </w:rPr>
        <w:t>p</w:t>
      </w:r>
      <w:r>
        <w:rPr>
          <w:sz w:val="20"/>
        </w:rPr>
        <w:t>s</w:t>
      </w:r>
      <w:proofErr w:type="spellEnd"/>
      <w:r>
        <w:rPr>
          <w:sz w:val="20"/>
        </w:rPr>
        <w:t xml:space="preserve"> ≥ .40, all </w:t>
      </w:r>
      <w:r>
        <w:rPr>
          <w:rFonts w:ascii="Cambria Math" w:hAnsi="Cambria Math"/>
          <w:w w:val="110"/>
          <w:sz w:val="20"/>
        </w:rPr>
        <w:t>!</w:t>
      </w:r>
      <w:r>
        <w:rPr>
          <w:rFonts w:ascii="Cambria Math" w:hAnsi="Cambria Math"/>
          <w:w w:val="110"/>
          <w:position w:val="7"/>
          <w:sz w:val="14"/>
        </w:rPr>
        <w:t xml:space="preserve"># </w:t>
      </w:r>
      <w:r>
        <w:rPr>
          <w:sz w:val="20"/>
        </w:rPr>
        <w:t xml:space="preserve">≤ .02, note: in the original analysis all </w:t>
      </w:r>
      <w:proofErr w:type="spellStart"/>
      <w:r>
        <w:rPr>
          <w:i/>
          <w:sz w:val="20"/>
        </w:rPr>
        <w:t>p</w:t>
      </w:r>
      <w:r>
        <w:rPr>
          <w:sz w:val="20"/>
        </w:rPr>
        <w:t>s</w:t>
      </w:r>
      <w:proofErr w:type="spellEnd"/>
      <w:r>
        <w:rPr>
          <w:sz w:val="20"/>
        </w:rPr>
        <w:t xml:space="preserve"> ≥ .35, all </w:t>
      </w:r>
      <w:r>
        <w:rPr>
          <w:rFonts w:ascii="Cambria Math" w:hAnsi="Cambria Math"/>
          <w:w w:val="110"/>
          <w:sz w:val="20"/>
        </w:rPr>
        <w:t>!</w:t>
      </w:r>
      <w:r>
        <w:rPr>
          <w:rFonts w:ascii="Cambria Math" w:hAnsi="Cambria Math"/>
          <w:w w:val="110"/>
          <w:position w:val="7"/>
          <w:sz w:val="14"/>
        </w:rPr>
        <w:t xml:space="preserve"># </w:t>
      </w:r>
      <w:r>
        <w:rPr>
          <w:sz w:val="20"/>
        </w:rPr>
        <w:t>≤ .03). Hence, the</w:t>
      </w:r>
    </w:p>
    <w:p w14:paraId="2AF15788" w14:textId="77777777" w:rsidR="00C75312" w:rsidRDefault="00BB293A">
      <w:pPr>
        <w:tabs>
          <w:tab w:val="left" w:pos="4407"/>
        </w:tabs>
        <w:ind w:left="25"/>
        <w:jc w:val="center"/>
        <w:rPr>
          <w:rFonts w:ascii="Cambria Math"/>
          <w:sz w:val="14"/>
        </w:rPr>
      </w:pPr>
      <w:r>
        <w:rPr>
          <w:rFonts w:ascii="Cambria Math"/>
          <w:w w:val="160"/>
          <w:sz w:val="14"/>
        </w:rPr>
        <w:t>"</w:t>
      </w:r>
      <w:r>
        <w:rPr>
          <w:rFonts w:ascii="Cambria Math"/>
          <w:w w:val="160"/>
          <w:sz w:val="14"/>
        </w:rPr>
        <w:tab/>
        <w:t>"</w:t>
      </w:r>
    </w:p>
    <w:p w14:paraId="07B7C7A4" w14:textId="77777777" w:rsidR="00C75312" w:rsidRDefault="00C75312">
      <w:pPr>
        <w:pStyle w:val="BodyText"/>
        <w:spacing w:before="6"/>
        <w:rPr>
          <w:rFonts w:ascii="Cambria Math"/>
          <w:sz w:val="11"/>
        </w:rPr>
      </w:pPr>
    </w:p>
    <w:p w14:paraId="30728548" w14:textId="77777777" w:rsidR="00C75312" w:rsidRDefault="00BB293A">
      <w:pPr>
        <w:spacing w:before="93" w:line="477" w:lineRule="auto"/>
        <w:ind w:left="140" w:right="1433"/>
        <w:jc w:val="both"/>
        <w:rPr>
          <w:sz w:val="20"/>
        </w:rPr>
      </w:pPr>
      <w:r>
        <w:pict w14:anchorId="09BA8098">
          <v:shape id="_x0000_s2733" type="#_x0000_t202" style="position:absolute;left:0;text-align:left;margin-left:149.05pt;margin-top:78.9pt;width:4.4pt;height:8.2pt;z-index:-260586496;mso-position-horizontal-relative:page" filled="f" stroked="f">
            <v:textbox inset="0,0,0,0">
              <w:txbxContent>
                <w:p w14:paraId="0FFDCB9D" w14:textId="77777777" w:rsidR="00C75312" w:rsidRDefault="00BB293A">
                  <w:pPr>
                    <w:spacing w:line="163" w:lineRule="exact"/>
                    <w:rPr>
                      <w:rFonts w:ascii="Cambria Math"/>
                      <w:sz w:val="14"/>
                    </w:rPr>
                  </w:pPr>
                  <w:r>
                    <w:rPr>
                      <w:rFonts w:ascii="Cambria Math"/>
                      <w:w w:val="159"/>
                      <w:sz w:val="14"/>
                    </w:rPr>
                    <w:t>"</w:t>
                  </w:r>
                </w:p>
              </w:txbxContent>
            </v:textbox>
            <w10:wrap anchorx="page"/>
          </v:shape>
        </w:pict>
      </w:r>
      <w:r>
        <w:rPr>
          <w:sz w:val="20"/>
        </w:rPr>
        <w:t xml:space="preserve">ASD and NT groups remained matched for ongoing task performance. When the ANOVA concerning PM performance, reported on p. 81, was re-run with these three participants excluded, the results were almost identical. There was no significant main effect of group or task, as well as no Group × Task interaction (all </w:t>
      </w:r>
      <w:r>
        <w:rPr>
          <w:i/>
          <w:sz w:val="20"/>
        </w:rPr>
        <w:t>F</w:t>
      </w:r>
      <w:r>
        <w:rPr>
          <w:sz w:val="20"/>
        </w:rPr>
        <w:t xml:space="preserve">s ≤ 1.21, all </w:t>
      </w:r>
      <w:proofErr w:type="spellStart"/>
      <w:r>
        <w:rPr>
          <w:i/>
          <w:sz w:val="20"/>
        </w:rPr>
        <w:t>p</w:t>
      </w:r>
      <w:r>
        <w:rPr>
          <w:sz w:val="20"/>
        </w:rPr>
        <w:t>s</w:t>
      </w:r>
      <w:proofErr w:type="spellEnd"/>
      <w:r>
        <w:rPr>
          <w:sz w:val="20"/>
        </w:rPr>
        <w:t xml:space="preserve"> ≥ .28, </w:t>
      </w:r>
      <w:r>
        <w:rPr>
          <w:rFonts w:ascii="Cambria Math" w:hAnsi="Cambria Math"/>
          <w:w w:val="110"/>
          <w:sz w:val="20"/>
        </w:rPr>
        <w:t>!</w:t>
      </w:r>
      <w:r>
        <w:rPr>
          <w:rFonts w:ascii="Cambria Math" w:hAnsi="Cambria Math"/>
          <w:w w:val="110"/>
          <w:position w:val="7"/>
          <w:sz w:val="14"/>
        </w:rPr>
        <w:t xml:space="preserve"># </w:t>
      </w:r>
      <w:r>
        <w:rPr>
          <w:sz w:val="20"/>
        </w:rPr>
        <w:t>≤ .03).</w:t>
      </w:r>
    </w:p>
    <w:p w14:paraId="346FDACF" w14:textId="77777777" w:rsidR="00C75312" w:rsidRDefault="00C75312">
      <w:pPr>
        <w:spacing w:line="477" w:lineRule="auto"/>
        <w:jc w:val="both"/>
        <w:rPr>
          <w:sz w:val="20"/>
        </w:rPr>
        <w:sectPr w:rsidR="00C75312">
          <w:pgSz w:w="11900" w:h="16840"/>
          <w:pgMar w:top="1140" w:right="0" w:bottom="280" w:left="1300" w:header="720" w:footer="0" w:gutter="0"/>
          <w:cols w:space="720"/>
        </w:sectPr>
      </w:pPr>
    </w:p>
    <w:p w14:paraId="422A0982" w14:textId="77777777" w:rsidR="00C75312" w:rsidRDefault="00C75312">
      <w:pPr>
        <w:pStyle w:val="BodyText"/>
        <w:spacing w:before="2"/>
        <w:rPr>
          <w:sz w:val="18"/>
        </w:rPr>
      </w:pPr>
    </w:p>
    <w:p w14:paraId="61BB9B4D" w14:textId="77777777" w:rsidR="00C75312" w:rsidRDefault="00BB293A">
      <w:pPr>
        <w:pStyle w:val="Heading1"/>
        <w:spacing w:before="90"/>
      </w:pPr>
      <w:r>
        <w:t>Procedure</w:t>
      </w:r>
    </w:p>
    <w:p w14:paraId="7541BDAC" w14:textId="77777777" w:rsidR="00C75312" w:rsidRDefault="00C75312">
      <w:pPr>
        <w:pStyle w:val="BodyText"/>
        <w:rPr>
          <w:b/>
        </w:rPr>
      </w:pPr>
    </w:p>
    <w:p w14:paraId="7616747B" w14:textId="77777777" w:rsidR="00C75312" w:rsidRDefault="00BB293A">
      <w:pPr>
        <w:pStyle w:val="BodyText"/>
        <w:spacing w:line="480" w:lineRule="auto"/>
        <w:ind w:left="140" w:right="1431" w:firstLine="720"/>
        <w:jc w:val="both"/>
      </w:pPr>
      <w:r>
        <w:t xml:space="preserve">Tasks were presented using </w:t>
      </w:r>
      <w:proofErr w:type="spellStart"/>
      <w:r>
        <w:t>Psychtoolbox</w:t>
      </w:r>
      <w:proofErr w:type="spellEnd"/>
      <w:r>
        <w:t xml:space="preserve"> (version 3.0.11; Brainard, 1997; Kleiner et al., 2007; Pelli, 1997) running in </w:t>
      </w:r>
      <w:proofErr w:type="spellStart"/>
      <w:r>
        <w:t>Matlab</w:t>
      </w:r>
      <w:proofErr w:type="spellEnd"/>
      <w:r>
        <w:t xml:space="preserve"> 2014 (The MathWorks, Inc.). Participants completed two different PM tasks in counterbalanced order. One task required verbal working memory resources whereas the other tapped into visuospatial working memory (see Figure 6 for an illustration). Each task contained 48 trials in total, 44 ongoing trials and four PM trials. As a rule</w:t>
      </w:r>
      <w:r>
        <w:rPr>
          <w:spacing w:val="-6"/>
        </w:rPr>
        <w:t xml:space="preserve"> </w:t>
      </w:r>
      <w:r>
        <w:t>of</w:t>
      </w:r>
      <w:r>
        <w:rPr>
          <w:spacing w:val="-7"/>
        </w:rPr>
        <w:t xml:space="preserve"> </w:t>
      </w:r>
      <w:r>
        <w:t>thumb,</w:t>
      </w:r>
      <w:r>
        <w:rPr>
          <w:spacing w:val="-2"/>
        </w:rPr>
        <w:t xml:space="preserve"> </w:t>
      </w:r>
      <w:r>
        <w:t>PM</w:t>
      </w:r>
      <w:r>
        <w:rPr>
          <w:spacing w:val="-6"/>
        </w:rPr>
        <w:t xml:space="preserve"> </w:t>
      </w:r>
      <w:r>
        <w:t>cues</w:t>
      </w:r>
      <w:r>
        <w:rPr>
          <w:spacing w:val="-7"/>
        </w:rPr>
        <w:t xml:space="preserve"> </w:t>
      </w:r>
      <w:r>
        <w:t>usually</w:t>
      </w:r>
      <w:r>
        <w:rPr>
          <w:spacing w:val="-4"/>
        </w:rPr>
        <w:t xml:space="preserve"> </w:t>
      </w:r>
      <w:r>
        <w:t>appear</w:t>
      </w:r>
      <w:r>
        <w:rPr>
          <w:spacing w:val="-8"/>
        </w:rPr>
        <w:t xml:space="preserve"> </w:t>
      </w:r>
      <w:r>
        <w:t>in</w:t>
      </w:r>
      <w:r>
        <w:rPr>
          <w:spacing w:val="-9"/>
        </w:rPr>
        <w:t xml:space="preserve"> </w:t>
      </w:r>
      <w:r>
        <w:t>five</w:t>
      </w:r>
      <w:r>
        <w:rPr>
          <w:spacing w:val="-5"/>
        </w:rPr>
        <w:t xml:space="preserve"> </w:t>
      </w:r>
      <w:r>
        <w:t>to</w:t>
      </w:r>
      <w:r>
        <w:rPr>
          <w:spacing w:val="-10"/>
        </w:rPr>
        <w:t xml:space="preserve"> </w:t>
      </w:r>
      <w:r>
        <w:t>10%</w:t>
      </w:r>
      <w:r>
        <w:rPr>
          <w:spacing w:val="-2"/>
        </w:rPr>
        <w:t xml:space="preserve"> </w:t>
      </w:r>
      <w:r>
        <w:t>of</w:t>
      </w:r>
      <w:r>
        <w:rPr>
          <w:spacing w:val="-8"/>
        </w:rPr>
        <w:t xml:space="preserve"> </w:t>
      </w:r>
      <w:r>
        <w:t>the</w:t>
      </w:r>
      <w:r>
        <w:rPr>
          <w:spacing w:val="-5"/>
        </w:rPr>
        <w:t xml:space="preserve"> </w:t>
      </w:r>
      <w:r>
        <w:t>total</w:t>
      </w:r>
      <w:r>
        <w:rPr>
          <w:spacing w:val="-4"/>
        </w:rPr>
        <w:t xml:space="preserve"> </w:t>
      </w:r>
      <w:r>
        <w:t>number</w:t>
      </w:r>
      <w:r>
        <w:rPr>
          <w:spacing w:val="-7"/>
        </w:rPr>
        <w:t xml:space="preserve"> </w:t>
      </w:r>
      <w:r>
        <w:t>of</w:t>
      </w:r>
      <w:r>
        <w:rPr>
          <w:spacing w:val="-7"/>
        </w:rPr>
        <w:t xml:space="preserve"> </w:t>
      </w:r>
      <w:r>
        <w:t>trials</w:t>
      </w:r>
      <w:r>
        <w:rPr>
          <w:spacing w:val="-12"/>
        </w:rPr>
        <w:t xml:space="preserve"> </w:t>
      </w:r>
      <w:r>
        <w:t>in</w:t>
      </w:r>
      <w:r>
        <w:rPr>
          <w:spacing w:val="-4"/>
        </w:rPr>
        <w:t xml:space="preserve"> </w:t>
      </w:r>
      <w:r>
        <w:t>a</w:t>
      </w:r>
      <w:r>
        <w:rPr>
          <w:spacing w:val="-11"/>
        </w:rPr>
        <w:t xml:space="preserve"> </w:t>
      </w:r>
      <w:r>
        <w:t xml:space="preserve">standard PM experiment (West, 2008). Four PM trials out </w:t>
      </w:r>
      <w:r>
        <w:rPr>
          <w:spacing w:val="-3"/>
        </w:rPr>
        <w:t xml:space="preserve">of </w:t>
      </w:r>
      <w:r>
        <w:t xml:space="preserve">48 total trials resulted in 8.3% </w:t>
      </w:r>
      <w:r>
        <w:rPr>
          <w:spacing w:val="-3"/>
        </w:rPr>
        <w:t xml:space="preserve">of </w:t>
      </w:r>
      <w:r>
        <w:t>the</w:t>
      </w:r>
      <w:r>
        <w:rPr>
          <w:spacing w:val="-36"/>
        </w:rPr>
        <w:t xml:space="preserve"> </w:t>
      </w:r>
      <w:r>
        <w:t>trials being PM trials in this study. This method was adopted to prevent that the experimental becomes a vigilance task where participants maintain the intention through active</w:t>
      </w:r>
      <w:r>
        <w:rPr>
          <w:spacing w:val="-17"/>
        </w:rPr>
        <w:t xml:space="preserve"> </w:t>
      </w:r>
      <w:r>
        <w:t>rehearsal.</w:t>
      </w:r>
    </w:p>
    <w:p w14:paraId="567F7C68" w14:textId="77777777" w:rsidR="00C75312" w:rsidRDefault="00BB293A">
      <w:pPr>
        <w:pStyle w:val="BodyText"/>
        <w:spacing w:before="120" w:line="480" w:lineRule="auto"/>
        <w:ind w:left="140" w:right="1434" w:firstLine="720"/>
        <w:jc w:val="both"/>
      </w:pPr>
      <w:r>
        <w:t>The ongoing tasks were specifically chosen to tap into specific resources from the respective working memory domain (verbal versus visual) which was under investigation in this study, even though this resulted in different task durations.</w:t>
      </w:r>
    </w:p>
    <w:p w14:paraId="73D48702" w14:textId="77777777" w:rsidR="00C75312" w:rsidRDefault="00BB293A">
      <w:pPr>
        <w:pStyle w:val="BodyText"/>
        <w:spacing w:before="7"/>
        <w:rPr>
          <w:sz w:val="16"/>
        </w:rPr>
      </w:pPr>
      <w:r>
        <w:rPr>
          <w:noProof/>
        </w:rPr>
        <w:drawing>
          <wp:anchor distT="0" distB="0" distL="0" distR="0" simplePos="0" relativeHeight="57" behindDoc="0" locked="0" layoutInCell="1" allowOverlap="1" wp14:anchorId="52E40509" wp14:editId="10A1FE7E">
            <wp:simplePos x="0" y="0"/>
            <wp:positionH relativeFrom="page">
              <wp:posOffset>985520</wp:posOffset>
            </wp:positionH>
            <wp:positionV relativeFrom="paragraph">
              <wp:posOffset>146463</wp:posOffset>
            </wp:positionV>
            <wp:extent cx="2518376" cy="1104328"/>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0" cstate="print"/>
                    <a:stretch>
                      <a:fillRect/>
                    </a:stretch>
                  </pic:blipFill>
                  <pic:spPr>
                    <a:xfrm>
                      <a:off x="0" y="0"/>
                      <a:ext cx="2518376" cy="1104328"/>
                    </a:xfrm>
                    <a:prstGeom prst="rect">
                      <a:avLst/>
                    </a:prstGeom>
                  </pic:spPr>
                </pic:pic>
              </a:graphicData>
            </a:graphic>
          </wp:anchor>
        </w:drawing>
      </w:r>
      <w:r>
        <w:rPr>
          <w:noProof/>
        </w:rPr>
        <w:drawing>
          <wp:anchor distT="0" distB="0" distL="0" distR="0" simplePos="0" relativeHeight="58" behindDoc="0" locked="0" layoutInCell="1" allowOverlap="1" wp14:anchorId="31ACE18B" wp14:editId="50556D0F">
            <wp:simplePos x="0" y="0"/>
            <wp:positionH relativeFrom="page">
              <wp:posOffset>3576321</wp:posOffset>
            </wp:positionH>
            <wp:positionV relativeFrom="paragraph">
              <wp:posOffset>146463</wp:posOffset>
            </wp:positionV>
            <wp:extent cx="3270553" cy="110642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1" cstate="print"/>
                    <a:stretch>
                      <a:fillRect/>
                    </a:stretch>
                  </pic:blipFill>
                  <pic:spPr>
                    <a:xfrm>
                      <a:off x="0" y="0"/>
                      <a:ext cx="3270553" cy="1106424"/>
                    </a:xfrm>
                    <a:prstGeom prst="rect">
                      <a:avLst/>
                    </a:prstGeom>
                  </pic:spPr>
                </pic:pic>
              </a:graphicData>
            </a:graphic>
          </wp:anchor>
        </w:drawing>
      </w:r>
    </w:p>
    <w:p w14:paraId="3B4C40C7" w14:textId="77777777" w:rsidR="00C75312" w:rsidRDefault="00BB293A">
      <w:pPr>
        <w:pStyle w:val="ListParagraph"/>
        <w:numPr>
          <w:ilvl w:val="0"/>
          <w:numId w:val="3"/>
        </w:numPr>
        <w:tabs>
          <w:tab w:val="left" w:pos="4330"/>
          <w:tab w:val="left" w:pos="4331"/>
        </w:tabs>
        <w:ind w:hanging="4081"/>
      </w:pPr>
      <w:r>
        <w:t>b)</w:t>
      </w:r>
    </w:p>
    <w:p w14:paraId="775DDF3E" w14:textId="77777777" w:rsidR="00C75312" w:rsidRDefault="00BB293A">
      <w:pPr>
        <w:spacing w:before="173"/>
        <w:ind w:left="140" w:right="1879"/>
        <w:rPr>
          <w:i/>
          <w:sz w:val="20"/>
        </w:rPr>
      </w:pPr>
      <w:r>
        <w:rPr>
          <w:i/>
          <w:sz w:val="20"/>
        </w:rPr>
        <w:t>Figure 6. Illustration of the structure of an ongoing trial for a) the verbal working memory task, and b) the visuospatial working memory task</w:t>
      </w:r>
    </w:p>
    <w:p w14:paraId="674A3C44" w14:textId="77777777" w:rsidR="00C75312" w:rsidRDefault="00C75312">
      <w:pPr>
        <w:pStyle w:val="BodyText"/>
        <w:spacing w:before="5"/>
        <w:rPr>
          <w:i/>
        </w:rPr>
      </w:pPr>
    </w:p>
    <w:p w14:paraId="25F6E887" w14:textId="77777777" w:rsidR="00C75312" w:rsidRDefault="00BB293A">
      <w:pPr>
        <w:pStyle w:val="BodyText"/>
        <w:spacing w:line="480" w:lineRule="auto"/>
        <w:ind w:left="140" w:right="1434" w:firstLine="720"/>
        <w:jc w:val="both"/>
      </w:pPr>
      <w:r>
        <w:rPr>
          <w:b/>
        </w:rPr>
        <w:t xml:space="preserve">Verbal working memory condition. </w:t>
      </w:r>
      <w:r>
        <w:t xml:space="preserve">The ongoing task consisted of a letter </w:t>
      </w:r>
      <w:proofErr w:type="spellStart"/>
      <w:r>
        <w:t>memorisation</w:t>
      </w:r>
      <w:proofErr w:type="spellEnd"/>
      <w:r>
        <w:t xml:space="preserve"> task (see Figure 6a). This task was similar to the one used in Experiment 1 in a study by </w:t>
      </w:r>
      <w:proofErr w:type="spellStart"/>
      <w:r>
        <w:t>Awh</w:t>
      </w:r>
      <w:proofErr w:type="spellEnd"/>
      <w:r>
        <w:t xml:space="preserve"> et al. (1996) but event durations were adjusted after piloting durations to adjust task</w:t>
      </w:r>
      <w:r>
        <w:rPr>
          <w:spacing w:val="-5"/>
        </w:rPr>
        <w:t xml:space="preserve"> </w:t>
      </w:r>
      <w:r>
        <w:t>difficulty</w:t>
      </w:r>
      <w:r>
        <w:rPr>
          <w:spacing w:val="-10"/>
        </w:rPr>
        <w:t xml:space="preserve"> </w:t>
      </w:r>
      <w:r>
        <w:t>for</w:t>
      </w:r>
      <w:r>
        <w:rPr>
          <w:spacing w:val="-8"/>
        </w:rPr>
        <w:t xml:space="preserve"> </w:t>
      </w:r>
      <w:r>
        <w:t>the</w:t>
      </w:r>
      <w:r>
        <w:rPr>
          <w:spacing w:val="-10"/>
        </w:rPr>
        <w:t xml:space="preserve"> </w:t>
      </w:r>
      <w:r>
        <w:t>child</w:t>
      </w:r>
      <w:r>
        <w:rPr>
          <w:spacing w:val="-5"/>
        </w:rPr>
        <w:t xml:space="preserve"> </w:t>
      </w:r>
      <w:r>
        <w:t>sample</w:t>
      </w:r>
      <w:r>
        <w:rPr>
          <w:spacing w:val="-11"/>
        </w:rPr>
        <w:t xml:space="preserve"> </w:t>
      </w:r>
      <w:r>
        <w:t>in</w:t>
      </w:r>
      <w:r>
        <w:rPr>
          <w:spacing w:val="-4"/>
        </w:rPr>
        <w:t xml:space="preserve"> </w:t>
      </w:r>
      <w:r>
        <w:t>this</w:t>
      </w:r>
      <w:r>
        <w:rPr>
          <w:spacing w:val="-12"/>
        </w:rPr>
        <w:t xml:space="preserve"> </w:t>
      </w:r>
      <w:r>
        <w:t>study.</w:t>
      </w:r>
      <w:r>
        <w:rPr>
          <w:spacing w:val="45"/>
        </w:rPr>
        <w:t xml:space="preserve"> </w:t>
      </w:r>
      <w:r>
        <w:t>The</w:t>
      </w:r>
      <w:r>
        <w:rPr>
          <w:spacing w:val="-6"/>
        </w:rPr>
        <w:t xml:space="preserve"> </w:t>
      </w:r>
      <w:r>
        <w:t>task</w:t>
      </w:r>
      <w:r>
        <w:rPr>
          <w:spacing w:val="-5"/>
        </w:rPr>
        <w:t xml:space="preserve"> </w:t>
      </w:r>
      <w:r>
        <w:t>was</w:t>
      </w:r>
      <w:r>
        <w:rPr>
          <w:spacing w:val="-7"/>
        </w:rPr>
        <w:t xml:space="preserve"> </w:t>
      </w:r>
      <w:r>
        <w:t>chosen</w:t>
      </w:r>
      <w:r>
        <w:rPr>
          <w:spacing w:val="-5"/>
        </w:rPr>
        <w:t xml:space="preserve"> </w:t>
      </w:r>
      <w:r>
        <w:t>as</w:t>
      </w:r>
      <w:r>
        <w:rPr>
          <w:spacing w:val="-6"/>
        </w:rPr>
        <w:t xml:space="preserve"> </w:t>
      </w:r>
      <w:proofErr w:type="spellStart"/>
      <w:r>
        <w:t>Awh</w:t>
      </w:r>
      <w:proofErr w:type="spellEnd"/>
      <w:r>
        <w:rPr>
          <w:spacing w:val="-5"/>
        </w:rPr>
        <w:t xml:space="preserve"> </w:t>
      </w:r>
      <w:r>
        <w:t>et</w:t>
      </w:r>
      <w:r>
        <w:rPr>
          <w:spacing w:val="-4"/>
        </w:rPr>
        <w:t xml:space="preserve"> </w:t>
      </w:r>
      <w:r>
        <w:t>al.</w:t>
      </w:r>
      <w:r>
        <w:rPr>
          <w:spacing w:val="-7"/>
        </w:rPr>
        <w:t xml:space="preserve"> </w:t>
      </w:r>
      <w:r>
        <w:t>(1996)</w:t>
      </w:r>
      <w:r>
        <w:rPr>
          <w:spacing w:val="-7"/>
        </w:rPr>
        <w:t xml:space="preserve"> </w:t>
      </w:r>
      <w:r>
        <w:t>had shown that task performance significantly decreased when participants had to perform concurrent articulatory suppression. Thus, successful performance in this task strongly</w:t>
      </w:r>
      <w:r>
        <w:rPr>
          <w:spacing w:val="20"/>
        </w:rPr>
        <w:t xml:space="preserve"> </w:t>
      </w:r>
      <w:r>
        <w:t>relied</w:t>
      </w:r>
    </w:p>
    <w:p w14:paraId="0C434522" w14:textId="77777777" w:rsidR="00C75312" w:rsidRDefault="00C75312">
      <w:pPr>
        <w:spacing w:line="480" w:lineRule="auto"/>
        <w:jc w:val="both"/>
        <w:sectPr w:rsidR="00C75312">
          <w:pgSz w:w="11900" w:h="16840"/>
          <w:pgMar w:top="1140" w:right="0" w:bottom="280" w:left="1300" w:header="720" w:footer="0" w:gutter="0"/>
          <w:cols w:space="720"/>
        </w:sectPr>
      </w:pPr>
    </w:p>
    <w:p w14:paraId="0BBFE4C6" w14:textId="77777777" w:rsidR="00C75312" w:rsidRDefault="00C75312">
      <w:pPr>
        <w:pStyle w:val="BodyText"/>
        <w:spacing w:before="2"/>
        <w:rPr>
          <w:sz w:val="18"/>
        </w:rPr>
      </w:pPr>
    </w:p>
    <w:p w14:paraId="5BB834FA" w14:textId="77777777" w:rsidR="00C75312" w:rsidRDefault="00BB293A">
      <w:pPr>
        <w:pStyle w:val="BodyText"/>
        <w:spacing w:before="90" w:line="480" w:lineRule="auto"/>
        <w:ind w:left="140" w:right="1432"/>
        <w:jc w:val="both"/>
      </w:pPr>
      <w:r>
        <w:t xml:space="preserve">verbal rehearsal. During a study phase, participants were presented with four different letters, which they had to retain over a brief delay. Subsequently, during a recognition phase, participants had to respond to one single letter that appeared in the middle </w:t>
      </w:r>
      <w:r>
        <w:rPr>
          <w:spacing w:val="-3"/>
        </w:rPr>
        <w:t xml:space="preserve">of </w:t>
      </w:r>
      <w:r>
        <w:t xml:space="preserve">the screen. Their task was to indicate whether this letter was one </w:t>
      </w:r>
      <w:r>
        <w:rPr>
          <w:spacing w:val="-3"/>
        </w:rPr>
        <w:t xml:space="preserve">of </w:t>
      </w:r>
      <w:r>
        <w:t>four letters previously presented (yes/no decision)</w:t>
      </w:r>
      <w:r>
        <w:rPr>
          <w:spacing w:val="-8"/>
        </w:rPr>
        <w:t xml:space="preserve"> </w:t>
      </w:r>
      <w:r>
        <w:t>by</w:t>
      </w:r>
      <w:r>
        <w:rPr>
          <w:spacing w:val="-10"/>
        </w:rPr>
        <w:t xml:space="preserve"> </w:t>
      </w:r>
      <w:r>
        <w:t>pressing</w:t>
      </w:r>
      <w:r>
        <w:rPr>
          <w:spacing w:val="-9"/>
        </w:rPr>
        <w:t xml:space="preserve"> </w:t>
      </w:r>
      <w:r>
        <w:t>the</w:t>
      </w:r>
      <w:r>
        <w:rPr>
          <w:spacing w:val="-11"/>
        </w:rPr>
        <w:t xml:space="preserve"> </w:t>
      </w:r>
      <w:r>
        <w:t>respective</w:t>
      </w:r>
      <w:r>
        <w:rPr>
          <w:spacing w:val="-11"/>
        </w:rPr>
        <w:t xml:space="preserve"> </w:t>
      </w:r>
      <w:r>
        <w:t>keyboard</w:t>
      </w:r>
      <w:r>
        <w:rPr>
          <w:spacing w:val="-9"/>
        </w:rPr>
        <w:t xml:space="preserve"> </w:t>
      </w:r>
      <w:r>
        <w:t>key.</w:t>
      </w:r>
      <w:r>
        <w:rPr>
          <w:spacing w:val="35"/>
        </w:rPr>
        <w:t xml:space="preserve"> </w:t>
      </w:r>
      <w:r>
        <w:t>There</w:t>
      </w:r>
      <w:r>
        <w:rPr>
          <w:spacing w:val="-11"/>
        </w:rPr>
        <w:t xml:space="preserve"> </w:t>
      </w:r>
      <w:r>
        <w:t>was</w:t>
      </w:r>
      <w:r>
        <w:rPr>
          <w:spacing w:val="-12"/>
        </w:rPr>
        <w:t xml:space="preserve"> </w:t>
      </w:r>
      <w:r>
        <w:t>an</w:t>
      </w:r>
      <w:r>
        <w:rPr>
          <w:spacing w:val="-9"/>
        </w:rPr>
        <w:t xml:space="preserve"> </w:t>
      </w:r>
      <w:r>
        <w:t>equal</w:t>
      </w:r>
      <w:r>
        <w:rPr>
          <w:spacing w:val="-9"/>
        </w:rPr>
        <w:t xml:space="preserve"> </w:t>
      </w:r>
      <w:r>
        <w:t>number</w:t>
      </w:r>
      <w:r>
        <w:rPr>
          <w:spacing w:val="-12"/>
        </w:rPr>
        <w:t xml:space="preserve"> </w:t>
      </w:r>
      <w:r>
        <w:t>of</w:t>
      </w:r>
      <w:r>
        <w:rPr>
          <w:spacing w:val="-8"/>
        </w:rPr>
        <w:t xml:space="preserve"> </w:t>
      </w:r>
      <w:r>
        <w:t>match</w:t>
      </w:r>
      <w:r>
        <w:rPr>
          <w:spacing w:val="-14"/>
        </w:rPr>
        <w:t xml:space="preserve"> </w:t>
      </w:r>
      <w:r>
        <w:t xml:space="preserve">(letter was one of the old four letters that had to be </w:t>
      </w:r>
      <w:proofErr w:type="spellStart"/>
      <w:r>
        <w:t>memorised</w:t>
      </w:r>
      <w:proofErr w:type="spellEnd"/>
      <w:r>
        <w:t>) and mismatch (letter was new)</w:t>
      </w:r>
      <w:r>
        <w:rPr>
          <w:spacing w:val="-41"/>
        </w:rPr>
        <w:t xml:space="preserve"> </w:t>
      </w:r>
      <w:r>
        <w:t>trials. The PM task required the participants to press a pre-specified key whenever encountering the letter ‘n’. This letter only appeared during the recognition phase, however this was not known to the participants</w:t>
      </w:r>
      <w:r>
        <w:t xml:space="preserve">. Participants completed 10 practice trials of the ongoing task before being instructed about the PM task. There was a total </w:t>
      </w:r>
      <w:r>
        <w:rPr>
          <w:spacing w:val="-3"/>
        </w:rPr>
        <w:t xml:space="preserve">of </w:t>
      </w:r>
      <w:r>
        <w:t>44 experimental ongoing trials and four</w:t>
      </w:r>
      <w:r>
        <w:rPr>
          <w:spacing w:val="-34"/>
        </w:rPr>
        <w:t xml:space="preserve"> </w:t>
      </w:r>
      <w:r>
        <w:t>PM trials.</w:t>
      </w:r>
    </w:p>
    <w:p w14:paraId="44D54BBD" w14:textId="77777777" w:rsidR="00C75312" w:rsidRDefault="00BB293A">
      <w:pPr>
        <w:pStyle w:val="BodyText"/>
        <w:spacing w:before="120" w:line="480" w:lineRule="auto"/>
        <w:ind w:left="140" w:right="1433" w:firstLine="720"/>
        <w:jc w:val="both"/>
      </w:pPr>
      <w:r>
        <w:rPr>
          <w:b/>
        </w:rPr>
        <w:t xml:space="preserve">Visuospatial working memory condition. </w:t>
      </w:r>
      <w:r>
        <w:t xml:space="preserve">The ongoing task was a mental synthesis task (for an illustration </w:t>
      </w:r>
      <w:r>
        <w:rPr>
          <w:spacing w:val="-3"/>
        </w:rPr>
        <w:t xml:space="preserve">of </w:t>
      </w:r>
      <w:r>
        <w:t xml:space="preserve">the trial structure see Figure 6b); adapted from </w:t>
      </w:r>
      <w:proofErr w:type="spellStart"/>
      <w:r>
        <w:t>Brockmole</w:t>
      </w:r>
      <w:proofErr w:type="spellEnd"/>
      <w:r>
        <w:t>, Wang, &amp; Irwin, 2002). This task was chosen as it had been identified as a task that tapped into visual imagery</w:t>
      </w:r>
      <w:r>
        <w:rPr>
          <w:spacing w:val="-8"/>
        </w:rPr>
        <w:t xml:space="preserve"> </w:t>
      </w:r>
      <w:r>
        <w:t>and</w:t>
      </w:r>
      <w:r>
        <w:rPr>
          <w:spacing w:val="-7"/>
        </w:rPr>
        <w:t xml:space="preserve"> </w:t>
      </w:r>
      <w:r>
        <w:t>memory</w:t>
      </w:r>
      <w:r>
        <w:rPr>
          <w:spacing w:val="-7"/>
        </w:rPr>
        <w:t xml:space="preserve"> </w:t>
      </w:r>
      <w:r>
        <w:t>involving</w:t>
      </w:r>
      <w:r>
        <w:rPr>
          <w:spacing w:val="-7"/>
        </w:rPr>
        <w:t xml:space="preserve"> </w:t>
      </w:r>
      <w:r>
        <w:t>the</w:t>
      </w:r>
      <w:r>
        <w:rPr>
          <w:spacing w:val="-12"/>
        </w:rPr>
        <w:t xml:space="preserve"> </w:t>
      </w:r>
      <w:r>
        <w:t>generation,</w:t>
      </w:r>
      <w:r>
        <w:rPr>
          <w:spacing w:val="-9"/>
        </w:rPr>
        <w:t xml:space="preserve"> </w:t>
      </w:r>
      <w:r>
        <w:t>maintenance,</w:t>
      </w:r>
      <w:r>
        <w:rPr>
          <w:spacing w:val="-5"/>
        </w:rPr>
        <w:t xml:space="preserve"> </w:t>
      </w:r>
      <w:r>
        <w:t>and</w:t>
      </w:r>
      <w:r>
        <w:rPr>
          <w:spacing w:val="-7"/>
        </w:rPr>
        <w:t xml:space="preserve"> </w:t>
      </w:r>
      <w:r>
        <w:t xml:space="preserve">transformation/manipulation of a mental image (Pearson, </w:t>
      </w:r>
      <w:proofErr w:type="spellStart"/>
      <w:r>
        <w:t>Deeprose</w:t>
      </w:r>
      <w:proofErr w:type="spellEnd"/>
      <w:r>
        <w:t>, Wallace-</w:t>
      </w:r>
      <w:proofErr w:type="spellStart"/>
      <w:r>
        <w:t>Hadrill</w:t>
      </w:r>
      <w:proofErr w:type="spellEnd"/>
      <w:r>
        <w:t xml:space="preserve">, Burnett Heyes, &amp; Holmes, 2013), processes which are thought to be relevant for episodic future thinking. Participants saw two grids of </w:t>
      </w:r>
      <w:r>
        <w:t>three by four cells in brief succession for two seconds respectively (the original task used</w:t>
      </w:r>
      <w:r>
        <w:rPr>
          <w:spacing w:val="-6"/>
        </w:rPr>
        <w:t xml:space="preserve"> </w:t>
      </w:r>
      <w:r>
        <w:t>four</w:t>
      </w:r>
      <w:r>
        <w:rPr>
          <w:spacing w:val="-7"/>
        </w:rPr>
        <w:t xml:space="preserve"> </w:t>
      </w:r>
      <w:r>
        <w:t>by</w:t>
      </w:r>
      <w:r>
        <w:rPr>
          <w:spacing w:val="-10"/>
        </w:rPr>
        <w:t xml:space="preserve"> </w:t>
      </w:r>
      <w:r>
        <w:t>four</w:t>
      </w:r>
      <w:r>
        <w:rPr>
          <w:spacing w:val="-8"/>
        </w:rPr>
        <w:t xml:space="preserve"> </w:t>
      </w:r>
      <w:r>
        <w:t>grids</w:t>
      </w:r>
      <w:r>
        <w:rPr>
          <w:spacing w:val="-12"/>
        </w:rPr>
        <w:t xml:space="preserve"> </w:t>
      </w:r>
      <w:r>
        <w:t>however</w:t>
      </w:r>
      <w:r>
        <w:rPr>
          <w:spacing w:val="-3"/>
        </w:rPr>
        <w:t xml:space="preserve"> </w:t>
      </w:r>
      <w:r>
        <w:t>this</w:t>
      </w:r>
      <w:r>
        <w:rPr>
          <w:spacing w:val="-7"/>
        </w:rPr>
        <w:t xml:space="preserve"> </w:t>
      </w:r>
      <w:r>
        <w:t>number</w:t>
      </w:r>
      <w:r>
        <w:rPr>
          <w:spacing w:val="-8"/>
        </w:rPr>
        <w:t xml:space="preserve"> </w:t>
      </w:r>
      <w:r>
        <w:t>was</w:t>
      </w:r>
      <w:r>
        <w:rPr>
          <w:spacing w:val="-7"/>
        </w:rPr>
        <w:t xml:space="preserve"> </w:t>
      </w:r>
      <w:r>
        <w:t>reduced</w:t>
      </w:r>
      <w:r>
        <w:rPr>
          <w:spacing w:val="-5"/>
        </w:rPr>
        <w:t xml:space="preserve"> </w:t>
      </w:r>
      <w:r>
        <w:t>to</w:t>
      </w:r>
      <w:r>
        <w:rPr>
          <w:spacing w:val="-5"/>
        </w:rPr>
        <w:t xml:space="preserve"> </w:t>
      </w:r>
      <w:r>
        <w:t>decrease</w:t>
      </w:r>
      <w:r>
        <w:rPr>
          <w:spacing w:val="-6"/>
        </w:rPr>
        <w:t xml:space="preserve"> </w:t>
      </w:r>
      <w:r>
        <w:t>the</w:t>
      </w:r>
      <w:r>
        <w:rPr>
          <w:spacing w:val="-11"/>
        </w:rPr>
        <w:t xml:space="preserve"> </w:t>
      </w:r>
      <w:r>
        <w:t>task</w:t>
      </w:r>
      <w:r>
        <w:rPr>
          <w:spacing w:val="-5"/>
        </w:rPr>
        <w:t xml:space="preserve"> </w:t>
      </w:r>
      <w:r>
        <w:t>difficulty</w:t>
      </w:r>
      <w:r>
        <w:rPr>
          <w:spacing w:val="-10"/>
        </w:rPr>
        <w:t xml:space="preserve"> </w:t>
      </w:r>
      <w:r>
        <w:t>for</w:t>
      </w:r>
      <w:r>
        <w:rPr>
          <w:spacing w:val="-7"/>
        </w:rPr>
        <w:t xml:space="preserve"> </w:t>
      </w:r>
      <w:r>
        <w:t xml:space="preserve">the child sample in this study). Stimuli durations were chosen based on </w:t>
      </w:r>
      <w:proofErr w:type="spellStart"/>
      <w:r>
        <w:t>Brockmole</w:t>
      </w:r>
      <w:proofErr w:type="spellEnd"/>
      <w:r>
        <w:t xml:space="preserve"> et al.’s (2002) results that memory capacity for the first grid was highest when there was virtually no delay between its offset and the onset of the second grid, and for the second grid memory capacity was highest with a duration of 2000ms. In each grid, some cells contained a dot while other cells</w:t>
      </w:r>
      <w:r>
        <w:rPr>
          <w:spacing w:val="-12"/>
        </w:rPr>
        <w:t xml:space="preserve"> </w:t>
      </w:r>
      <w:r>
        <w:t>remained</w:t>
      </w:r>
      <w:r>
        <w:rPr>
          <w:spacing w:val="-9"/>
        </w:rPr>
        <w:t xml:space="preserve"> </w:t>
      </w:r>
      <w:r>
        <w:t>empty.</w:t>
      </w:r>
      <w:r>
        <w:rPr>
          <w:spacing w:val="-6"/>
        </w:rPr>
        <w:t xml:space="preserve"> </w:t>
      </w:r>
      <w:r>
        <w:t>The</w:t>
      </w:r>
      <w:r>
        <w:rPr>
          <w:spacing w:val="-10"/>
        </w:rPr>
        <w:t xml:space="preserve"> </w:t>
      </w:r>
      <w:r>
        <w:t>circles</w:t>
      </w:r>
      <w:r>
        <w:rPr>
          <w:spacing w:val="-11"/>
        </w:rPr>
        <w:t xml:space="preserve"> </w:t>
      </w:r>
      <w:r>
        <w:t>were</w:t>
      </w:r>
      <w:r>
        <w:rPr>
          <w:spacing w:val="-10"/>
        </w:rPr>
        <w:t xml:space="preserve"> </w:t>
      </w:r>
      <w:r>
        <w:t>placed</w:t>
      </w:r>
      <w:r>
        <w:rPr>
          <w:spacing w:val="-9"/>
        </w:rPr>
        <w:t xml:space="preserve"> </w:t>
      </w:r>
      <w:r>
        <w:t>in</w:t>
      </w:r>
      <w:r>
        <w:rPr>
          <w:spacing w:val="-9"/>
        </w:rPr>
        <w:t xml:space="preserve"> </w:t>
      </w:r>
      <w:r>
        <w:t>such</w:t>
      </w:r>
      <w:r>
        <w:rPr>
          <w:spacing w:val="-10"/>
        </w:rPr>
        <w:t xml:space="preserve"> </w:t>
      </w:r>
      <w:r>
        <w:t>a</w:t>
      </w:r>
      <w:r>
        <w:rPr>
          <w:spacing w:val="-10"/>
        </w:rPr>
        <w:t xml:space="preserve"> </w:t>
      </w:r>
      <w:r>
        <w:t>way</w:t>
      </w:r>
      <w:r>
        <w:rPr>
          <w:spacing w:val="-9"/>
        </w:rPr>
        <w:t xml:space="preserve"> </w:t>
      </w:r>
      <w:r>
        <w:t>that</w:t>
      </w:r>
      <w:r>
        <w:rPr>
          <w:spacing w:val="-8"/>
        </w:rPr>
        <w:t xml:space="preserve"> </w:t>
      </w:r>
      <w:r>
        <w:t>if</w:t>
      </w:r>
      <w:r>
        <w:rPr>
          <w:spacing w:val="-7"/>
        </w:rPr>
        <w:t xml:space="preserve"> </w:t>
      </w:r>
      <w:r>
        <w:t>there</w:t>
      </w:r>
      <w:r>
        <w:rPr>
          <w:spacing w:val="-10"/>
        </w:rPr>
        <w:t xml:space="preserve"> </w:t>
      </w:r>
      <w:r>
        <w:t>was</w:t>
      </w:r>
      <w:r>
        <w:rPr>
          <w:spacing w:val="-11"/>
        </w:rPr>
        <w:t xml:space="preserve"> </w:t>
      </w:r>
      <w:r>
        <w:t>a</w:t>
      </w:r>
      <w:r>
        <w:rPr>
          <w:spacing w:val="-10"/>
        </w:rPr>
        <w:t xml:space="preserve"> </w:t>
      </w:r>
      <w:r>
        <w:t>dot</w:t>
      </w:r>
      <w:r>
        <w:rPr>
          <w:spacing w:val="-8"/>
        </w:rPr>
        <w:t xml:space="preserve"> </w:t>
      </w:r>
      <w:r>
        <w:t>in</w:t>
      </w:r>
      <w:r>
        <w:rPr>
          <w:spacing w:val="-10"/>
        </w:rPr>
        <w:t xml:space="preserve"> </w:t>
      </w:r>
      <w:r>
        <w:t>a</w:t>
      </w:r>
      <w:r>
        <w:rPr>
          <w:spacing w:val="-10"/>
        </w:rPr>
        <w:t xml:space="preserve"> </w:t>
      </w:r>
      <w:r>
        <w:t>specific position</w:t>
      </w:r>
      <w:r>
        <w:rPr>
          <w:spacing w:val="14"/>
        </w:rPr>
        <w:t xml:space="preserve"> </w:t>
      </w:r>
      <w:r>
        <w:t>in</w:t>
      </w:r>
      <w:r>
        <w:rPr>
          <w:spacing w:val="10"/>
        </w:rPr>
        <w:t xml:space="preserve"> </w:t>
      </w:r>
      <w:r>
        <w:t>the</w:t>
      </w:r>
      <w:r>
        <w:rPr>
          <w:spacing w:val="13"/>
        </w:rPr>
        <w:t xml:space="preserve"> </w:t>
      </w:r>
      <w:r>
        <w:t>first</w:t>
      </w:r>
      <w:r>
        <w:rPr>
          <w:spacing w:val="15"/>
        </w:rPr>
        <w:t xml:space="preserve"> </w:t>
      </w:r>
      <w:r>
        <w:t>grid,</w:t>
      </w:r>
      <w:r>
        <w:rPr>
          <w:spacing w:val="12"/>
        </w:rPr>
        <w:t xml:space="preserve"> </w:t>
      </w:r>
      <w:r>
        <w:t>this</w:t>
      </w:r>
      <w:r>
        <w:rPr>
          <w:spacing w:val="13"/>
        </w:rPr>
        <w:t xml:space="preserve"> </w:t>
      </w:r>
      <w:r>
        <w:t>cell</w:t>
      </w:r>
      <w:r>
        <w:rPr>
          <w:spacing w:val="10"/>
        </w:rPr>
        <w:t xml:space="preserve"> </w:t>
      </w:r>
      <w:r>
        <w:t>position</w:t>
      </w:r>
      <w:r>
        <w:rPr>
          <w:spacing w:val="10"/>
        </w:rPr>
        <w:t xml:space="preserve"> </w:t>
      </w:r>
      <w:r>
        <w:t>would</w:t>
      </w:r>
      <w:r>
        <w:rPr>
          <w:spacing w:val="11"/>
        </w:rPr>
        <w:t xml:space="preserve"> </w:t>
      </w:r>
      <w:r>
        <w:t>be</w:t>
      </w:r>
      <w:r>
        <w:rPr>
          <w:spacing w:val="13"/>
        </w:rPr>
        <w:t xml:space="preserve"> </w:t>
      </w:r>
      <w:r>
        <w:t>empty</w:t>
      </w:r>
      <w:r>
        <w:rPr>
          <w:spacing w:val="14"/>
        </w:rPr>
        <w:t xml:space="preserve"> </w:t>
      </w:r>
      <w:r>
        <w:t>in</w:t>
      </w:r>
      <w:r>
        <w:rPr>
          <w:spacing w:val="10"/>
        </w:rPr>
        <w:t xml:space="preserve"> </w:t>
      </w:r>
      <w:r>
        <w:t>the</w:t>
      </w:r>
      <w:r>
        <w:rPr>
          <w:spacing w:val="9"/>
        </w:rPr>
        <w:t xml:space="preserve"> </w:t>
      </w:r>
      <w:r>
        <w:t>second</w:t>
      </w:r>
      <w:r>
        <w:rPr>
          <w:spacing w:val="15"/>
        </w:rPr>
        <w:t xml:space="preserve"> </w:t>
      </w:r>
      <w:r>
        <w:t>grid.</w:t>
      </w:r>
      <w:r>
        <w:rPr>
          <w:spacing w:val="27"/>
        </w:rPr>
        <w:t xml:space="preserve"> </w:t>
      </w:r>
      <w:r>
        <w:t>According</w:t>
      </w:r>
      <w:r>
        <w:rPr>
          <w:spacing w:val="10"/>
        </w:rPr>
        <w:t xml:space="preserve"> </w:t>
      </w:r>
      <w:r>
        <w:t>to</w:t>
      </w:r>
    </w:p>
    <w:p w14:paraId="45C7613C" w14:textId="77777777" w:rsidR="00C75312" w:rsidRDefault="00C75312">
      <w:pPr>
        <w:spacing w:line="480" w:lineRule="auto"/>
        <w:jc w:val="both"/>
        <w:sectPr w:rsidR="00C75312">
          <w:pgSz w:w="11900" w:h="16840"/>
          <w:pgMar w:top="1140" w:right="0" w:bottom="280" w:left="1300" w:header="720" w:footer="0" w:gutter="0"/>
          <w:cols w:space="720"/>
        </w:sectPr>
      </w:pPr>
    </w:p>
    <w:p w14:paraId="0CEA10E5" w14:textId="77777777" w:rsidR="00C75312" w:rsidRDefault="00C75312">
      <w:pPr>
        <w:pStyle w:val="BodyText"/>
        <w:spacing w:before="2"/>
        <w:rPr>
          <w:sz w:val="18"/>
        </w:rPr>
      </w:pPr>
    </w:p>
    <w:p w14:paraId="0A96C95B" w14:textId="77777777" w:rsidR="00C75312" w:rsidRDefault="00BB293A">
      <w:pPr>
        <w:pStyle w:val="BodyText"/>
        <w:spacing w:before="90" w:line="480" w:lineRule="auto"/>
        <w:ind w:left="140" w:right="1434"/>
        <w:jc w:val="both"/>
      </w:pPr>
      <w:r>
        <w:t>this</w:t>
      </w:r>
      <w:r>
        <w:rPr>
          <w:spacing w:val="-7"/>
        </w:rPr>
        <w:t xml:space="preserve"> </w:t>
      </w:r>
      <w:r>
        <w:t>rule,</w:t>
      </w:r>
      <w:r>
        <w:rPr>
          <w:spacing w:val="-6"/>
        </w:rPr>
        <w:t xml:space="preserve"> </w:t>
      </w:r>
      <w:r>
        <w:t>five</w:t>
      </w:r>
      <w:r>
        <w:rPr>
          <w:spacing w:val="-5"/>
        </w:rPr>
        <w:t xml:space="preserve"> </w:t>
      </w:r>
      <w:r>
        <w:t>dots</w:t>
      </w:r>
      <w:r>
        <w:rPr>
          <w:spacing w:val="-6"/>
        </w:rPr>
        <w:t xml:space="preserve"> </w:t>
      </w:r>
      <w:r>
        <w:t>were</w:t>
      </w:r>
      <w:r>
        <w:rPr>
          <w:spacing w:val="-10"/>
        </w:rPr>
        <w:t xml:space="preserve"> </w:t>
      </w:r>
      <w:r>
        <w:t>randomly</w:t>
      </w:r>
      <w:r>
        <w:rPr>
          <w:spacing w:val="-4"/>
        </w:rPr>
        <w:t xml:space="preserve"> </w:t>
      </w:r>
      <w:r>
        <w:t>placed</w:t>
      </w:r>
      <w:r>
        <w:rPr>
          <w:spacing w:val="-4"/>
        </w:rPr>
        <w:t xml:space="preserve"> </w:t>
      </w:r>
      <w:r>
        <w:t>in</w:t>
      </w:r>
      <w:r>
        <w:rPr>
          <w:spacing w:val="-9"/>
        </w:rPr>
        <w:t xml:space="preserve"> </w:t>
      </w:r>
      <w:r>
        <w:t>either</w:t>
      </w:r>
      <w:r>
        <w:rPr>
          <w:spacing w:val="-2"/>
        </w:rPr>
        <w:t xml:space="preserve"> </w:t>
      </w:r>
      <w:r>
        <w:t>the</w:t>
      </w:r>
      <w:r>
        <w:rPr>
          <w:spacing w:val="-5"/>
        </w:rPr>
        <w:t xml:space="preserve"> </w:t>
      </w:r>
      <w:r>
        <w:t>first</w:t>
      </w:r>
      <w:r>
        <w:rPr>
          <w:spacing w:val="-3"/>
        </w:rPr>
        <w:t xml:space="preserve"> </w:t>
      </w:r>
      <w:r>
        <w:t>or</w:t>
      </w:r>
      <w:r>
        <w:rPr>
          <w:spacing w:val="-7"/>
        </w:rPr>
        <w:t xml:space="preserve"> </w:t>
      </w:r>
      <w:r>
        <w:t>second</w:t>
      </w:r>
      <w:r>
        <w:rPr>
          <w:spacing w:val="-5"/>
        </w:rPr>
        <w:t xml:space="preserve"> </w:t>
      </w:r>
      <w:r>
        <w:t>grid</w:t>
      </w:r>
      <w:r>
        <w:rPr>
          <w:spacing w:val="-4"/>
        </w:rPr>
        <w:t xml:space="preserve"> </w:t>
      </w:r>
      <w:r>
        <w:t>and</w:t>
      </w:r>
      <w:r>
        <w:rPr>
          <w:spacing w:val="-9"/>
        </w:rPr>
        <w:t xml:space="preserve"> </w:t>
      </w:r>
      <w:r>
        <w:t>six</w:t>
      </w:r>
      <w:r>
        <w:rPr>
          <w:spacing w:val="-9"/>
        </w:rPr>
        <w:t xml:space="preserve"> </w:t>
      </w:r>
      <w:r>
        <w:t>into</w:t>
      </w:r>
      <w:r>
        <w:rPr>
          <w:spacing w:val="-4"/>
        </w:rPr>
        <w:t xml:space="preserve"> </w:t>
      </w:r>
      <w:r>
        <w:t>the</w:t>
      </w:r>
      <w:r>
        <w:rPr>
          <w:spacing w:val="-5"/>
        </w:rPr>
        <w:t xml:space="preserve"> </w:t>
      </w:r>
      <w:r>
        <w:t>other one.</w:t>
      </w:r>
      <w:r>
        <w:rPr>
          <w:spacing w:val="49"/>
        </w:rPr>
        <w:t xml:space="preserve"> </w:t>
      </w:r>
      <w:r>
        <w:t>To</w:t>
      </w:r>
      <w:r>
        <w:rPr>
          <w:spacing w:val="-10"/>
        </w:rPr>
        <w:t xml:space="preserve"> </w:t>
      </w:r>
      <w:r>
        <w:t>solve</w:t>
      </w:r>
      <w:r>
        <w:rPr>
          <w:spacing w:val="-5"/>
        </w:rPr>
        <w:t xml:space="preserve"> </w:t>
      </w:r>
      <w:r>
        <w:t>the</w:t>
      </w:r>
      <w:r>
        <w:rPr>
          <w:spacing w:val="-6"/>
        </w:rPr>
        <w:t xml:space="preserve"> </w:t>
      </w:r>
      <w:r>
        <w:t>task,</w:t>
      </w:r>
      <w:r>
        <w:rPr>
          <w:spacing w:val="-6"/>
        </w:rPr>
        <w:t xml:space="preserve"> </w:t>
      </w:r>
      <w:r>
        <w:t>participants</w:t>
      </w:r>
      <w:r>
        <w:rPr>
          <w:spacing w:val="-7"/>
        </w:rPr>
        <w:t xml:space="preserve"> </w:t>
      </w:r>
      <w:r>
        <w:t>had</w:t>
      </w:r>
      <w:r>
        <w:rPr>
          <w:spacing w:val="-9"/>
        </w:rPr>
        <w:t xml:space="preserve"> </w:t>
      </w:r>
      <w:r>
        <w:t>to</w:t>
      </w:r>
      <w:r>
        <w:rPr>
          <w:spacing w:val="-9"/>
        </w:rPr>
        <w:t xml:space="preserve"> </w:t>
      </w:r>
      <w:proofErr w:type="spellStart"/>
      <w:r>
        <w:t>memorise</w:t>
      </w:r>
      <w:proofErr w:type="spellEnd"/>
      <w:r>
        <w:rPr>
          <w:spacing w:val="-6"/>
        </w:rPr>
        <w:t xml:space="preserve"> </w:t>
      </w:r>
      <w:r>
        <w:t>the</w:t>
      </w:r>
      <w:r>
        <w:rPr>
          <w:spacing w:val="-5"/>
        </w:rPr>
        <w:t xml:space="preserve"> </w:t>
      </w:r>
      <w:r>
        <w:t>dots’</w:t>
      </w:r>
      <w:r>
        <w:rPr>
          <w:spacing w:val="-8"/>
        </w:rPr>
        <w:t xml:space="preserve"> </w:t>
      </w:r>
      <w:r>
        <w:t>positions</w:t>
      </w:r>
      <w:r>
        <w:rPr>
          <w:spacing w:val="-6"/>
        </w:rPr>
        <w:t xml:space="preserve"> </w:t>
      </w:r>
      <w:r>
        <w:t>to</w:t>
      </w:r>
      <w:r>
        <w:rPr>
          <w:spacing w:val="-9"/>
        </w:rPr>
        <w:t xml:space="preserve"> </w:t>
      </w:r>
      <w:r>
        <w:t>identify</w:t>
      </w:r>
      <w:r>
        <w:rPr>
          <w:spacing w:val="-10"/>
        </w:rPr>
        <w:t xml:space="preserve"> </w:t>
      </w:r>
      <w:r>
        <w:t>the</w:t>
      </w:r>
      <w:r>
        <w:rPr>
          <w:spacing w:val="-5"/>
        </w:rPr>
        <w:t xml:space="preserve"> </w:t>
      </w:r>
      <w:r>
        <w:t>cell</w:t>
      </w:r>
      <w:r>
        <w:rPr>
          <w:spacing w:val="-9"/>
        </w:rPr>
        <w:t xml:space="preserve"> </w:t>
      </w:r>
      <w:r>
        <w:t>that would be empty in each grid when mentally overlaying/combining both grids. To respond, participants</w:t>
      </w:r>
      <w:r>
        <w:rPr>
          <w:spacing w:val="-12"/>
        </w:rPr>
        <w:t xml:space="preserve"> </w:t>
      </w:r>
      <w:r>
        <w:t>had</w:t>
      </w:r>
      <w:r>
        <w:rPr>
          <w:spacing w:val="-14"/>
        </w:rPr>
        <w:t xml:space="preserve"> </w:t>
      </w:r>
      <w:r>
        <w:t>to</w:t>
      </w:r>
      <w:r>
        <w:rPr>
          <w:spacing w:val="-10"/>
        </w:rPr>
        <w:t xml:space="preserve"> </w:t>
      </w:r>
      <w:r>
        <w:t>select/click</w:t>
      </w:r>
      <w:r>
        <w:rPr>
          <w:spacing w:val="-14"/>
        </w:rPr>
        <w:t xml:space="preserve"> </w:t>
      </w:r>
      <w:r>
        <w:t>a</w:t>
      </w:r>
      <w:r>
        <w:rPr>
          <w:spacing w:val="-11"/>
        </w:rPr>
        <w:t xml:space="preserve"> </w:t>
      </w:r>
      <w:r>
        <w:t>cell</w:t>
      </w:r>
      <w:r>
        <w:rPr>
          <w:spacing w:val="-14"/>
        </w:rPr>
        <w:t xml:space="preserve"> </w:t>
      </w:r>
      <w:r>
        <w:t>in</w:t>
      </w:r>
      <w:r>
        <w:rPr>
          <w:spacing w:val="-14"/>
        </w:rPr>
        <w:t xml:space="preserve"> </w:t>
      </w:r>
      <w:r>
        <w:t>an</w:t>
      </w:r>
      <w:r>
        <w:rPr>
          <w:spacing w:val="-14"/>
        </w:rPr>
        <w:t xml:space="preserve"> </w:t>
      </w:r>
      <w:r>
        <w:t>empty</w:t>
      </w:r>
      <w:r>
        <w:rPr>
          <w:spacing w:val="-13"/>
        </w:rPr>
        <w:t xml:space="preserve"> </w:t>
      </w:r>
      <w:r>
        <w:t>grid</w:t>
      </w:r>
      <w:r>
        <w:rPr>
          <w:spacing w:val="-10"/>
        </w:rPr>
        <w:t xml:space="preserve"> </w:t>
      </w:r>
      <w:r>
        <w:t>using</w:t>
      </w:r>
      <w:r>
        <w:rPr>
          <w:spacing w:val="-14"/>
        </w:rPr>
        <w:t xml:space="preserve"> </w:t>
      </w:r>
      <w:r>
        <w:t>the</w:t>
      </w:r>
      <w:r>
        <w:rPr>
          <w:spacing w:val="-11"/>
        </w:rPr>
        <w:t xml:space="preserve"> </w:t>
      </w:r>
      <w:r>
        <w:t>left</w:t>
      </w:r>
      <w:r>
        <w:rPr>
          <w:spacing w:val="-14"/>
        </w:rPr>
        <w:t xml:space="preserve"> </w:t>
      </w:r>
      <w:r>
        <w:t>mouse</w:t>
      </w:r>
      <w:r>
        <w:rPr>
          <w:spacing w:val="-11"/>
        </w:rPr>
        <w:t xml:space="preserve"> </w:t>
      </w:r>
      <w:r>
        <w:t>key</w:t>
      </w:r>
      <w:r>
        <w:rPr>
          <w:spacing w:val="-14"/>
        </w:rPr>
        <w:t xml:space="preserve"> </w:t>
      </w:r>
      <w:r>
        <w:t>that</w:t>
      </w:r>
      <w:r>
        <w:rPr>
          <w:spacing w:val="-14"/>
        </w:rPr>
        <w:t xml:space="preserve"> </w:t>
      </w:r>
      <w:r>
        <w:t>they</w:t>
      </w:r>
      <w:r>
        <w:rPr>
          <w:spacing w:val="-13"/>
        </w:rPr>
        <w:t xml:space="preserve"> </w:t>
      </w:r>
      <w:r>
        <w:t xml:space="preserve">thought was the empty one. The PM task required participants to respond with the right mouse key instead of the left one if a specific cell in the grid was empty (which was the second cell from the bottom left). As such, noticing the PM cue </w:t>
      </w:r>
      <w:r>
        <w:rPr>
          <w:spacing w:val="-3"/>
        </w:rPr>
        <w:t xml:space="preserve">was </w:t>
      </w:r>
      <w:r>
        <w:t>dependent on the correct response to an ongoing trial; i.e., the PM cue was ‘delivered’ only if a person correctly identified the pre- specified cell as the solution to the ongoing task. Hence, a wrong response during an actual ongoing trial could deliver a PM cue. B</w:t>
      </w:r>
      <w:r>
        <w:t>efore instructing the PM task, participants completed 10 practice trials of the ongoing task.</w:t>
      </w:r>
      <w:r>
        <w:rPr>
          <w:spacing w:val="-10"/>
        </w:rPr>
        <w:t xml:space="preserve"> </w:t>
      </w:r>
      <w:r>
        <w:t>There were 44 ongoing trials and four PM trials in total.</w:t>
      </w:r>
    </w:p>
    <w:p w14:paraId="55B76952" w14:textId="77777777" w:rsidR="00C75312" w:rsidRDefault="00BB293A">
      <w:pPr>
        <w:pStyle w:val="Heading1"/>
        <w:spacing w:before="120"/>
        <w:jc w:val="both"/>
      </w:pPr>
      <w:r>
        <w:t>Scoring and data analysis</w:t>
      </w:r>
    </w:p>
    <w:p w14:paraId="785050A4" w14:textId="77777777" w:rsidR="00C75312" w:rsidRDefault="00C75312">
      <w:pPr>
        <w:pStyle w:val="BodyText"/>
        <w:rPr>
          <w:b/>
        </w:rPr>
      </w:pPr>
    </w:p>
    <w:p w14:paraId="3C32AC53" w14:textId="77777777" w:rsidR="00C75312" w:rsidRDefault="00BB293A">
      <w:pPr>
        <w:pStyle w:val="BodyText"/>
        <w:spacing w:line="480" w:lineRule="auto"/>
        <w:ind w:left="140" w:right="1431" w:firstLine="720"/>
        <w:jc w:val="both"/>
      </w:pPr>
      <w:r>
        <w:rPr>
          <w:b/>
        </w:rPr>
        <w:t xml:space="preserve">Verbal working memory condition. </w:t>
      </w:r>
      <w:r>
        <w:t>Ongoing task performance was collapsed across match and mismatch trials. On each trial, participants received a score of one for a correct response (</w:t>
      </w:r>
      <w:r>
        <w:rPr>
          <w:i/>
        </w:rPr>
        <w:t>ongoing hit</w:t>
      </w:r>
      <w:r>
        <w:t xml:space="preserve">). Ongoing performance scores represent the proportion </w:t>
      </w:r>
      <w:r>
        <w:rPr>
          <w:spacing w:val="-3"/>
        </w:rPr>
        <w:t xml:space="preserve">of </w:t>
      </w:r>
      <w:r>
        <w:t xml:space="preserve">ongoing hits across all trials relative to the total number </w:t>
      </w:r>
      <w:r>
        <w:rPr>
          <w:spacing w:val="-3"/>
        </w:rPr>
        <w:t xml:space="preserve">of </w:t>
      </w:r>
      <w:r>
        <w:t>ongoing trials (</w:t>
      </w:r>
      <w:r>
        <w:rPr>
          <w:i/>
        </w:rPr>
        <w:t>ongoing task proportion hits</w:t>
      </w:r>
      <w:r>
        <w:t>). For each correctly carried out PM action, a score of one was awarded (</w:t>
      </w:r>
      <w:r>
        <w:rPr>
          <w:i/>
        </w:rPr>
        <w:t>PM hit</w:t>
      </w:r>
      <w:r>
        <w:t>). PM performance</w:t>
      </w:r>
      <w:r>
        <w:rPr>
          <w:spacing w:val="-11"/>
        </w:rPr>
        <w:t xml:space="preserve"> </w:t>
      </w:r>
      <w:r>
        <w:t>scores</w:t>
      </w:r>
      <w:r>
        <w:rPr>
          <w:spacing w:val="-11"/>
        </w:rPr>
        <w:t xml:space="preserve"> </w:t>
      </w:r>
      <w:r>
        <w:t>represent</w:t>
      </w:r>
      <w:r>
        <w:rPr>
          <w:spacing w:val="-8"/>
        </w:rPr>
        <w:t xml:space="preserve"> </w:t>
      </w:r>
      <w:r>
        <w:t>the</w:t>
      </w:r>
      <w:r>
        <w:rPr>
          <w:spacing w:val="-14"/>
        </w:rPr>
        <w:t xml:space="preserve"> </w:t>
      </w:r>
      <w:r>
        <w:t>proportion</w:t>
      </w:r>
      <w:r>
        <w:rPr>
          <w:spacing w:val="-14"/>
        </w:rPr>
        <w:t xml:space="preserve"> </w:t>
      </w:r>
      <w:r>
        <w:t>of</w:t>
      </w:r>
      <w:r>
        <w:rPr>
          <w:spacing w:val="-12"/>
        </w:rPr>
        <w:t xml:space="preserve"> </w:t>
      </w:r>
      <w:r>
        <w:t>PM</w:t>
      </w:r>
      <w:r>
        <w:rPr>
          <w:spacing w:val="-16"/>
        </w:rPr>
        <w:t xml:space="preserve"> </w:t>
      </w:r>
      <w:r>
        <w:t>hits</w:t>
      </w:r>
      <w:r>
        <w:rPr>
          <w:spacing w:val="-11"/>
        </w:rPr>
        <w:t xml:space="preserve"> </w:t>
      </w:r>
      <w:r>
        <w:t>relative</w:t>
      </w:r>
      <w:r>
        <w:rPr>
          <w:spacing w:val="-10"/>
        </w:rPr>
        <w:t xml:space="preserve"> </w:t>
      </w:r>
      <w:r>
        <w:t>to</w:t>
      </w:r>
      <w:r>
        <w:rPr>
          <w:spacing w:val="-14"/>
        </w:rPr>
        <w:t xml:space="preserve"> </w:t>
      </w:r>
      <w:r>
        <w:t>the</w:t>
      </w:r>
      <w:r>
        <w:rPr>
          <w:spacing w:val="-14"/>
        </w:rPr>
        <w:t xml:space="preserve"> </w:t>
      </w:r>
      <w:r>
        <w:t>total</w:t>
      </w:r>
      <w:r>
        <w:rPr>
          <w:spacing w:val="-13"/>
        </w:rPr>
        <w:t xml:space="preserve"> </w:t>
      </w:r>
      <w:r>
        <w:t>number</w:t>
      </w:r>
      <w:r>
        <w:rPr>
          <w:spacing w:val="-12"/>
        </w:rPr>
        <w:t xml:space="preserve"> </w:t>
      </w:r>
      <w:r>
        <w:t>of</w:t>
      </w:r>
      <w:r>
        <w:rPr>
          <w:spacing w:val="-12"/>
        </w:rPr>
        <w:t xml:space="preserve"> </w:t>
      </w:r>
      <w:r>
        <w:t>PM</w:t>
      </w:r>
      <w:r>
        <w:rPr>
          <w:spacing w:val="-12"/>
        </w:rPr>
        <w:t xml:space="preserve"> </w:t>
      </w:r>
      <w:r>
        <w:t>trials (</w:t>
      </w:r>
      <w:r>
        <w:rPr>
          <w:i/>
        </w:rPr>
        <w:t>PM p</w:t>
      </w:r>
      <w:r>
        <w:rPr>
          <w:i/>
        </w:rPr>
        <w:t>roportion hits</w:t>
      </w:r>
      <w:r>
        <w:t>).</w:t>
      </w:r>
    </w:p>
    <w:p w14:paraId="7F09B2A8" w14:textId="77777777" w:rsidR="00C75312" w:rsidRDefault="00BB293A">
      <w:pPr>
        <w:pStyle w:val="BodyText"/>
        <w:spacing w:before="121" w:line="480" w:lineRule="auto"/>
        <w:ind w:left="140" w:right="1433" w:firstLine="720"/>
        <w:jc w:val="both"/>
      </w:pPr>
      <w:r>
        <w:rPr>
          <w:b/>
        </w:rPr>
        <w:t xml:space="preserve">Visuospatial working memory condition. </w:t>
      </w:r>
      <w:r>
        <w:t xml:space="preserve">Ongoing performance scores represent the proportion of ongoing hits (i.e., a score </w:t>
      </w:r>
      <w:r>
        <w:rPr>
          <w:spacing w:val="-3"/>
        </w:rPr>
        <w:t xml:space="preserve">of </w:t>
      </w:r>
      <w:r>
        <w:t xml:space="preserve">one was awarded if the correct empty cell was identified and the left mouse key was used to select it) relative to the total number </w:t>
      </w:r>
      <w:r>
        <w:rPr>
          <w:spacing w:val="-3"/>
        </w:rPr>
        <w:t xml:space="preserve">of </w:t>
      </w:r>
      <w:r>
        <w:t>ongoing trials (</w:t>
      </w:r>
      <w:r>
        <w:rPr>
          <w:i/>
        </w:rPr>
        <w:t>ongoing task proportion hits</w:t>
      </w:r>
      <w:r>
        <w:t xml:space="preserve">). PM performance was </w:t>
      </w:r>
      <w:proofErr w:type="spellStart"/>
      <w:r>
        <w:t>operationalised</w:t>
      </w:r>
      <w:proofErr w:type="spellEnd"/>
      <w:r>
        <w:t xml:space="preserve"> as the proportion of</w:t>
      </w:r>
      <w:r>
        <w:rPr>
          <w:spacing w:val="26"/>
        </w:rPr>
        <w:t xml:space="preserve"> </w:t>
      </w:r>
      <w:r>
        <w:t>correct</w:t>
      </w:r>
      <w:r>
        <w:rPr>
          <w:spacing w:val="25"/>
        </w:rPr>
        <w:t xml:space="preserve"> </w:t>
      </w:r>
      <w:r>
        <w:t>PM</w:t>
      </w:r>
      <w:r>
        <w:rPr>
          <w:spacing w:val="23"/>
        </w:rPr>
        <w:t xml:space="preserve"> </w:t>
      </w:r>
      <w:r>
        <w:t>responses</w:t>
      </w:r>
      <w:r>
        <w:rPr>
          <w:spacing w:val="23"/>
        </w:rPr>
        <w:t xml:space="preserve"> </w:t>
      </w:r>
      <w:r>
        <w:t>out</w:t>
      </w:r>
      <w:r>
        <w:rPr>
          <w:spacing w:val="24"/>
        </w:rPr>
        <w:t xml:space="preserve"> </w:t>
      </w:r>
      <w:r>
        <w:t>of</w:t>
      </w:r>
      <w:r>
        <w:rPr>
          <w:spacing w:val="27"/>
        </w:rPr>
        <w:t xml:space="preserve"> </w:t>
      </w:r>
      <w:r>
        <w:t>all</w:t>
      </w:r>
      <w:r>
        <w:rPr>
          <w:spacing w:val="25"/>
        </w:rPr>
        <w:t xml:space="preserve"> </w:t>
      </w:r>
      <w:r>
        <w:t>total</w:t>
      </w:r>
      <w:r>
        <w:rPr>
          <w:spacing w:val="24"/>
        </w:rPr>
        <w:t xml:space="preserve"> </w:t>
      </w:r>
      <w:r>
        <w:t>delivered</w:t>
      </w:r>
      <w:r>
        <w:rPr>
          <w:spacing w:val="25"/>
        </w:rPr>
        <w:t xml:space="preserve"> </w:t>
      </w:r>
      <w:r>
        <w:t>PM</w:t>
      </w:r>
      <w:r>
        <w:rPr>
          <w:spacing w:val="23"/>
        </w:rPr>
        <w:t xml:space="preserve"> </w:t>
      </w:r>
      <w:r>
        <w:t>cues</w:t>
      </w:r>
      <w:r>
        <w:rPr>
          <w:spacing w:val="23"/>
        </w:rPr>
        <w:t xml:space="preserve"> </w:t>
      </w:r>
      <w:r>
        <w:t>irrespective</w:t>
      </w:r>
      <w:r>
        <w:rPr>
          <w:spacing w:val="24"/>
        </w:rPr>
        <w:t xml:space="preserve"> </w:t>
      </w:r>
      <w:r>
        <w:t>whether</w:t>
      </w:r>
      <w:r>
        <w:rPr>
          <w:spacing w:val="26"/>
        </w:rPr>
        <w:t xml:space="preserve"> </w:t>
      </w:r>
      <w:r>
        <w:t>those</w:t>
      </w:r>
      <w:r>
        <w:rPr>
          <w:spacing w:val="24"/>
        </w:rPr>
        <w:t xml:space="preserve"> </w:t>
      </w:r>
      <w:r>
        <w:t>cues</w:t>
      </w:r>
    </w:p>
    <w:p w14:paraId="3217D450" w14:textId="77777777" w:rsidR="00C75312" w:rsidRDefault="00C75312">
      <w:pPr>
        <w:spacing w:line="480" w:lineRule="auto"/>
        <w:jc w:val="both"/>
        <w:sectPr w:rsidR="00C75312">
          <w:pgSz w:w="11900" w:h="16840"/>
          <w:pgMar w:top="1140" w:right="0" w:bottom="280" w:left="1300" w:header="720" w:footer="0" w:gutter="0"/>
          <w:cols w:space="720"/>
        </w:sectPr>
      </w:pPr>
    </w:p>
    <w:p w14:paraId="5738CF83" w14:textId="77777777" w:rsidR="00C75312" w:rsidRDefault="00C75312">
      <w:pPr>
        <w:pStyle w:val="BodyText"/>
        <w:spacing w:before="2"/>
        <w:rPr>
          <w:sz w:val="18"/>
        </w:rPr>
      </w:pPr>
    </w:p>
    <w:p w14:paraId="397DB540" w14:textId="77777777" w:rsidR="00C75312" w:rsidRDefault="00BB293A">
      <w:pPr>
        <w:pStyle w:val="BodyText"/>
        <w:spacing w:before="90" w:line="475" w:lineRule="auto"/>
        <w:ind w:left="140" w:right="1433"/>
        <w:jc w:val="both"/>
      </w:pPr>
      <w:r>
        <w:t>occurred during ongoing or actual PM trials; i.e., the total number of PM hits relative to the total number of trials that delivered a PM cue (</w:t>
      </w:r>
      <w:r>
        <w:rPr>
          <w:i/>
        </w:rPr>
        <w:t>PM proportion hit</w:t>
      </w:r>
      <w:r>
        <w:t>)</w:t>
      </w:r>
      <w:r>
        <w:rPr>
          <w:position w:val="8"/>
          <w:sz w:val="16"/>
        </w:rPr>
        <w:t>10</w:t>
      </w:r>
      <w:r>
        <w:t>.</w:t>
      </w:r>
    </w:p>
    <w:p w14:paraId="269F17DE" w14:textId="77777777" w:rsidR="00C75312" w:rsidRDefault="00BB293A">
      <w:pPr>
        <w:pStyle w:val="BodyText"/>
        <w:spacing w:before="126" w:line="470" w:lineRule="auto"/>
        <w:ind w:left="140" w:right="1433" w:firstLine="720"/>
        <w:jc w:val="both"/>
      </w:pPr>
      <w:r>
        <w:pict w14:anchorId="7845B0F0">
          <v:shape id="_x0000_s2732" type="#_x0000_t202" style="position:absolute;left:0;text-align:left;margin-left:282pt;margin-top:67.35pt;width:5.3pt;height:9.85pt;z-index:-260582400;mso-position-horizontal-relative:page" filled="f" stroked="f">
            <v:textbox inset="0,0,0,0">
              <w:txbxContent>
                <w:p w14:paraId="3B399A8E"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An alpha level of .05 was used to determine statistical significance. Greenhouse- Geisser corrections were used where the assumption of sphericity was violated. Where ANOVAs were used, partial eta squared (</w:t>
      </w:r>
      <w:r>
        <w:rPr>
          <w:rFonts w:ascii="Cambria Math" w:hAnsi="Cambria Math"/>
        </w:rPr>
        <w:t>!</w:t>
      </w:r>
      <w:r>
        <w:rPr>
          <w:rFonts w:ascii="Cambria Math" w:hAnsi="Cambria Math"/>
          <w:position w:val="9"/>
          <w:sz w:val="17"/>
        </w:rPr>
        <w:t>#</w:t>
      </w:r>
      <w:r>
        <w:rPr>
          <w:rFonts w:ascii="Cambria" w:hAnsi="Cambria"/>
        </w:rPr>
        <w:t xml:space="preserve">) </w:t>
      </w:r>
      <w:r>
        <w:t>is reported as a measure of effect size (≥ .01 =</w:t>
      </w:r>
    </w:p>
    <w:p w14:paraId="40635B4B" w14:textId="77777777" w:rsidR="00C75312" w:rsidRDefault="00BB293A">
      <w:pPr>
        <w:pStyle w:val="BodyText"/>
        <w:spacing w:before="42" w:line="480" w:lineRule="auto"/>
        <w:ind w:left="140" w:right="1433"/>
        <w:jc w:val="both"/>
      </w:pPr>
      <w:r>
        <w:t xml:space="preserve">small effect, ≥ .06 = moderate effect, ≥. 14 = large effect; Cohen, 1988). Where </w:t>
      </w:r>
      <w:r>
        <w:rPr>
          <w:i/>
        </w:rPr>
        <w:t>t</w:t>
      </w:r>
      <w:r>
        <w:t>-tests were used,</w:t>
      </w:r>
      <w:r>
        <w:rPr>
          <w:spacing w:val="-7"/>
        </w:rPr>
        <w:t xml:space="preserve"> </w:t>
      </w:r>
      <w:r>
        <w:t>Cohen’s</w:t>
      </w:r>
      <w:r>
        <w:rPr>
          <w:spacing w:val="-11"/>
        </w:rPr>
        <w:t xml:space="preserve"> </w:t>
      </w:r>
      <w:r>
        <w:rPr>
          <w:i/>
        </w:rPr>
        <w:t>d</w:t>
      </w:r>
      <w:r>
        <w:rPr>
          <w:i/>
          <w:spacing w:val="-13"/>
        </w:rPr>
        <w:t xml:space="preserve"> </w:t>
      </w:r>
      <w:r>
        <w:t>is</w:t>
      </w:r>
      <w:r>
        <w:rPr>
          <w:spacing w:val="-11"/>
        </w:rPr>
        <w:t xml:space="preserve"> </w:t>
      </w:r>
      <w:r>
        <w:t>reported</w:t>
      </w:r>
      <w:r>
        <w:rPr>
          <w:spacing w:val="-18"/>
        </w:rPr>
        <w:t xml:space="preserve"> </w:t>
      </w:r>
      <w:r>
        <w:t>as</w:t>
      </w:r>
      <w:r>
        <w:rPr>
          <w:spacing w:val="-11"/>
        </w:rPr>
        <w:t xml:space="preserve"> </w:t>
      </w:r>
      <w:r>
        <w:t>a</w:t>
      </w:r>
      <w:r>
        <w:rPr>
          <w:spacing w:val="-14"/>
        </w:rPr>
        <w:t xml:space="preserve"> </w:t>
      </w:r>
      <w:r>
        <w:t>measure</w:t>
      </w:r>
      <w:r>
        <w:rPr>
          <w:spacing w:val="-10"/>
        </w:rPr>
        <w:t xml:space="preserve"> </w:t>
      </w:r>
      <w:r>
        <w:t>of</w:t>
      </w:r>
      <w:r>
        <w:rPr>
          <w:spacing w:val="-13"/>
        </w:rPr>
        <w:t xml:space="preserve"> </w:t>
      </w:r>
      <w:r>
        <w:t>effect</w:t>
      </w:r>
      <w:r>
        <w:rPr>
          <w:spacing w:val="-8"/>
        </w:rPr>
        <w:t xml:space="preserve"> </w:t>
      </w:r>
      <w:r>
        <w:rPr>
          <w:spacing w:val="-3"/>
        </w:rPr>
        <w:t>size</w:t>
      </w:r>
      <w:r>
        <w:rPr>
          <w:spacing w:val="-10"/>
        </w:rPr>
        <w:t xml:space="preserve"> </w:t>
      </w:r>
      <w:r>
        <w:t>(≥.0.20</w:t>
      </w:r>
      <w:r>
        <w:rPr>
          <w:spacing w:val="-13"/>
        </w:rPr>
        <w:t xml:space="preserve"> </w:t>
      </w:r>
      <w:r>
        <w:t>=</w:t>
      </w:r>
      <w:r>
        <w:rPr>
          <w:spacing w:val="-14"/>
        </w:rPr>
        <w:t xml:space="preserve"> </w:t>
      </w:r>
      <w:r>
        <w:t>small</w:t>
      </w:r>
      <w:r>
        <w:rPr>
          <w:spacing w:val="-8"/>
        </w:rPr>
        <w:t xml:space="preserve"> </w:t>
      </w:r>
      <w:r>
        <w:t>effect,</w:t>
      </w:r>
      <w:r>
        <w:rPr>
          <w:spacing w:val="-7"/>
        </w:rPr>
        <w:t xml:space="preserve"> </w:t>
      </w:r>
      <w:r>
        <w:t>≥</w:t>
      </w:r>
      <w:r>
        <w:rPr>
          <w:spacing w:val="-16"/>
        </w:rPr>
        <w:t xml:space="preserve"> </w:t>
      </w:r>
      <w:r>
        <w:t>0.50</w:t>
      </w:r>
      <w:r>
        <w:rPr>
          <w:spacing w:val="-13"/>
        </w:rPr>
        <w:t xml:space="preserve"> </w:t>
      </w:r>
      <w:r>
        <w:t>=</w:t>
      </w:r>
      <w:r>
        <w:rPr>
          <w:spacing w:val="-14"/>
        </w:rPr>
        <w:t xml:space="preserve"> </w:t>
      </w:r>
      <w:r>
        <w:t>moderate effect; ≥ 0.80 = large effect; Cohen, 1988). Where categorical (Chi-square) analyses were conducted,</w:t>
      </w:r>
      <w:r>
        <w:rPr>
          <w:spacing w:val="-2"/>
        </w:rPr>
        <w:t xml:space="preserve"> </w:t>
      </w:r>
      <w:r>
        <w:t>phi</w:t>
      </w:r>
      <w:r>
        <w:rPr>
          <w:spacing w:val="-13"/>
        </w:rPr>
        <w:t xml:space="preserve"> </w:t>
      </w:r>
      <w:r>
        <w:t>(φ)</w:t>
      </w:r>
      <w:r>
        <w:rPr>
          <w:spacing w:val="-8"/>
        </w:rPr>
        <w:t xml:space="preserve"> </w:t>
      </w:r>
      <w:r>
        <w:t>is</w:t>
      </w:r>
      <w:r>
        <w:rPr>
          <w:spacing w:val="-11"/>
        </w:rPr>
        <w:t xml:space="preserve"> </w:t>
      </w:r>
      <w:r>
        <w:t>reported</w:t>
      </w:r>
      <w:r>
        <w:rPr>
          <w:spacing w:val="-9"/>
        </w:rPr>
        <w:t xml:space="preserve"> </w:t>
      </w:r>
      <w:r>
        <w:t>as</w:t>
      </w:r>
      <w:r>
        <w:rPr>
          <w:spacing w:val="-7"/>
        </w:rPr>
        <w:t xml:space="preserve"> </w:t>
      </w:r>
      <w:r>
        <w:t>a</w:t>
      </w:r>
      <w:r>
        <w:rPr>
          <w:spacing w:val="-10"/>
        </w:rPr>
        <w:t xml:space="preserve"> </w:t>
      </w:r>
      <w:r>
        <w:t>measure</w:t>
      </w:r>
      <w:r>
        <w:rPr>
          <w:spacing w:val="-11"/>
        </w:rPr>
        <w:t xml:space="preserve"> </w:t>
      </w:r>
      <w:r>
        <w:t>of</w:t>
      </w:r>
      <w:r>
        <w:rPr>
          <w:spacing w:val="-7"/>
        </w:rPr>
        <w:t xml:space="preserve"> </w:t>
      </w:r>
      <w:r>
        <w:t>effect</w:t>
      </w:r>
      <w:r>
        <w:rPr>
          <w:spacing w:val="-4"/>
        </w:rPr>
        <w:t xml:space="preserve"> </w:t>
      </w:r>
      <w:r>
        <w:t>size</w:t>
      </w:r>
      <w:r>
        <w:rPr>
          <w:spacing w:val="-10"/>
        </w:rPr>
        <w:t xml:space="preserve"> </w:t>
      </w:r>
      <w:r>
        <w:t>(≥</w:t>
      </w:r>
      <w:r>
        <w:rPr>
          <w:spacing w:val="-11"/>
        </w:rPr>
        <w:t xml:space="preserve"> </w:t>
      </w:r>
      <w:r>
        <w:t>.10</w:t>
      </w:r>
      <w:r>
        <w:rPr>
          <w:spacing w:val="-10"/>
        </w:rPr>
        <w:t xml:space="preserve"> </w:t>
      </w:r>
      <w:r>
        <w:t>=</w:t>
      </w:r>
      <w:r>
        <w:rPr>
          <w:spacing w:val="-10"/>
        </w:rPr>
        <w:t xml:space="preserve"> </w:t>
      </w:r>
      <w:r>
        <w:t>small</w:t>
      </w:r>
      <w:r>
        <w:rPr>
          <w:spacing w:val="-3"/>
        </w:rPr>
        <w:t xml:space="preserve"> </w:t>
      </w:r>
      <w:r>
        <w:t>effect,</w:t>
      </w:r>
      <w:r>
        <w:rPr>
          <w:spacing w:val="-7"/>
        </w:rPr>
        <w:t xml:space="preserve"> </w:t>
      </w:r>
      <w:r>
        <w:t>≥.30</w:t>
      </w:r>
      <w:r>
        <w:rPr>
          <w:spacing w:val="-9"/>
        </w:rPr>
        <w:t xml:space="preserve"> </w:t>
      </w:r>
      <w:r>
        <w:t>=</w:t>
      </w:r>
      <w:r>
        <w:rPr>
          <w:spacing w:val="-11"/>
        </w:rPr>
        <w:t xml:space="preserve"> </w:t>
      </w:r>
      <w:r>
        <w:t>moderate effect, ≥.50 = large effect, Cohen</w:t>
      </w:r>
      <w:r>
        <w:rPr>
          <w:spacing w:val="-1"/>
        </w:rPr>
        <w:t xml:space="preserve"> </w:t>
      </w:r>
      <w:r>
        <w:t>1988).</w:t>
      </w:r>
    </w:p>
    <w:p w14:paraId="3EB21633" w14:textId="77777777" w:rsidR="00C75312" w:rsidRDefault="00BB293A">
      <w:pPr>
        <w:pStyle w:val="BodyText"/>
        <w:spacing w:before="115" w:line="475" w:lineRule="auto"/>
        <w:ind w:left="140" w:right="1435" w:firstLine="720"/>
        <w:jc w:val="both"/>
      </w:pPr>
      <w:r>
        <w:rPr>
          <w:position w:val="2"/>
        </w:rPr>
        <w:t>Bayes factors (BF</w:t>
      </w:r>
      <w:r>
        <w:rPr>
          <w:position w:val="2"/>
          <w:vertAlign w:val="subscript"/>
        </w:rPr>
        <w:t>10</w:t>
      </w:r>
      <w:r>
        <w:rPr>
          <w:position w:val="2"/>
        </w:rPr>
        <w:t>) in support of the alternative (H</w:t>
      </w:r>
      <w:r>
        <w:rPr>
          <w:position w:val="2"/>
          <w:vertAlign w:val="subscript"/>
        </w:rPr>
        <w:t>1</w:t>
      </w:r>
      <w:r>
        <w:rPr>
          <w:position w:val="2"/>
        </w:rPr>
        <w:t>) over the null hypothesis (H</w:t>
      </w:r>
      <w:r>
        <w:rPr>
          <w:position w:val="2"/>
          <w:vertAlign w:val="subscript"/>
        </w:rPr>
        <w:t>0</w:t>
      </w:r>
      <w:r>
        <w:rPr>
          <w:position w:val="2"/>
        </w:rPr>
        <w:t xml:space="preserve">) </w:t>
      </w:r>
      <w:r>
        <w:t xml:space="preserve">were computed for all relevant effects by submitting the data to the respective Bayesian analyses. Bayes factors were interpreted according to Lee and </w:t>
      </w:r>
      <w:proofErr w:type="spellStart"/>
      <w:r>
        <w:t>Wagenmakers</w:t>
      </w:r>
      <w:proofErr w:type="spellEnd"/>
      <w:r>
        <w:t xml:space="preserve"> (2013) classification (see Chapter 2).</w:t>
      </w:r>
    </w:p>
    <w:p w14:paraId="510A8715" w14:textId="77777777" w:rsidR="00C75312" w:rsidRDefault="00C75312">
      <w:pPr>
        <w:pStyle w:val="BodyText"/>
        <w:spacing w:before="1"/>
        <w:rPr>
          <w:sz w:val="21"/>
        </w:rPr>
      </w:pPr>
    </w:p>
    <w:p w14:paraId="1BED0154" w14:textId="77777777" w:rsidR="00C75312" w:rsidRDefault="00BB293A">
      <w:pPr>
        <w:pStyle w:val="Heading1"/>
        <w:ind w:left="25" w:right="1331"/>
        <w:jc w:val="center"/>
      </w:pPr>
      <w:bookmarkStart w:id="15" w:name="_TOC_250018"/>
      <w:bookmarkEnd w:id="15"/>
      <w:r>
        <w:t>Results</w:t>
      </w:r>
    </w:p>
    <w:p w14:paraId="6E58BF0A" w14:textId="77777777" w:rsidR="00C75312" w:rsidRDefault="00C75312">
      <w:pPr>
        <w:pStyle w:val="BodyText"/>
        <w:spacing w:before="4"/>
        <w:rPr>
          <w:b/>
          <w:sz w:val="27"/>
        </w:rPr>
      </w:pPr>
    </w:p>
    <w:p w14:paraId="5DA5E66E" w14:textId="77777777" w:rsidR="00C75312" w:rsidRDefault="00BB293A">
      <w:pPr>
        <w:ind w:left="140"/>
        <w:jc w:val="both"/>
        <w:rPr>
          <w:b/>
          <w:sz w:val="24"/>
        </w:rPr>
      </w:pPr>
      <w:r>
        <w:rPr>
          <w:b/>
          <w:sz w:val="24"/>
        </w:rPr>
        <w:t>Ongoing task performance</w:t>
      </w:r>
    </w:p>
    <w:p w14:paraId="4085F748" w14:textId="77777777" w:rsidR="00C75312" w:rsidRDefault="00C75312">
      <w:pPr>
        <w:pStyle w:val="BodyText"/>
        <w:spacing w:before="5"/>
        <w:rPr>
          <w:b/>
        </w:rPr>
      </w:pPr>
    </w:p>
    <w:p w14:paraId="6E6C5F84" w14:textId="77777777" w:rsidR="00C75312" w:rsidRDefault="00BB293A">
      <w:pPr>
        <w:pStyle w:val="BodyText"/>
        <w:spacing w:line="480" w:lineRule="auto"/>
        <w:ind w:left="140" w:right="1437" w:firstLine="720"/>
        <w:jc w:val="both"/>
      </w:pPr>
      <w:r>
        <w:t xml:space="preserve">Table 10 shows mean ongoing performance for each group and task. Between-group differences in ongoing task performance were explored using a Group (ASD/NT) × Task (verbal/visuospatial) mixed ANOVA. No significant main effect of group emerged, </w:t>
      </w:r>
      <w:r>
        <w:rPr>
          <w:i/>
        </w:rPr>
        <w:t>F</w:t>
      </w:r>
      <w:r>
        <w:t>(1,38)</w:t>
      </w:r>
      <w:r>
        <w:rPr>
          <w:spacing w:val="-4"/>
        </w:rPr>
        <w:t xml:space="preserve"> </w:t>
      </w:r>
      <w:r>
        <w:t>=</w:t>
      </w:r>
    </w:p>
    <w:p w14:paraId="4E994D67" w14:textId="77777777" w:rsidR="00C75312" w:rsidRDefault="00C75312">
      <w:pPr>
        <w:pStyle w:val="BodyText"/>
        <w:rPr>
          <w:sz w:val="20"/>
        </w:rPr>
      </w:pPr>
    </w:p>
    <w:p w14:paraId="6A3B4B65" w14:textId="77777777" w:rsidR="00C75312" w:rsidRDefault="00BB293A">
      <w:pPr>
        <w:pStyle w:val="BodyText"/>
        <w:spacing w:before="3"/>
        <w:rPr>
          <w:sz w:val="20"/>
        </w:rPr>
      </w:pPr>
      <w:r>
        <w:pict w14:anchorId="24A1D4E2">
          <v:shape id="_x0000_s2731" style="position:absolute;margin-left:1in;margin-top:13.9pt;width:2in;height:.1pt;z-index:-251597824;mso-wrap-distance-left:0;mso-wrap-distance-right:0;mso-position-horizontal-relative:page" coordorigin="1440,278" coordsize="2880,0" path="m1440,278r2880,e" filled="f" strokeweight=".48pt">
            <v:path arrowok="t"/>
            <w10:wrap type="topAndBottom" anchorx="page"/>
          </v:shape>
        </w:pict>
      </w:r>
    </w:p>
    <w:p w14:paraId="7FC85FDE" w14:textId="77777777" w:rsidR="00C75312" w:rsidRDefault="00BB293A">
      <w:pPr>
        <w:spacing w:before="62"/>
        <w:ind w:left="140"/>
        <w:rPr>
          <w:sz w:val="20"/>
        </w:rPr>
      </w:pPr>
      <w:r>
        <w:rPr>
          <w:position w:val="7"/>
          <w:sz w:val="13"/>
        </w:rPr>
        <w:t xml:space="preserve">10   </w:t>
      </w:r>
      <w:r>
        <w:rPr>
          <w:sz w:val="20"/>
        </w:rPr>
        <w:t xml:space="preserve">In  the  visuospatial  task,  the  number  of  times, a  PM cue  appeared  was dependent  </w:t>
      </w:r>
      <w:r>
        <w:rPr>
          <w:spacing w:val="-3"/>
          <w:sz w:val="20"/>
        </w:rPr>
        <w:t xml:space="preserve">on  </w:t>
      </w:r>
      <w:r>
        <w:rPr>
          <w:sz w:val="20"/>
        </w:rPr>
        <w:t>the  ongoing</w:t>
      </w:r>
      <w:r>
        <w:rPr>
          <w:spacing w:val="44"/>
          <w:sz w:val="20"/>
        </w:rPr>
        <w:t xml:space="preserve"> </w:t>
      </w:r>
      <w:r>
        <w:rPr>
          <w:sz w:val="20"/>
        </w:rPr>
        <w:t>task.</w:t>
      </w:r>
    </w:p>
    <w:p w14:paraId="4512C35B" w14:textId="77777777" w:rsidR="00C75312" w:rsidRDefault="00C75312">
      <w:pPr>
        <w:pStyle w:val="BodyText"/>
        <w:spacing w:before="1"/>
        <w:rPr>
          <w:sz w:val="20"/>
        </w:rPr>
      </w:pPr>
    </w:p>
    <w:p w14:paraId="7BDD4FB3" w14:textId="77777777" w:rsidR="00C75312" w:rsidRDefault="00BB293A">
      <w:pPr>
        <w:spacing w:line="480" w:lineRule="auto"/>
        <w:ind w:left="140" w:right="1301"/>
        <w:rPr>
          <w:sz w:val="20"/>
        </w:rPr>
      </w:pPr>
      <w:r>
        <w:rPr>
          <w:sz w:val="20"/>
        </w:rPr>
        <w:t xml:space="preserve">Independent sample t-tests were used to confirm that groups did not differ </w:t>
      </w:r>
      <w:r>
        <w:rPr>
          <w:spacing w:val="-3"/>
          <w:sz w:val="20"/>
        </w:rPr>
        <w:t xml:space="preserve">on </w:t>
      </w:r>
      <w:r>
        <w:rPr>
          <w:sz w:val="20"/>
        </w:rPr>
        <w:t xml:space="preserve">the number of PM cues delivered during PM </w:t>
      </w:r>
      <w:r>
        <w:rPr>
          <w:spacing w:val="-3"/>
          <w:sz w:val="20"/>
        </w:rPr>
        <w:t xml:space="preserve">(ASD: </w:t>
      </w:r>
      <w:r>
        <w:rPr>
          <w:i/>
          <w:sz w:val="20"/>
        </w:rPr>
        <w:t xml:space="preserve">M </w:t>
      </w:r>
      <w:r>
        <w:rPr>
          <w:sz w:val="20"/>
        </w:rPr>
        <w:t xml:space="preserve">= 2.55, </w:t>
      </w:r>
      <w:r>
        <w:rPr>
          <w:i/>
          <w:sz w:val="20"/>
        </w:rPr>
        <w:t xml:space="preserve">SD </w:t>
      </w:r>
      <w:r>
        <w:rPr>
          <w:sz w:val="20"/>
        </w:rPr>
        <w:t xml:space="preserve">= 1.15, NT: </w:t>
      </w:r>
      <w:r>
        <w:rPr>
          <w:i/>
          <w:sz w:val="20"/>
        </w:rPr>
        <w:t xml:space="preserve">M </w:t>
      </w:r>
      <w:r>
        <w:rPr>
          <w:sz w:val="20"/>
        </w:rPr>
        <w:t xml:space="preserve">= 2.35 </w:t>
      </w:r>
      <w:r>
        <w:rPr>
          <w:i/>
          <w:sz w:val="20"/>
        </w:rPr>
        <w:t xml:space="preserve">SD </w:t>
      </w:r>
      <w:r>
        <w:rPr>
          <w:sz w:val="20"/>
        </w:rPr>
        <w:t xml:space="preserve">= 1.27) and ongoing (ASD: </w:t>
      </w:r>
      <w:r>
        <w:rPr>
          <w:i/>
          <w:sz w:val="20"/>
        </w:rPr>
        <w:t xml:space="preserve">M </w:t>
      </w:r>
      <w:r>
        <w:rPr>
          <w:sz w:val="20"/>
        </w:rPr>
        <w:t xml:space="preserve">= 2.20, </w:t>
      </w:r>
      <w:r>
        <w:rPr>
          <w:i/>
          <w:sz w:val="20"/>
        </w:rPr>
        <w:t xml:space="preserve">SD </w:t>
      </w:r>
      <w:r>
        <w:rPr>
          <w:sz w:val="20"/>
        </w:rPr>
        <w:t>= 1.77,</w:t>
      </w:r>
      <w:r>
        <w:rPr>
          <w:spacing w:val="48"/>
          <w:sz w:val="20"/>
        </w:rPr>
        <w:t xml:space="preserve"> </w:t>
      </w:r>
      <w:r>
        <w:rPr>
          <w:sz w:val="20"/>
        </w:rPr>
        <w:t>NT:</w:t>
      </w:r>
    </w:p>
    <w:p w14:paraId="74477777" w14:textId="77777777" w:rsidR="00C75312" w:rsidRDefault="00BB293A">
      <w:pPr>
        <w:spacing w:before="2" w:line="480" w:lineRule="auto"/>
        <w:ind w:left="140" w:right="1538"/>
        <w:rPr>
          <w:sz w:val="20"/>
        </w:rPr>
      </w:pPr>
      <w:r>
        <w:rPr>
          <w:i/>
          <w:sz w:val="20"/>
        </w:rPr>
        <w:t xml:space="preserve">M </w:t>
      </w:r>
      <w:r>
        <w:rPr>
          <w:sz w:val="20"/>
        </w:rPr>
        <w:t xml:space="preserve">= 2.55, </w:t>
      </w:r>
      <w:r>
        <w:rPr>
          <w:i/>
          <w:sz w:val="20"/>
        </w:rPr>
        <w:t xml:space="preserve">SD </w:t>
      </w:r>
      <w:r>
        <w:rPr>
          <w:sz w:val="20"/>
        </w:rPr>
        <w:t xml:space="preserve">= 1.79) trials (all </w:t>
      </w:r>
      <w:proofErr w:type="spellStart"/>
      <w:r>
        <w:rPr>
          <w:i/>
          <w:sz w:val="20"/>
        </w:rPr>
        <w:t>t</w:t>
      </w:r>
      <w:r>
        <w:rPr>
          <w:sz w:val="20"/>
        </w:rPr>
        <w:t>s</w:t>
      </w:r>
      <w:proofErr w:type="spellEnd"/>
      <w:r>
        <w:rPr>
          <w:sz w:val="20"/>
        </w:rPr>
        <w:t xml:space="preserve"> ≤ 0.53, all </w:t>
      </w:r>
      <w:proofErr w:type="spellStart"/>
      <w:r>
        <w:rPr>
          <w:i/>
          <w:sz w:val="20"/>
        </w:rPr>
        <w:t>p</w:t>
      </w:r>
      <w:r>
        <w:rPr>
          <w:sz w:val="20"/>
        </w:rPr>
        <w:t>s</w:t>
      </w:r>
      <w:proofErr w:type="spellEnd"/>
      <w:r>
        <w:rPr>
          <w:sz w:val="20"/>
        </w:rPr>
        <w:t xml:space="preserve"> ≥ .54). Thus, the combined PM proportion hit score for the visuospatial task is comparable between both groups.</w:t>
      </w:r>
    </w:p>
    <w:p w14:paraId="74BF10BB" w14:textId="77777777" w:rsidR="00C75312" w:rsidRDefault="00C75312">
      <w:pPr>
        <w:spacing w:line="480" w:lineRule="auto"/>
        <w:rPr>
          <w:sz w:val="20"/>
        </w:rPr>
        <w:sectPr w:rsidR="00C75312">
          <w:pgSz w:w="11900" w:h="16840"/>
          <w:pgMar w:top="1140" w:right="0" w:bottom="280" w:left="1300" w:header="720" w:footer="0" w:gutter="0"/>
          <w:cols w:space="720"/>
        </w:sectPr>
      </w:pPr>
    </w:p>
    <w:p w14:paraId="60F1C38D" w14:textId="77777777" w:rsidR="00C75312" w:rsidRDefault="00C75312">
      <w:pPr>
        <w:pStyle w:val="BodyText"/>
        <w:spacing w:before="9"/>
        <w:rPr>
          <w:sz w:val="15"/>
        </w:rPr>
      </w:pPr>
    </w:p>
    <w:p w14:paraId="35E7EE89" w14:textId="77777777" w:rsidR="00C75312" w:rsidRDefault="00BB293A">
      <w:pPr>
        <w:pStyle w:val="BodyText"/>
        <w:spacing w:before="117" w:line="484" w:lineRule="auto"/>
        <w:ind w:left="140" w:right="1433"/>
        <w:jc w:val="both"/>
      </w:pPr>
      <w:r>
        <w:pict w14:anchorId="6F70B8F1">
          <v:shape id="_x0000_s2730" type="#_x0000_t202" style="position:absolute;left:0;text-align:left;margin-left:149.05pt;margin-top:11.7pt;width:5.3pt;height:9.85pt;z-index:-260580352;mso-position-horizontal-relative:page" filled="f" stroked="f">
            <v:textbox inset="0,0,0,0">
              <w:txbxContent>
                <w:p w14:paraId="720AA8A6"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273E365">
          <v:shape id="_x0000_s2729" type="#_x0000_t202" style="position:absolute;left:0;text-align:left;margin-left:212.15pt;margin-top:41.45pt;width:5.3pt;height:9.85pt;z-index:-260579328;mso-position-horizontal-relative:page" filled="f" stroked="f">
            <v:textbox inset="0,0,0,0">
              <w:txbxContent>
                <w:p w14:paraId="56F8DB70"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42E77E9F">
          <v:shape id="_x0000_s2728" type="#_x0000_t202" style="position:absolute;left:0;text-align:left;margin-left:291.35pt;margin-top:71pt;width:5.3pt;height:9.85pt;z-index:-260578304;mso-position-horizontal-relative:page" filled="f" stroked="f">
            <v:textbox inset="0,0,0,0">
              <w:txbxContent>
                <w:p w14:paraId="462015E4"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position w:val="2"/>
        </w:rPr>
        <w:t>0</w:t>
      </w:r>
      <w:r>
        <w:rPr>
          <w:spacing w:val="2"/>
          <w:position w:val="2"/>
        </w:rPr>
        <w:t>.</w:t>
      </w:r>
      <w:r>
        <w:rPr>
          <w:position w:val="2"/>
        </w:rPr>
        <w:t>20,</w:t>
      </w:r>
      <w:r>
        <w:rPr>
          <w:spacing w:val="24"/>
          <w:position w:val="2"/>
        </w:rPr>
        <w:t xml:space="preserve"> </w:t>
      </w:r>
      <w:r>
        <w:rPr>
          <w:i/>
          <w:position w:val="2"/>
        </w:rPr>
        <w:t>p</w:t>
      </w:r>
      <w:r>
        <w:rPr>
          <w:i/>
          <w:spacing w:val="21"/>
          <w:position w:val="2"/>
        </w:rPr>
        <w:t xml:space="preserve"> </w:t>
      </w:r>
      <w:r>
        <w:rPr>
          <w:position w:val="2"/>
        </w:rPr>
        <w:t>=</w:t>
      </w:r>
      <w:r>
        <w:rPr>
          <w:spacing w:val="15"/>
          <w:position w:val="2"/>
        </w:rPr>
        <w:t xml:space="preserve"> </w:t>
      </w:r>
      <w:r>
        <w:rPr>
          <w:spacing w:val="2"/>
          <w:position w:val="2"/>
        </w:rPr>
        <w:t>.</w:t>
      </w:r>
      <w:r>
        <w:rPr>
          <w:position w:val="2"/>
        </w:rPr>
        <w:t>65,</w:t>
      </w:r>
      <w:r>
        <w:rPr>
          <w:spacing w:val="1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7"/>
          <w:position w:val="2"/>
        </w:rPr>
        <w:t xml:space="preserve"> </w:t>
      </w:r>
      <w:r>
        <w:rPr>
          <w:position w:val="2"/>
        </w:rPr>
        <w:t>=</w:t>
      </w:r>
      <w:r>
        <w:rPr>
          <w:spacing w:val="20"/>
          <w:position w:val="2"/>
        </w:rPr>
        <w:t xml:space="preserve"> </w:t>
      </w:r>
      <w:r>
        <w:rPr>
          <w:spacing w:val="2"/>
          <w:position w:val="2"/>
        </w:rPr>
        <w:t>.</w:t>
      </w:r>
      <w:r>
        <w:rPr>
          <w:position w:val="2"/>
        </w:rPr>
        <w:t>01,</w:t>
      </w:r>
      <w:r>
        <w:rPr>
          <w:spacing w:val="24"/>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24"/>
          <w:position w:val="2"/>
        </w:rPr>
        <w:t xml:space="preserve"> </w:t>
      </w:r>
      <w:r>
        <w:rPr>
          <w:position w:val="2"/>
        </w:rPr>
        <w:t>=</w:t>
      </w:r>
      <w:r>
        <w:rPr>
          <w:spacing w:val="20"/>
          <w:position w:val="2"/>
        </w:rPr>
        <w:t xml:space="preserve"> </w:t>
      </w:r>
      <w:r>
        <w:rPr>
          <w:position w:val="2"/>
        </w:rPr>
        <w:t>0</w:t>
      </w:r>
      <w:r>
        <w:rPr>
          <w:spacing w:val="2"/>
          <w:position w:val="2"/>
        </w:rPr>
        <w:t>.</w:t>
      </w:r>
      <w:r>
        <w:rPr>
          <w:position w:val="2"/>
        </w:rPr>
        <w:t>3</w:t>
      </w:r>
      <w:r>
        <w:rPr>
          <w:spacing w:val="-5"/>
          <w:position w:val="2"/>
        </w:rPr>
        <w:t>2</w:t>
      </w:r>
      <w:r>
        <w:rPr>
          <w:position w:val="2"/>
        </w:rPr>
        <w:t xml:space="preserve">.  </w:t>
      </w:r>
      <w:r>
        <w:rPr>
          <w:spacing w:val="-15"/>
          <w:position w:val="2"/>
        </w:rPr>
        <w:t xml:space="preserve"> </w:t>
      </w:r>
      <w:r>
        <w:rPr>
          <w:spacing w:val="-1"/>
          <w:position w:val="2"/>
        </w:rPr>
        <w:t>H</w:t>
      </w:r>
      <w:r>
        <w:rPr>
          <w:position w:val="2"/>
        </w:rPr>
        <w:t>o</w:t>
      </w:r>
      <w:r>
        <w:rPr>
          <w:spacing w:val="-1"/>
          <w:position w:val="2"/>
        </w:rPr>
        <w:t>we</w:t>
      </w:r>
      <w:r>
        <w:rPr>
          <w:position w:val="2"/>
        </w:rPr>
        <w:t>v</w:t>
      </w:r>
      <w:r>
        <w:rPr>
          <w:spacing w:val="-1"/>
          <w:position w:val="2"/>
        </w:rPr>
        <w:t>e</w:t>
      </w:r>
      <w:r>
        <w:rPr>
          <w:spacing w:val="-4"/>
          <w:position w:val="2"/>
        </w:rPr>
        <w:t>r</w:t>
      </w:r>
      <w:r>
        <w:rPr>
          <w:position w:val="2"/>
        </w:rPr>
        <w:t>,</w:t>
      </w:r>
      <w:r>
        <w:rPr>
          <w:spacing w:val="24"/>
          <w:position w:val="2"/>
        </w:rPr>
        <w:t xml:space="preserve"> </w:t>
      </w:r>
      <w:r>
        <w:rPr>
          <w:position w:val="2"/>
        </w:rPr>
        <w:t>th</w:t>
      </w:r>
      <w:r>
        <w:rPr>
          <w:spacing w:val="-6"/>
          <w:position w:val="2"/>
        </w:rPr>
        <w:t>e</w:t>
      </w:r>
      <w:r>
        <w:rPr>
          <w:spacing w:val="1"/>
          <w:position w:val="2"/>
        </w:rPr>
        <w:t>r</w:t>
      </w:r>
      <w:r>
        <w:rPr>
          <w:position w:val="2"/>
        </w:rPr>
        <w:t>e</w:t>
      </w:r>
      <w:r>
        <w:rPr>
          <w:spacing w:val="20"/>
          <w:position w:val="2"/>
        </w:rPr>
        <w:t xml:space="preserve"> </w:t>
      </w:r>
      <w:r>
        <w:rPr>
          <w:spacing w:val="-1"/>
          <w:position w:val="2"/>
        </w:rPr>
        <w:t>wa</w:t>
      </w:r>
      <w:r>
        <w:rPr>
          <w:position w:val="2"/>
        </w:rPr>
        <w:t>s</w:t>
      </w:r>
      <w:r>
        <w:rPr>
          <w:spacing w:val="19"/>
          <w:position w:val="2"/>
        </w:rPr>
        <w:t xml:space="preserve"> </w:t>
      </w:r>
      <w:r>
        <w:rPr>
          <w:position w:val="2"/>
        </w:rPr>
        <w:t>a</w:t>
      </w:r>
      <w:r>
        <w:rPr>
          <w:spacing w:val="20"/>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22"/>
          <w:position w:val="2"/>
        </w:rPr>
        <w:t xml:space="preserve"> </w:t>
      </w:r>
      <w:r>
        <w:rPr>
          <w:position w:val="2"/>
        </w:rPr>
        <w:t>m</w:t>
      </w:r>
      <w:r>
        <w:rPr>
          <w:spacing w:val="-1"/>
          <w:position w:val="2"/>
        </w:rPr>
        <w:t>a</w:t>
      </w:r>
      <w:r>
        <w:rPr>
          <w:position w:val="2"/>
        </w:rPr>
        <w:t>in</w:t>
      </w:r>
      <w:r>
        <w:rPr>
          <w:spacing w:val="21"/>
          <w:position w:val="2"/>
        </w:rPr>
        <w:t xml:space="preserve"> </w:t>
      </w:r>
      <w:r>
        <w:rPr>
          <w:spacing w:val="-1"/>
          <w:position w:val="2"/>
        </w:rPr>
        <w:t>e</w:t>
      </w:r>
      <w:r>
        <w:rPr>
          <w:spacing w:val="1"/>
          <w:position w:val="2"/>
        </w:rPr>
        <w:t>ff</w:t>
      </w:r>
      <w:r>
        <w:rPr>
          <w:spacing w:val="-1"/>
          <w:position w:val="2"/>
        </w:rPr>
        <w:t>ec</w:t>
      </w:r>
      <w:r>
        <w:rPr>
          <w:position w:val="2"/>
        </w:rPr>
        <w:t>t</w:t>
      </w:r>
      <w:r>
        <w:rPr>
          <w:spacing w:val="22"/>
          <w:position w:val="2"/>
        </w:rPr>
        <w:t xml:space="preserve"> </w:t>
      </w:r>
      <w:r>
        <w:rPr>
          <w:position w:val="2"/>
        </w:rPr>
        <w:t>of</w:t>
      </w:r>
      <w:r>
        <w:rPr>
          <w:spacing w:val="23"/>
          <w:position w:val="2"/>
        </w:rPr>
        <w:t xml:space="preserve"> </w:t>
      </w:r>
      <w:r>
        <w:rPr>
          <w:position w:val="2"/>
        </w:rPr>
        <w:t>t</w:t>
      </w:r>
      <w:r>
        <w:rPr>
          <w:spacing w:val="-1"/>
          <w:position w:val="2"/>
        </w:rPr>
        <w:t>a</w:t>
      </w:r>
      <w:r>
        <w:rPr>
          <w:spacing w:val="-3"/>
          <w:position w:val="2"/>
        </w:rPr>
        <w:t>s</w:t>
      </w:r>
      <w:r>
        <w:rPr>
          <w:position w:val="2"/>
        </w:rPr>
        <w:t xml:space="preserve">k, </w:t>
      </w:r>
      <w:r>
        <w:rPr>
          <w:i/>
          <w:spacing w:val="2"/>
          <w:position w:val="2"/>
        </w:rPr>
        <w:t>F</w:t>
      </w:r>
      <w:r>
        <w:rPr>
          <w:spacing w:val="1"/>
          <w:position w:val="2"/>
        </w:rPr>
        <w:t>(</w:t>
      </w:r>
      <w:r>
        <w:rPr>
          <w:position w:val="2"/>
        </w:rPr>
        <w:t>1</w:t>
      </w:r>
      <w:r>
        <w:rPr>
          <w:spacing w:val="2"/>
          <w:position w:val="2"/>
        </w:rPr>
        <w:t>,</w:t>
      </w:r>
      <w:r>
        <w:rPr>
          <w:position w:val="2"/>
        </w:rPr>
        <w:t>3</w:t>
      </w:r>
      <w:r>
        <w:rPr>
          <w:spacing w:val="-5"/>
          <w:position w:val="2"/>
        </w:rPr>
        <w:t>8</w:t>
      </w:r>
      <w:r>
        <w:rPr>
          <w:position w:val="2"/>
        </w:rPr>
        <w:t>)</w:t>
      </w:r>
      <w:r>
        <w:rPr>
          <w:spacing w:val="4"/>
          <w:position w:val="2"/>
        </w:rPr>
        <w:t xml:space="preserve"> </w:t>
      </w:r>
      <w:r>
        <w:rPr>
          <w:position w:val="2"/>
        </w:rPr>
        <w:t>=</w:t>
      </w:r>
      <w:r>
        <w:rPr>
          <w:spacing w:val="1"/>
          <w:position w:val="2"/>
        </w:rPr>
        <w:t xml:space="preserve"> </w:t>
      </w:r>
      <w:r>
        <w:rPr>
          <w:position w:val="2"/>
        </w:rPr>
        <w:t>104</w:t>
      </w:r>
      <w:r>
        <w:rPr>
          <w:spacing w:val="2"/>
          <w:position w:val="2"/>
        </w:rPr>
        <w:t>.</w:t>
      </w:r>
      <w:r>
        <w:rPr>
          <w:position w:val="2"/>
        </w:rPr>
        <w:t>1</w:t>
      </w:r>
      <w:r>
        <w:rPr>
          <w:spacing w:val="-5"/>
          <w:position w:val="2"/>
        </w:rPr>
        <w:t>2</w:t>
      </w:r>
      <w:r>
        <w:rPr>
          <w:position w:val="2"/>
        </w:rPr>
        <w:t>,</w:t>
      </w:r>
      <w:r>
        <w:rPr>
          <w:spacing w:val="4"/>
          <w:position w:val="2"/>
        </w:rPr>
        <w:t xml:space="preserve"> </w:t>
      </w:r>
      <w:r>
        <w:rPr>
          <w:i/>
          <w:position w:val="2"/>
        </w:rPr>
        <w:t>p</w:t>
      </w:r>
      <w:r>
        <w:rPr>
          <w:i/>
          <w:spacing w:val="2"/>
          <w:position w:val="2"/>
        </w:rPr>
        <w:t xml:space="preserve"> </w:t>
      </w:r>
      <w:r>
        <w:rPr>
          <w:position w:val="2"/>
        </w:rPr>
        <w:t>≤</w:t>
      </w:r>
      <w:r>
        <w:rPr>
          <w:spacing w:val="-5"/>
          <w:position w:val="2"/>
        </w:rPr>
        <w:t xml:space="preserve"> </w:t>
      </w:r>
      <w:r>
        <w:rPr>
          <w:spacing w:val="2"/>
          <w:position w:val="2"/>
        </w:rPr>
        <w:t>.</w:t>
      </w:r>
      <w:r>
        <w:rPr>
          <w:position w:val="2"/>
        </w:rPr>
        <w:t>001,</w:t>
      </w:r>
      <w:r>
        <w:rPr>
          <w:spacing w:val="-5"/>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6"/>
          <w:position w:val="2"/>
        </w:rPr>
        <w:t xml:space="preserve"> </w:t>
      </w:r>
      <w:r>
        <w:rPr>
          <w:position w:val="2"/>
        </w:rPr>
        <w:t>=</w:t>
      </w:r>
      <w:r>
        <w:rPr>
          <w:spacing w:val="1"/>
          <w:position w:val="2"/>
        </w:rPr>
        <w:t xml:space="preserve"> </w:t>
      </w:r>
      <w:r>
        <w:rPr>
          <w:spacing w:val="2"/>
          <w:position w:val="2"/>
        </w:rPr>
        <w:t>.</w:t>
      </w:r>
      <w:r>
        <w:rPr>
          <w:position w:val="2"/>
        </w:rPr>
        <w:t>73,</w:t>
      </w:r>
      <w:r>
        <w:rPr>
          <w:spacing w:val="4"/>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4"/>
          <w:position w:val="2"/>
        </w:rPr>
        <w:t xml:space="preserve"> </w:t>
      </w:r>
      <w:r>
        <w:rPr>
          <w:position w:val="2"/>
        </w:rPr>
        <w:t>=</w:t>
      </w:r>
      <w:r>
        <w:rPr>
          <w:spacing w:val="1"/>
          <w:position w:val="2"/>
        </w:rPr>
        <w:t xml:space="preserve"> </w:t>
      </w:r>
      <w:r>
        <w:rPr>
          <w:position w:val="2"/>
        </w:rPr>
        <w:t>9</w:t>
      </w:r>
      <w:r>
        <w:rPr>
          <w:spacing w:val="2"/>
          <w:position w:val="2"/>
        </w:rPr>
        <w:t>.</w:t>
      </w:r>
      <w:r>
        <w:rPr>
          <w:position w:val="2"/>
        </w:rPr>
        <w:t>25*1</w:t>
      </w:r>
      <w:r>
        <w:rPr>
          <w:spacing w:val="-5"/>
          <w:position w:val="2"/>
        </w:rPr>
        <w:t>0</w:t>
      </w:r>
      <w:r>
        <w:rPr>
          <w:spacing w:val="2"/>
          <w:w w:val="97"/>
          <w:position w:val="2"/>
          <w:vertAlign w:val="superscript"/>
        </w:rPr>
        <w:t>10</w:t>
      </w:r>
      <w:r>
        <w:rPr>
          <w:position w:val="2"/>
        </w:rPr>
        <w:t xml:space="preserve">. </w:t>
      </w:r>
      <w:r>
        <w:rPr>
          <w:spacing w:val="2"/>
          <w:position w:val="2"/>
        </w:rPr>
        <w:t xml:space="preserve"> </w:t>
      </w:r>
      <w:r>
        <w:rPr>
          <w:position w:val="2"/>
        </w:rPr>
        <w:t>Fin</w:t>
      </w:r>
      <w:r>
        <w:rPr>
          <w:spacing w:val="-1"/>
          <w:position w:val="2"/>
        </w:rPr>
        <w:t>a</w:t>
      </w:r>
      <w:r>
        <w:rPr>
          <w:position w:val="2"/>
        </w:rPr>
        <w:t>ll</w:t>
      </w:r>
      <w:r>
        <w:rPr>
          <w:spacing w:val="-5"/>
          <w:position w:val="2"/>
        </w:rPr>
        <w:t>y</w:t>
      </w:r>
      <w:r>
        <w:rPr>
          <w:position w:val="2"/>
        </w:rPr>
        <w:t>,</w:t>
      </w:r>
      <w:r>
        <w:rPr>
          <w:spacing w:val="4"/>
          <w:position w:val="2"/>
        </w:rPr>
        <w:t xml:space="preserve"> </w:t>
      </w:r>
      <w:r>
        <w:rPr>
          <w:position w:val="2"/>
        </w:rPr>
        <w:t>the</w:t>
      </w:r>
      <w:r>
        <w:rPr>
          <w:spacing w:val="1"/>
          <w:position w:val="2"/>
        </w:rPr>
        <w:t xml:space="preserve"> </w:t>
      </w:r>
      <w:r>
        <w:rPr>
          <w:spacing w:val="-1"/>
          <w:position w:val="2"/>
        </w:rPr>
        <w:t>G</w:t>
      </w:r>
      <w:r>
        <w:rPr>
          <w:spacing w:val="1"/>
          <w:position w:val="2"/>
        </w:rPr>
        <w:t>r</w:t>
      </w:r>
      <w:r>
        <w:rPr>
          <w:position w:val="2"/>
        </w:rPr>
        <w:t>oup</w:t>
      </w:r>
      <w:r>
        <w:rPr>
          <w:spacing w:val="2"/>
          <w:position w:val="2"/>
        </w:rPr>
        <w:t xml:space="preserve"> </w:t>
      </w:r>
      <w:r>
        <w:rPr>
          <w:position w:val="2"/>
        </w:rPr>
        <w:t>×</w:t>
      </w:r>
      <w:r>
        <w:rPr>
          <w:spacing w:val="-4"/>
          <w:position w:val="2"/>
        </w:rPr>
        <w:t xml:space="preserve"> </w:t>
      </w:r>
      <w:r>
        <w:rPr>
          <w:spacing w:val="2"/>
          <w:position w:val="2"/>
        </w:rPr>
        <w:t>T</w:t>
      </w:r>
      <w:r>
        <w:rPr>
          <w:spacing w:val="-1"/>
          <w:position w:val="2"/>
        </w:rPr>
        <w:t>a</w:t>
      </w:r>
      <w:r>
        <w:rPr>
          <w:spacing w:val="-3"/>
          <w:position w:val="2"/>
        </w:rPr>
        <w:t>s</w:t>
      </w:r>
      <w:r>
        <w:rPr>
          <w:position w:val="2"/>
        </w:rPr>
        <w:t>k</w:t>
      </w:r>
      <w:r>
        <w:rPr>
          <w:spacing w:val="2"/>
          <w:position w:val="2"/>
        </w:rPr>
        <w:t xml:space="preserve"> </w:t>
      </w:r>
      <w:r>
        <w:rPr>
          <w:position w:val="2"/>
        </w:rPr>
        <w:t>int</w:t>
      </w:r>
      <w:r>
        <w:rPr>
          <w:spacing w:val="-1"/>
          <w:position w:val="2"/>
        </w:rPr>
        <w:t>e</w:t>
      </w:r>
      <w:r>
        <w:rPr>
          <w:spacing w:val="1"/>
          <w:position w:val="2"/>
        </w:rPr>
        <w:t>r</w:t>
      </w:r>
      <w:r>
        <w:rPr>
          <w:spacing w:val="-1"/>
          <w:position w:val="2"/>
        </w:rPr>
        <w:t>ac</w:t>
      </w:r>
      <w:r>
        <w:rPr>
          <w:position w:val="2"/>
        </w:rPr>
        <w:t xml:space="preserve">tion </w:t>
      </w:r>
      <w:r>
        <w:rPr>
          <w:spacing w:val="-1"/>
          <w:position w:val="2"/>
        </w:rPr>
        <w:t>wa</w:t>
      </w:r>
      <w:r>
        <w:rPr>
          <w:position w:val="2"/>
        </w:rPr>
        <w:t>s not</w:t>
      </w:r>
      <w:r>
        <w:rPr>
          <w:spacing w:val="2"/>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4"/>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38)</w:t>
      </w:r>
      <w:r>
        <w:rPr>
          <w:spacing w:val="4"/>
          <w:position w:val="2"/>
        </w:rPr>
        <w:t xml:space="preserve"> </w:t>
      </w:r>
      <w:r>
        <w:rPr>
          <w:position w:val="2"/>
        </w:rPr>
        <w:t>=</w:t>
      </w:r>
      <w:r>
        <w:rPr>
          <w:spacing w:val="1"/>
          <w:position w:val="2"/>
        </w:rPr>
        <w:t xml:space="preserve"> </w:t>
      </w:r>
      <w:r>
        <w:rPr>
          <w:spacing w:val="-5"/>
          <w:position w:val="2"/>
        </w:rPr>
        <w:t>0</w:t>
      </w:r>
      <w:r>
        <w:rPr>
          <w:spacing w:val="2"/>
          <w:position w:val="2"/>
        </w:rPr>
        <w:t>.</w:t>
      </w:r>
      <w:r>
        <w:rPr>
          <w:position w:val="2"/>
        </w:rPr>
        <w:t>01,</w:t>
      </w:r>
      <w:r>
        <w:rPr>
          <w:spacing w:val="4"/>
          <w:position w:val="2"/>
        </w:rPr>
        <w:t xml:space="preserve"> </w:t>
      </w:r>
      <w:r>
        <w:rPr>
          <w:i/>
          <w:position w:val="2"/>
        </w:rPr>
        <w:t>p</w:t>
      </w:r>
      <w:r>
        <w:rPr>
          <w:i/>
          <w:spacing w:val="-3"/>
          <w:position w:val="2"/>
        </w:rPr>
        <w:t xml:space="preserve"> </w:t>
      </w:r>
      <w:r>
        <w:rPr>
          <w:position w:val="2"/>
        </w:rPr>
        <w:t>=</w:t>
      </w:r>
      <w:r>
        <w:rPr>
          <w:spacing w:val="1"/>
          <w:position w:val="2"/>
        </w:rPr>
        <w:t xml:space="preserve"> </w:t>
      </w:r>
      <w:r>
        <w:rPr>
          <w:spacing w:val="2"/>
          <w:position w:val="2"/>
        </w:rPr>
        <w:t>.</w:t>
      </w:r>
      <w:r>
        <w:rPr>
          <w:position w:val="2"/>
        </w:rPr>
        <w:t>9</w:t>
      </w:r>
      <w:r>
        <w:rPr>
          <w:spacing w:val="-5"/>
          <w:position w:val="2"/>
        </w:rPr>
        <w:t>3</w:t>
      </w:r>
      <w:r>
        <w:rPr>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6"/>
          <w:position w:val="2"/>
        </w:rPr>
        <w:t xml:space="preserve"> </w:t>
      </w:r>
      <w:r>
        <w:rPr>
          <w:position w:val="2"/>
        </w:rPr>
        <w:t xml:space="preserve">≤ </w:t>
      </w:r>
      <w:r>
        <w:rPr>
          <w:spacing w:val="2"/>
          <w:position w:val="2"/>
        </w:rPr>
        <w:t>.</w:t>
      </w:r>
      <w:r>
        <w:rPr>
          <w:position w:val="2"/>
        </w:rPr>
        <w:t>001,</w:t>
      </w:r>
      <w:r>
        <w:rPr>
          <w:spacing w:val="4"/>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4"/>
          <w:position w:val="2"/>
        </w:rPr>
        <w:t xml:space="preserve"> </w:t>
      </w:r>
      <w:r>
        <w:rPr>
          <w:position w:val="2"/>
        </w:rPr>
        <w:t>=</w:t>
      </w:r>
      <w:r>
        <w:rPr>
          <w:spacing w:val="1"/>
          <w:position w:val="2"/>
        </w:rPr>
        <w:t xml:space="preserve"> </w:t>
      </w:r>
      <w:r>
        <w:rPr>
          <w:spacing w:val="-5"/>
          <w:position w:val="2"/>
        </w:rPr>
        <w:t>0</w:t>
      </w:r>
      <w:r>
        <w:rPr>
          <w:spacing w:val="2"/>
          <w:position w:val="2"/>
        </w:rPr>
        <w:t>.</w:t>
      </w:r>
      <w:r>
        <w:rPr>
          <w:position w:val="2"/>
        </w:rPr>
        <w:t xml:space="preserve">31. </w:t>
      </w:r>
      <w:r>
        <w:rPr>
          <w:spacing w:val="2"/>
          <w:position w:val="2"/>
        </w:rPr>
        <w:t xml:space="preserve"> T</w:t>
      </w:r>
      <w:r>
        <w:rPr>
          <w:position w:val="2"/>
        </w:rPr>
        <w:t>he</w:t>
      </w:r>
      <w:r>
        <w:rPr>
          <w:spacing w:val="1"/>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20"/>
          <w:position w:val="2"/>
        </w:rPr>
        <w:t xml:space="preserve"> </w:t>
      </w:r>
      <w:r>
        <w:rPr>
          <w:spacing w:val="1"/>
          <w:position w:val="2"/>
        </w:rPr>
        <w:t>f</w:t>
      </w:r>
      <w:r>
        <w:rPr>
          <w:position w:val="2"/>
        </w:rPr>
        <w:t>or</w:t>
      </w:r>
      <w:r>
        <w:rPr>
          <w:spacing w:val="4"/>
          <w:position w:val="2"/>
        </w:rPr>
        <w:t xml:space="preserve"> </w:t>
      </w:r>
      <w:r>
        <w:rPr>
          <w:position w:val="2"/>
        </w:rPr>
        <w:t>the</w:t>
      </w:r>
      <w:r>
        <w:rPr>
          <w:spacing w:val="1"/>
          <w:position w:val="2"/>
        </w:rPr>
        <w:t xml:space="preserve"> </w:t>
      </w:r>
      <w:r>
        <w:rPr>
          <w:spacing w:val="-1"/>
          <w:position w:val="2"/>
        </w:rPr>
        <w:t>a</w:t>
      </w:r>
      <w:r>
        <w:rPr>
          <w:position w:val="2"/>
        </w:rPr>
        <w:t xml:space="preserve">dditive </w:t>
      </w:r>
      <w:r>
        <w:rPr>
          <w:w w:val="105"/>
        </w:rPr>
        <w:t>model</w:t>
      </w:r>
      <w:r>
        <w:rPr>
          <w:spacing w:val="-11"/>
          <w:w w:val="105"/>
        </w:rPr>
        <w:t xml:space="preserve"> </w:t>
      </w:r>
      <w:r>
        <w:rPr>
          <w:w w:val="105"/>
        </w:rPr>
        <w:t>was</w:t>
      </w:r>
      <w:r>
        <w:rPr>
          <w:spacing w:val="-13"/>
          <w:w w:val="105"/>
        </w:rPr>
        <w:t xml:space="preserve"> </w:t>
      </w:r>
      <w:r>
        <w:rPr>
          <w:w w:val="105"/>
        </w:rPr>
        <w:t>2.9*10</w:t>
      </w:r>
      <w:r>
        <w:rPr>
          <w:w w:val="105"/>
          <w:position w:val="8"/>
          <w:sz w:val="16"/>
        </w:rPr>
        <w:t>10</w:t>
      </w:r>
      <w:r>
        <w:rPr>
          <w:spacing w:val="-10"/>
          <w:w w:val="105"/>
          <w:position w:val="8"/>
          <w:sz w:val="16"/>
        </w:rPr>
        <w:t xml:space="preserve"> </w:t>
      </w:r>
      <w:r>
        <w:rPr>
          <w:w w:val="105"/>
        </w:rPr>
        <w:t>and</w:t>
      </w:r>
      <w:r>
        <w:rPr>
          <w:spacing w:val="-11"/>
          <w:w w:val="105"/>
        </w:rPr>
        <w:t xml:space="preserve"> </w:t>
      </w:r>
      <w:r>
        <w:rPr>
          <w:w w:val="105"/>
        </w:rPr>
        <w:t>for</w:t>
      </w:r>
      <w:r>
        <w:rPr>
          <w:spacing w:val="-10"/>
          <w:w w:val="105"/>
        </w:rPr>
        <w:t xml:space="preserve"> </w:t>
      </w:r>
      <w:r>
        <w:rPr>
          <w:w w:val="105"/>
        </w:rPr>
        <w:t>the</w:t>
      </w:r>
      <w:r>
        <w:rPr>
          <w:spacing w:val="-15"/>
          <w:w w:val="105"/>
        </w:rPr>
        <w:t xml:space="preserve"> </w:t>
      </w:r>
      <w:r>
        <w:rPr>
          <w:w w:val="105"/>
        </w:rPr>
        <w:t>full</w:t>
      </w:r>
      <w:r>
        <w:rPr>
          <w:spacing w:val="-13"/>
          <w:w w:val="105"/>
        </w:rPr>
        <w:t xml:space="preserve"> </w:t>
      </w:r>
      <w:r>
        <w:rPr>
          <w:w w:val="105"/>
        </w:rPr>
        <w:t>model</w:t>
      </w:r>
      <w:r>
        <w:rPr>
          <w:spacing w:val="-11"/>
          <w:w w:val="105"/>
        </w:rPr>
        <w:t xml:space="preserve"> </w:t>
      </w:r>
      <w:r>
        <w:rPr>
          <w:w w:val="105"/>
        </w:rPr>
        <w:t>8.92*10</w:t>
      </w:r>
      <w:r>
        <w:rPr>
          <w:w w:val="105"/>
          <w:position w:val="8"/>
          <w:sz w:val="16"/>
        </w:rPr>
        <w:t>9</w:t>
      </w:r>
      <w:r>
        <w:rPr>
          <w:w w:val="105"/>
        </w:rPr>
        <w:t>.</w:t>
      </w:r>
      <w:r>
        <w:rPr>
          <w:spacing w:val="37"/>
          <w:w w:val="105"/>
        </w:rPr>
        <w:t xml:space="preserve"> </w:t>
      </w:r>
      <w:r>
        <w:rPr>
          <w:w w:val="105"/>
        </w:rPr>
        <w:t>Therefore,</w:t>
      </w:r>
      <w:r>
        <w:rPr>
          <w:spacing w:val="-13"/>
          <w:w w:val="105"/>
        </w:rPr>
        <w:t xml:space="preserve"> </w:t>
      </w:r>
      <w:r>
        <w:rPr>
          <w:w w:val="105"/>
        </w:rPr>
        <w:t>the</w:t>
      </w:r>
      <w:r>
        <w:rPr>
          <w:spacing w:val="-11"/>
          <w:w w:val="105"/>
        </w:rPr>
        <w:t xml:space="preserve"> </w:t>
      </w:r>
      <w:r>
        <w:rPr>
          <w:w w:val="105"/>
        </w:rPr>
        <w:t>model</w:t>
      </w:r>
      <w:r>
        <w:rPr>
          <w:spacing w:val="-14"/>
          <w:w w:val="105"/>
        </w:rPr>
        <w:t xml:space="preserve"> </w:t>
      </w:r>
      <w:r>
        <w:rPr>
          <w:w w:val="105"/>
        </w:rPr>
        <w:t>with</w:t>
      </w:r>
      <w:r>
        <w:rPr>
          <w:spacing w:val="-15"/>
          <w:w w:val="105"/>
        </w:rPr>
        <w:t xml:space="preserve"> </w:t>
      </w:r>
      <w:r>
        <w:rPr>
          <w:w w:val="105"/>
        </w:rPr>
        <w:t>the</w:t>
      </w:r>
      <w:r>
        <w:rPr>
          <w:spacing w:val="-15"/>
          <w:w w:val="105"/>
        </w:rPr>
        <w:t xml:space="preserve"> </w:t>
      </w:r>
      <w:r>
        <w:rPr>
          <w:w w:val="105"/>
        </w:rPr>
        <w:t>highest Bayes factor was the on containing the main effect of task. Thus, crucially, there were no differences</w:t>
      </w:r>
      <w:r>
        <w:rPr>
          <w:spacing w:val="-8"/>
          <w:w w:val="105"/>
        </w:rPr>
        <w:t xml:space="preserve"> </w:t>
      </w:r>
      <w:r>
        <w:rPr>
          <w:w w:val="105"/>
        </w:rPr>
        <w:t>between</w:t>
      </w:r>
      <w:r>
        <w:rPr>
          <w:spacing w:val="-7"/>
          <w:w w:val="105"/>
        </w:rPr>
        <w:t xml:space="preserve"> </w:t>
      </w:r>
      <w:r>
        <w:rPr>
          <w:w w:val="105"/>
        </w:rPr>
        <w:t>the</w:t>
      </w:r>
      <w:r>
        <w:rPr>
          <w:spacing w:val="-8"/>
          <w:w w:val="105"/>
        </w:rPr>
        <w:t xml:space="preserve"> </w:t>
      </w:r>
      <w:r>
        <w:rPr>
          <w:w w:val="105"/>
        </w:rPr>
        <w:t>groups</w:t>
      </w:r>
      <w:r>
        <w:rPr>
          <w:spacing w:val="-7"/>
          <w:w w:val="105"/>
        </w:rPr>
        <w:t xml:space="preserve"> </w:t>
      </w:r>
      <w:r>
        <w:rPr>
          <w:w w:val="105"/>
        </w:rPr>
        <w:t>in</w:t>
      </w:r>
      <w:r>
        <w:rPr>
          <w:spacing w:val="-10"/>
          <w:w w:val="105"/>
        </w:rPr>
        <w:t xml:space="preserve"> </w:t>
      </w:r>
      <w:r>
        <w:rPr>
          <w:w w:val="105"/>
        </w:rPr>
        <w:t>terms</w:t>
      </w:r>
      <w:r>
        <w:rPr>
          <w:spacing w:val="-8"/>
          <w:w w:val="105"/>
        </w:rPr>
        <w:t xml:space="preserve"> </w:t>
      </w:r>
      <w:r>
        <w:rPr>
          <w:spacing w:val="-3"/>
          <w:w w:val="105"/>
        </w:rPr>
        <w:t>of</w:t>
      </w:r>
      <w:r>
        <w:rPr>
          <w:spacing w:val="-9"/>
          <w:w w:val="105"/>
        </w:rPr>
        <w:t xml:space="preserve"> </w:t>
      </w:r>
      <w:r>
        <w:rPr>
          <w:w w:val="105"/>
        </w:rPr>
        <w:t>either</w:t>
      </w:r>
      <w:r>
        <w:rPr>
          <w:spacing w:val="-9"/>
          <w:w w:val="105"/>
        </w:rPr>
        <w:t xml:space="preserve"> </w:t>
      </w:r>
      <w:r>
        <w:rPr>
          <w:w w:val="105"/>
        </w:rPr>
        <w:t>levels</w:t>
      </w:r>
      <w:r>
        <w:rPr>
          <w:spacing w:val="-8"/>
          <w:w w:val="105"/>
        </w:rPr>
        <w:t xml:space="preserve"> </w:t>
      </w:r>
      <w:r>
        <w:rPr>
          <w:w w:val="105"/>
        </w:rPr>
        <w:t>of</w:t>
      </w:r>
      <w:r>
        <w:rPr>
          <w:spacing w:val="-8"/>
          <w:w w:val="105"/>
        </w:rPr>
        <w:t xml:space="preserve"> </w:t>
      </w:r>
      <w:r>
        <w:rPr>
          <w:w w:val="105"/>
        </w:rPr>
        <w:t>ongoing</w:t>
      </w:r>
      <w:r>
        <w:rPr>
          <w:spacing w:val="-10"/>
          <w:w w:val="105"/>
        </w:rPr>
        <w:t xml:space="preserve"> </w:t>
      </w:r>
      <w:r>
        <w:rPr>
          <w:w w:val="105"/>
        </w:rPr>
        <w:t>task</w:t>
      </w:r>
      <w:r>
        <w:rPr>
          <w:spacing w:val="-7"/>
          <w:w w:val="105"/>
        </w:rPr>
        <w:t xml:space="preserve"> </w:t>
      </w:r>
      <w:r>
        <w:rPr>
          <w:w w:val="105"/>
        </w:rPr>
        <w:t>performance.</w:t>
      </w:r>
      <w:r>
        <w:rPr>
          <w:spacing w:val="45"/>
          <w:w w:val="105"/>
        </w:rPr>
        <w:t xml:space="preserve"> </w:t>
      </w:r>
      <w:r>
        <w:rPr>
          <w:w w:val="105"/>
        </w:rPr>
        <w:t>The visuospatial</w:t>
      </w:r>
      <w:r>
        <w:rPr>
          <w:spacing w:val="-16"/>
          <w:w w:val="105"/>
        </w:rPr>
        <w:t xml:space="preserve"> </w:t>
      </w:r>
      <w:r>
        <w:rPr>
          <w:w w:val="105"/>
        </w:rPr>
        <w:t>task</w:t>
      </w:r>
      <w:r>
        <w:rPr>
          <w:spacing w:val="-16"/>
          <w:w w:val="105"/>
        </w:rPr>
        <w:t xml:space="preserve"> </w:t>
      </w:r>
      <w:r>
        <w:rPr>
          <w:w w:val="105"/>
        </w:rPr>
        <w:t>appeared</w:t>
      </w:r>
      <w:r>
        <w:rPr>
          <w:spacing w:val="-16"/>
          <w:w w:val="105"/>
        </w:rPr>
        <w:t xml:space="preserve"> </w:t>
      </w:r>
      <w:r>
        <w:rPr>
          <w:w w:val="105"/>
        </w:rPr>
        <w:t>to</w:t>
      </w:r>
      <w:r>
        <w:rPr>
          <w:spacing w:val="-16"/>
          <w:w w:val="105"/>
        </w:rPr>
        <w:t xml:space="preserve"> </w:t>
      </w:r>
      <w:r>
        <w:rPr>
          <w:w w:val="105"/>
        </w:rPr>
        <w:t>be</w:t>
      </w:r>
      <w:r>
        <w:rPr>
          <w:spacing w:val="-16"/>
          <w:w w:val="105"/>
        </w:rPr>
        <w:t xml:space="preserve"> </w:t>
      </w:r>
      <w:r>
        <w:rPr>
          <w:w w:val="105"/>
        </w:rPr>
        <w:t>more</w:t>
      </w:r>
      <w:r>
        <w:rPr>
          <w:spacing w:val="-17"/>
          <w:w w:val="105"/>
        </w:rPr>
        <w:t xml:space="preserve"> </w:t>
      </w:r>
      <w:r>
        <w:rPr>
          <w:w w:val="105"/>
        </w:rPr>
        <w:t>demanding</w:t>
      </w:r>
      <w:r>
        <w:rPr>
          <w:spacing w:val="-20"/>
          <w:w w:val="105"/>
        </w:rPr>
        <w:t xml:space="preserve"> </w:t>
      </w:r>
      <w:r>
        <w:rPr>
          <w:w w:val="105"/>
        </w:rPr>
        <w:t>than</w:t>
      </w:r>
      <w:r>
        <w:rPr>
          <w:spacing w:val="-16"/>
          <w:w w:val="105"/>
        </w:rPr>
        <w:t xml:space="preserve"> </w:t>
      </w:r>
      <w:r>
        <w:rPr>
          <w:w w:val="105"/>
        </w:rPr>
        <w:t>the</w:t>
      </w:r>
      <w:r>
        <w:rPr>
          <w:spacing w:val="-16"/>
          <w:w w:val="105"/>
        </w:rPr>
        <w:t xml:space="preserve"> </w:t>
      </w:r>
      <w:r>
        <w:rPr>
          <w:w w:val="105"/>
        </w:rPr>
        <w:t>verbal</w:t>
      </w:r>
      <w:r>
        <w:rPr>
          <w:spacing w:val="-16"/>
          <w:w w:val="105"/>
        </w:rPr>
        <w:t xml:space="preserve"> </w:t>
      </w:r>
      <w:r>
        <w:rPr>
          <w:w w:val="105"/>
        </w:rPr>
        <w:t>task</w:t>
      </w:r>
      <w:r>
        <w:rPr>
          <w:spacing w:val="-16"/>
          <w:w w:val="105"/>
        </w:rPr>
        <w:t xml:space="preserve"> </w:t>
      </w:r>
      <w:r>
        <w:rPr>
          <w:w w:val="105"/>
        </w:rPr>
        <w:t>in</w:t>
      </w:r>
      <w:r>
        <w:rPr>
          <w:spacing w:val="-20"/>
          <w:w w:val="105"/>
        </w:rPr>
        <w:t xml:space="preserve"> </w:t>
      </w:r>
      <w:r>
        <w:rPr>
          <w:w w:val="105"/>
        </w:rPr>
        <w:t>both</w:t>
      </w:r>
      <w:r>
        <w:rPr>
          <w:spacing w:val="-19"/>
          <w:w w:val="105"/>
        </w:rPr>
        <w:t xml:space="preserve"> </w:t>
      </w:r>
      <w:r>
        <w:rPr>
          <w:w w:val="105"/>
        </w:rPr>
        <w:t>groups.</w:t>
      </w:r>
    </w:p>
    <w:p w14:paraId="1DB6D058" w14:textId="77777777" w:rsidR="00C75312" w:rsidRDefault="00BB293A">
      <w:pPr>
        <w:pStyle w:val="Heading1"/>
        <w:spacing w:before="109"/>
        <w:jc w:val="both"/>
      </w:pPr>
      <w:r>
        <w:t>PM performance</w:t>
      </w:r>
    </w:p>
    <w:p w14:paraId="096379E4" w14:textId="77777777" w:rsidR="00C75312" w:rsidRDefault="00C75312">
      <w:pPr>
        <w:pStyle w:val="BodyText"/>
        <w:rPr>
          <w:b/>
        </w:rPr>
      </w:pPr>
    </w:p>
    <w:p w14:paraId="4847E2F7" w14:textId="77777777" w:rsidR="00C75312" w:rsidRDefault="00BB293A">
      <w:pPr>
        <w:pStyle w:val="BodyText"/>
        <w:spacing w:line="482" w:lineRule="auto"/>
        <w:ind w:left="140" w:right="1433" w:firstLine="782"/>
        <w:jc w:val="both"/>
      </w:pPr>
      <w:r>
        <w:pict w14:anchorId="45F166F0">
          <v:shape id="_x0000_s2727" type="#_x0000_t202" style="position:absolute;left:0;text-align:left;margin-left:397.45pt;margin-top:88.65pt;width:5.3pt;height:9.85pt;z-index:-260577280;mso-position-horizontal-relative:page" filled="f" stroked="f">
            <v:textbox inset="0,0,0,0">
              <w:txbxContent>
                <w:p w14:paraId="60DA7367"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906E279">
          <v:shape id="_x0000_s2726" type="#_x0000_t202" style="position:absolute;left:0;text-align:left;margin-left:215.3pt;margin-top:118.2pt;width:5.3pt;height:9.85pt;z-index:-260576256;mso-position-horizontal-relative:page" filled="f" stroked="f">
            <v:textbox inset="0,0,0,0">
              <w:txbxContent>
                <w:p w14:paraId="47CC5812"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782B1B43">
          <v:shape id="_x0000_s2725" type="#_x0000_t202" style="position:absolute;left:0;text-align:left;margin-left:259.9pt;margin-top:147.95pt;width:5.3pt;height:9.85pt;z-index:-260575232;mso-position-horizontal-relative:page" filled="f" stroked="f">
            <v:textbox inset="0,0,0,0">
              <w:txbxContent>
                <w:p w14:paraId="2146022F"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Table</w:t>
      </w:r>
      <w:r>
        <w:rPr>
          <w:spacing w:val="-14"/>
          <w:w w:val="105"/>
        </w:rPr>
        <w:t xml:space="preserve"> </w:t>
      </w:r>
      <w:r>
        <w:rPr>
          <w:w w:val="105"/>
        </w:rPr>
        <w:t>10</w:t>
      </w:r>
      <w:r>
        <w:rPr>
          <w:spacing w:val="-9"/>
          <w:w w:val="105"/>
        </w:rPr>
        <w:t xml:space="preserve"> </w:t>
      </w:r>
      <w:r>
        <w:rPr>
          <w:w w:val="105"/>
        </w:rPr>
        <w:t>shows</w:t>
      </w:r>
      <w:r>
        <w:rPr>
          <w:spacing w:val="-11"/>
          <w:w w:val="105"/>
        </w:rPr>
        <w:t xml:space="preserve"> </w:t>
      </w:r>
      <w:r>
        <w:rPr>
          <w:w w:val="105"/>
        </w:rPr>
        <w:t>mean</w:t>
      </w:r>
      <w:r>
        <w:rPr>
          <w:spacing w:val="-13"/>
          <w:w w:val="105"/>
        </w:rPr>
        <w:t xml:space="preserve"> </w:t>
      </w:r>
      <w:r>
        <w:rPr>
          <w:w w:val="105"/>
        </w:rPr>
        <w:t>PM</w:t>
      </w:r>
      <w:r>
        <w:rPr>
          <w:spacing w:val="-11"/>
          <w:w w:val="105"/>
        </w:rPr>
        <w:t xml:space="preserve"> </w:t>
      </w:r>
      <w:r>
        <w:rPr>
          <w:w w:val="105"/>
        </w:rPr>
        <w:t>performance</w:t>
      </w:r>
      <w:r>
        <w:rPr>
          <w:spacing w:val="-13"/>
          <w:w w:val="105"/>
        </w:rPr>
        <w:t xml:space="preserve"> </w:t>
      </w:r>
      <w:r>
        <w:rPr>
          <w:w w:val="105"/>
        </w:rPr>
        <w:t>for</w:t>
      </w:r>
      <w:r>
        <w:rPr>
          <w:spacing w:val="-11"/>
          <w:w w:val="105"/>
        </w:rPr>
        <w:t xml:space="preserve"> </w:t>
      </w:r>
      <w:r>
        <w:rPr>
          <w:w w:val="105"/>
        </w:rPr>
        <w:t>each</w:t>
      </w:r>
      <w:r>
        <w:rPr>
          <w:spacing w:val="-13"/>
          <w:w w:val="105"/>
        </w:rPr>
        <w:t xml:space="preserve"> </w:t>
      </w:r>
      <w:r>
        <w:rPr>
          <w:w w:val="105"/>
        </w:rPr>
        <w:t>group</w:t>
      </w:r>
      <w:r>
        <w:rPr>
          <w:spacing w:val="-9"/>
          <w:w w:val="105"/>
        </w:rPr>
        <w:t xml:space="preserve"> </w:t>
      </w:r>
      <w:r>
        <w:rPr>
          <w:w w:val="105"/>
        </w:rPr>
        <w:t>and</w:t>
      </w:r>
      <w:r>
        <w:rPr>
          <w:spacing w:val="-13"/>
          <w:w w:val="105"/>
        </w:rPr>
        <w:t xml:space="preserve"> </w:t>
      </w:r>
      <w:r>
        <w:rPr>
          <w:w w:val="105"/>
        </w:rPr>
        <w:t>task.</w:t>
      </w:r>
      <w:r>
        <w:rPr>
          <w:spacing w:val="40"/>
          <w:w w:val="105"/>
        </w:rPr>
        <w:t xml:space="preserve"> </w:t>
      </w:r>
      <w:r>
        <w:rPr>
          <w:w w:val="105"/>
        </w:rPr>
        <w:t>PM</w:t>
      </w:r>
      <w:r>
        <w:rPr>
          <w:spacing w:val="-11"/>
          <w:w w:val="105"/>
        </w:rPr>
        <w:t xml:space="preserve"> </w:t>
      </w:r>
      <w:r>
        <w:rPr>
          <w:w w:val="105"/>
        </w:rPr>
        <w:t>proportion</w:t>
      </w:r>
      <w:r>
        <w:rPr>
          <w:spacing w:val="-12"/>
          <w:w w:val="105"/>
        </w:rPr>
        <w:t xml:space="preserve"> </w:t>
      </w:r>
      <w:r>
        <w:rPr>
          <w:w w:val="105"/>
        </w:rPr>
        <w:t>hit scores</w:t>
      </w:r>
      <w:r>
        <w:rPr>
          <w:spacing w:val="-32"/>
          <w:w w:val="105"/>
        </w:rPr>
        <w:t xml:space="preserve"> </w:t>
      </w:r>
      <w:r>
        <w:rPr>
          <w:w w:val="105"/>
        </w:rPr>
        <w:t>were</w:t>
      </w:r>
      <w:r>
        <w:rPr>
          <w:spacing w:val="-31"/>
          <w:w w:val="105"/>
        </w:rPr>
        <w:t xml:space="preserve"> </w:t>
      </w:r>
      <w:proofErr w:type="spellStart"/>
      <w:r>
        <w:rPr>
          <w:w w:val="105"/>
        </w:rPr>
        <w:t>analysed</w:t>
      </w:r>
      <w:proofErr w:type="spellEnd"/>
      <w:r>
        <w:rPr>
          <w:spacing w:val="-31"/>
          <w:w w:val="105"/>
        </w:rPr>
        <w:t xml:space="preserve"> </w:t>
      </w:r>
      <w:r>
        <w:rPr>
          <w:w w:val="105"/>
        </w:rPr>
        <w:t>using</w:t>
      </w:r>
      <w:r>
        <w:rPr>
          <w:spacing w:val="-30"/>
          <w:w w:val="105"/>
        </w:rPr>
        <w:t xml:space="preserve"> </w:t>
      </w:r>
      <w:r>
        <w:rPr>
          <w:w w:val="105"/>
        </w:rPr>
        <w:t>a</w:t>
      </w:r>
      <w:r>
        <w:rPr>
          <w:spacing w:val="-31"/>
          <w:w w:val="105"/>
        </w:rPr>
        <w:t xml:space="preserve"> </w:t>
      </w:r>
      <w:r>
        <w:rPr>
          <w:w w:val="105"/>
        </w:rPr>
        <w:t>2</w:t>
      </w:r>
      <w:r>
        <w:rPr>
          <w:spacing w:val="-28"/>
          <w:w w:val="105"/>
        </w:rPr>
        <w:t xml:space="preserve"> </w:t>
      </w:r>
      <w:r>
        <w:rPr>
          <w:w w:val="105"/>
        </w:rPr>
        <w:t>×</w:t>
      </w:r>
      <w:r>
        <w:rPr>
          <w:spacing w:val="-31"/>
          <w:w w:val="105"/>
        </w:rPr>
        <w:t xml:space="preserve"> </w:t>
      </w:r>
      <w:r>
        <w:rPr>
          <w:w w:val="105"/>
        </w:rPr>
        <w:t>2</w:t>
      </w:r>
      <w:r>
        <w:rPr>
          <w:spacing w:val="-31"/>
          <w:w w:val="105"/>
        </w:rPr>
        <w:t xml:space="preserve"> </w:t>
      </w:r>
      <w:r>
        <w:rPr>
          <w:w w:val="105"/>
        </w:rPr>
        <w:t>mixed</w:t>
      </w:r>
      <w:r>
        <w:rPr>
          <w:spacing w:val="-31"/>
          <w:w w:val="105"/>
        </w:rPr>
        <w:t xml:space="preserve"> </w:t>
      </w:r>
      <w:r>
        <w:rPr>
          <w:w w:val="105"/>
        </w:rPr>
        <w:t>ANOVA</w:t>
      </w:r>
      <w:r>
        <w:rPr>
          <w:spacing w:val="-31"/>
          <w:w w:val="105"/>
        </w:rPr>
        <w:t xml:space="preserve"> </w:t>
      </w:r>
      <w:r>
        <w:rPr>
          <w:w w:val="105"/>
        </w:rPr>
        <w:t>with</w:t>
      </w:r>
      <w:r>
        <w:rPr>
          <w:spacing w:val="-30"/>
          <w:w w:val="105"/>
        </w:rPr>
        <w:t xml:space="preserve"> </w:t>
      </w:r>
      <w:r>
        <w:rPr>
          <w:w w:val="105"/>
        </w:rPr>
        <w:t>group</w:t>
      </w:r>
      <w:r>
        <w:rPr>
          <w:spacing w:val="-31"/>
          <w:w w:val="105"/>
        </w:rPr>
        <w:t xml:space="preserve"> </w:t>
      </w:r>
      <w:r>
        <w:rPr>
          <w:w w:val="105"/>
        </w:rPr>
        <w:t>(ASD/NT)</w:t>
      </w:r>
      <w:r>
        <w:rPr>
          <w:spacing w:val="-29"/>
          <w:w w:val="105"/>
        </w:rPr>
        <w:t xml:space="preserve"> </w:t>
      </w:r>
      <w:r>
        <w:rPr>
          <w:w w:val="105"/>
        </w:rPr>
        <w:t>as</w:t>
      </w:r>
      <w:r>
        <w:rPr>
          <w:spacing w:val="-32"/>
          <w:w w:val="105"/>
        </w:rPr>
        <w:t xml:space="preserve"> </w:t>
      </w:r>
      <w:r>
        <w:rPr>
          <w:w w:val="105"/>
        </w:rPr>
        <w:t>between-subject factor</w:t>
      </w:r>
      <w:r>
        <w:rPr>
          <w:spacing w:val="-13"/>
          <w:w w:val="105"/>
        </w:rPr>
        <w:t xml:space="preserve"> </w:t>
      </w:r>
      <w:r>
        <w:rPr>
          <w:w w:val="105"/>
        </w:rPr>
        <w:t>and</w:t>
      </w:r>
      <w:r>
        <w:rPr>
          <w:spacing w:val="-17"/>
          <w:w w:val="105"/>
        </w:rPr>
        <w:t xml:space="preserve"> </w:t>
      </w:r>
      <w:r>
        <w:rPr>
          <w:w w:val="105"/>
        </w:rPr>
        <w:t>task</w:t>
      </w:r>
      <w:r>
        <w:rPr>
          <w:spacing w:val="-16"/>
          <w:w w:val="105"/>
        </w:rPr>
        <w:t xml:space="preserve"> </w:t>
      </w:r>
      <w:r>
        <w:rPr>
          <w:w w:val="105"/>
        </w:rPr>
        <w:t>(verbal/visuospatial)</w:t>
      </w:r>
      <w:r>
        <w:rPr>
          <w:spacing w:val="-16"/>
          <w:w w:val="105"/>
        </w:rPr>
        <w:t xml:space="preserve"> </w:t>
      </w:r>
      <w:r>
        <w:rPr>
          <w:w w:val="105"/>
        </w:rPr>
        <w:t>as</w:t>
      </w:r>
      <w:r>
        <w:rPr>
          <w:spacing w:val="-15"/>
          <w:w w:val="105"/>
        </w:rPr>
        <w:t xml:space="preserve"> </w:t>
      </w:r>
      <w:r>
        <w:rPr>
          <w:w w:val="105"/>
        </w:rPr>
        <w:t>within-subject</w:t>
      </w:r>
      <w:r>
        <w:rPr>
          <w:spacing w:val="-13"/>
          <w:w w:val="105"/>
        </w:rPr>
        <w:t xml:space="preserve"> </w:t>
      </w:r>
      <w:r>
        <w:rPr>
          <w:w w:val="105"/>
        </w:rPr>
        <w:t>factor.</w:t>
      </w:r>
      <w:r>
        <w:rPr>
          <w:spacing w:val="31"/>
          <w:w w:val="105"/>
        </w:rPr>
        <w:t xml:space="preserve"> </w:t>
      </w:r>
      <w:r>
        <w:rPr>
          <w:w w:val="105"/>
        </w:rPr>
        <w:t>For</w:t>
      </w:r>
      <w:r>
        <w:rPr>
          <w:spacing w:val="-15"/>
          <w:w w:val="105"/>
        </w:rPr>
        <w:t xml:space="preserve"> </w:t>
      </w:r>
      <w:r>
        <w:rPr>
          <w:w w:val="105"/>
        </w:rPr>
        <w:t>PM</w:t>
      </w:r>
      <w:r>
        <w:rPr>
          <w:spacing w:val="-18"/>
          <w:w w:val="105"/>
        </w:rPr>
        <w:t xml:space="preserve"> </w:t>
      </w:r>
      <w:r>
        <w:rPr>
          <w:w w:val="105"/>
        </w:rPr>
        <w:t>proportion</w:t>
      </w:r>
      <w:r>
        <w:rPr>
          <w:spacing w:val="-17"/>
          <w:w w:val="105"/>
        </w:rPr>
        <w:t xml:space="preserve"> </w:t>
      </w:r>
      <w:r>
        <w:rPr>
          <w:w w:val="105"/>
        </w:rPr>
        <w:t>hits,</w:t>
      </w:r>
      <w:r>
        <w:rPr>
          <w:spacing w:val="-15"/>
          <w:w w:val="105"/>
        </w:rPr>
        <w:t xml:space="preserve"> </w:t>
      </w:r>
      <w:r>
        <w:rPr>
          <w:w w:val="105"/>
        </w:rPr>
        <w:t xml:space="preserve">there </w:t>
      </w:r>
      <w:r>
        <w:rPr>
          <w:spacing w:val="-1"/>
          <w:position w:val="2"/>
        </w:rPr>
        <w:t>we</w:t>
      </w:r>
      <w:r>
        <w:rPr>
          <w:spacing w:val="1"/>
          <w:position w:val="2"/>
        </w:rPr>
        <w:t>r</w:t>
      </w:r>
      <w:r>
        <w:rPr>
          <w:position w:val="2"/>
        </w:rPr>
        <w:t>e</w:t>
      </w:r>
      <w:r>
        <w:rPr>
          <w:spacing w:val="1"/>
          <w:position w:val="2"/>
        </w:rPr>
        <w:t xml:space="preserve"> </w:t>
      </w:r>
      <w:r>
        <w:rPr>
          <w:position w:val="2"/>
        </w:rPr>
        <w:t>no</w:t>
      </w:r>
      <w:r>
        <w:rPr>
          <w:spacing w:val="2"/>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2"/>
          <w:position w:val="2"/>
        </w:rPr>
        <w:t xml:space="preserve"> </w:t>
      </w:r>
      <w:r>
        <w:rPr>
          <w:position w:val="2"/>
        </w:rPr>
        <w:t>m</w:t>
      </w:r>
      <w:r>
        <w:rPr>
          <w:spacing w:val="-1"/>
          <w:position w:val="2"/>
        </w:rPr>
        <w:t>a</w:t>
      </w:r>
      <w:r>
        <w:rPr>
          <w:position w:val="2"/>
        </w:rPr>
        <w:t>in</w:t>
      </w:r>
      <w:r>
        <w:rPr>
          <w:spacing w:val="2"/>
          <w:position w:val="2"/>
        </w:rPr>
        <w:t xml:space="preserve"> </w:t>
      </w:r>
      <w:r>
        <w:rPr>
          <w:spacing w:val="-6"/>
          <w:position w:val="2"/>
        </w:rPr>
        <w:t>e</w:t>
      </w:r>
      <w:r>
        <w:rPr>
          <w:spacing w:val="1"/>
          <w:position w:val="2"/>
        </w:rPr>
        <w:t>ff</w:t>
      </w:r>
      <w:r>
        <w:rPr>
          <w:spacing w:val="-1"/>
          <w:position w:val="2"/>
        </w:rPr>
        <w:t>ec</w:t>
      </w:r>
      <w:r>
        <w:rPr>
          <w:position w:val="2"/>
        </w:rPr>
        <w:t>ts of</w:t>
      </w:r>
      <w:r>
        <w:rPr>
          <w:spacing w:val="-1"/>
          <w:position w:val="2"/>
        </w:rPr>
        <w:t xml:space="preserve"> </w:t>
      </w:r>
      <w:r>
        <w:rPr>
          <w:position w:val="2"/>
        </w:rPr>
        <w:t>g</w:t>
      </w:r>
      <w:r>
        <w:rPr>
          <w:spacing w:val="1"/>
          <w:position w:val="2"/>
        </w:rPr>
        <w:t>r</w:t>
      </w:r>
      <w:r>
        <w:rPr>
          <w:position w:val="2"/>
        </w:rPr>
        <w:t>ou</w:t>
      </w:r>
      <w:r>
        <w:rPr>
          <w:spacing w:val="-5"/>
          <w:position w:val="2"/>
        </w:rPr>
        <w:t>p</w:t>
      </w:r>
      <w:r>
        <w:rPr>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38)</w:t>
      </w:r>
      <w:r>
        <w:rPr>
          <w:spacing w:val="-6"/>
          <w:position w:val="2"/>
        </w:rPr>
        <w:t xml:space="preserve"> </w:t>
      </w:r>
      <w:r>
        <w:rPr>
          <w:position w:val="2"/>
        </w:rPr>
        <w:t>=</w:t>
      </w:r>
      <w:r>
        <w:rPr>
          <w:spacing w:val="1"/>
          <w:position w:val="2"/>
        </w:rPr>
        <w:t xml:space="preserve"> </w:t>
      </w:r>
      <w:r>
        <w:rPr>
          <w:position w:val="2"/>
        </w:rPr>
        <w:t>0</w:t>
      </w:r>
      <w:r>
        <w:rPr>
          <w:spacing w:val="2"/>
          <w:position w:val="2"/>
        </w:rPr>
        <w:t>.</w:t>
      </w:r>
      <w:r>
        <w:rPr>
          <w:position w:val="2"/>
        </w:rPr>
        <w:t xml:space="preserve">09, </w:t>
      </w:r>
      <w:r>
        <w:rPr>
          <w:i/>
          <w:position w:val="2"/>
        </w:rPr>
        <w:t>p</w:t>
      </w:r>
      <w:r>
        <w:rPr>
          <w:i/>
          <w:spacing w:val="-3"/>
          <w:position w:val="2"/>
        </w:rPr>
        <w:t xml:space="preserve"> </w:t>
      </w:r>
      <w:r>
        <w:rPr>
          <w:position w:val="2"/>
        </w:rPr>
        <w:t>=</w:t>
      </w:r>
      <w:r>
        <w:rPr>
          <w:spacing w:val="-4"/>
          <w:position w:val="2"/>
        </w:rPr>
        <w:t xml:space="preserve"> </w:t>
      </w:r>
      <w:r>
        <w:rPr>
          <w:spacing w:val="2"/>
          <w:position w:val="2"/>
        </w:rPr>
        <w:t>.</w:t>
      </w:r>
      <w:r>
        <w:rPr>
          <w:position w:val="2"/>
        </w:rPr>
        <w:t>78,</w:t>
      </w:r>
      <w:r>
        <w:rPr>
          <w:spacing w:val="-5"/>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6"/>
          <w:position w:val="2"/>
        </w:rPr>
        <w:t xml:space="preserve"> </w:t>
      </w:r>
      <w:r>
        <w:rPr>
          <w:position w:val="2"/>
        </w:rPr>
        <w:t>=</w:t>
      </w:r>
      <w:r>
        <w:rPr>
          <w:spacing w:val="1"/>
          <w:position w:val="2"/>
        </w:rPr>
        <w:t xml:space="preserve"> </w:t>
      </w:r>
      <w:r>
        <w:rPr>
          <w:spacing w:val="2"/>
          <w:position w:val="2"/>
        </w:rPr>
        <w:t>.</w:t>
      </w:r>
      <w:r>
        <w:rPr>
          <w:position w:val="2"/>
        </w:rPr>
        <w:t>00</w:t>
      </w:r>
      <w:r>
        <w:rPr>
          <w:spacing w:val="-5"/>
          <w:position w:val="2"/>
        </w:rPr>
        <w:t>2</w:t>
      </w:r>
      <w:r>
        <w:rPr>
          <w:position w:val="2"/>
        </w:rPr>
        <w:t>,</w:t>
      </w:r>
      <w:r>
        <w:rPr>
          <w:spacing w:val="4"/>
          <w:position w:val="2"/>
        </w:rPr>
        <w:t xml:space="preserve"> </w:t>
      </w:r>
      <w:r>
        <w:rPr>
          <w:spacing w:val="-2"/>
          <w:position w:val="2"/>
        </w:rPr>
        <w:t>B</w:t>
      </w:r>
      <w:r>
        <w:rPr>
          <w:spacing w:val="-4"/>
          <w:position w:val="2"/>
        </w:rPr>
        <w:t>F</w:t>
      </w:r>
      <w:r>
        <w:rPr>
          <w:spacing w:val="2"/>
          <w:w w:val="97"/>
          <w:position w:val="2"/>
          <w:vertAlign w:val="subscript"/>
        </w:rPr>
        <w:t>1</w:t>
      </w:r>
      <w:r>
        <w:rPr>
          <w:w w:val="97"/>
          <w:position w:val="2"/>
          <w:vertAlign w:val="subscript"/>
        </w:rPr>
        <w:t>0</w:t>
      </w:r>
      <w:r>
        <w:rPr>
          <w:position w:val="2"/>
        </w:rPr>
        <w:t xml:space="preserve"> =</w:t>
      </w:r>
      <w:r>
        <w:rPr>
          <w:spacing w:val="1"/>
          <w:position w:val="2"/>
        </w:rPr>
        <w:t xml:space="preserve"> </w:t>
      </w:r>
      <w:r>
        <w:rPr>
          <w:spacing w:val="-5"/>
          <w:position w:val="2"/>
        </w:rPr>
        <w:t>0</w:t>
      </w:r>
      <w:r>
        <w:rPr>
          <w:spacing w:val="2"/>
          <w:position w:val="2"/>
        </w:rPr>
        <w:t>.</w:t>
      </w:r>
      <w:r>
        <w:rPr>
          <w:position w:val="2"/>
        </w:rPr>
        <w:t xml:space="preserve">28, </w:t>
      </w:r>
      <w:r>
        <w:rPr>
          <w:spacing w:val="-1"/>
          <w:position w:val="2"/>
        </w:rPr>
        <w:t>a</w:t>
      </w:r>
      <w:r>
        <w:rPr>
          <w:position w:val="2"/>
        </w:rPr>
        <w:t>nd t</w:t>
      </w:r>
      <w:r>
        <w:rPr>
          <w:spacing w:val="-1"/>
          <w:position w:val="2"/>
        </w:rPr>
        <w:t>a</w:t>
      </w:r>
      <w:r>
        <w:rPr>
          <w:spacing w:val="-3"/>
          <w:position w:val="2"/>
        </w:rPr>
        <w:t>s</w:t>
      </w:r>
      <w:r>
        <w:rPr>
          <w:position w:val="2"/>
        </w:rPr>
        <w:t>k</w:t>
      </w:r>
      <w:r>
        <w:rPr>
          <w:spacing w:val="-3"/>
          <w:position w:val="2"/>
        </w:rPr>
        <w:t xml:space="preserve"> </w:t>
      </w:r>
      <w:r>
        <w:rPr>
          <w:i/>
          <w:spacing w:val="2"/>
          <w:position w:val="2"/>
        </w:rPr>
        <w:t>F</w:t>
      </w:r>
      <w:r>
        <w:rPr>
          <w:spacing w:val="1"/>
          <w:position w:val="2"/>
        </w:rPr>
        <w:t>(</w:t>
      </w:r>
      <w:r>
        <w:rPr>
          <w:position w:val="2"/>
        </w:rPr>
        <w:t>1</w:t>
      </w:r>
      <w:r>
        <w:rPr>
          <w:spacing w:val="2"/>
          <w:position w:val="2"/>
        </w:rPr>
        <w:t>,</w:t>
      </w:r>
      <w:r>
        <w:rPr>
          <w:position w:val="2"/>
        </w:rPr>
        <w:t>38)</w:t>
      </w:r>
      <w:r>
        <w:rPr>
          <w:spacing w:val="-6"/>
          <w:position w:val="2"/>
        </w:rPr>
        <w:t xml:space="preserve"> </w:t>
      </w:r>
      <w:r>
        <w:rPr>
          <w:position w:val="2"/>
        </w:rPr>
        <w:t>=</w:t>
      </w:r>
      <w:r>
        <w:rPr>
          <w:spacing w:val="-4"/>
          <w:position w:val="2"/>
        </w:rPr>
        <w:t xml:space="preserve"> </w:t>
      </w:r>
      <w:r>
        <w:rPr>
          <w:position w:val="2"/>
        </w:rPr>
        <w:t>1</w:t>
      </w:r>
      <w:r>
        <w:rPr>
          <w:spacing w:val="2"/>
          <w:position w:val="2"/>
        </w:rPr>
        <w:t>.</w:t>
      </w:r>
      <w:r>
        <w:rPr>
          <w:position w:val="2"/>
        </w:rPr>
        <w:t>0</w:t>
      </w:r>
      <w:r>
        <w:rPr>
          <w:spacing w:val="-5"/>
          <w:position w:val="2"/>
        </w:rPr>
        <w:t>1</w:t>
      </w:r>
      <w:r>
        <w:rPr>
          <w:position w:val="2"/>
        </w:rPr>
        <w:t xml:space="preserve">, </w:t>
      </w:r>
      <w:r>
        <w:rPr>
          <w:i/>
          <w:position w:val="2"/>
        </w:rPr>
        <w:t>p</w:t>
      </w:r>
      <w:r>
        <w:rPr>
          <w:i/>
          <w:spacing w:val="-3"/>
          <w:position w:val="2"/>
        </w:rPr>
        <w:t xml:space="preserve"> </w:t>
      </w:r>
      <w:r>
        <w:rPr>
          <w:position w:val="2"/>
        </w:rPr>
        <w:t>=</w:t>
      </w:r>
      <w:r>
        <w:rPr>
          <w:spacing w:val="-9"/>
          <w:position w:val="2"/>
        </w:rPr>
        <w:t xml:space="preserve"> </w:t>
      </w:r>
      <w:r>
        <w:rPr>
          <w:spacing w:val="2"/>
          <w:position w:val="2"/>
        </w:rPr>
        <w:t>.</w:t>
      </w:r>
      <w:r>
        <w:rPr>
          <w:position w:val="2"/>
        </w:rPr>
        <w:t>32,</w:t>
      </w:r>
      <w:r>
        <w:rPr>
          <w:spacing w:val="-5"/>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spacing w:val="22"/>
          <w:position w:val="2"/>
        </w:rPr>
        <w:t xml:space="preserve"> </w:t>
      </w:r>
      <w:r>
        <w:rPr>
          <w:position w:val="2"/>
        </w:rPr>
        <w:t>=</w:t>
      </w:r>
      <w:r>
        <w:rPr>
          <w:spacing w:val="-4"/>
          <w:position w:val="2"/>
        </w:rPr>
        <w:t xml:space="preserve"> </w:t>
      </w:r>
      <w:r>
        <w:rPr>
          <w:spacing w:val="2"/>
          <w:position w:val="2"/>
        </w:rPr>
        <w:t>.</w:t>
      </w:r>
      <w:r>
        <w:rPr>
          <w:position w:val="2"/>
        </w:rPr>
        <w:t>0</w:t>
      </w:r>
      <w:r>
        <w:rPr>
          <w:spacing w:val="-5"/>
          <w:position w:val="2"/>
        </w:rPr>
        <w:t>3</w:t>
      </w:r>
      <w:r>
        <w:rPr>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5"/>
          <w:position w:val="2"/>
        </w:rPr>
        <w:t xml:space="preserve"> </w:t>
      </w:r>
      <w:r>
        <w:rPr>
          <w:position w:val="2"/>
        </w:rPr>
        <w:t>=</w:t>
      </w:r>
      <w:r>
        <w:rPr>
          <w:spacing w:val="-4"/>
          <w:position w:val="2"/>
        </w:rPr>
        <w:t xml:space="preserve"> </w:t>
      </w:r>
      <w:r>
        <w:rPr>
          <w:position w:val="2"/>
        </w:rPr>
        <w:t>0</w:t>
      </w:r>
      <w:r>
        <w:rPr>
          <w:spacing w:val="2"/>
          <w:position w:val="2"/>
        </w:rPr>
        <w:t>.</w:t>
      </w:r>
      <w:r>
        <w:rPr>
          <w:position w:val="2"/>
        </w:rPr>
        <w:t>4</w:t>
      </w:r>
      <w:r>
        <w:rPr>
          <w:spacing w:val="-5"/>
          <w:position w:val="2"/>
        </w:rPr>
        <w:t>3</w:t>
      </w:r>
      <w:r>
        <w:rPr>
          <w:position w:val="2"/>
        </w:rPr>
        <w:t xml:space="preserve">. </w:t>
      </w:r>
      <w:r>
        <w:rPr>
          <w:spacing w:val="-8"/>
          <w:position w:val="2"/>
        </w:rPr>
        <w:t xml:space="preserve"> </w:t>
      </w:r>
      <w:r>
        <w:rPr>
          <w:spacing w:val="-3"/>
          <w:position w:val="2"/>
        </w:rPr>
        <w:t>T</w:t>
      </w:r>
      <w:r>
        <w:rPr>
          <w:position w:val="2"/>
        </w:rPr>
        <w:t>he</w:t>
      </w:r>
      <w:r>
        <w:rPr>
          <w:spacing w:val="-4"/>
          <w:position w:val="2"/>
        </w:rPr>
        <w:t xml:space="preserve"> </w:t>
      </w:r>
      <w:r>
        <w:rPr>
          <w:spacing w:val="-1"/>
          <w:position w:val="2"/>
        </w:rPr>
        <w:t>G</w:t>
      </w:r>
      <w:r>
        <w:rPr>
          <w:spacing w:val="1"/>
          <w:position w:val="2"/>
        </w:rPr>
        <w:t>r</w:t>
      </w:r>
      <w:r>
        <w:rPr>
          <w:position w:val="2"/>
        </w:rPr>
        <w:t>oup</w:t>
      </w:r>
      <w:r>
        <w:rPr>
          <w:spacing w:val="-3"/>
          <w:position w:val="2"/>
        </w:rPr>
        <w:t xml:space="preserve"> </w:t>
      </w:r>
      <w:r>
        <w:rPr>
          <w:position w:val="2"/>
        </w:rPr>
        <w:t>×</w:t>
      </w:r>
      <w:r>
        <w:rPr>
          <w:spacing w:val="-4"/>
          <w:position w:val="2"/>
        </w:rPr>
        <w:t xml:space="preserve"> </w:t>
      </w:r>
      <w:r>
        <w:rPr>
          <w:spacing w:val="2"/>
          <w:position w:val="2"/>
        </w:rPr>
        <w:t>T</w:t>
      </w:r>
      <w:r>
        <w:rPr>
          <w:spacing w:val="-1"/>
          <w:position w:val="2"/>
        </w:rPr>
        <w:t>a</w:t>
      </w:r>
      <w:r>
        <w:rPr>
          <w:spacing w:val="-3"/>
          <w:position w:val="2"/>
        </w:rPr>
        <w:t>s</w:t>
      </w:r>
      <w:r>
        <w:rPr>
          <w:position w:val="2"/>
        </w:rPr>
        <w:t>k</w:t>
      </w:r>
      <w:r>
        <w:rPr>
          <w:spacing w:val="-3"/>
          <w:position w:val="2"/>
        </w:rPr>
        <w:t xml:space="preserve"> </w:t>
      </w:r>
      <w:r>
        <w:rPr>
          <w:position w:val="2"/>
        </w:rPr>
        <w:t>int</w:t>
      </w:r>
      <w:r>
        <w:rPr>
          <w:spacing w:val="-1"/>
          <w:position w:val="2"/>
        </w:rPr>
        <w:t>e</w:t>
      </w:r>
      <w:r>
        <w:rPr>
          <w:spacing w:val="1"/>
          <w:position w:val="2"/>
        </w:rPr>
        <w:t>r</w:t>
      </w:r>
      <w:r>
        <w:rPr>
          <w:spacing w:val="-1"/>
          <w:position w:val="2"/>
        </w:rPr>
        <w:t>ac</w:t>
      </w:r>
      <w:r>
        <w:rPr>
          <w:position w:val="2"/>
        </w:rPr>
        <w:t>tion</w:t>
      </w:r>
      <w:r>
        <w:rPr>
          <w:spacing w:val="-3"/>
          <w:position w:val="2"/>
        </w:rPr>
        <w:t xml:space="preserve"> </w:t>
      </w:r>
      <w:r>
        <w:rPr>
          <w:spacing w:val="-1"/>
          <w:position w:val="2"/>
        </w:rPr>
        <w:t>wa</w:t>
      </w:r>
      <w:r>
        <w:rPr>
          <w:position w:val="2"/>
        </w:rPr>
        <w:t>s</w:t>
      </w:r>
      <w:r>
        <w:rPr>
          <w:spacing w:val="-5"/>
          <w:position w:val="2"/>
        </w:rPr>
        <w:t xml:space="preserve"> </w:t>
      </w:r>
      <w:r>
        <w:rPr>
          <w:spacing w:val="-1"/>
          <w:position w:val="2"/>
        </w:rPr>
        <w:t>a</w:t>
      </w:r>
      <w:r>
        <w:rPr>
          <w:position w:val="2"/>
        </w:rPr>
        <w:t>l</w:t>
      </w:r>
      <w:r>
        <w:rPr>
          <w:spacing w:val="-3"/>
          <w:position w:val="2"/>
        </w:rPr>
        <w:t>s</w:t>
      </w:r>
      <w:r>
        <w:rPr>
          <w:position w:val="2"/>
        </w:rPr>
        <w:t>o</w:t>
      </w:r>
      <w:r>
        <w:rPr>
          <w:spacing w:val="-3"/>
          <w:position w:val="2"/>
        </w:rPr>
        <w:t xml:space="preserve"> </w:t>
      </w:r>
      <w:r>
        <w:rPr>
          <w:position w:val="2"/>
        </w:rPr>
        <w:t xml:space="preserve">not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9"/>
          <w:position w:val="2"/>
        </w:rPr>
        <w:t xml:space="preserve"> </w:t>
      </w:r>
      <w:r>
        <w:rPr>
          <w:i/>
          <w:spacing w:val="2"/>
          <w:position w:val="2"/>
        </w:rPr>
        <w:t>F</w:t>
      </w:r>
      <w:r>
        <w:rPr>
          <w:spacing w:val="1"/>
          <w:position w:val="2"/>
        </w:rPr>
        <w:t>(</w:t>
      </w:r>
      <w:r>
        <w:rPr>
          <w:position w:val="2"/>
        </w:rPr>
        <w:t>1</w:t>
      </w:r>
      <w:r>
        <w:rPr>
          <w:spacing w:val="2"/>
          <w:position w:val="2"/>
        </w:rPr>
        <w:t>,</w:t>
      </w:r>
      <w:r>
        <w:rPr>
          <w:position w:val="2"/>
        </w:rPr>
        <w:t>3</w:t>
      </w:r>
      <w:r>
        <w:rPr>
          <w:spacing w:val="-5"/>
          <w:position w:val="2"/>
        </w:rPr>
        <w:t>8</w:t>
      </w:r>
      <w:r>
        <w:rPr>
          <w:position w:val="2"/>
        </w:rPr>
        <w:t>)</w:t>
      </w:r>
      <w:r>
        <w:rPr>
          <w:spacing w:val="13"/>
          <w:position w:val="2"/>
        </w:rPr>
        <w:t xml:space="preserve"> </w:t>
      </w:r>
      <w:r>
        <w:rPr>
          <w:position w:val="2"/>
        </w:rPr>
        <w:t>=</w:t>
      </w:r>
      <w:r>
        <w:rPr>
          <w:spacing w:val="6"/>
          <w:position w:val="2"/>
        </w:rPr>
        <w:t xml:space="preserve"> </w:t>
      </w:r>
      <w:r>
        <w:rPr>
          <w:position w:val="2"/>
        </w:rPr>
        <w:t>0</w:t>
      </w:r>
      <w:r>
        <w:rPr>
          <w:spacing w:val="2"/>
          <w:position w:val="2"/>
        </w:rPr>
        <w:t>.</w:t>
      </w:r>
      <w:r>
        <w:rPr>
          <w:position w:val="2"/>
        </w:rPr>
        <w:t>8</w:t>
      </w:r>
      <w:r>
        <w:rPr>
          <w:spacing w:val="-5"/>
          <w:position w:val="2"/>
        </w:rPr>
        <w:t>5</w:t>
      </w:r>
      <w:r>
        <w:rPr>
          <w:position w:val="2"/>
        </w:rPr>
        <w:t>,</w:t>
      </w:r>
      <w:r>
        <w:rPr>
          <w:spacing w:val="14"/>
          <w:position w:val="2"/>
        </w:rPr>
        <w:t xml:space="preserve"> </w:t>
      </w:r>
      <w:r>
        <w:rPr>
          <w:i/>
          <w:position w:val="2"/>
        </w:rPr>
        <w:t>p</w:t>
      </w:r>
      <w:r>
        <w:rPr>
          <w:i/>
          <w:spacing w:val="7"/>
          <w:position w:val="2"/>
        </w:rPr>
        <w:t xml:space="preserve"> </w:t>
      </w:r>
      <w:r>
        <w:rPr>
          <w:position w:val="2"/>
        </w:rPr>
        <w:t>=</w:t>
      </w:r>
      <w:r>
        <w:rPr>
          <w:spacing w:val="6"/>
          <w:position w:val="2"/>
        </w:rPr>
        <w:t xml:space="preserve"> </w:t>
      </w:r>
      <w:r>
        <w:rPr>
          <w:position w:val="2"/>
        </w:rPr>
        <w:t>0</w:t>
      </w:r>
      <w:r>
        <w:rPr>
          <w:spacing w:val="2"/>
          <w:position w:val="2"/>
        </w:rPr>
        <w:t>.</w:t>
      </w:r>
      <w:r>
        <w:rPr>
          <w:position w:val="2"/>
        </w:rPr>
        <w:t>3</w:t>
      </w:r>
      <w:r>
        <w:rPr>
          <w:spacing w:val="-5"/>
          <w:position w:val="2"/>
        </w:rPr>
        <w:t>6</w:t>
      </w:r>
      <w:r>
        <w:rPr>
          <w:position w:val="2"/>
        </w:rPr>
        <w:t>,</w:t>
      </w:r>
      <w:r>
        <w:rPr>
          <w:spacing w:val="9"/>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6"/>
          <w:position w:val="2"/>
        </w:rPr>
        <w:t xml:space="preserve"> </w:t>
      </w:r>
      <w:r>
        <w:rPr>
          <w:position w:val="2"/>
        </w:rPr>
        <w:t>=</w:t>
      </w:r>
      <w:r>
        <w:rPr>
          <w:spacing w:val="6"/>
          <w:position w:val="2"/>
        </w:rPr>
        <w:t xml:space="preserve"> </w:t>
      </w:r>
      <w:r>
        <w:rPr>
          <w:spacing w:val="2"/>
          <w:position w:val="2"/>
        </w:rPr>
        <w:t>.</w:t>
      </w:r>
      <w:r>
        <w:rPr>
          <w:position w:val="2"/>
        </w:rPr>
        <w:t>02,</w:t>
      </w:r>
      <w:r>
        <w:rPr>
          <w:spacing w:val="9"/>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4"/>
          <w:position w:val="2"/>
        </w:rPr>
        <w:t xml:space="preserve"> </w:t>
      </w:r>
      <w:r>
        <w:rPr>
          <w:position w:val="2"/>
        </w:rPr>
        <w:t>=</w:t>
      </w:r>
      <w:r>
        <w:rPr>
          <w:spacing w:val="11"/>
          <w:position w:val="2"/>
        </w:rPr>
        <w:t xml:space="preserve"> </w:t>
      </w:r>
      <w:r>
        <w:rPr>
          <w:position w:val="2"/>
        </w:rPr>
        <w:t>0</w:t>
      </w:r>
      <w:r>
        <w:rPr>
          <w:spacing w:val="2"/>
          <w:position w:val="2"/>
        </w:rPr>
        <w:t>.</w:t>
      </w:r>
      <w:r>
        <w:rPr>
          <w:position w:val="2"/>
        </w:rPr>
        <w:t xml:space="preserve">50. </w:t>
      </w:r>
      <w:r>
        <w:rPr>
          <w:spacing w:val="16"/>
          <w:position w:val="2"/>
        </w:rPr>
        <w:t xml:space="preserve"> </w:t>
      </w:r>
      <w:r>
        <w:rPr>
          <w:spacing w:val="2"/>
          <w:position w:val="2"/>
        </w:rPr>
        <w:t>T</w:t>
      </w:r>
      <w:r>
        <w:rPr>
          <w:position w:val="2"/>
        </w:rPr>
        <w:t>he</w:t>
      </w:r>
      <w:r>
        <w:rPr>
          <w:spacing w:val="6"/>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15"/>
          <w:position w:val="2"/>
        </w:rPr>
        <w:t xml:space="preserve"> </w:t>
      </w:r>
      <w:r>
        <w:rPr>
          <w:spacing w:val="1"/>
          <w:position w:val="2"/>
        </w:rPr>
        <w:t>f</w:t>
      </w:r>
      <w:r>
        <w:rPr>
          <w:position w:val="2"/>
        </w:rPr>
        <w:t>or</w:t>
      </w:r>
      <w:r>
        <w:rPr>
          <w:spacing w:val="8"/>
          <w:position w:val="2"/>
        </w:rPr>
        <w:t xml:space="preserve"> </w:t>
      </w:r>
      <w:r>
        <w:rPr>
          <w:position w:val="2"/>
        </w:rPr>
        <w:t>the</w:t>
      </w:r>
      <w:r>
        <w:rPr>
          <w:spacing w:val="11"/>
          <w:position w:val="2"/>
        </w:rPr>
        <w:t xml:space="preserve"> </w:t>
      </w:r>
      <w:r>
        <w:rPr>
          <w:spacing w:val="-1"/>
          <w:position w:val="2"/>
        </w:rPr>
        <w:t>a</w:t>
      </w:r>
      <w:r>
        <w:rPr>
          <w:position w:val="2"/>
        </w:rPr>
        <w:t>ddi</w:t>
      </w:r>
      <w:r>
        <w:rPr>
          <w:spacing w:val="-5"/>
          <w:position w:val="2"/>
        </w:rPr>
        <w:t>t</w:t>
      </w:r>
      <w:r>
        <w:rPr>
          <w:position w:val="2"/>
        </w:rPr>
        <w:t>ive</w:t>
      </w:r>
      <w:r>
        <w:rPr>
          <w:spacing w:val="11"/>
          <w:position w:val="2"/>
        </w:rPr>
        <w:t xml:space="preserve"> </w:t>
      </w:r>
      <w:r>
        <w:rPr>
          <w:position w:val="2"/>
        </w:rPr>
        <w:t>mod</w:t>
      </w:r>
      <w:r>
        <w:rPr>
          <w:spacing w:val="-1"/>
          <w:position w:val="2"/>
        </w:rPr>
        <w:t>e</w:t>
      </w:r>
      <w:r>
        <w:rPr>
          <w:position w:val="2"/>
        </w:rPr>
        <w:t xml:space="preserve">l </w:t>
      </w:r>
      <w:r>
        <w:rPr>
          <w:w w:val="105"/>
        </w:rPr>
        <w:t>was 0.10 and for the full model 0.05.</w:t>
      </w:r>
      <w:r>
        <w:rPr>
          <w:spacing w:val="3"/>
          <w:w w:val="105"/>
        </w:rPr>
        <w:t xml:space="preserve"> </w:t>
      </w:r>
      <w:r>
        <w:rPr>
          <w:w w:val="105"/>
        </w:rPr>
        <w:t>This indicates that the pattern of results (no main or interaction</w:t>
      </w:r>
      <w:r>
        <w:rPr>
          <w:spacing w:val="-38"/>
          <w:w w:val="105"/>
        </w:rPr>
        <w:t xml:space="preserve"> </w:t>
      </w:r>
      <w:r>
        <w:rPr>
          <w:w w:val="105"/>
        </w:rPr>
        <w:t>effects)</w:t>
      </w:r>
      <w:r>
        <w:rPr>
          <w:spacing w:val="-37"/>
          <w:w w:val="105"/>
        </w:rPr>
        <w:t xml:space="preserve"> </w:t>
      </w:r>
      <w:r>
        <w:rPr>
          <w:w w:val="105"/>
        </w:rPr>
        <w:t>is</w:t>
      </w:r>
      <w:r>
        <w:rPr>
          <w:spacing w:val="-39"/>
          <w:w w:val="105"/>
        </w:rPr>
        <w:t xml:space="preserve"> </w:t>
      </w:r>
      <w:r>
        <w:rPr>
          <w:w w:val="105"/>
        </w:rPr>
        <w:t>20</w:t>
      </w:r>
      <w:r>
        <w:rPr>
          <w:spacing w:val="-39"/>
          <w:w w:val="105"/>
        </w:rPr>
        <w:t xml:space="preserve"> </w:t>
      </w:r>
      <w:r>
        <w:rPr>
          <w:w w:val="105"/>
        </w:rPr>
        <w:t>times</w:t>
      </w:r>
      <w:r>
        <w:rPr>
          <w:spacing w:val="-39"/>
          <w:w w:val="105"/>
        </w:rPr>
        <w:t xml:space="preserve"> </w:t>
      </w:r>
      <w:r>
        <w:rPr>
          <w:w w:val="105"/>
        </w:rPr>
        <w:t>(1</w:t>
      </w:r>
      <w:r>
        <w:rPr>
          <w:spacing w:val="-38"/>
          <w:w w:val="105"/>
        </w:rPr>
        <w:t xml:space="preserve"> </w:t>
      </w:r>
      <w:r>
        <w:rPr>
          <w:w w:val="105"/>
        </w:rPr>
        <w:t>divided</w:t>
      </w:r>
      <w:r>
        <w:rPr>
          <w:spacing w:val="-37"/>
          <w:w w:val="105"/>
        </w:rPr>
        <w:t xml:space="preserve"> </w:t>
      </w:r>
      <w:r>
        <w:rPr>
          <w:w w:val="105"/>
        </w:rPr>
        <w:t>by</w:t>
      </w:r>
      <w:r>
        <w:rPr>
          <w:spacing w:val="-38"/>
          <w:w w:val="105"/>
        </w:rPr>
        <w:t xml:space="preserve"> </w:t>
      </w:r>
      <w:r>
        <w:rPr>
          <w:w w:val="105"/>
        </w:rPr>
        <w:t>0.05)</w:t>
      </w:r>
      <w:r>
        <w:rPr>
          <w:spacing w:val="-39"/>
          <w:w w:val="105"/>
        </w:rPr>
        <w:t xml:space="preserve"> </w:t>
      </w:r>
      <w:r>
        <w:rPr>
          <w:w w:val="105"/>
        </w:rPr>
        <w:t>more</w:t>
      </w:r>
      <w:r>
        <w:rPr>
          <w:spacing w:val="-38"/>
          <w:w w:val="105"/>
        </w:rPr>
        <w:t xml:space="preserve"> </w:t>
      </w:r>
      <w:r>
        <w:rPr>
          <w:w w:val="105"/>
        </w:rPr>
        <w:t>likely</w:t>
      </w:r>
      <w:r>
        <w:rPr>
          <w:spacing w:val="-38"/>
          <w:w w:val="105"/>
        </w:rPr>
        <w:t xml:space="preserve"> </w:t>
      </w:r>
      <w:r>
        <w:rPr>
          <w:w w:val="105"/>
        </w:rPr>
        <w:t>under</w:t>
      </w:r>
      <w:r>
        <w:rPr>
          <w:spacing w:val="-39"/>
          <w:w w:val="105"/>
        </w:rPr>
        <w:t xml:space="preserve"> </w:t>
      </w:r>
      <w:r>
        <w:rPr>
          <w:w w:val="105"/>
        </w:rPr>
        <w:t>the</w:t>
      </w:r>
      <w:r>
        <w:rPr>
          <w:spacing w:val="-38"/>
          <w:w w:val="105"/>
        </w:rPr>
        <w:t xml:space="preserve"> </w:t>
      </w:r>
      <w:r>
        <w:rPr>
          <w:w w:val="105"/>
        </w:rPr>
        <w:t>null</w:t>
      </w:r>
      <w:r>
        <w:rPr>
          <w:spacing w:val="-40"/>
          <w:w w:val="105"/>
        </w:rPr>
        <w:t xml:space="preserve"> </w:t>
      </w:r>
      <w:r>
        <w:rPr>
          <w:w w:val="105"/>
        </w:rPr>
        <w:t>hypothesis.</w:t>
      </w:r>
      <w:r>
        <w:rPr>
          <w:spacing w:val="-13"/>
          <w:w w:val="105"/>
        </w:rPr>
        <w:t xml:space="preserve"> </w:t>
      </w:r>
      <w:r>
        <w:rPr>
          <w:w w:val="105"/>
        </w:rPr>
        <w:t>Thus, there</w:t>
      </w:r>
      <w:r>
        <w:rPr>
          <w:spacing w:val="-8"/>
          <w:w w:val="105"/>
        </w:rPr>
        <w:t xml:space="preserve"> </w:t>
      </w:r>
      <w:r>
        <w:rPr>
          <w:w w:val="105"/>
        </w:rPr>
        <w:t>were</w:t>
      </w:r>
      <w:r>
        <w:rPr>
          <w:spacing w:val="-7"/>
          <w:w w:val="105"/>
        </w:rPr>
        <w:t xml:space="preserve"> </w:t>
      </w:r>
      <w:r>
        <w:rPr>
          <w:w w:val="105"/>
        </w:rPr>
        <w:t>clearly</w:t>
      </w:r>
      <w:r>
        <w:rPr>
          <w:spacing w:val="-10"/>
          <w:w w:val="105"/>
        </w:rPr>
        <w:t xml:space="preserve"> </w:t>
      </w:r>
      <w:r>
        <w:rPr>
          <w:w w:val="105"/>
        </w:rPr>
        <w:t>no</w:t>
      </w:r>
      <w:r>
        <w:rPr>
          <w:spacing w:val="-7"/>
          <w:w w:val="105"/>
        </w:rPr>
        <w:t xml:space="preserve"> </w:t>
      </w:r>
      <w:r>
        <w:rPr>
          <w:w w:val="105"/>
        </w:rPr>
        <w:t>differences</w:t>
      </w:r>
      <w:r>
        <w:rPr>
          <w:spacing w:val="-8"/>
          <w:w w:val="105"/>
        </w:rPr>
        <w:t xml:space="preserve"> </w:t>
      </w:r>
      <w:r>
        <w:rPr>
          <w:w w:val="105"/>
        </w:rPr>
        <w:t>between</w:t>
      </w:r>
      <w:r>
        <w:rPr>
          <w:spacing w:val="-7"/>
          <w:w w:val="105"/>
        </w:rPr>
        <w:t xml:space="preserve"> </w:t>
      </w:r>
      <w:r>
        <w:rPr>
          <w:w w:val="105"/>
        </w:rPr>
        <w:t>groups</w:t>
      </w:r>
      <w:r>
        <w:rPr>
          <w:spacing w:val="-12"/>
          <w:w w:val="105"/>
        </w:rPr>
        <w:t xml:space="preserve"> </w:t>
      </w:r>
      <w:r>
        <w:rPr>
          <w:w w:val="105"/>
        </w:rPr>
        <w:t>in</w:t>
      </w:r>
      <w:r>
        <w:rPr>
          <w:spacing w:val="-6"/>
          <w:w w:val="105"/>
        </w:rPr>
        <w:t xml:space="preserve"> </w:t>
      </w:r>
      <w:r>
        <w:rPr>
          <w:w w:val="105"/>
        </w:rPr>
        <w:t>terms</w:t>
      </w:r>
      <w:r>
        <w:rPr>
          <w:spacing w:val="-9"/>
          <w:w w:val="105"/>
        </w:rPr>
        <w:t xml:space="preserve"> </w:t>
      </w:r>
      <w:r>
        <w:rPr>
          <w:w w:val="105"/>
        </w:rPr>
        <w:t>of</w:t>
      </w:r>
      <w:r>
        <w:rPr>
          <w:spacing w:val="-8"/>
          <w:w w:val="105"/>
        </w:rPr>
        <w:t xml:space="preserve"> </w:t>
      </w:r>
      <w:r>
        <w:rPr>
          <w:w w:val="105"/>
        </w:rPr>
        <w:t>levels</w:t>
      </w:r>
      <w:r>
        <w:rPr>
          <w:spacing w:val="-8"/>
          <w:w w:val="105"/>
        </w:rPr>
        <w:t xml:space="preserve"> </w:t>
      </w:r>
      <w:r>
        <w:rPr>
          <w:w w:val="105"/>
        </w:rPr>
        <w:t>or</w:t>
      </w:r>
      <w:r>
        <w:rPr>
          <w:spacing w:val="-9"/>
          <w:w w:val="105"/>
        </w:rPr>
        <w:t xml:space="preserve"> </w:t>
      </w:r>
      <w:r>
        <w:rPr>
          <w:w w:val="105"/>
        </w:rPr>
        <w:t>patterns</w:t>
      </w:r>
      <w:r>
        <w:rPr>
          <w:spacing w:val="-8"/>
          <w:w w:val="105"/>
        </w:rPr>
        <w:t xml:space="preserve"> </w:t>
      </w:r>
      <w:r>
        <w:rPr>
          <w:w w:val="105"/>
        </w:rPr>
        <w:t>of</w:t>
      </w:r>
      <w:r>
        <w:rPr>
          <w:spacing w:val="-9"/>
          <w:w w:val="105"/>
        </w:rPr>
        <w:t xml:space="preserve"> </w:t>
      </w:r>
      <w:r>
        <w:rPr>
          <w:w w:val="105"/>
        </w:rPr>
        <w:t>accuracy across PM</w:t>
      </w:r>
      <w:r>
        <w:rPr>
          <w:spacing w:val="-8"/>
          <w:w w:val="105"/>
        </w:rPr>
        <w:t xml:space="preserve"> </w:t>
      </w:r>
      <w:r>
        <w:rPr>
          <w:w w:val="105"/>
        </w:rPr>
        <w:t>tasks.</w:t>
      </w:r>
    </w:p>
    <w:p w14:paraId="08DAEDFB" w14:textId="77777777" w:rsidR="00C75312" w:rsidRDefault="00BB293A">
      <w:pPr>
        <w:spacing w:before="119"/>
        <w:ind w:left="140" w:right="1835"/>
        <w:rPr>
          <w:i/>
          <w:sz w:val="20"/>
        </w:rPr>
      </w:pPr>
      <w:r>
        <w:rPr>
          <w:i/>
          <w:sz w:val="20"/>
        </w:rPr>
        <w:t>Table 10. Means (SDs) of proportion hit scores and mean hit RTs for ongoing and PM performance by task condition</w:t>
      </w:r>
    </w:p>
    <w:p w14:paraId="51E87E44" w14:textId="77777777" w:rsidR="00C75312" w:rsidRDefault="00BB293A">
      <w:pPr>
        <w:pStyle w:val="BodyText"/>
        <w:spacing w:before="2"/>
        <w:rPr>
          <w:i/>
          <w:sz w:val="14"/>
        </w:rPr>
      </w:pPr>
      <w:r>
        <w:pict w14:anchorId="28C1DB58">
          <v:group id="_x0000_s2717" style="position:absolute;margin-left:1in;margin-top:10.15pt;width:453.4pt;height:.5pt;z-index:-251595776;mso-wrap-distance-left:0;mso-wrap-distance-right:0;mso-position-horizontal-relative:page" coordorigin="1440,203" coordsize="9068,10">
            <v:line id="_x0000_s2724" style="position:absolute" from="1440,207" to="3566,207" strokeweight=".48pt"/>
            <v:rect id="_x0000_s2723" style="position:absolute;left:3566;top:202;width:10;height:10" fillcolor="black" stroked="f"/>
            <v:line id="_x0000_s2722" style="position:absolute" from="3576,207" to="6259,207" strokeweight=".48pt"/>
            <v:rect id="_x0000_s2721" style="position:absolute;left:6259;top:202;width:10;height:10" fillcolor="black" stroked="f"/>
            <v:line id="_x0000_s2720" style="position:absolute" from="6269,207" to="8947,207" strokeweight=".48pt"/>
            <v:rect id="_x0000_s2719" style="position:absolute;left:8947;top:202;width:10;height:10" fillcolor="black" stroked="f"/>
            <v:line id="_x0000_s2718" style="position:absolute" from="8957,207" to="10507,207" strokeweight=".48pt"/>
            <w10:wrap type="topAndBottom" anchorx="page"/>
          </v:group>
        </w:pict>
      </w:r>
    </w:p>
    <w:p w14:paraId="5F40C680" w14:textId="77777777" w:rsidR="00C75312" w:rsidRDefault="00BB293A">
      <w:pPr>
        <w:spacing w:before="14"/>
        <w:ind w:left="5501"/>
        <w:rPr>
          <w:b/>
          <w:sz w:val="20"/>
        </w:rPr>
      </w:pPr>
      <w:r>
        <w:rPr>
          <w:b/>
          <w:sz w:val="20"/>
        </w:rPr>
        <w:t>Group means (SD)</w:t>
      </w:r>
    </w:p>
    <w:p w14:paraId="530C077F" w14:textId="77777777" w:rsidR="00C75312" w:rsidRDefault="00C75312">
      <w:pPr>
        <w:pStyle w:val="BodyText"/>
        <w:spacing w:before="4"/>
        <w:rPr>
          <w:b/>
          <w:sz w:val="13"/>
        </w:rPr>
      </w:pPr>
    </w:p>
    <w:tbl>
      <w:tblPr>
        <w:tblW w:w="0" w:type="auto"/>
        <w:tblInd w:w="118" w:type="dxa"/>
        <w:tblLayout w:type="fixed"/>
        <w:tblCellMar>
          <w:left w:w="0" w:type="dxa"/>
          <w:right w:w="0" w:type="dxa"/>
        </w:tblCellMar>
        <w:tblLook w:val="01E0" w:firstRow="1" w:lastRow="1" w:firstColumn="1" w:lastColumn="1" w:noHBand="0" w:noVBand="0"/>
      </w:tblPr>
      <w:tblGrid>
        <w:gridCol w:w="2030"/>
        <w:gridCol w:w="2817"/>
        <w:gridCol w:w="1463"/>
        <w:gridCol w:w="1223"/>
        <w:gridCol w:w="1559"/>
      </w:tblGrid>
      <w:tr w:rsidR="00C75312" w14:paraId="51F2D820" w14:textId="77777777">
        <w:trPr>
          <w:trHeight w:val="426"/>
        </w:trPr>
        <w:tc>
          <w:tcPr>
            <w:tcW w:w="4847" w:type="dxa"/>
            <w:gridSpan w:val="2"/>
            <w:tcBorders>
              <w:bottom w:val="single" w:sz="4" w:space="0" w:color="000000"/>
            </w:tcBorders>
          </w:tcPr>
          <w:p w14:paraId="0F887BAA" w14:textId="77777777" w:rsidR="00C75312" w:rsidRDefault="00C75312">
            <w:pPr>
              <w:pStyle w:val="TableParagraph"/>
            </w:pPr>
          </w:p>
        </w:tc>
        <w:tc>
          <w:tcPr>
            <w:tcW w:w="1463" w:type="dxa"/>
            <w:tcBorders>
              <w:top w:val="single" w:sz="4" w:space="0" w:color="000000"/>
              <w:bottom w:val="single" w:sz="4" w:space="0" w:color="000000"/>
            </w:tcBorders>
          </w:tcPr>
          <w:p w14:paraId="01FCEB26" w14:textId="77777777" w:rsidR="00C75312" w:rsidRDefault="00BB293A">
            <w:pPr>
              <w:pStyle w:val="TableParagraph"/>
              <w:spacing w:before="43"/>
              <w:ind w:left="485" w:right="536"/>
              <w:jc w:val="center"/>
              <w:rPr>
                <w:b/>
                <w:sz w:val="20"/>
              </w:rPr>
            </w:pPr>
            <w:r>
              <w:rPr>
                <w:b/>
                <w:sz w:val="20"/>
              </w:rPr>
              <w:t>ASD</w:t>
            </w:r>
          </w:p>
        </w:tc>
        <w:tc>
          <w:tcPr>
            <w:tcW w:w="1223" w:type="dxa"/>
            <w:tcBorders>
              <w:top w:val="single" w:sz="4" w:space="0" w:color="000000"/>
              <w:bottom w:val="single" w:sz="4" w:space="0" w:color="000000"/>
            </w:tcBorders>
          </w:tcPr>
          <w:p w14:paraId="5ED5C1BB" w14:textId="77777777" w:rsidR="00C75312" w:rsidRDefault="00BB293A">
            <w:pPr>
              <w:pStyle w:val="TableParagraph"/>
              <w:spacing w:before="43"/>
              <w:ind w:left="429" w:right="476"/>
              <w:jc w:val="center"/>
              <w:rPr>
                <w:b/>
                <w:sz w:val="20"/>
              </w:rPr>
            </w:pPr>
            <w:r>
              <w:rPr>
                <w:b/>
                <w:sz w:val="20"/>
              </w:rPr>
              <w:t>NT</w:t>
            </w:r>
          </w:p>
        </w:tc>
        <w:tc>
          <w:tcPr>
            <w:tcW w:w="1559" w:type="dxa"/>
            <w:tcBorders>
              <w:bottom w:val="single" w:sz="4" w:space="0" w:color="000000"/>
            </w:tcBorders>
          </w:tcPr>
          <w:p w14:paraId="4976143A" w14:textId="77777777" w:rsidR="00C75312" w:rsidRDefault="00BB293A">
            <w:pPr>
              <w:pStyle w:val="TableParagraph"/>
              <w:spacing w:before="43"/>
              <w:ind w:left="339" w:right="328"/>
              <w:jc w:val="center"/>
              <w:rPr>
                <w:b/>
                <w:i/>
                <w:sz w:val="20"/>
              </w:rPr>
            </w:pPr>
            <w:r>
              <w:rPr>
                <w:b/>
                <w:sz w:val="20"/>
              </w:rPr>
              <w:t xml:space="preserve">Cohens’ </w:t>
            </w:r>
            <w:r>
              <w:rPr>
                <w:b/>
                <w:i/>
                <w:sz w:val="20"/>
              </w:rPr>
              <w:t>d</w:t>
            </w:r>
          </w:p>
        </w:tc>
      </w:tr>
      <w:tr w:rsidR="00C75312" w14:paraId="42ABDFFF" w14:textId="77777777">
        <w:trPr>
          <w:trHeight w:val="375"/>
        </w:trPr>
        <w:tc>
          <w:tcPr>
            <w:tcW w:w="2030" w:type="dxa"/>
            <w:tcBorders>
              <w:top w:val="single" w:sz="4" w:space="0" w:color="000000"/>
            </w:tcBorders>
          </w:tcPr>
          <w:p w14:paraId="6C5A2268" w14:textId="77777777" w:rsidR="00C75312" w:rsidRDefault="00BB293A">
            <w:pPr>
              <w:pStyle w:val="TableParagraph"/>
              <w:spacing w:before="43"/>
              <w:ind w:left="57"/>
              <w:rPr>
                <w:b/>
                <w:sz w:val="20"/>
              </w:rPr>
            </w:pPr>
            <w:r>
              <w:rPr>
                <w:b/>
                <w:sz w:val="20"/>
              </w:rPr>
              <w:t>Verbal working</w:t>
            </w:r>
          </w:p>
        </w:tc>
        <w:tc>
          <w:tcPr>
            <w:tcW w:w="2817" w:type="dxa"/>
            <w:tcBorders>
              <w:top w:val="single" w:sz="4" w:space="0" w:color="000000"/>
            </w:tcBorders>
          </w:tcPr>
          <w:p w14:paraId="58E6E75E" w14:textId="77777777" w:rsidR="00C75312" w:rsidRDefault="00BB293A">
            <w:pPr>
              <w:pStyle w:val="TableParagraph"/>
              <w:spacing w:before="43"/>
              <w:ind w:left="149"/>
              <w:rPr>
                <w:sz w:val="20"/>
              </w:rPr>
            </w:pPr>
            <w:r>
              <w:rPr>
                <w:sz w:val="20"/>
              </w:rPr>
              <w:t>PM proportion hits</w:t>
            </w:r>
          </w:p>
        </w:tc>
        <w:tc>
          <w:tcPr>
            <w:tcW w:w="1463" w:type="dxa"/>
            <w:tcBorders>
              <w:top w:val="single" w:sz="4" w:space="0" w:color="000000"/>
            </w:tcBorders>
          </w:tcPr>
          <w:p w14:paraId="2D46D718" w14:textId="77777777" w:rsidR="00C75312" w:rsidRDefault="00BB293A">
            <w:pPr>
              <w:pStyle w:val="TableParagraph"/>
              <w:spacing w:before="43"/>
              <w:ind w:right="269"/>
              <w:jc w:val="right"/>
              <w:rPr>
                <w:sz w:val="20"/>
              </w:rPr>
            </w:pPr>
            <w:r>
              <w:rPr>
                <w:sz w:val="20"/>
              </w:rPr>
              <w:t>.85 (0.25)</w:t>
            </w:r>
          </w:p>
        </w:tc>
        <w:tc>
          <w:tcPr>
            <w:tcW w:w="1223" w:type="dxa"/>
            <w:tcBorders>
              <w:top w:val="single" w:sz="4" w:space="0" w:color="000000"/>
            </w:tcBorders>
          </w:tcPr>
          <w:p w14:paraId="11B6744F" w14:textId="77777777" w:rsidR="00C75312" w:rsidRDefault="00BB293A">
            <w:pPr>
              <w:pStyle w:val="TableParagraph"/>
              <w:spacing w:before="43"/>
              <w:ind w:right="148"/>
              <w:jc w:val="right"/>
              <w:rPr>
                <w:sz w:val="20"/>
              </w:rPr>
            </w:pPr>
            <w:r>
              <w:rPr>
                <w:sz w:val="20"/>
              </w:rPr>
              <w:t>.81 (0.28)</w:t>
            </w:r>
          </w:p>
        </w:tc>
        <w:tc>
          <w:tcPr>
            <w:tcW w:w="1559" w:type="dxa"/>
            <w:tcBorders>
              <w:top w:val="single" w:sz="4" w:space="0" w:color="000000"/>
            </w:tcBorders>
          </w:tcPr>
          <w:p w14:paraId="1F98C435" w14:textId="77777777" w:rsidR="00C75312" w:rsidRDefault="00BB293A">
            <w:pPr>
              <w:pStyle w:val="TableParagraph"/>
              <w:spacing w:before="43"/>
              <w:ind w:left="339" w:right="328"/>
              <w:jc w:val="center"/>
              <w:rPr>
                <w:sz w:val="20"/>
              </w:rPr>
            </w:pPr>
            <w:r>
              <w:rPr>
                <w:sz w:val="20"/>
              </w:rPr>
              <w:t>-0.15</w:t>
            </w:r>
          </w:p>
        </w:tc>
      </w:tr>
      <w:tr w:rsidR="00C75312" w14:paraId="0EB6F17E" w14:textId="77777777">
        <w:trPr>
          <w:trHeight w:val="473"/>
        </w:trPr>
        <w:tc>
          <w:tcPr>
            <w:tcW w:w="2030" w:type="dxa"/>
            <w:tcBorders>
              <w:bottom w:val="single" w:sz="4" w:space="0" w:color="000000"/>
            </w:tcBorders>
          </w:tcPr>
          <w:p w14:paraId="56BD230F" w14:textId="77777777" w:rsidR="00C75312" w:rsidRDefault="00BB293A">
            <w:pPr>
              <w:pStyle w:val="TableParagraph"/>
              <w:spacing w:before="95"/>
              <w:ind w:left="57"/>
              <w:rPr>
                <w:b/>
                <w:sz w:val="20"/>
              </w:rPr>
            </w:pPr>
            <w:r>
              <w:rPr>
                <w:b/>
                <w:sz w:val="20"/>
              </w:rPr>
              <w:t>memory condition</w:t>
            </w:r>
          </w:p>
        </w:tc>
        <w:tc>
          <w:tcPr>
            <w:tcW w:w="2817" w:type="dxa"/>
            <w:tcBorders>
              <w:bottom w:val="single" w:sz="4" w:space="0" w:color="000000"/>
            </w:tcBorders>
          </w:tcPr>
          <w:p w14:paraId="30F6E618" w14:textId="77777777" w:rsidR="00C75312" w:rsidRDefault="00BB293A">
            <w:pPr>
              <w:pStyle w:val="TableParagraph"/>
              <w:spacing w:before="95"/>
              <w:ind w:left="149"/>
              <w:rPr>
                <w:sz w:val="20"/>
              </w:rPr>
            </w:pPr>
            <w:r>
              <w:rPr>
                <w:sz w:val="20"/>
              </w:rPr>
              <w:t>Ongoing task proportion hits</w:t>
            </w:r>
          </w:p>
        </w:tc>
        <w:tc>
          <w:tcPr>
            <w:tcW w:w="1463" w:type="dxa"/>
            <w:tcBorders>
              <w:bottom w:val="single" w:sz="4" w:space="0" w:color="000000"/>
            </w:tcBorders>
          </w:tcPr>
          <w:p w14:paraId="0AE5F2ED" w14:textId="77777777" w:rsidR="00C75312" w:rsidRDefault="00BB293A">
            <w:pPr>
              <w:pStyle w:val="TableParagraph"/>
              <w:spacing w:before="95"/>
              <w:ind w:right="269"/>
              <w:jc w:val="right"/>
              <w:rPr>
                <w:sz w:val="20"/>
              </w:rPr>
            </w:pPr>
            <w:r>
              <w:rPr>
                <w:sz w:val="20"/>
              </w:rPr>
              <w:t>.79 (0.10)</w:t>
            </w:r>
          </w:p>
        </w:tc>
        <w:tc>
          <w:tcPr>
            <w:tcW w:w="1223" w:type="dxa"/>
            <w:tcBorders>
              <w:bottom w:val="single" w:sz="4" w:space="0" w:color="000000"/>
            </w:tcBorders>
          </w:tcPr>
          <w:p w14:paraId="32A51729" w14:textId="77777777" w:rsidR="00C75312" w:rsidRDefault="00BB293A">
            <w:pPr>
              <w:pStyle w:val="TableParagraph"/>
              <w:spacing w:before="95"/>
              <w:ind w:right="148"/>
              <w:jc w:val="right"/>
              <w:rPr>
                <w:sz w:val="20"/>
              </w:rPr>
            </w:pPr>
            <w:r>
              <w:rPr>
                <w:sz w:val="20"/>
              </w:rPr>
              <w:t>.82 (0.15)</w:t>
            </w:r>
          </w:p>
        </w:tc>
        <w:tc>
          <w:tcPr>
            <w:tcW w:w="1559" w:type="dxa"/>
            <w:tcBorders>
              <w:bottom w:val="single" w:sz="4" w:space="0" w:color="000000"/>
            </w:tcBorders>
          </w:tcPr>
          <w:p w14:paraId="0276480E" w14:textId="77777777" w:rsidR="00C75312" w:rsidRDefault="00BB293A">
            <w:pPr>
              <w:pStyle w:val="TableParagraph"/>
              <w:spacing w:before="95"/>
              <w:ind w:left="339" w:right="328"/>
              <w:jc w:val="center"/>
              <w:rPr>
                <w:sz w:val="20"/>
              </w:rPr>
            </w:pPr>
            <w:r>
              <w:rPr>
                <w:sz w:val="20"/>
              </w:rPr>
              <w:t>0.24</w:t>
            </w:r>
          </w:p>
        </w:tc>
      </w:tr>
      <w:tr w:rsidR="00C75312" w14:paraId="4DC56A42" w14:textId="77777777">
        <w:trPr>
          <w:trHeight w:val="375"/>
        </w:trPr>
        <w:tc>
          <w:tcPr>
            <w:tcW w:w="2030" w:type="dxa"/>
            <w:tcBorders>
              <w:top w:val="single" w:sz="4" w:space="0" w:color="000000"/>
            </w:tcBorders>
          </w:tcPr>
          <w:p w14:paraId="1B5B2F4B" w14:textId="77777777" w:rsidR="00C75312" w:rsidRDefault="00BB293A">
            <w:pPr>
              <w:pStyle w:val="TableParagraph"/>
              <w:spacing w:before="43"/>
              <w:ind w:left="57"/>
              <w:rPr>
                <w:b/>
                <w:sz w:val="20"/>
              </w:rPr>
            </w:pPr>
            <w:r>
              <w:rPr>
                <w:b/>
                <w:sz w:val="20"/>
              </w:rPr>
              <w:t>Visuospatial working</w:t>
            </w:r>
          </w:p>
        </w:tc>
        <w:tc>
          <w:tcPr>
            <w:tcW w:w="2817" w:type="dxa"/>
            <w:tcBorders>
              <w:top w:val="single" w:sz="4" w:space="0" w:color="000000"/>
            </w:tcBorders>
          </w:tcPr>
          <w:p w14:paraId="1432036D" w14:textId="77777777" w:rsidR="00C75312" w:rsidRDefault="00BB293A">
            <w:pPr>
              <w:pStyle w:val="TableParagraph"/>
              <w:spacing w:before="43"/>
              <w:ind w:left="149"/>
              <w:rPr>
                <w:sz w:val="20"/>
              </w:rPr>
            </w:pPr>
            <w:r>
              <w:rPr>
                <w:sz w:val="20"/>
              </w:rPr>
              <w:t>PM proportion hits</w:t>
            </w:r>
          </w:p>
        </w:tc>
        <w:tc>
          <w:tcPr>
            <w:tcW w:w="1463" w:type="dxa"/>
            <w:tcBorders>
              <w:top w:val="single" w:sz="4" w:space="0" w:color="000000"/>
            </w:tcBorders>
          </w:tcPr>
          <w:p w14:paraId="5DBA2265" w14:textId="77777777" w:rsidR="00C75312" w:rsidRDefault="00BB293A">
            <w:pPr>
              <w:pStyle w:val="TableParagraph"/>
              <w:spacing w:before="43"/>
              <w:ind w:right="269"/>
              <w:jc w:val="right"/>
              <w:rPr>
                <w:sz w:val="20"/>
              </w:rPr>
            </w:pPr>
            <w:r>
              <w:rPr>
                <w:sz w:val="20"/>
              </w:rPr>
              <w:t>.74 (0.29)</w:t>
            </w:r>
          </w:p>
        </w:tc>
        <w:tc>
          <w:tcPr>
            <w:tcW w:w="1223" w:type="dxa"/>
            <w:tcBorders>
              <w:top w:val="single" w:sz="4" w:space="0" w:color="000000"/>
            </w:tcBorders>
          </w:tcPr>
          <w:p w14:paraId="48C66691" w14:textId="77777777" w:rsidR="00C75312" w:rsidRDefault="00BB293A">
            <w:pPr>
              <w:pStyle w:val="TableParagraph"/>
              <w:spacing w:before="43"/>
              <w:ind w:right="148"/>
              <w:jc w:val="right"/>
              <w:rPr>
                <w:sz w:val="20"/>
              </w:rPr>
            </w:pPr>
            <w:r>
              <w:rPr>
                <w:sz w:val="20"/>
              </w:rPr>
              <w:t>.81 (0.19)</w:t>
            </w:r>
          </w:p>
        </w:tc>
        <w:tc>
          <w:tcPr>
            <w:tcW w:w="1559" w:type="dxa"/>
            <w:tcBorders>
              <w:top w:val="single" w:sz="4" w:space="0" w:color="000000"/>
            </w:tcBorders>
          </w:tcPr>
          <w:p w14:paraId="7E599566" w14:textId="77777777" w:rsidR="00C75312" w:rsidRDefault="00BB293A">
            <w:pPr>
              <w:pStyle w:val="TableParagraph"/>
              <w:spacing w:before="43"/>
              <w:ind w:left="339" w:right="328"/>
              <w:jc w:val="center"/>
              <w:rPr>
                <w:sz w:val="20"/>
              </w:rPr>
            </w:pPr>
            <w:r>
              <w:rPr>
                <w:sz w:val="20"/>
              </w:rPr>
              <w:t>0.29</w:t>
            </w:r>
          </w:p>
        </w:tc>
      </w:tr>
      <w:tr w:rsidR="00C75312" w14:paraId="3F204B99" w14:textId="77777777">
        <w:trPr>
          <w:trHeight w:val="473"/>
        </w:trPr>
        <w:tc>
          <w:tcPr>
            <w:tcW w:w="2030" w:type="dxa"/>
            <w:tcBorders>
              <w:bottom w:val="single" w:sz="4" w:space="0" w:color="000000"/>
            </w:tcBorders>
          </w:tcPr>
          <w:p w14:paraId="298A37BA" w14:textId="77777777" w:rsidR="00C75312" w:rsidRDefault="00BB293A">
            <w:pPr>
              <w:pStyle w:val="TableParagraph"/>
              <w:spacing w:before="95"/>
              <w:ind w:left="57"/>
              <w:rPr>
                <w:b/>
                <w:sz w:val="20"/>
              </w:rPr>
            </w:pPr>
            <w:r>
              <w:rPr>
                <w:b/>
                <w:sz w:val="20"/>
              </w:rPr>
              <w:t>memory condition</w:t>
            </w:r>
          </w:p>
        </w:tc>
        <w:tc>
          <w:tcPr>
            <w:tcW w:w="2817" w:type="dxa"/>
            <w:tcBorders>
              <w:bottom w:val="single" w:sz="4" w:space="0" w:color="000000"/>
            </w:tcBorders>
          </w:tcPr>
          <w:p w14:paraId="36889491" w14:textId="77777777" w:rsidR="00C75312" w:rsidRDefault="00BB293A">
            <w:pPr>
              <w:pStyle w:val="TableParagraph"/>
              <w:spacing w:before="95"/>
              <w:ind w:left="149"/>
              <w:rPr>
                <w:sz w:val="20"/>
              </w:rPr>
            </w:pPr>
            <w:r>
              <w:rPr>
                <w:sz w:val="20"/>
              </w:rPr>
              <w:t>Ongoing task proportion hits</w:t>
            </w:r>
          </w:p>
        </w:tc>
        <w:tc>
          <w:tcPr>
            <w:tcW w:w="1463" w:type="dxa"/>
            <w:tcBorders>
              <w:bottom w:val="single" w:sz="4" w:space="0" w:color="000000"/>
            </w:tcBorders>
          </w:tcPr>
          <w:p w14:paraId="30B848C8" w14:textId="77777777" w:rsidR="00C75312" w:rsidRDefault="00BB293A">
            <w:pPr>
              <w:pStyle w:val="TableParagraph"/>
              <w:spacing w:before="95"/>
              <w:ind w:right="269"/>
              <w:jc w:val="right"/>
              <w:rPr>
                <w:sz w:val="20"/>
              </w:rPr>
            </w:pPr>
            <w:r>
              <w:rPr>
                <w:sz w:val="20"/>
              </w:rPr>
              <w:t>.47 (0.22)</w:t>
            </w:r>
          </w:p>
        </w:tc>
        <w:tc>
          <w:tcPr>
            <w:tcW w:w="1223" w:type="dxa"/>
            <w:tcBorders>
              <w:bottom w:val="single" w:sz="4" w:space="0" w:color="000000"/>
            </w:tcBorders>
          </w:tcPr>
          <w:p w14:paraId="28CCECC9" w14:textId="77777777" w:rsidR="00C75312" w:rsidRDefault="00BB293A">
            <w:pPr>
              <w:pStyle w:val="TableParagraph"/>
              <w:spacing w:before="95"/>
              <w:ind w:right="148"/>
              <w:jc w:val="right"/>
              <w:rPr>
                <w:sz w:val="20"/>
              </w:rPr>
            </w:pPr>
            <w:r>
              <w:rPr>
                <w:sz w:val="20"/>
              </w:rPr>
              <w:t>.50 (0.28)</w:t>
            </w:r>
          </w:p>
        </w:tc>
        <w:tc>
          <w:tcPr>
            <w:tcW w:w="1559" w:type="dxa"/>
            <w:tcBorders>
              <w:bottom w:val="single" w:sz="4" w:space="0" w:color="000000"/>
            </w:tcBorders>
          </w:tcPr>
          <w:p w14:paraId="58A4A379" w14:textId="77777777" w:rsidR="00C75312" w:rsidRDefault="00BB293A">
            <w:pPr>
              <w:pStyle w:val="TableParagraph"/>
              <w:spacing w:before="95"/>
              <w:ind w:left="339" w:right="328"/>
              <w:jc w:val="center"/>
              <w:rPr>
                <w:sz w:val="20"/>
              </w:rPr>
            </w:pPr>
            <w:r>
              <w:rPr>
                <w:sz w:val="20"/>
              </w:rPr>
              <w:t>0.12</w:t>
            </w:r>
          </w:p>
        </w:tc>
      </w:tr>
    </w:tbl>
    <w:p w14:paraId="550102F9" w14:textId="77777777" w:rsidR="00C75312" w:rsidRDefault="00C75312">
      <w:pPr>
        <w:jc w:val="center"/>
        <w:rPr>
          <w:sz w:val="20"/>
        </w:rPr>
        <w:sectPr w:rsidR="00C75312">
          <w:pgSz w:w="11900" w:h="16840"/>
          <w:pgMar w:top="1140" w:right="0" w:bottom="280" w:left="1300" w:header="720" w:footer="0" w:gutter="0"/>
          <w:cols w:space="720"/>
        </w:sectPr>
      </w:pPr>
    </w:p>
    <w:p w14:paraId="22DBF4DB" w14:textId="77777777" w:rsidR="00C75312" w:rsidRDefault="00C75312">
      <w:pPr>
        <w:pStyle w:val="BodyText"/>
        <w:spacing w:before="2"/>
        <w:rPr>
          <w:b/>
          <w:sz w:val="18"/>
        </w:rPr>
      </w:pPr>
    </w:p>
    <w:p w14:paraId="6B4D4CB3" w14:textId="77777777" w:rsidR="00C75312" w:rsidRDefault="00BB293A">
      <w:pPr>
        <w:pStyle w:val="Heading1"/>
        <w:spacing w:before="90"/>
      </w:pPr>
      <w:r>
        <w:t>Categorical analysis</w:t>
      </w:r>
    </w:p>
    <w:p w14:paraId="0F845263" w14:textId="77777777" w:rsidR="00C75312" w:rsidRDefault="00C75312">
      <w:pPr>
        <w:pStyle w:val="BodyText"/>
        <w:rPr>
          <w:b/>
        </w:rPr>
      </w:pPr>
    </w:p>
    <w:p w14:paraId="62594E0B" w14:textId="77777777" w:rsidR="00C75312" w:rsidRDefault="00BB293A">
      <w:pPr>
        <w:pStyle w:val="BodyText"/>
        <w:spacing w:line="475" w:lineRule="auto"/>
        <w:ind w:left="140" w:right="1429" w:firstLine="720"/>
        <w:jc w:val="both"/>
      </w:pPr>
      <w:r>
        <w:t>In</w:t>
      </w:r>
      <w:r>
        <w:rPr>
          <w:spacing w:val="-10"/>
        </w:rPr>
        <w:t xml:space="preserve"> </w:t>
      </w:r>
      <w:r>
        <w:t>keeping</w:t>
      </w:r>
      <w:r>
        <w:rPr>
          <w:spacing w:val="-10"/>
        </w:rPr>
        <w:t xml:space="preserve"> </w:t>
      </w:r>
      <w:r>
        <w:t>with</w:t>
      </w:r>
      <w:r>
        <w:rPr>
          <w:spacing w:val="-10"/>
        </w:rPr>
        <w:t xml:space="preserve"> </w:t>
      </w:r>
      <w:r>
        <w:t>the</w:t>
      </w:r>
      <w:r>
        <w:rPr>
          <w:spacing w:val="-11"/>
        </w:rPr>
        <w:t xml:space="preserve"> </w:t>
      </w:r>
      <w:r>
        <w:t>approach</w:t>
      </w:r>
      <w:r>
        <w:rPr>
          <w:spacing w:val="-10"/>
        </w:rPr>
        <w:t xml:space="preserve"> </w:t>
      </w:r>
      <w:r>
        <w:t>taken</w:t>
      </w:r>
      <w:r>
        <w:rPr>
          <w:spacing w:val="-10"/>
        </w:rPr>
        <w:t xml:space="preserve"> </w:t>
      </w:r>
      <w:r>
        <w:t>in</w:t>
      </w:r>
      <w:r>
        <w:rPr>
          <w:spacing w:val="-14"/>
        </w:rPr>
        <w:t xml:space="preserve"> </w:t>
      </w:r>
      <w:r>
        <w:t>Chapter</w:t>
      </w:r>
      <w:r>
        <w:rPr>
          <w:spacing w:val="-8"/>
        </w:rPr>
        <w:t xml:space="preserve"> </w:t>
      </w:r>
      <w:r>
        <w:t>2,</w:t>
      </w:r>
      <w:r>
        <w:rPr>
          <w:spacing w:val="-7"/>
        </w:rPr>
        <w:t xml:space="preserve"> </w:t>
      </w:r>
      <w:r>
        <w:t>categorical</w:t>
      </w:r>
      <w:r>
        <w:rPr>
          <w:spacing w:val="-9"/>
        </w:rPr>
        <w:t xml:space="preserve"> </w:t>
      </w:r>
      <w:r>
        <w:t>variables</w:t>
      </w:r>
      <w:r>
        <w:rPr>
          <w:spacing w:val="-11"/>
        </w:rPr>
        <w:t xml:space="preserve"> </w:t>
      </w:r>
      <w:r>
        <w:t>were</w:t>
      </w:r>
      <w:r>
        <w:rPr>
          <w:spacing w:val="-11"/>
        </w:rPr>
        <w:t xml:space="preserve"> </w:t>
      </w:r>
      <w:r>
        <w:t>created</w:t>
      </w:r>
      <w:r>
        <w:rPr>
          <w:spacing w:val="-10"/>
        </w:rPr>
        <w:t xml:space="preserve"> </w:t>
      </w:r>
      <w:r>
        <w:t xml:space="preserve">and </w:t>
      </w:r>
      <w:proofErr w:type="spellStart"/>
      <w:r>
        <w:t>analysed</w:t>
      </w:r>
      <w:proofErr w:type="spellEnd"/>
      <w:r>
        <w:rPr>
          <w:spacing w:val="-6"/>
        </w:rPr>
        <w:t xml:space="preserve"> </w:t>
      </w:r>
      <w:r>
        <w:t>in</w:t>
      </w:r>
      <w:r>
        <w:rPr>
          <w:spacing w:val="-5"/>
        </w:rPr>
        <w:t xml:space="preserve"> </w:t>
      </w:r>
      <w:r>
        <w:t>addition</w:t>
      </w:r>
      <w:r>
        <w:rPr>
          <w:spacing w:val="-10"/>
        </w:rPr>
        <w:t xml:space="preserve"> </w:t>
      </w:r>
      <w:r>
        <w:t>to</w:t>
      </w:r>
      <w:r>
        <w:rPr>
          <w:spacing w:val="-10"/>
        </w:rPr>
        <w:t xml:space="preserve"> </w:t>
      </w:r>
      <w:proofErr w:type="spellStart"/>
      <w:r>
        <w:t>analysing</w:t>
      </w:r>
      <w:proofErr w:type="spellEnd"/>
      <w:r>
        <w:rPr>
          <w:spacing w:val="-5"/>
        </w:rPr>
        <w:t xml:space="preserve"> </w:t>
      </w:r>
      <w:r>
        <w:t>mean</w:t>
      </w:r>
      <w:r>
        <w:rPr>
          <w:spacing w:val="-10"/>
        </w:rPr>
        <w:t xml:space="preserve"> </w:t>
      </w:r>
      <w:r>
        <w:t>levels</w:t>
      </w:r>
      <w:r>
        <w:rPr>
          <w:spacing w:val="-7"/>
        </w:rPr>
        <w:t xml:space="preserve"> </w:t>
      </w:r>
      <w:r>
        <w:t>of</w:t>
      </w:r>
      <w:r>
        <w:rPr>
          <w:spacing w:val="-8"/>
        </w:rPr>
        <w:t xml:space="preserve"> </w:t>
      </w:r>
      <w:r>
        <w:t>performance.</w:t>
      </w:r>
      <w:r>
        <w:rPr>
          <w:spacing w:val="44"/>
        </w:rPr>
        <w:t xml:space="preserve"> </w:t>
      </w:r>
      <w:r>
        <w:t>This</w:t>
      </w:r>
      <w:r>
        <w:rPr>
          <w:spacing w:val="-12"/>
        </w:rPr>
        <w:t xml:space="preserve"> </w:t>
      </w:r>
      <w:r>
        <w:t>was</w:t>
      </w:r>
      <w:r>
        <w:rPr>
          <w:spacing w:val="-7"/>
        </w:rPr>
        <w:t xml:space="preserve"> </w:t>
      </w:r>
      <w:r>
        <w:t>to</w:t>
      </w:r>
      <w:r>
        <w:rPr>
          <w:spacing w:val="-10"/>
        </w:rPr>
        <w:t xml:space="preserve"> </w:t>
      </w:r>
      <w:r>
        <w:t>investigate</w:t>
      </w:r>
      <w:r>
        <w:rPr>
          <w:spacing w:val="-6"/>
        </w:rPr>
        <w:t xml:space="preserve"> </w:t>
      </w:r>
      <w:r>
        <w:t xml:space="preserve">whether some individuals with ASD might be employing compensatory strategies and thus should be particularly impaired in the verbal working memory condition. Thus, the number of individuals in each group who scored below the mean PM performance </w:t>
      </w:r>
      <w:r>
        <w:rPr>
          <w:spacing w:val="-3"/>
        </w:rPr>
        <w:t xml:space="preserve">of </w:t>
      </w:r>
      <w:r>
        <w:t>the NT group was explored (i.e., the number of individuals who scored correctly at or below 81% for the verbal working memory condition and at or below 81% for the visuospatial working memory condition, see Table 11)</w:t>
      </w:r>
      <w:r>
        <w:rPr>
          <w:position w:val="8"/>
          <w:sz w:val="16"/>
        </w:rPr>
        <w:t>11</w:t>
      </w:r>
      <w:r>
        <w:t>. No between-group differences were observed i</w:t>
      </w:r>
      <w:r>
        <w:t xml:space="preserve">n either the verbal </w:t>
      </w:r>
      <w:r>
        <w:rPr>
          <w:position w:val="2"/>
        </w:rPr>
        <w:t xml:space="preserve">condition, </w:t>
      </w:r>
      <w:r>
        <w:rPr>
          <w:rFonts w:ascii="Cambria" w:hAnsi="Cambria"/>
          <w:position w:val="2"/>
        </w:rPr>
        <w:t>χ</w:t>
      </w:r>
      <w:r>
        <w:rPr>
          <w:position w:val="2"/>
          <w:vertAlign w:val="superscript"/>
        </w:rPr>
        <w:t>2</w:t>
      </w:r>
      <w:r>
        <w:rPr>
          <w:position w:val="2"/>
        </w:rPr>
        <w:t xml:space="preserve">(1) = 0.42, </w:t>
      </w:r>
      <w:r>
        <w:rPr>
          <w:i/>
          <w:position w:val="2"/>
        </w:rPr>
        <w:t xml:space="preserve">p </w:t>
      </w:r>
      <w:r>
        <w:rPr>
          <w:position w:val="2"/>
        </w:rPr>
        <w:t>= .52, φ = .10, BF</w:t>
      </w:r>
      <w:r>
        <w:rPr>
          <w:position w:val="2"/>
          <w:vertAlign w:val="subscript"/>
        </w:rPr>
        <w:t>10</w:t>
      </w:r>
      <w:r>
        <w:rPr>
          <w:position w:val="2"/>
        </w:rPr>
        <w:t xml:space="preserve"> = ,28 or the visuospatial working memory condition, </w:t>
      </w:r>
      <w:r>
        <w:rPr>
          <w:rFonts w:ascii="Cambria" w:hAnsi="Cambria"/>
          <w:position w:val="2"/>
        </w:rPr>
        <w:t>χ</w:t>
      </w:r>
      <w:r>
        <w:rPr>
          <w:position w:val="2"/>
          <w:vertAlign w:val="superscript"/>
        </w:rPr>
        <w:t>2</w:t>
      </w:r>
      <w:r>
        <w:rPr>
          <w:position w:val="2"/>
        </w:rPr>
        <w:t xml:space="preserve">(1) = 0.40, </w:t>
      </w:r>
      <w:r>
        <w:rPr>
          <w:i/>
          <w:position w:val="2"/>
        </w:rPr>
        <w:t xml:space="preserve">p </w:t>
      </w:r>
      <w:r>
        <w:rPr>
          <w:position w:val="2"/>
        </w:rPr>
        <w:t>= .53, φ = .10, BF</w:t>
      </w:r>
      <w:r>
        <w:rPr>
          <w:position w:val="2"/>
          <w:vertAlign w:val="subscript"/>
        </w:rPr>
        <w:t>10</w:t>
      </w:r>
      <w:r>
        <w:rPr>
          <w:position w:val="2"/>
        </w:rPr>
        <w:t xml:space="preserve"> = 0.26. Results were identical when </w:t>
      </w:r>
      <w:proofErr w:type="spellStart"/>
      <w:r>
        <w:rPr>
          <w:position w:val="2"/>
        </w:rPr>
        <w:t>analysing</w:t>
      </w:r>
      <w:proofErr w:type="spellEnd"/>
      <w:r>
        <w:rPr>
          <w:position w:val="2"/>
        </w:rPr>
        <w:t xml:space="preserve"> </w:t>
      </w:r>
      <w:r>
        <w:t>the data after a median-split instead of splitting in the sample based on the NT</w:t>
      </w:r>
      <w:r>
        <w:rPr>
          <w:spacing w:val="-8"/>
        </w:rPr>
        <w:t xml:space="preserve"> </w:t>
      </w:r>
      <w:r>
        <w:t>mean.</w:t>
      </w:r>
    </w:p>
    <w:p w14:paraId="1713F109" w14:textId="77777777" w:rsidR="00C75312" w:rsidRDefault="00BB293A">
      <w:pPr>
        <w:spacing w:before="135"/>
        <w:ind w:left="140" w:right="1607"/>
        <w:rPr>
          <w:i/>
          <w:sz w:val="20"/>
        </w:rPr>
      </w:pPr>
      <w:r>
        <w:rPr>
          <w:i/>
          <w:sz w:val="20"/>
        </w:rPr>
        <w:t>Table 11. Categorical analysis: number of participants scoring above or below mean (left) and median (right) PM task performance of the NT group for each condition</w:t>
      </w:r>
    </w:p>
    <w:p w14:paraId="7312B577" w14:textId="77777777" w:rsidR="00C75312" w:rsidRDefault="00BB293A">
      <w:pPr>
        <w:pStyle w:val="BodyText"/>
        <w:spacing w:before="2"/>
        <w:rPr>
          <w:i/>
          <w:sz w:val="14"/>
        </w:rPr>
      </w:pPr>
      <w:r>
        <w:pict w14:anchorId="30087824">
          <v:shape id="_x0000_s2716" style="position:absolute;margin-left:133.2pt;margin-top:10.4pt;width:182.9pt;height:.1pt;z-index:-251588608;mso-wrap-distance-left:0;mso-wrap-distance-right:0;mso-position-horizontal-relative:page" coordorigin="2664,208" coordsize="3658,0" path="m2664,208r3658,e" filled="f" strokeweight=".48pt">
            <v:path arrowok="t"/>
            <w10:wrap type="topAndBottom" anchorx="page"/>
          </v:shape>
        </w:pict>
      </w:r>
      <w:r>
        <w:pict w14:anchorId="4FF5C742">
          <v:shape id="_x0000_s2715" style="position:absolute;margin-left:332.4pt;margin-top:10.4pt;width:190.6pt;height:.1pt;z-index:-251587584;mso-wrap-distance-left:0;mso-wrap-distance-right:0;mso-position-horizontal-relative:page" coordorigin="6648,208" coordsize="3812,0" path="m6648,208r3811,e" filled="f" strokeweight=".48pt">
            <v:path arrowok="t"/>
            <w10:wrap type="topAndBottom" anchorx="page"/>
          </v:shape>
        </w:pict>
      </w:r>
    </w:p>
    <w:p w14:paraId="2FC89636" w14:textId="77777777" w:rsidR="00C75312" w:rsidRDefault="00BB293A">
      <w:pPr>
        <w:tabs>
          <w:tab w:val="left" w:pos="6418"/>
        </w:tabs>
        <w:spacing w:before="14"/>
        <w:ind w:left="2448"/>
        <w:rPr>
          <w:b/>
          <w:sz w:val="20"/>
        </w:rPr>
      </w:pPr>
      <w:r>
        <w:rPr>
          <w:b/>
          <w:sz w:val="20"/>
        </w:rPr>
        <w:t>Group (split using</w:t>
      </w:r>
      <w:r>
        <w:rPr>
          <w:b/>
          <w:spacing w:val="-2"/>
          <w:sz w:val="20"/>
        </w:rPr>
        <w:t xml:space="preserve"> </w:t>
      </w:r>
      <w:r>
        <w:rPr>
          <w:b/>
          <w:spacing w:val="-4"/>
          <w:sz w:val="20"/>
        </w:rPr>
        <w:t>NT</w:t>
      </w:r>
      <w:r>
        <w:rPr>
          <w:b/>
          <w:spacing w:val="3"/>
          <w:sz w:val="20"/>
        </w:rPr>
        <w:t xml:space="preserve"> </w:t>
      </w:r>
      <w:r>
        <w:rPr>
          <w:b/>
          <w:sz w:val="20"/>
        </w:rPr>
        <w:t>mean)</w:t>
      </w:r>
      <w:r>
        <w:rPr>
          <w:b/>
          <w:sz w:val="20"/>
        </w:rPr>
        <w:tab/>
      </w:r>
      <w:r>
        <w:rPr>
          <w:b/>
          <w:sz w:val="20"/>
        </w:rPr>
        <w:t xml:space="preserve">Group (split using </w:t>
      </w:r>
      <w:r>
        <w:rPr>
          <w:b/>
          <w:spacing w:val="-4"/>
          <w:sz w:val="20"/>
        </w:rPr>
        <w:t>NT</w:t>
      </w:r>
      <w:r>
        <w:rPr>
          <w:b/>
          <w:spacing w:val="-1"/>
          <w:sz w:val="20"/>
        </w:rPr>
        <w:t xml:space="preserve"> </w:t>
      </w:r>
      <w:r>
        <w:rPr>
          <w:b/>
          <w:sz w:val="20"/>
        </w:rPr>
        <w:t>median)</w:t>
      </w:r>
    </w:p>
    <w:p w14:paraId="3D375262" w14:textId="77777777" w:rsidR="00C75312" w:rsidRDefault="00C75312">
      <w:pPr>
        <w:pStyle w:val="BodyText"/>
        <w:spacing w:before="4"/>
        <w:rPr>
          <w:b/>
          <w:sz w:val="13"/>
        </w:rPr>
      </w:pPr>
    </w:p>
    <w:tbl>
      <w:tblPr>
        <w:tblW w:w="0" w:type="auto"/>
        <w:tblInd w:w="140" w:type="dxa"/>
        <w:tblLayout w:type="fixed"/>
        <w:tblCellMar>
          <w:left w:w="0" w:type="dxa"/>
          <w:right w:w="0" w:type="dxa"/>
        </w:tblCellMar>
        <w:tblLook w:val="01E0" w:firstRow="1" w:lastRow="1" w:firstColumn="1" w:lastColumn="1" w:noHBand="0" w:noVBand="0"/>
      </w:tblPr>
      <w:tblGrid>
        <w:gridCol w:w="2895"/>
        <w:gridCol w:w="975"/>
        <w:gridCol w:w="1021"/>
        <w:gridCol w:w="327"/>
        <w:gridCol w:w="1825"/>
        <w:gridCol w:w="969"/>
        <w:gridCol w:w="1020"/>
      </w:tblGrid>
      <w:tr w:rsidR="00C75312" w14:paraId="0E62FF1B" w14:textId="77777777">
        <w:trPr>
          <w:trHeight w:val="426"/>
        </w:trPr>
        <w:tc>
          <w:tcPr>
            <w:tcW w:w="2895" w:type="dxa"/>
            <w:tcBorders>
              <w:top w:val="single" w:sz="4" w:space="0" w:color="000000"/>
              <w:bottom w:val="single" w:sz="4" w:space="0" w:color="000000"/>
            </w:tcBorders>
          </w:tcPr>
          <w:p w14:paraId="0E605F5C" w14:textId="77777777" w:rsidR="00C75312" w:rsidRDefault="00C75312">
            <w:pPr>
              <w:pStyle w:val="TableParagraph"/>
            </w:pPr>
          </w:p>
        </w:tc>
        <w:tc>
          <w:tcPr>
            <w:tcW w:w="975" w:type="dxa"/>
            <w:tcBorders>
              <w:top w:val="single" w:sz="4" w:space="0" w:color="000000"/>
              <w:bottom w:val="single" w:sz="4" w:space="0" w:color="000000"/>
            </w:tcBorders>
          </w:tcPr>
          <w:p w14:paraId="2236F329" w14:textId="77777777" w:rsidR="00C75312" w:rsidRDefault="00BB293A">
            <w:pPr>
              <w:pStyle w:val="TableParagraph"/>
              <w:spacing w:before="48"/>
              <w:ind w:left="193" w:right="332"/>
              <w:jc w:val="center"/>
              <w:rPr>
                <w:b/>
                <w:sz w:val="20"/>
              </w:rPr>
            </w:pPr>
            <w:r>
              <w:rPr>
                <w:b/>
                <w:sz w:val="20"/>
              </w:rPr>
              <w:t>ASD</w:t>
            </w:r>
          </w:p>
        </w:tc>
        <w:tc>
          <w:tcPr>
            <w:tcW w:w="1021" w:type="dxa"/>
            <w:tcBorders>
              <w:top w:val="single" w:sz="4" w:space="0" w:color="000000"/>
              <w:bottom w:val="single" w:sz="4" w:space="0" w:color="000000"/>
            </w:tcBorders>
          </w:tcPr>
          <w:p w14:paraId="311B4237" w14:textId="77777777" w:rsidR="00C75312" w:rsidRDefault="00BB293A">
            <w:pPr>
              <w:pStyle w:val="TableParagraph"/>
              <w:spacing w:before="48"/>
              <w:ind w:left="133" w:right="162"/>
              <w:jc w:val="center"/>
              <w:rPr>
                <w:b/>
                <w:sz w:val="20"/>
              </w:rPr>
            </w:pPr>
            <w:r>
              <w:rPr>
                <w:b/>
                <w:sz w:val="20"/>
              </w:rPr>
              <w:t>NT</w:t>
            </w:r>
          </w:p>
        </w:tc>
        <w:tc>
          <w:tcPr>
            <w:tcW w:w="327" w:type="dxa"/>
            <w:tcBorders>
              <w:bottom w:val="single" w:sz="4" w:space="0" w:color="000000"/>
            </w:tcBorders>
          </w:tcPr>
          <w:p w14:paraId="7DC7F50B" w14:textId="77777777" w:rsidR="00C75312" w:rsidRDefault="00C75312">
            <w:pPr>
              <w:pStyle w:val="TableParagraph"/>
            </w:pPr>
          </w:p>
        </w:tc>
        <w:tc>
          <w:tcPr>
            <w:tcW w:w="1825" w:type="dxa"/>
            <w:tcBorders>
              <w:top w:val="single" w:sz="4" w:space="0" w:color="000000"/>
              <w:bottom w:val="single" w:sz="4" w:space="0" w:color="000000"/>
            </w:tcBorders>
          </w:tcPr>
          <w:p w14:paraId="7B10A89E" w14:textId="77777777" w:rsidR="00C75312" w:rsidRDefault="00C75312">
            <w:pPr>
              <w:pStyle w:val="TableParagraph"/>
            </w:pPr>
          </w:p>
        </w:tc>
        <w:tc>
          <w:tcPr>
            <w:tcW w:w="969" w:type="dxa"/>
            <w:tcBorders>
              <w:top w:val="single" w:sz="4" w:space="0" w:color="000000"/>
              <w:bottom w:val="single" w:sz="4" w:space="0" w:color="000000"/>
            </w:tcBorders>
          </w:tcPr>
          <w:p w14:paraId="4921BEE4" w14:textId="77777777" w:rsidR="00C75312" w:rsidRDefault="00BB293A">
            <w:pPr>
              <w:pStyle w:val="TableParagraph"/>
              <w:spacing w:before="48"/>
              <w:ind w:left="193" w:right="335"/>
              <w:jc w:val="center"/>
              <w:rPr>
                <w:b/>
                <w:sz w:val="20"/>
              </w:rPr>
            </w:pPr>
            <w:r>
              <w:rPr>
                <w:b/>
                <w:sz w:val="20"/>
              </w:rPr>
              <w:t>ASD</w:t>
            </w:r>
          </w:p>
        </w:tc>
        <w:tc>
          <w:tcPr>
            <w:tcW w:w="1020" w:type="dxa"/>
            <w:tcBorders>
              <w:top w:val="single" w:sz="4" w:space="0" w:color="000000"/>
              <w:bottom w:val="single" w:sz="4" w:space="0" w:color="000000"/>
            </w:tcBorders>
          </w:tcPr>
          <w:p w14:paraId="2EA516A8" w14:textId="77777777" w:rsidR="00C75312" w:rsidRDefault="00BB293A">
            <w:pPr>
              <w:pStyle w:val="TableParagraph"/>
              <w:spacing w:before="48"/>
              <w:ind w:right="393"/>
              <w:jc w:val="right"/>
              <w:rPr>
                <w:b/>
                <w:sz w:val="20"/>
              </w:rPr>
            </w:pPr>
            <w:r>
              <w:rPr>
                <w:b/>
                <w:sz w:val="20"/>
              </w:rPr>
              <w:t>NT</w:t>
            </w:r>
          </w:p>
        </w:tc>
      </w:tr>
      <w:tr w:rsidR="00C75312" w14:paraId="6B9B7EA4" w14:textId="77777777">
        <w:trPr>
          <w:trHeight w:val="390"/>
        </w:trPr>
        <w:tc>
          <w:tcPr>
            <w:tcW w:w="2895" w:type="dxa"/>
            <w:tcBorders>
              <w:top w:val="single" w:sz="4" w:space="0" w:color="000000"/>
            </w:tcBorders>
          </w:tcPr>
          <w:p w14:paraId="06E15AA5" w14:textId="77777777" w:rsidR="00C75312" w:rsidRDefault="00BB293A">
            <w:pPr>
              <w:pStyle w:val="TableParagraph"/>
              <w:tabs>
                <w:tab w:val="left" w:pos="1336"/>
              </w:tabs>
              <w:spacing w:before="43"/>
              <w:ind w:left="112"/>
              <w:rPr>
                <w:sz w:val="20"/>
              </w:rPr>
            </w:pPr>
            <w:r>
              <w:rPr>
                <w:sz w:val="20"/>
              </w:rPr>
              <w:t>Verbal</w:t>
            </w:r>
            <w:r>
              <w:rPr>
                <w:sz w:val="20"/>
              </w:rPr>
              <w:tab/>
              <w:t>Above NT</w:t>
            </w:r>
            <w:r>
              <w:rPr>
                <w:spacing w:val="-1"/>
                <w:sz w:val="20"/>
              </w:rPr>
              <w:t xml:space="preserve"> </w:t>
            </w:r>
            <w:r>
              <w:rPr>
                <w:sz w:val="20"/>
              </w:rPr>
              <w:t>mean</w:t>
            </w:r>
          </w:p>
        </w:tc>
        <w:tc>
          <w:tcPr>
            <w:tcW w:w="975" w:type="dxa"/>
            <w:tcBorders>
              <w:top w:val="single" w:sz="4" w:space="0" w:color="000000"/>
            </w:tcBorders>
          </w:tcPr>
          <w:p w14:paraId="0E5F2963" w14:textId="77777777" w:rsidR="00C75312" w:rsidRDefault="00BB293A">
            <w:pPr>
              <w:pStyle w:val="TableParagraph"/>
              <w:spacing w:before="43"/>
              <w:ind w:left="189" w:right="332"/>
              <w:jc w:val="center"/>
              <w:rPr>
                <w:sz w:val="20"/>
              </w:rPr>
            </w:pPr>
            <w:r>
              <w:rPr>
                <w:sz w:val="20"/>
              </w:rPr>
              <w:t>13</w:t>
            </w:r>
          </w:p>
        </w:tc>
        <w:tc>
          <w:tcPr>
            <w:tcW w:w="1021" w:type="dxa"/>
            <w:tcBorders>
              <w:top w:val="single" w:sz="4" w:space="0" w:color="000000"/>
            </w:tcBorders>
          </w:tcPr>
          <w:p w14:paraId="73C36C57" w14:textId="77777777" w:rsidR="00C75312" w:rsidRDefault="00BB293A">
            <w:pPr>
              <w:pStyle w:val="TableParagraph"/>
              <w:spacing w:before="43"/>
              <w:ind w:left="133" w:right="160"/>
              <w:jc w:val="center"/>
              <w:rPr>
                <w:sz w:val="20"/>
              </w:rPr>
            </w:pPr>
            <w:r>
              <w:rPr>
                <w:sz w:val="20"/>
              </w:rPr>
              <w:t>11</w:t>
            </w:r>
          </w:p>
        </w:tc>
        <w:tc>
          <w:tcPr>
            <w:tcW w:w="327" w:type="dxa"/>
            <w:tcBorders>
              <w:top w:val="single" w:sz="4" w:space="0" w:color="000000"/>
            </w:tcBorders>
          </w:tcPr>
          <w:p w14:paraId="2B203A58" w14:textId="77777777" w:rsidR="00C75312" w:rsidRDefault="00C75312">
            <w:pPr>
              <w:pStyle w:val="TableParagraph"/>
            </w:pPr>
          </w:p>
        </w:tc>
        <w:tc>
          <w:tcPr>
            <w:tcW w:w="1825" w:type="dxa"/>
            <w:tcBorders>
              <w:top w:val="single" w:sz="4" w:space="0" w:color="000000"/>
            </w:tcBorders>
          </w:tcPr>
          <w:p w14:paraId="0E6B1BD0" w14:textId="77777777" w:rsidR="00C75312" w:rsidRDefault="00BB293A">
            <w:pPr>
              <w:pStyle w:val="TableParagraph"/>
              <w:spacing w:before="43"/>
              <w:ind w:left="112"/>
              <w:rPr>
                <w:sz w:val="20"/>
              </w:rPr>
            </w:pPr>
            <w:r>
              <w:rPr>
                <w:sz w:val="20"/>
              </w:rPr>
              <w:t>Above NT median</w:t>
            </w:r>
          </w:p>
        </w:tc>
        <w:tc>
          <w:tcPr>
            <w:tcW w:w="969" w:type="dxa"/>
            <w:tcBorders>
              <w:top w:val="single" w:sz="4" w:space="0" w:color="000000"/>
            </w:tcBorders>
          </w:tcPr>
          <w:p w14:paraId="3E16A5DF" w14:textId="77777777" w:rsidR="00C75312" w:rsidRDefault="00BB293A">
            <w:pPr>
              <w:pStyle w:val="TableParagraph"/>
              <w:spacing w:before="43"/>
              <w:ind w:left="193" w:right="332"/>
              <w:jc w:val="center"/>
              <w:rPr>
                <w:sz w:val="20"/>
              </w:rPr>
            </w:pPr>
            <w:r>
              <w:rPr>
                <w:sz w:val="20"/>
              </w:rPr>
              <w:t>13</w:t>
            </w:r>
          </w:p>
        </w:tc>
        <w:tc>
          <w:tcPr>
            <w:tcW w:w="1020" w:type="dxa"/>
            <w:tcBorders>
              <w:top w:val="single" w:sz="4" w:space="0" w:color="000000"/>
            </w:tcBorders>
          </w:tcPr>
          <w:p w14:paraId="05E63568" w14:textId="77777777" w:rsidR="00C75312" w:rsidRDefault="00BB293A">
            <w:pPr>
              <w:pStyle w:val="TableParagraph"/>
              <w:spacing w:before="43"/>
              <w:ind w:right="430"/>
              <w:jc w:val="right"/>
              <w:rPr>
                <w:sz w:val="20"/>
              </w:rPr>
            </w:pPr>
            <w:r>
              <w:rPr>
                <w:sz w:val="20"/>
              </w:rPr>
              <w:t>11</w:t>
            </w:r>
          </w:p>
        </w:tc>
      </w:tr>
      <w:tr w:rsidR="00C75312" w14:paraId="408483AD" w14:textId="77777777">
        <w:trPr>
          <w:trHeight w:val="516"/>
        </w:trPr>
        <w:tc>
          <w:tcPr>
            <w:tcW w:w="2895" w:type="dxa"/>
            <w:tcBorders>
              <w:bottom w:val="single" w:sz="4" w:space="0" w:color="000000"/>
            </w:tcBorders>
          </w:tcPr>
          <w:p w14:paraId="47564BB2" w14:textId="77777777" w:rsidR="00C75312" w:rsidRDefault="00BB293A">
            <w:pPr>
              <w:pStyle w:val="TableParagraph"/>
              <w:tabs>
                <w:tab w:val="left" w:pos="1336"/>
              </w:tabs>
              <w:spacing w:before="109"/>
              <w:ind w:left="112"/>
              <w:rPr>
                <w:sz w:val="20"/>
              </w:rPr>
            </w:pPr>
            <w:r>
              <w:rPr>
                <w:sz w:val="20"/>
              </w:rPr>
              <w:t>condition</w:t>
            </w:r>
            <w:r>
              <w:rPr>
                <w:sz w:val="20"/>
              </w:rPr>
              <w:tab/>
              <w:t>Below NT</w:t>
            </w:r>
            <w:r>
              <w:rPr>
                <w:spacing w:val="-5"/>
                <w:sz w:val="20"/>
              </w:rPr>
              <w:t xml:space="preserve"> </w:t>
            </w:r>
            <w:r>
              <w:rPr>
                <w:sz w:val="20"/>
              </w:rPr>
              <w:t>mean</w:t>
            </w:r>
          </w:p>
        </w:tc>
        <w:tc>
          <w:tcPr>
            <w:tcW w:w="975" w:type="dxa"/>
            <w:tcBorders>
              <w:bottom w:val="single" w:sz="4" w:space="0" w:color="000000"/>
            </w:tcBorders>
          </w:tcPr>
          <w:p w14:paraId="54A2B7B7" w14:textId="77777777" w:rsidR="00C75312" w:rsidRDefault="00BB293A">
            <w:pPr>
              <w:pStyle w:val="TableParagraph"/>
              <w:spacing w:before="109"/>
              <w:ind w:right="140"/>
              <w:jc w:val="center"/>
              <w:rPr>
                <w:sz w:val="20"/>
              </w:rPr>
            </w:pPr>
            <w:r>
              <w:rPr>
                <w:sz w:val="20"/>
              </w:rPr>
              <w:t>7</w:t>
            </w:r>
          </w:p>
        </w:tc>
        <w:tc>
          <w:tcPr>
            <w:tcW w:w="1021" w:type="dxa"/>
            <w:tcBorders>
              <w:bottom w:val="single" w:sz="4" w:space="0" w:color="000000"/>
            </w:tcBorders>
          </w:tcPr>
          <w:p w14:paraId="016ECF56" w14:textId="77777777" w:rsidR="00C75312" w:rsidRDefault="00BB293A">
            <w:pPr>
              <w:pStyle w:val="TableParagraph"/>
              <w:spacing w:before="109"/>
              <w:ind w:right="32"/>
              <w:jc w:val="center"/>
              <w:rPr>
                <w:sz w:val="20"/>
              </w:rPr>
            </w:pPr>
            <w:r>
              <w:rPr>
                <w:sz w:val="20"/>
              </w:rPr>
              <w:t>9</w:t>
            </w:r>
          </w:p>
        </w:tc>
        <w:tc>
          <w:tcPr>
            <w:tcW w:w="327" w:type="dxa"/>
            <w:tcBorders>
              <w:bottom w:val="single" w:sz="4" w:space="0" w:color="000000"/>
            </w:tcBorders>
          </w:tcPr>
          <w:p w14:paraId="1314C048" w14:textId="77777777" w:rsidR="00C75312" w:rsidRDefault="00C75312">
            <w:pPr>
              <w:pStyle w:val="TableParagraph"/>
            </w:pPr>
          </w:p>
        </w:tc>
        <w:tc>
          <w:tcPr>
            <w:tcW w:w="1825" w:type="dxa"/>
            <w:tcBorders>
              <w:bottom w:val="single" w:sz="4" w:space="0" w:color="000000"/>
            </w:tcBorders>
          </w:tcPr>
          <w:p w14:paraId="1E2139D0" w14:textId="77777777" w:rsidR="00C75312" w:rsidRDefault="00BB293A">
            <w:pPr>
              <w:pStyle w:val="TableParagraph"/>
              <w:spacing w:before="109"/>
              <w:ind w:left="117"/>
              <w:rPr>
                <w:sz w:val="20"/>
              </w:rPr>
            </w:pPr>
            <w:r>
              <w:rPr>
                <w:sz w:val="20"/>
              </w:rPr>
              <w:t>Below NT median</w:t>
            </w:r>
          </w:p>
        </w:tc>
        <w:tc>
          <w:tcPr>
            <w:tcW w:w="969" w:type="dxa"/>
            <w:tcBorders>
              <w:bottom w:val="single" w:sz="4" w:space="0" w:color="000000"/>
            </w:tcBorders>
          </w:tcPr>
          <w:p w14:paraId="7BB3B39E" w14:textId="77777777" w:rsidR="00C75312" w:rsidRDefault="00BB293A">
            <w:pPr>
              <w:pStyle w:val="TableParagraph"/>
              <w:spacing w:before="109"/>
              <w:ind w:right="144"/>
              <w:jc w:val="center"/>
              <w:rPr>
                <w:sz w:val="20"/>
              </w:rPr>
            </w:pPr>
            <w:r>
              <w:rPr>
                <w:sz w:val="20"/>
              </w:rPr>
              <w:t>7</w:t>
            </w:r>
          </w:p>
        </w:tc>
        <w:tc>
          <w:tcPr>
            <w:tcW w:w="1020" w:type="dxa"/>
            <w:tcBorders>
              <w:bottom w:val="single" w:sz="4" w:space="0" w:color="000000"/>
            </w:tcBorders>
          </w:tcPr>
          <w:p w14:paraId="37FEAECB" w14:textId="77777777" w:rsidR="00C75312" w:rsidRDefault="00BB293A">
            <w:pPr>
              <w:pStyle w:val="TableParagraph"/>
              <w:spacing w:before="109"/>
              <w:ind w:right="478"/>
              <w:jc w:val="right"/>
              <w:rPr>
                <w:sz w:val="20"/>
              </w:rPr>
            </w:pPr>
            <w:r>
              <w:rPr>
                <w:sz w:val="20"/>
              </w:rPr>
              <w:t>9</w:t>
            </w:r>
          </w:p>
        </w:tc>
      </w:tr>
      <w:tr w:rsidR="00C75312" w14:paraId="31F9FFED" w14:textId="77777777">
        <w:trPr>
          <w:trHeight w:val="390"/>
        </w:trPr>
        <w:tc>
          <w:tcPr>
            <w:tcW w:w="2895" w:type="dxa"/>
            <w:tcBorders>
              <w:top w:val="single" w:sz="4" w:space="0" w:color="000000"/>
            </w:tcBorders>
          </w:tcPr>
          <w:p w14:paraId="36BC6D33" w14:textId="77777777" w:rsidR="00C75312" w:rsidRDefault="00BB293A">
            <w:pPr>
              <w:pStyle w:val="TableParagraph"/>
              <w:tabs>
                <w:tab w:val="left" w:pos="1336"/>
              </w:tabs>
              <w:spacing w:before="43"/>
              <w:ind w:left="112"/>
              <w:rPr>
                <w:sz w:val="20"/>
              </w:rPr>
            </w:pPr>
            <w:r>
              <w:rPr>
                <w:sz w:val="20"/>
              </w:rPr>
              <w:t>Visuospatial</w:t>
            </w:r>
            <w:r>
              <w:rPr>
                <w:sz w:val="20"/>
              </w:rPr>
              <w:tab/>
              <w:t>Above NT</w:t>
            </w:r>
            <w:r>
              <w:rPr>
                <w:spacing w:val="-1"/>
                <w:sz w:val="20"/>
              </w:rPr>
              <w:t xml:space="preserve"> </w:t>
            </w:r>
            <w:r>
              <w:rPr>
                <w:sz w:val="20"/>
              </w:rPr>
              <w:t>mean</w:t>
            </w:r>
          </w:p>
        </w:tc>
        <w:tc>
          <w:tcPr>
            <w:tcW w:w="975" w:type="dxa"/>
            <w:tcBorders>
              <w:top w:val="single" w:sz="4" w:space="0" w:color="000000"/>
            </w:tcBorders>
          </w:tcPr>
          <w:p w14:paraId="75B5FFD6" w14:textId="77777777" w:rsidR="00C75312" w:rsidRDefault="00BB293A">
            <w:pPr>
              <w:pStyle w:val="TableParagraph"/>
              <w:spacing w:before="43"/>
              <w:ind w:right="140"/>
              <w:jc w:val="center"/>
              <w:rPr>
                <w:sz w:val="20"/>
              </w:rPr>
            </w:pPr>
            <w:r>
              <w:rPr>
                <w:sz w:val="20"/>
              </w:rPr>
              <w:t>8</w:t>
            </w:r>
          </w:p>
        </w:tc>
        <w:tc>
          <w:tcPr>
            <w:tcW w:w="1021" w:type="dxa"/>
            <w:tcBorders>
              <w:top w:val="single" w:sz="4" w:space="0" w:color="000000"/>
            </w:tcBorders>
          </w:tcPr>
          <w:p w14:paraId="6224AB6D" w14:textId="77777777" w:rsidR="00C75312" w:rsidRDefault="00BB293A">
            <w:pPr>
              <w:pStyle w:val="TableParagraph"/>
              <w:spacing w:before="43"/>
              <w:ind w:left="133" w:right="160"/>
              <w:jc w:val="center"/>
              <w:rPr>
                <w:sz w:val="20"/>
              </w:rPr>
            </w:pPr>
            <w:r>
              <w:rPr>
                <w:sz w:val="20"/>
              </w:rPr>
              <w:t>10</w:t>
            </w:r>
          </w:p>
        </w:tc>
        <w:tc>
          <w:tcPr>
            <w:tcW w:w="327" w:type="dxa"/>
            <w:tcBorders>
              <w:top w:val="single" w:sz="4" w:space="0" w:color="000000"/>
            </w:tcBorders>
          </w:tcPr>
          <w:p w14:paraId="33D16A03" w14:textId="77777777" w:rsidR="00C75312" w:rsidRDefault="00C75312">
            <w:pPr>
              <w:pStyle w:val="TableParagraph"/>
            </w:pPr>
          </w:p>
        </w:tc>
        <w:tc>
          <w:tcPr>
            <w:tcW w:w="1825" w:type="dxa"/>
            <w:tcBorders>
              <w:top w:val="single" w:sz="4" w:space="0" w:color="000000"/>
            </w:tcBorders>
          </w:tcPr>
          <w:p w14:paraId="03DCC0C5" w14:textId="77777777" w:rsidR="00C75312" w:rsidRDefault="00BB293A">
            <w:pPr>
              <w:pStyle w:val="TableParagraph"/>
              <w:spacing w:before="43"/>
              <w:ind w:left="112"/>
              <w:rPr>
                <w:sz w:val="20"/>
              </w:rPr>
            </w:pPr>
            <w:r>
              <w:rPr>
                <w:sz w:val="20"/>
              </w:rPr>
              <w:t>Above NT median</w:t>
            </w:r>
          </w:p>
        </w:tc>
        <w:tc>
          <w:tcPr>
            <w:tcW w:w="969" w:type="dxa"/>
            <w:tcBorders>
              <w:top w:val="single" w:sz="4" w:space="0" w:color="000000"/>
            </w:tcBorders>
          </w:tcPr>
          <w:p w14:paraId="46DC0A93" w14:textId="77777777" w:rsidR="00C75312" w:rsidRDefault="00BB293A">
            <w:pPr>
              <w:pStyle w:val="TableParagraph"/>
              <w:spacing w:before="43"/>
              <w:ind w:right="144"/>
              <w:jc w:val="center"/>
              <w:rPr>
                <w:sz w:val="20"/>
              </w:rPr>
            </w:pPr>
            <w:r>
              <w:rPr>
                <w:sz w:val="20"/>
              </w:rPr>
              <w:t>8</w:t>
            </w:r>
          </w:p>
        </w:tc>
        <w:tc>
          <w:tcPr>
            <w:tcW w:w="1020" w:type="dxa"/>
            <w:tcBorders>
              <w:top w:val="single" w:sz="4" w:space="0" w:color="000000"/>
            </w:tcBorders>
          </w:tcPr>
          <w:p w14:paraId="028E8E69" w14:textId="77777777" w:rsidR="00C75312" w:rsidRDefault="00BB293A">
            <w:pPr>
              <w:pStyle w:val="TableParagraph"/>
              <w:spacing w:before="43"/>
              <w:ind w:right="430"/>
              <w:jc w:val="right"/>
              <w:rPr>
                <w:sz w:val="20"/>
              </w:rPr>
            </w:pPr>
            <w:r>
              <w:rPr>
                <w:sz w:val="20"/>
              </w:rPr>
              <w:t>10</w:t>
            </w:r>
          </w:p>
        </w:tc>
      </w:tr>
      <w:tr w:rsidR="00C75312" w14:paraId="649BAC34" w14:textId="77777777">
        <w:trPr>
          <w:trHeight w:val="521"/>
        </w:trPr>
        <w:tc>
          <w:tcPr>
            <w:tcW w:w="2895" w:type="dxa"/>
            <w:tcBorders>
              <w:bottom w:val="single" w:sz="4" w:space="0" w:color="000000"/>
            </w:tcBorders>
          </w:tcPr>
          <w:p w14:paraId="5EDC0043" w14:textId="77777777" w:rsidR="00C75312" w:rsidRDefault="00BB293A">
            <w:pPr>
              <w:pStyle w:val="TableParagraph"/>
              <w:tabs>
                <w:tab w:val="left" w:pos="1336"/>
              </w:tabs>
              <w:spacing w:before="109"/>
              <w:ind w:left="112"/>
              <w:rPr>
                <w:sz w:val="20"/>
              </w:rPr>
            </w:pPr>
            <w:r>
              <w:rPr>
                <w:sz w:val="20"/>
              </w:rPr>
              <w:t>condition</w:t>
            </w:r>
            <w:r>
              <w:rPr>
                <w:sz w:val="20"/>
              </w:rPr>
              <w:tab/>
              <w:t>Below NT</w:t>
            </w:r>
            <w:r>
              <w:rPr>
                <w:spacing w:val="-5"/>
                <w:sz w:val="20"/>
              </w:rPr>
              <w:t xml:space="preserve"> </w:t>
            </w:r>
            <w:r>
              <w:rPr>
                <w:sz w:val="20"/>
              </w:rPr>
              <w:t>mean</w:t>
            </w:r>
          </w:p>
        </w:tc>
        <w:tc>
          <w:tcPr>
            <w:tcW w:w="975" w:type="dxa"/>
            <w:tcBorders>
              <w:bottom w:val="single" w:sz="4" w:space="0" w:color="000000"/>
            </w:tcBorders>
          </w:tcPr>
          <w:p w14:paraId="39030107" w14:textId="77777777" w:rsidR="00C75312" w:rsidRDefault="00BB293A">
            <w:pPr>
              <w:pStyle w:val="TableParagraph"/>
              <w:spacing w:before="109"/>
              <w:ind w:left="189" w:right="332"/>
              <w:jc w:val="center"/>
              <w:rPr>
                <w:sz w:val="20"/>
              </w:rPr>
            </w:pPr>
            <w:r>
              <w:rPr>
                <w:sz w:val="20"/>
              </w:rPr>
              <w:t>12</w:t>
            </w:r>
          </w:p>
        </w:tc>
        <w:tc>
          <w:tcPr>
            <w:tcW w:w="1021" w:type="dxa"/>
            <w:tcBorders>
              <w:bottom w:val="single" w:sz="4" w:space="0" w:color="000000"/>
            </w:tcBorders>
          </w:tcPr>
          <w:p w14:paraId="434B3898" w14:textId="77777777" w:rsidR="00C75312" w:rsidRDefault="00BB293A">
            <w:pPr>
              <w:pStyle w:val="TableParagraph"/>
              <w:spacing w:before="109"/>
              <w:ind w:left="133" w:right="160"/>
              <w:jc w:val="center"/>
              <w:rPr>
                <w:sz w:val="20"/>
              </w:rPr>
            </w:pPr>
            <w:r>
              <w:rPr>
                <w:sz w:val="20"/>
              </w:rPr>
              <w:t>10</w:t>
            </w:r>
          </w:p>
        </w:tc>
        <w:tc>
          <w:tcPr>
            <w:tcW w:w="327" w:type="dxa"/>
            <w:tcBorders>
              <w:bottom w:val="single" w:sz="4" w:space="0" w:color="000000"/>
            </w:tcBorders>
          </w:tcPr>
          <w:p w14:paraId="37C6EAE6" w14:textId="77777777" w:rsidR="00C75312" w:rsidRDefault="00C75312">
            <w:pPr>
              <w:pStyle w:val="TableParagraph"/>
            </w:pPr>
          </w:p>
        </w:tc>
        <w:tc>
          <w:tcPr>
            <w:tcW w:w="1825" w:type="dxa"/>
            <w:tcBorders>
              <w:bottom w:val="single" w:sz="4" w:space="0" w:color="000000"/>
            </w:tcBorders>
          </w:tcPr>
          <w:p w14:paraId="652E3E90" w14:textId="77777777" w:rsidR="00C75312" w:rsidRDefault="00BB293A">
            <w:pPr>
              <w:pStyle w:val="TableParagraph"/>
              <w:spacing w:before="109"/>
              <w:ind w:left="117"/>
              <w:rPr>
                <w:sz w:val="20"/>
              </w:rPr>
            </w:pPr>
            <w:r>
              <w:rPr>
                <w:sz w:val="20"/>
              </w:rPr>
              <w:t>Below NT median</w:t>
            </w:r>
          </w:p>
        </w:tc>
        <w:tc>
          <w:tcPr>
            <w:tcW w:w="969" w:type="dxa"/>
            <w:tcBorders>
              <w:bottom w:val="single" w:sz="4" w:space="0" w:color="000000"/>
            </w:tcBorders>
          </w:tcPr>
          <w:p w14:paraId="3A22FF51" w14:textId="77777777" w:rsidR="00C75312" w:rsidRDefault="00BB293A">
            <w:pPr>
              <w:pStyle w:val="TableParagraph"/>
              <w:spacing w:before="109"/>
              <w:ind w:left="193" w:right="332"/>
              <w:jc w:val="center"/>
              <w:rPr>
                <w:sz w:val="20"/>
              </w:rPr>
            </w:pPr>
            <w:r>
              <w:rPr>
                <w:sz w:val="20"/>
              </w:rPr>
              <w:t>12</w:t>
            </w:r>
          </w:p>
        </w:tc>
        <w:tc>
          <w:tcPr>
            <w:tcW w:w="1020" w:type="dxa"/>
            <w:tcBorders>
              <w:bottom w:val="single" w:sz="4" w:space="0" w:color="000000"/>
            </w:tcBorders>
          </w:tcPr>
          <w:p w14:paraId="6BA99A91" w14:textId="77777777" w:rsidR="00C75312" w:rsidRDefault="00BB293A">
            <w:pPr>
              <w:pStyle w:val="TableParagraph"/>
              <w:spacing w:before="109"/>
              <w:ind w:right="430"/>
              <w:jc w:val="right"/>
              <w:rPr>
                <w:sz w:val="20"/>
              </w:rPr>
            </w:pPr>
            <w:r>
              <w:rPr>
                <w:sz w:val="20"/>
              </w:rPr>
              <w:t>10</w:t>
            </w:r>
          </w:p>
        </w:tc>
      </w:tr>
    </w:tbl>
    <w:p w14:paraId="432A26B9" w14:textId="77777777" w:rsidR="00C75312" w:rsidRDefault="00C75312">
      <w:pPr>
        <w:pStyle w:val="BodyText"/>
        <w:rPr>
          <w:b/>
          <w:sz w:val="20"/>
        </w:rPr>
      </w:pPr>
    </w:p>
    <w:p w14:paraId="431C6D42" w14:textId="77777777" w:rsidR="00C75312" w:rsidRDefault="00C75312">
      <w:pPr>
        <w:pStyle w:val="BodyText"/>
        <w:rPr>
          <w:b/>
          <w:sz w:val="20"/>
        </w:rPr>
      </w:pPr>
    </w:p>
    <w:p w14:paraId="349865F4" w14:textId="77777777" w:rsidR="00C75312" w:rsidRDefault="00C75312">
      <w:pPr>
        <w:pStyle w:val="BodyText"/>
        <w:rPr>
          <w:b/>
          <w:sz w:val="20"/>
        </w:rPr>
      </w:pPr>
    </w:p>
    <w:p w14:paraId="558C0779" w14:textId="77777777" w:rsidR="00C75312" w:rsidRDefault="00C75312">
      <w:pPr>
        <w:pStyle w:val="BodyText"/>
        <w:rPr>
          <w:b/>
          <w:sz w:val="20"/>
        </w:rPr>
      </w:pPr>
    </w:p>
    <w:p w14:paraId="780791E2" w14:textId="77777777" w:rsidR="00C75312" w:rsidRDefault="00C75312">
      <w:pPr>
        <w:pStyle w:val="BodyText"/>
        <w:rPr>
          <w:b/>
          <w:sz w:val="20"/>
        </w:rPr>
      </w:pPr>
    </w:p>
    <w:p w14:paraId="55747EA4" w14:textId="77777777" w:rsidR="00C75312" w:rsidRDefault="00BB293A">
      <w:pPr>
        <w:pStyle w:val="BodyText"/>
        <w:spacing w:before="2"/>
        <w:rPr>
          <w:b/>
          <w:sz w:val="17"/>
        </w:rPr>
      </w:pPr>
      <w:r>
        <w:pict w14:anchorId="22EA0213">
          <v:shape id="_x0000_s2714" style="position:absolute;margin-left:1in;margin-top:12.1pt;width:2in;height:.1pt;z-index:-251586560;mso-wrap-distance-left:0;mso-wrap-distance-right:0;mso-position-horizontal-relative:page" coordorigin="1440,242" coordsize="2880,0" path="m1440,242r2880,e" filled="f" strokeweight=".48pt">
            <v:path arrowok="t"/>
            <w10:wrap type="topAndBottom" anchorx="page"/>
          </v:shape>
        </w:pict>
      </w:r>
    </w:p>
    <w:p w14:paraId="712B3703" w14:textId="77777777" w:rsidR="00C75312" w:rsidRDefault="00BB293A">
      <w:pPr>
        <w:spacing w:before="62" w:line="475" w:lineRule="auto"/>
        <w:ind w:left="140" w:right="1430"/>
        <w:jc w:val="both"/>
        <w:rPr>
          <w:sz w:val="20"/>
        </w:rPr>
      </w:pPr>
      <w:r>
        <w:rPr>
          <w:position w:val="7"/>
          <w:sz w:val="13"/>
        </w:rPr>
        <w:t xml:space="preserve">11 </w:t>
      </w:r>
      <w:r>
        <w:rPr>
          <w:sz w:val="20"/>
        </w:rPr>
        <w:t xml:space="preserve">The categorical analysis was also performed using White et al.’s (2006) criterion of classifying any individual as outlier if their performance was below 1.65SDs of the control group mean. This analysis identified 2 NT and </w:t>
      </w:r>
      <w:r>
        <w:rPr>
          <w:position w:val="1"/>
          <w:sz w:val="20"/>
        </w:rPr>
        <w:t xml:space="preserve">2 ASD participants in the verbal working memory, </w:t>
      </w:r>
      <w:r>
        <w:rPr>
          <w:rFonts w:ascii="Cambria" w:hAnsi="Cambria"/>
          <w:position w:val="1"/>
          <w:sz w:val="20"/>
        </w:rPr>
        <w:t>χ</w:t>
      </w:r>
      <w:r>
        <w:rPr>
          <w:position w:val="8"/>
          <w:sz w:val="13"/>
        </w:rPr>
        <w:t>2</w:t>
      </w:r>
      <w:r>
        <w:rPr>
          <w:position w:val="1"/>
          <w:sz w:val="20"/>
        </w:rPr>
        <w:t xml:space="preserve">(1) = </w:t>
      </w:r>
      <w:r>
        <w:rPr>
          <w:spacing w:val="-3"/>
          <w:position w:val="1"/>
          <w:sz w:val="20"/>
        </w:rPr>
        <w:t xml:space="preserve">0, </w:t>
      </w:r>
      <w:r>
        <w:rPr>
          <w:i/>
          <w:position w:val="1"/>
          <w:sz w:val="20"/>
        </w:rPr>
        <w:t xml:space="preserve">p </w:t>
      </w:r>
      <w:r>
        <w:rPr>
          <w:position w:val="1"/>
          <w:sz w:val="20"/>
        </w:rPr>
        <w:t>= 1, φ = 0, BF</w:t>
      </w:r>
      <w:r>
        <w:rPr>
          <w:position w:val="1"/>
          <w:sz w:val="20"/>
          <w:vertAlign w:val="subscript"/>
        </w:rPr>
        <w:t>10</w:t>
      </w:r>
      <w:r>
        <w:rPr>
          <w:position w:val="1"/>
          <w:sz w:val="20"/>
        </w:rPr>
        <w:t xml:space="preserve"> = 0.51, and 2 </w:t>
      </w:r>
      <w:r>
        <w:rPr>
          <w:spacing w:val="-4"/>
          <w:position w:val="1"/>
          <w:sz w:val="20"/>
        </w:rPr>
        <w:t xml:space="preserve">NT </w:t>
      </w:r>
      <w:r>
        <w:rPr>
          <w:position w:val="1"/>
          <w:sz w:val="20"/>
        </w:rPr>
        <w:t xml:space="preserve">and 3 ASD in the visuospatial working memory condition, </w:t>
      </w:r>
      <w:r>
        <w:rPr>
          <w:rFonts w:ascii="Cambria" w:hAnsi="Cambria"/>
          <w:position w:val="1"/>
          <w:sz w:val="20"/>
        </w:rPr>
        <w:t>χ</w:t>
      </w:r>
      <w:r>
        <w:rPr>
          <w:position w:val="8"/>
          <w:sz w:val="13"/>
        </w:rPr>
        <w:t>2</w:t>
      </w:r>
      <w:r>
        <w:rPr>
          <w:position w:val="1"/>
          <w:sz w:val="20"/>
        </w:rPr>
        <w:t xml:space="preserve">(1) = 0.23, </w:t>
      </w:r>
      <w:r>
        <w:rPr>
          <w:i/>
          <w:position w:val="1"/>
          <w:sz w:val="20"/>
        </w:rPr>
        <w:t xml:space="preserve">p </w:t>
      </w:r>
      <w:r>
        <w:rPr>
          <w:position w:val="1"/>
          <w:sz w:val="20"/>
        </w:rPr>
        <w:t>= .63, φ = .08, BF</w:t>
      </w:r>
      <w:r>
        <w:rPr>
          <w:position w:val="1"/>
          <w:sz w:val="20"/>
          <w:vertAlign w:val="subscript"/>
        </w:rPr>
        <w:t>10</w:t>
      </w:r>
      <w:r>
        <w:rPr>
          <w:position w:val="1"/>
          <w:sz w:val="20"/>
        </w:rPr>
        <w:t xml:space="preserve"> = 0.51, who fell in this category. </w:t>
      </w:r>
      <w:r>
        <w:rPr>
          <w:sz w:val="20"/>
        </w:rPr>
        <w:t>Thus, even when applying a stricter criterion, the same results were</w:t>
      </w:r>
      <w:r>
        <w:rPr>
          <w:spacing w:val="-14"/>
          <w:sz w:val="20"/>
        </w:rPr>
        <w:t xml:space="preserve"> </w:t>
      </w:r>
      <w:r>
        <w:rPr>
          <w:sz w:val="20"/>
        </w:rPr>
        <w:t>obtained.</w:t>
      </w:r>
    </w:p>
    <w:p w14:paraId="21EA5B56" w14:textId="77777777" w:rsidR="00C75312" w:rsidRDefault="00C75312">
      <w:pPr>
        <w:spacing w:line="475" w:lineRule="auto"/>
        <w:jc w:val="both"/>
        <w:rPr>
          <w:sz w:val="20"/>
        </w:rPr>
        <w:sectPr w:rsidR="00C75312">
          <w:pgSz w:w="11900" w:h="16840"/>
          <w:pgMar w:top="1140" w:right="0" w:bottom="280" w:left="1300" w:header="720" w:footer="0" w:gutter="0"/>
          <w:cols w:space="720"/>
        </w:sectPr>
      </w:pPr>
    </w:p>
    <w:p w14:paraId="36BEC5CA" w14:textId="77777777" w:rsidR="00C75312" w:rsidRDefault="00C75312">
      <w:pPr>
        <w:pStyle w:val="BodyText"/>
        <w:spacing w:before="2"/>
        <w:rPr>
          <w:sz w:val="18"/>
        </w:rPr>
      </w:pPr>
    </w:p>
    <w:p w14:paraId="4FB69E2A" w14:textId="77777777" w:rsidR="00C75312" w:rsidRDefault="00BB293A">
      <w:pPr>
        <w:pStyle w:val="Heading1"/>
        <w:spacing w:before="90"/>
        <w:ind w:left="25" w:right="1329"/>
        <w:jc w:val="center"/>
      </w:pPr>
      <w:bookmarkStart w:id="16" w:name="_TOC_250017"/>
      <w:bookmarkEnd w:id="16"/>
      <w:r>
        <w:t>Discussion</w:t>
      </w:r>
    </w:p>
    <w:p w14:paraId="2BDE8B8C" w14:textId="77777777" w:rsidR="00C75312" w:rsidRDefault="00C75312">
      <w:pPr>
        <w:pStyle w:val="BodyText"/>
        <w:rPr>
          <w:b/>
        </w:rPr>
      </w:pPr>
    </w:p>
    <w:p w14:paraId="139C4EFB" w14:textId="77777777" w:rsidR="00C75312" w:rsidRDefault="00BB293A">
      <w:pPr>
        <w:pStyle w:val="BodyText"/>
        <w:spacing w:line="480" w:lineRule="auto"/>
        <w:ind w:left="140" w:right="1432" w:firstLine="720"/>
        <w:jc w:val="both"/>
      </w:pPr>
      <w:r>
        <w:t>The debate on event-based PM abilities in ASD has led to the suggestion that individuals with ASD may use compensatory strategies to attain</w:t>
      </w:r>
      <w:r>
        <w:rPr>
          <w:spacing w:val="-44"/>
        </w:rPr>
        <w:t xml:space="preserve"> </w:t>
      </w:r>
      <w:r>
        <w:t xml:space="preserve">similar levels of performance on event-based PM tasks as NT individuals. This study sought to investigate this hypothesis by manipulating demands on processing resources that individuals with ASD might use to maintain delayed intentions while performing an ongoing task. Specifically, it was explored whether verbal or visuospatial ongoing processing demands might play differential roles in event-based PM in ASD in comparison to </w:t>
      </w:r>
      <w:r>
        <w:rPr>
          <w:spacing w:val="-3"/>
        </w:rPr>
        <w:t xml:space="preserve">NT </w:t>
      </w:r>
      <w:r>
        <w:t>development. The results of this study align with findings of unimpaired even</w:t>
      </w:r>
      <w:r>
        <w:t>t-based PM in ASD and provide initial evidence that this is not achieved through verbally mediated strategy use in</w:t>
      </w:r>
      <w:r>
        <w:rPr>
          <w:spacing w:val="7"/>
        </w:rPr>
        <w:t xml:space="preserve"> </w:t>
      </w:r>
      <w:r>
        <w:t>ASD.</w:t>
      </w:r>
    </w:p>
    <w:p w14:paraId="6E8EB3D8" w14:textId="77777777" w:rsidR="00C75312" w:rsidRDefault="00BB293A">
      <w:pPr>
        <w:pStyle w:val="Heading1"/>
        <w:spacing w:before="120"/>
        <w:jc w:val="both"/>
      </w:pPr>
      <w:r>
        <w:t>Verbally mediated event-based PM in ASD?</w:t>
      </w:r>
    </w:p>
    <w:p w14:paraId="73965C4D" w14:textId="77777777" w:rsidR="00C75312" w:rsidRDefault="00C75312">
      <w:pPr>
        <w:pStyle w:val="BodyText"/>
        <w:rPr>
          <w:b/>
        </w:rPr>
      </w:pPr>
    </w:p>
    <w:p w14:paraId="6A5FF978" w14:textId="77777777" w:rsidR="00C75312" w:rsidRDefault="00BB293A">
      <w:pPr>
        <w:pStyle w:val="BodyText"/>
        <w:spacing w:line="480" w:lineRule="auto"/>
        <w:ind w:left="140" w:right="1433" w:firstLine="720"/>
        <w:jc w:val="both"/>
      </w:pPr>
      <w:r>
        <w:t xml:space="preserve">Contrary to what was predicted, demands of the verbal ongoing task did not have detrimental effects on event-based PM in the ASD group compared to an ongoing task with visuospatial processing demands. In fact, the results revealed that the ASD group was not impaired on either </w:t>
      </w:r>
      <w:r>
        <w:rPr>
          <w:spacing w:val="-3"/>
        </w:rPr>
        <w:t xml:space="preserve">of </w:t>
      </w:r>
      <w:r>
        <w:t>the event-based PM tasks in comparison to the NT control group. Importantly, the Bayes factor analyses supported this null finding. Additionally, the categorical</w:t>
      </w:r>
      <w:r>
        <w:rPr>
          <w:spacing w:val="-9"/>
        </w:rPr>
        <w:t xml:space="preserve"> </w:t>
      </w:r>
      <w:r>
        <w:t>analysis</w:t>
      </w:r>
      <w:r>
        <w:rPr>
          <w:spacing w:val="-12"/>
        </w:rPr>
        <w:t xml:space="preserve"> </w:t>
      </w:r>
      <w:r>
        <w:t>did</w:t>
      </w:r>
      <w:r>
        <w:rPr>
          <w:spacing w:val="-9"/>
        </w:rPr>
        <w:t xml:space="preserve"> </w:t>
      </w:r>
      <w:r>
        <w:t>not</w:t>
      </w:r>
      <w:r>
        <w:rPr>
          <w:spacing w:val="-9"/>
        </w:rPr>
        <w:t xml:space="preserve"> </w:t>
      </w:r>
      <w:r>
        <w:t>identify</w:t>
      </w:r>
      <w:r>
        <w:rPr>
          <w:spacing w:val="-10"/>
        </w:rPr>
        <w:t xml:space="preserve"> </w:t>
      </w:r>
      <w:r>
        <w:t>a</w:t>
      </w:r>
      <w:r>
        <w:rPr>
          <w:spacing w:val="-10"/>
        </w:rPr>
        <w:t xml:space="preserve"> </w:t>
      </w:r>
      <w:r>
        <w:t>subgroup</w:t>
      </w:r>
      <w:r>
        <w:rPr>
          <w:spacing w:val="-10"/>
        </w:rPr>
        <w:t xml:space="preserve"> </w:t>
      </w:r>
      <w:r>
        <w:t>of</w:t>
      </w:r>
      <w:r>
        <w:rPr>
          <w:spacing w:val="-8"/>
        </w:rPr>
        <w:t xml:space="preserve"> </w:t>
      </w:r>
      <w:r>
        <w:t>individuals</w:t>
      </w:r>
      <w:r>
        <w:rPr>
          <w:spacing w:val="-11"/>
        </w:rPr>
        <w:t xml:space="preserve"> </w:t>
      </w:r>
      <w:r>
        <w:t>with</w:t>
      </w:r>
      <w:r>
        <w:rPr>
          <w:spacing w:val="-10"/>
        </w:rPr>
        <w:t xml:space="preserve"> </w:t>
      </w:r>
      <w:r>
        <w:t>ASD</w:t>
      </w:r>
      <w:r>
        <w:rPr>
          <w:spacing w:val="-9"/>
        </w:rPr>
        <w:t xml:space="preserve"> </w:t>
      </w:r>
      <w:r>
        <w:t>who</w:t>
      </w:r>
      <w:r>
        <w:rPr>
          <w:spacing w:val="-10"/>
        </w:rPr>
        <w:t xml:space="preserve"> </w:t>
      </w:r>
      <w:r>
        <w:t>were</w:t>
      </w:r>
      <w:r>
        <w:rPr>
          <w:spacing w:val="-11"/>
        </w:rPr>
        <w:t xml:space="preserve"> </w:t>
      </w:r>
      <w:r>
        <w:t>particularly impaired</w:t>
      </w:r>
      <w:r>
        <w:rPr>
          <w:spacing w:val="-14"/>
        </w:rPr>
        <w:t xml:space="preserve"> </w:t>
      </w:r>
      <w:r>
        <w:t>in</w:t>
      </w:r>
      <w:r>
        <w:rPr>
          <w:spacing w:val="-13"/>
        </w:rPr>
        <w:t xml:space="preserve"> </w:t>
      </w:r>
      <w:r>
        <w:t>the</w:t>
      </w:r>
      <w:r>
        <w:rPr>
          <w:spacing w:val="-14"/>
        </w:rPr>
        <w:t xml:space="preserve"> </w:t>
      </w:r>
      <w:r>
        <w:t>verbal</w:t>
      </w:r>
      <w:r>
        <w:rPr>
          <w:spacing w:val="-13"/>
        </w:rPr>
        <w:t xml:space="preserve"> </w:t>
      </w:r>
      <w:r>
        <w:t>working</w:t>
      </w:r>
      <w:r>
        <w:rPr>
          <w:spacing w:val="-14"/>
        </w:rPr>
        <w:t xml:space="preserve"> </w:t>
      </w:r>
      <w:r>
        <w:t>memory</w:t>
      </w:r>
      <w:r>
        <w:rPr>
          <w:spacing w:val="-18"/>
        </w:rPr>
        <w:t xml:space="preserve"> </w:t>
      </w:r>
      <w:r>
        <w:t>condition</w:t>
      </w:r>
      <w:r>
        <w:rPr>
          <w:spacing w:val="29"/>
        </w:rPr>
        <w:t xml:space="preserve"> </w:t>
      </w:r>
      <w:r>
        <w:t>This</w:t>
      </w:r>
      <w:r>
        <w:rPr>
          <w:spacing w:val="-16"/>
        </w:rPr>
        <w:t xml:space="preserve"> </w:t>
      </w:r>
      <w:r>
        <w:t>adds</w:t>
      </w:r>
      <w:r>
        <w:rPr>
          <w:spacing w:val="-17"/>
        </w:rPr>
        <w:t xml:space="preserve"> </w:t>
      </w:r>
      <w:r>
        <w:t>to</w:t>
      </w:r>
      <w:r>
        <w:rPr>
          <w:spacing w:val="-13"/>
        </w:rPr>
        <w:t xml:space="preserve"> </w:t>
      </w:r>
      <w:r>
        <w:t>the</w:t>
      </w:r>
      <w:r>
        <w:rPr>
          <w:spacing w:val="-14"/>
        </w:rPr>
        <w:t xml:space="preserve"> </w:t>
      </w:r>
      <w:r>
        <w:t>existing</w:t>
      </w:r>
      <w:r>
        <w:rPr>
          <w:spacing w:val="-13"/>
        </w:rPr>
        <w:t xml:space="preserve"> </w:t>
      </w:r>
      <w:r>
        <w:t>evidence</w:t>
      </w:r>
      <w:r>
        <w:rPr>
          <w:spacing w:val="-15"/>
        </w:rPr>
        <w:t xml:space="preserve"> </w:t>
      </w:r>
      <w:r>
        <w:t>that</w:t>
      </w:r>
      <w:r>
        <w:rPr>
          <w:spacing w:val="-13"/>
        </w:rPr>
        <w:t xml:space="preserve"> </w:t>
      </w:r>
      <w:r>
        <w:t>found intact event-based PM in ASD (</w:t>
      </w:r>
      <w:proofErr w:type="spellStart"/>
      <w:r>
        <w:t>Altgassen</w:t>
      </w:r>
      <w:proofErr w:type="spellEnd"/>
      <w:r>
        <w:t xml:space="preserve"> &amp; Koch, 2014; </w:t>
      </w:r>
      <w:proofErr w:type="spellStart"/>
      <w:r>
        <w:t>Altgassen</w:t>
      </w:r>
      <w:proofErr w:type="spellEnd"/>
      <w:r>
        <w:t>, Schmitz-Hübsch, et al., 2010; Henry et al., 2014; Williams et al., 2013; Williams et al., 2014) and challenges the hypothesis that event-based PM may be verbally mediated as suggested by Williams et al.’s (2014).</w:t>
      </w:r>
    </w:p>
    <w:p w14:paraId="7EF26867" w14:textId="77777777" w:rsidR="00C75312" w:rsidRDefault="00BB293A">
      <w:pPr>
        <w:pStyle w:val="BodyText"/>
        <w:spacing w:before="121" w:line="480" w:lineRule="auto"/>
        <w:ind w:left="140" w:right="1434" w:firstLine="720"/>
        <w:jc w:val="both"/>
      </w:pPr>
      <w:r>
        <w:t>The absence of verbal strategy use in ASD when completing event-based intentions, aligns</w:t>
      </w:r>
      <w:r>
        <w:rPr>
          <w:spacing w:val="-7"/>
        </w:rPr>
        <w:t xml:space="preserve"> </w:t>
      </w:r>
      <w:r>
        <w:t>with</w:t>
      </w:r>
      <w:r>
        <w:rPr>
          <w:spacing w:val="-5"/>
        </w:rPr>
        <w:t xml:space="preserve"> </w:t>
      </w:r>
      <w:r>
        <w:t>research</w:t>
      </w:r>
      <w:r>
        <w:rPr>
          <w:spacing w:val="-4"/>
        </w:rPr>
        <w:t xml:space="preserve"> </w:t>
      </w:r>
      <w:r>
        <w:t>indicating</w:t>
      </w:r>
      <w:r>
        <w:rPr>
          <w:spacing w:val="-5"/>
        </w:rPr>
        <w:t xml:space="preserve"> </w:t>
      </w:r>
      <w:r>
        <w:t>that</w:t>
      </w:r>
      <w:r>
        <w:rPr>
          <w:spacing w:val="-4"/>
        </w:rPr>
        <w:t xml:space="preserve"> </w:t>
      </w:r>
      <w:r>
        <w:t>event-based</w:t>
      </w:r>
      <w:r>
        <w:rPr>
          <w:spacing w:val="-4"/>
        </w:rPr>
        <w:t xml:space="preserve"> </w:t>
      </w:r>
      <w:r>
        <w:t>PM</w:t>
      </w:r>
      <w:r>
        <w:rPr>
          <w:spacing w:val="-7"/>
        </w:rPr>
        <w:t xml:space="preserve"> </w:t>
      </w:r>
      <w:r>
        <w:t>in</w:t>
      </w:r>
      <w:r>
        <w:rPr>
          <w:spacing w:val="-5"/>
        </w:rPr>
        <w:t xml:space="preserve"> </w:t>
      </w:r>
      <w:r>
        <w:t>NTs</w:t>
      </w:r>
      <w:r>
        <w:rPr>
          <w:spacing w:val="-6"/>
        </w:rPr>
        <w:t xml:space="preserve"> </w:t>
      </w:r>
      <w:r>
        <w:t>is</w:t>
      </w:r>
      <w:r>
        <w:rPr>
          <w:spacing w:val="-7"/>
        </w:rPr>
        <w:t xml:space="preserve"> </w:t>
      </w:r>
      <w:r>
        <w:t>not</w:t>
      </w:r>
      <w:r>
        <w:rPr>
          <w:spacing w:val="-4"/>
        </w:rPr>
        <w:t xml:space="preserve"> </w:t>
      </w:r>
      <w:r>
        <w:t>verbally</w:t>
      </w:r>
      <w:r>
        <w:rPr>
          <w:spacing w:val="-4"/>
        </w:rPr>
        <w:t xml:space="preserve"> </w:t>
      </w:r>
      <w:r>
        <w:t>mediated</w:t>
      </w:r>
      <w:r>
        <w:rPr>
          <w:spacing w:val="-5"/>
        </w:rPr>
        <w:t xml:space="preserve"> </w:t>
      </w:r>
      <w:r>
        <w:t>(Marsh</w:t>
      </w:r>
      <w:r>
        <w:rPr>
          <w:spacing w:val="-5"/>
        </w:rPr>
        <w:t xml:space="preserve"> </w:t>
      </w:r>
      <w:r>
        <w:t>&amp; Hicks,</w:t>
      </w:r>
      <w:r>
        <w:rPr>
          <w:spacing w:val="10"/>
        </w:rPr>
        <w:t xml:space="preserve"> </w:t>
      </w:r>
      <w:r>
        <w:t>1998).</w:t>
      </w:r>
      <w:r>
        <w:rPr>
          <w:spacing w:val="1"/>
        </w:rPr>
        <w:t xml:space="preserve"> </w:t>
      </w:r>
      <w:r>
        <w:t>This</w:t>
      </w:r>
      <w:r>
        <w:rPr>
          <w:spacing w:val="6"/>
        </w:rPr>
        <w:t xml:space="preserve"> </w:t>
      </w:r>
      <w:r>
        <w:t>suggests,</w:t>
      </w:r>
      <w:r>
        <w:rPr>
          <w:spacing w:val="11"/>
        </w:rPr>
        <w:t xml:space="preserve"> </w:t>
      </w:r>
      <w:r>
        <w:t>that</w:t>
      </w:r>
      <w:r>
        <w:rPr>
          <w:spacing w:val="9"/>
        </w:rPr>
        <w:t xml:space="preserve"> </w:t>
      </w:r>
      <w:r>
        <w:t>inner</w:t>
      </w:r>
      <w:r>
        <w:rPr>
          <w:spacing w:val="10"/>
        </w:rPr>
        <w:t xml:space="preserve"> </w:t>
      </w:r>
      <w:r>
        <w:t>speech</w:t>
      </w:r>
      <w:r>
        <w:rPr>
          <w:spacing w:val="9"/>
        </w:rPr>
        <w:t xml:space="preserve"> </w:t>
      </w:r>
      <w:r>
        <w:t>use</w:t>
      </w:r>
      <w:r>
        <w:rPr>
          <w:spacing w:val="7"/>
        </w:rPr>
        <w:t xml:space="preserve"> </w:t>
      </w:r>
      <w:r>
        <w:t>in</w:t>
      </w:r>
      <w:r>
        <w:rPr>
          <w:spacing w:val="9"/>
        </w:rPr>
        <w:t xml:space="preserve"> </w:t>
      </w:r>
      <w:r>
        <w:t>ASD</w:t>
      </w:r>
      <w:r>
        <w:rPr>
          <w:spacing w:val="8"/>
        </w:rPr>
        <w:t xml:space="preserve"> </w:t>
      </w:r>
      <w:r>
        <w:t>is</w:t>
      </w:r>
      <w:r>
        <w:rPr>
          <w:spacing w:val="6"/>
        </w:rPr>
        <w:t xml:space="preserve"> </w:t>
      </w:r>
      <w:r>
        <w:t>not</w:t>
      </w:r>
      <w:r>
        <w:rPr>
          <w:spacing w:val="9"/>
        </w:rPr>
        <w:t xml:space="preserve"> </w:t>
      </w:r>
      <w:r>
        <w:t>atypical</w:t>
      </w:r>
      <w:r>
        <w:rPr>
          <w:spacing w:val="4"/>
        </w:rPr>
        <w:t xml:space="preserve"> </w:t>
      </w:r>
      <w:r>
        <w:t>in</w:t>
      </w:r>
      <w:r>
        <w:rPr>
          <w:spacing w:val="4"/>
        </w:rPr>
        <w:t xml:space="preserve"> </w:t>
      </w:r>
      <w:r>
        <w:t>PM</w:t>
      </w:r>
      <w:r>
        <w:rPr>
          <w:spacing w:val="6"/>
        </w:rPr>
        <w:t xml:space="preserve"> </w:t>
      </w:r>
      <w:r>
        <w:t>tasks,</w:t>
      </w:r>
      <w:r>
        <w:rPr>
          <w:spacing w:val="11"/>
        </w:rPr>
        <w:t xml:space="preserve"> </w:t>
      </w:r>
      <w:r>
        <w:t>which</w:t>
      </w:r>
    </w:p>
    <w:p w14:paraId="349C2244" w14:textId="77777777" w:rsidR="00C75312" w:rsidRDefault="00C75312">
      <w:pPr>
        <w:spacing w:line="480" w:lineRule="auto"/>
        <w:jc w:val="both"/>
        <w:sectPr w:rsidR="00C75312">
          <w:pgSz w:w="11900" w:h="16840"/>
          <w:pgMar w:top="1140" w:right="0" w:bottom="280" w:left="1300" w:header="720" w:footer="0" w:gutter="0"/>
          <w:cols w:space="720"/>
        </w:sectPr>
      </w:pPr>
    </w:p>
    <w:p w14:paraId="64DB6570" w14:textId="77777777" w:rsidR="00C75312" w:rsidRDefault="00C75312">
      <w:pPr>
        <w:pStyle w:val="BodyText"/>
        <w:spacing w:before="2"/>
        <w:rPr>
          <w:sz w:val="18"/>
        </w:rPr>
      </w:pPr>
    </w:p>
    <w:p w14:paraId="4FCF789E" w14:textId="77777777" w:rsidR="00C75312" w:rsidRDefault="00BB293A">
      <w:pPr>
        <w:pStyle w:val="BodyText"/>
        <w:spacing w:before="90" w:line="480" w:lineRule="auto"/>
        <w:ind w:left="140" w:right="1434"/>
        <w:jc w:val="both"/>
      </w:pPr>
      <w:r>
        <w:t>also fits with Williams, Peng, et al.’s (2016) conclusion that individuals with ASD manifest typical use of inner speech, at least in some domains. However, it contradicts research suggesting</w:t>
      </w:r>
      <w:r>
        <w:rPr>
          <w:spacing w:val="-5"/>
        </w:rPr>
        <w:t xml:space="preserve"> </w:t>
      </w:r>
      <w:r>
        <w:t>that</w:t>
      </w:r>
      <w:r>
        <w:rPr>
          <w:spacing w:val="-4"/>
        </w:rPr>
        <w:t xml:space="preserve"> </w:t>
      </w:r>
      <w:r>
        <w:t>verbal</w:t>
      </w:r>
      <w:r>
        <w:rPr>
          <w:spacing w:val="-4"/>
        </w:rPr>
        <w:t xml:space="preserve"> </w:t>
      </w:r>
      <w:r>
        <w:t>processing</w:t>
      </w:r>
      <w:r>
        <w:rPr>
          <w:spacing w:val="-4"/>
        </w:rPr>
        <w:t xml:space="preserve"> </w:t>
      </w:r>
      <w:r>
        <w:t>in</w:t>
      </w:r>
      <w:r>
        <w:rPr>
          <w:spacing w:val="-5"/>
        </w:rPr>
        <w:t xml:space="preserve"> </w:t>
      </w:r>
      <w:r>
        <w:t>ASD</w:t>
      </w:r>
      <w:r>
        <w:rPr>
          <w:spacing w:val="-5"/>
        </w:rPr>
        <w:t xml:space="preserve"> </w:t>
      </w:r>
      <w:r>
        <w:t>is</w:t>
      </w:r>
      <w:r>
        <w:rPr>
          <w:spacing w:val="-7"/>
        </w:rPr>
        <w:t xml:space="preserve"> </w:t>
      </w:r>
      <w:r>
        <w:t>associated</w:t>
      </w:r>
      <w:r>
        <w:rPr>
          <w:spacing w:val="-4"/>
        </w:rPr>
        <w:t xml:space="preserve"> </w:t>
      </w:r>
      <w:r>
        <w:t>to</w:t>
      </w:r>
      <w:r>
        <w:rPr>
          <w:spacing w:val="-5"/>
        </w:rPr>
        <w:t xml:space="preserve"> </w:t>
      </w:r>
      <w:r>
        <w:t>a</w:t>
      </w:r>
      <w:r>
        <w:rPr>
          <w:spacing w:val="-6"/>
        </w:rPr>
        <w:t xml:space="preserve"> </w:t>
      </w:r>
      <w:r>
        <w:t>significantly</w:t>
      </w:r>
      <w:r>
        <w:rPr>
          <w:spacing w:val="-4"/>
        </w:rPr>
        <w:t xml:space="preserve"> </w:t>
      </w:r>
      <w:r>
        <w:t>greater</w:t>
      </w:r>
      <w:r>
        <w:rPr>
          <w:spacing w:val="-3"/>
        </w:rPr>
        <w:t xml:space="preserve"> </w:t>
      </w:r>
      <w:r>
        <w:t>degree</w:t>
      </w:r>
      <w:r>
        <w:rPr>
          <w:spacing w:val="-6"/>
        </w:rPr>
        <w:t xml:space="preserve"> </w:t>
      </w:r>
      <w:r>
        <w:t>than</w:t>
      </w:r>
      <w:r>
        <w:rPr>
          <w:spacing w:val="-5"/>
        </w:rPr>
        <w:t xml:space="preserve"> </w:t>
      </w:r>
      <w:r>
        <w:t>in typical development with performance on tasks in other cognitive domains. In particular, it has been put forward that individuals with ASD “hack out” solutions to mind reading tasks using verbal abilities despite having diminished underlying conceptual competence in that domain, supported by evidence that verbal abilities contribute to theory of mind/mindreading task performance significantly more in individuals with than</w:t>
      </w:r>
      <w:r>
        <w:t xml:space="preserve"> without ASD (</w:t>
      </w:r>
      <w:proofErr w:type="spellStart"/>
      <w:r>
        <w:t>Durrleman</w:t>
      </w:r>
      <w:proofErr w:type="spellEnd"/>
      <w:r>
        <w:t xml:space="preserve"> &amp; Franck, 2015; Kimhi, 2014; Williams &amp; </w:t>
      </w:r>
      <w:proofErr w:type="spellStart"/>
      <w:r>
        <w:t>Happé</w:t>
      </w:r>
      <w:proofErr w:type="spellEnd"/>
      <w:r>
        <w:t>, 2009). It seems that this strategic approach does not apply to event-based PM abilities in</w:t>
      </w:r>
      <w:r>
        <w:rPr>
          <w:spacing w:val="3"/>
        </w:rPr>
        <w:t xml:space="preserve"> </w:t>
      </w:r>
      <w:r>
        <w:t>ASD.</w:t>
      </w:r>
    </w:p>
    <w:p w14:paraId="655313B2" w14:textId="77777777" w:rsidR="00C75312" w:rsidRDefault="00BB293A">
      <w:pPr>
        <w:pStyle w:val="BodyText"/>
        <w:spacing w:before="120" w:line="480" w:lineRule="auto"/>
        <w:ind w:left="140" w:right="1431" w:firstLine="720"/>
        <w:jc w:val="both"/>
      </w:pPr>
      <w:r>
        <w:t xml:space="preserve">However, next some potential explanations why this study might have failed to find evidence to support verbal strategy use in ASD are considered. Based on finding a correlation between event-based PM and verbal working memory span in the ASD, and visuospatial working memory span in the NT group, Williams et al. (2014) proposed that individuals with ASD might use compensatory verbal strategies </w:t>
      </w:r>
      <w:r>
        <w:rPr>
          <w:spacing w:val="-3"/>
        </w:rPr>
        <w:t xml:space="preserve">to </w:t>
      </w:r>
      <w:r>
        <w:t>support event-based PM. An alternative explanation,</w:t>
      </w:r>
      <w:r>
        <w:rPr>
          <w:spacing w:val="-3"/>
        </w:rPr>
        <w:t xml:space="preserve"> </w:t>
      </w:r>
      <w:r>
        <w:t>however,</w:t>
      </w:r>
      <w:r>
        <w:rPr>
          <w:spacing w:val="-2"/>
        </w:rPr>
        <w:t xml:space="preserve"> </w:t>
      </w:r>
      <w:r>
        <w:t>would</w:t>
      </w:r>
      <w:r>
        <w:rPr>
          <w:spacing w:val="-5"/>
        </w:rPr>
        <w:t xml:space="preserve"> </w:t>
      </w:r>
      <w:r>
        <w:t>be</w:t>
      </w:r>
      <w:r>
        <w:rPr>
          <w:spacing w:val="-6"/>
        </w:rPr>
        <w:t xml:space="preserve"> </w:t>
      </w:r>
      <w:r>
        <w:t>that</w:t>
      </w:r>
      <w:r>
        <w:rPr>
          <w:spacing w:val="-4"/>
        </w:rPr>
        <w:t xml:space="preserve"> </w:t>
      </w:r>
      <w:r>
        <w:t>participants</w:t>
      </w:r>
      <w:r>
        <w:rPr>
          <w:spacing w:val="-7"/>
        </w:rPr>
        <w:t xml:space="preserve"> </w:t>
      </w:r>
      <w:r>
        <w:t>in</w:t>
      </w:r>
      <w:r>
        <w:rPr>
          <w:spacing w:val="-9"/>
        </w:rPr>
        <w:t xml:space="preserve"> </w:t>
      </w:r>
      <w:r>
        <w:t>each</w:t>
      </w:r>
      <w:r>
        <w:rPr>
          <w:spacing w:val="-6"/>
        </w:rPr>
        <w:t xml:space="preserve"> </w:t>
      </w:r>
      <w:r>
        <w:t>group</w:t>
      </w:r>
      <w:r>
        <w:rPr>
          <w:spacing w:val="-5"/>
        </w:rPr>
        <w:t xml:space="preserve"> </w:t>
      </w:r>
      <w:r>
        <w:t>used</w:t>
      </w:r>
      <w:r>
        <w:rPr>
          <w:spacing w:val="-5"/>
        </w:rPr>
        <w:t xml:space="preserve"> </w:t>
      </w:r>
      <w:r>
        <w:t>different</w:t>
      </w:r>
      <w:r>
        <w:rPr>
          <w:spacing w:val="-4"/>
        </w:rPr>
        <w:t xml:space="preserve"> </w:t>
      </w:r>
      <w:r>
        <w:t>strategies</w:t>
      </w:r>
      <w:r>
        <w:rPr>
          <w:spacing w:val="-6"/>
        </w:rPr>
        <w:t xml:space="preserve"> </w:t>
      </w:r>
      <w:r>
        <w:t xml:space="preserve">and/or processing resources to perform the ongoing task in their study, which affected their PM performance. Participants had to </w:t>
      </w:r>
      <w:proofErr w:type="spellStart"/>
      <w:r>
        <w:t>memorise</w:t>
      </w:r>
      <w:proofErr w:type="spellEnd"/>
      <w:r>
        <w:t xml:space="preserve"> a series of sequentially presented words (study phase) before making a recognition judgement about a list of words (test phase: are the </w:t>
      </w:r>
      <w:proofErr w:type="spellStart"/>
      <w:r>
        <w:t>memorised</w:t>
      </w:r>
      <w:proofErr w:type="spellEnd"/>
      <w:r>
        <w:t xml:space="preserve"> words identical to the words in the list). The PM task required a response upon noticing words th</w:t>
      </w:r>
      <w:r>
        <w:t>at were musical instruments. In case of the ASD group, verbal working memory may have facilitated event-based PM because it enabled participants in this group to remember more word stimuli, which would have been crucial to detect the PM cue. NT participants on the other hand may have used a pattern matching strategy to perform the ongoing task, meaning that irregularities in the visual pattern may have led to the detection</w:t>
      </w:r>
      <w:r>
        <w:rPr>
          <w:spacing w:val="9"/>
        </w:rPr>
        <w:t xml:space="preserve"> </w:t>
      </w:r>
      <w:r>
        <w:t>of</w:t>
      </w:r>
    </w:p>
    <w:p w14:paraId="3F278CC0" w14:textId="77777777" w:rsidR="00C75312" w:rsidRDefault="00C75312">
      <w:pPr>
        <w:spacing w:line="480" w:lineRule="auto"/>
        <w:jc w:val="both"/>
        <w:sectPr w:rsidR="00C75312">
          <w:pgSz w:w="11900" w:h="16840"/>
          <w:pgMar w:top="1140" w:right="0" w:bottom="280" w:left="1300" w:header="720" w:footer="0" w:gutter="0"/>
          <w:cols w:space="720"/>
        </w:sectPr>
      </w:pPr>
    </w:p>
    <w:p w14:paraId="6B4F699B" w14:textId="77777777" w:rsidR="00C75312" w:rsidRDefault="00C75312">
      <w:pPr>
        <w:pStyle w:val="BodyText"/>
        <w:spacing w:before="2"/>
        <w:rPr>
          <w:sz w:val="18"/>
        </w:rPr>
      </w:pPr>
    </w:p>
    <w:p w14:paraId="60934090" w14:textId="77777777" w:rsidR="00C75312" w:rsidRDefault="00BB293A">
      <w:pPr>
        <w:pStyle w:val="BodyText"/>
        <w:spacing w:before="90" w:line="480" w:lineRule="auto"/>
        <w:ind w:left="140" w:right="1434"/>
        <w:jc w:val="both"/>
      </w:pPr>
      <w:r>
        <w:t>PM cue. Although, Williams et al. (2014) reported partial correlations for the association between</w:t>
      </w:r>
      <w:r>
        <w:rPr>
          <w:spacing w:val="-6"/>
        </w:rPr>
        <w:t xml:space="preserve"> </w:t>
      </w:r>
      <w:r>
        <w:t>event-based</w:t>
      </w:r>
      <w:r>
        <w:rPr>
          <w:spacing w:val="-5"/>
        </w:rPr>
        <w:t xml:space="preserve"> </w:t>
      </w:r>
      <w:r>
        <w:t>PM</w:t>
      </w:r>
      <w:r>
        <w:rPr>
          <w:spacing w:val="-8"/>
        </w:rPr>
        <w:t xml:space="preserve"> </w:t>
      </w:r>
      <w:r>
        <w:t>and</w:t>
      </w:r>
      <w:r>
        <w:rPr>
          <w:spacing w:val="-5"/>
        </w:rPr>
        <w:t xml:space="preserve"> </w:t>
      </w:r>
      <w:r>
        <w:t>working</w:t>
      </w:r>
      <w:r>
        <w:rPr>
          <w:spacing w:val="-10"/>
        </w:rPr>
        <w:t xml:space="preserve"> </w:t>
      </w:r>
      <w:r>
        <w:t>memory</w:t>
      </w:r>
      <w:r>
        <w:rPr>
          <w:spacing w:val="-11"/>
        </w:rPr>
        <w:t xml:space="preserve"> </w:t>
      </w:r>
      <w:r>
        <w:t>controlling</w:t>
      </w:r>
      <w:r>
        <w:rPr>
          <w:spacing w:val="-10"/>
        </w:rPr>
        <w:t xml:space="preserve"> </w:t>
      </w:r>
      <w:r>
        <w:t>for</w:t>
      </w:r>
      <w:r>
        <w:rPr>
          <w:spacing w:val="-8"/>
        </w:rPr>
        <w:t xml:space="preserve"> </w:t>
      </w:r>
      <w:r>
        <w:t>ongoing</w:t>
      </w:r>
      <w:r>
        <w:rPr>
          <w:spacing w:val="-10"/>
        </w:rPr>
        <w:t xml:space="preserve"> </w:t>
      </w:r>
      <w:r>
        <w:t>task</w:t>
      </w:r>
      <w:r>
        <w:rPr>
          <w:spacing w:val="-11"/>
        </w:rPr>
        <w:t xml:space="preserve"> </w:t>
      </w:r>
      <w:r>
        <w:t>accuracy,</w:t>
      </w:r>
      <w:r>
        <w:rPr>
          <w:spacing w:val="-2"/>
        </w:rPr>
        <w:t xml:space="preserve"> </w:t>
      </w:r>
      <w:r>
        <w:t>they</w:t>
      </w:r>
      <w:r>
        <w:rPr>
          <w:spacing w:val="-10"/>
        </w:rPr>
        <w:t xml:space="preserve"> </w:t>
      </w:r>
      <w:r>
        <w:t>did not</w:t>
      </w:r>
      <w:r>
        <w:rPr>
          <w:spacing w:val="-6"/>
        </w:rPr>
        <w:t xml:space="preserve"> </w:t>
      </w:r>
      <w:r>
        <w:t>report</w:t>
      </w:r>
      <w:r>
        <w:rPr>
          <w:spacing w:val="-10"/>
        </w:rPr>
        <w:t xml:space="preserve"> </w:t>
      </w:r>
      <w:r>
        <w:t>the</w:t>
      </w:r>
      <w:r>
        <w:rPr>
          <w:spacing w:val="-7"/>
        </w:rPr>
        <w:t xml:space="preserve"> </w:t>
      </w:r>
      <w:r>
        <w:t>zero-order</w:t>
      </w:r>
      <w:r>
        <w:rPr>
          <w:spacing w:val="-5"/>
        </w:rPr>
        <w:t xml:space="preserve"> </w:t>
      </w:r>
      <w:r>
        <w:t>correlations</w:t>
      </w:r>
      <w:r>
        <w:rPr>
          <w:spacing w:val="-8"/>
        </w:rPr>
        <w:t xml:space="preserve"> </w:t>
      </w:r>
      <w:r>
        <w:t>between</w:t>
      </w:r>
      <w:r>
        <w:rPr>
          <w:spacing w:val="-6"/>
        </w:rPr>
        <w:t xml:space="preserve"> </w:t>
      </w:r>
      <w:r>
        <w:t>measures</w:t>
      </w:r>
      <w:r>
        <w:rPr>
          <w:spacing w:val="-8"/>
        </w:rPr>
        <w:t xml:space="preserve"> </w:t>
      </w:r>
      <w:r>
        <w:t>of</w:t>
      </w:r>
      <w:r>
        <w:rPr>
          <w:spacing w:val="-5"/>
        </w:rPr>
        <w:t xml:space="preserve"> </w:t>
      </w:r>
      <w:r>
        <w:t>working</w:t>
      </w:r>
      <w:r>
        <w:rPr>
          <w:spacing w:val="-6"/>
        </w:rPr>
        <w:t xml:space="preserve"> </w:t>
      </w:r>
      <w:r>
        <w:t>memory,</w:t>
      </w:r>
      <w:r>
        <w:rPr>
          <w:spacing w:val="-8"/>
        </w:rPr>
        <w:t xml:space="preserve"> </w:t>
      </w:r>
      <w:r>
        <w:t>event-based</w:t>
      </w:r>
      <w:r>
        <w:rPr>
          <w:spacing w:val="-7"/>
        </w:rPr>
        <w:t xml:space="preserve"> </w:t>
      </w:r>
      <w:r>
        <w:t>PM, and</w:t>
      </w:r>
      <w:r>
        <w:rPr>
          <w:spacing w:val="-14"/>
        </w:rPr>
        <w:t xml:space="preserve"> </w:t>
      </w:r>
      <w:r>
        <w:t>ongoing</w:t>
      </w:r>
      <w:r>
        <w:rPr>
          <w:spacing w:val="-14"/>
        </w:rPr>
        <w:t xml:space="preserve"> </w:t>
      </w:r>
      <w:r>
        <w:t>task</w:t>
      </w:r>
      <w:r>
        <w:rPr>
          <w:spacing w:val="-14"/>
        </w:rPr>
        <w:t xml:space="preserve"> </w:t>
      </w:r>
      <w:r>
        <w:t>performance.</w:t>
      </w:r>
      <w:r>
        <w:rPr>
          <w:spacing w:val="35"/>
        </w:rPr>
        <w:t xml:space="preserve"> </w:t>
      </w:r>
      <w:r>
        <w:t>Therefore,</w:t>
      </w:r>
      <w:r>
        <w:rPr>
          <w:spacing w:val="-12"/>
        </w:rPr>
        <w:t xml:space="preserve"> </w:t>
      </w:r>
      <w:r>
        <w:t>it</w:t>
      </w:r>
      <w:r>
        <w:rPr>
          <w:spacing w:val="-14"/>
        </w:rPr>
        <w:t xml:space="preserve"> </w:t>
      </w:r>
      <w:r>
        <w:t>is</w:t>
      </w:r>
      <w:r>
        <w:rPr>
          <w:spacing w:val="-17"/>
        </w:rPr>
        <w:t xml:space="preserve"> </w:t>
      </w:r>
      <w:r>
        <w:t>not</w:t>
      </w:r>
      <w:r>
        <w:rPr>
          <w:spacing w:val="-18"/>
        </w:rPr>
        <w:t xml:space="preserve"> </w:t>
      </w:r>
      <w:r>
        <w:t>clear</w:t>
      </w:r>
      <w:r>
        <w:rPr>
          <w:spacing w:val="-13"/>
        </w:rPr>
        <w:t xml:space="preserve"> </w:t>
      </w:r>
      <w:r>
        <w:t>whether</w:t>
      </w:r>
      <w:r>
        <w:rPr>
          <w:spacing w:val="-13"/>
        </w:rPr>
        <w:t xml:space="preserve"> </w:t>
      </w:r>
      <w:r>
        <w:t>associations</w:t>
      </w:r>
      <w:r>
        <w:rPr>
          <w:spacing w:val="-16"/>
        </w:rPr>
        <w:t xml:space="preserve"> </w:t>
      </w:r>
      <w:r>
        <w:t>between</w:t>
      </w:r>
      <w:r>
        <w:rPr>
          <w:spacing w:val="-14"/>
        </w:rPr>
        <w:t xml:space="preserve"> </w:t>
      </w:r>
      <w:r>
        <w:t>working memory</w:t>
      </w:r>
      <w:r>
        <w:rPr>
          <w:spacing w:val="-5"/>
        </w:rPr>
        <w:t xml:space="preserve"> </w:t>
      </w:r>
      <w:r>
        <w:t>and</w:t>
      </w:r>
      <w:r>
        <w:rPr>
          <w:spacing w:val="-4"/>
        </w:rPr>
        <w:t xml:space="preserve"> </w:t>
      </w:r>
      <w:r>
        <w:t>ongoing</w:t>
      </w:r>
      <w:r>
        <w:rPr>
          <w:spacing w:val="-5"/>
        </w:rPr>
        <w:t xml:space="preserve"> </w:t>
      </w:r>
      <w:r>
        <w:t>task</w:t>
      </w:r>
      <w:r>
        <w:rPr>
          <w:spacing w:val="-4"/>
        </w:rPr>
        <w:t xml:space="preserve"> </w:t>
      </w:r>
      <w:r>
        <w:t>accuracy</w:t>
      </w:r>
      <w:r>
        <w:rPr>
          <w:spacing w:val="-5"/>
        </w:rPr>
        <w:t xml:space="preserve"> </w:t>
      </w:r>
      <w:r>
        <w:t>could</w:t>
      </w:r>
      <w:r>
        <w:rPr>
          <w:spacing w:val="-4"/>
        </w:rPr>
        <w:t xml:space="preserve"> </w:t>
      </w:r>
      <w:r>
        <w:t>offer</w:t>
      </w:r>
      <w:r>
        <w:rPr>
          <w:spacing w:val="-3"/>
        </w:rPr>
        <w:t xml:space="preserve"> </w:t>
      </w:r>
      <w:r>
        <w:t>a</w:t>
      </w:r>
      <w:r>
        <w:rPr>
          <w:spacing w:val="-5"/>
        </w:rPr>
        <w:t xml:space="preserve"> </w:t>
      </w:r>
      <w:r>
        <w:t>different</w:t>
      </w:r>
      <w:r>
        <w:rPr>
          <w:spacing w:val="-4"/>
        </w:rPr>
        <w:t xml:space="preserve"> </w:t>
      </w:r>
      <w:r>
        <w:t>explanation</w:t>
      </w:r>
      <w:r>
        <w:rPr>
          <w:spacing w:val="-4"/>
        </w:rPr>
        <w:t xml:space="preserve"> </w:t>
      </w:r>
      <w:r>
        <w:t>of</w:t>
      </w:r>
      <w:r>
        <w:rPr>
          <w:spacing w:val="-3"/>
        </w:rPr>
        <w:t xml:space="preserve"> </w:t>
      </w:r>
      <w:r>
        <w:t>results</w:t>
      </w:r>
      <w:r>
        <w:rPr>
          <w:spacing w:val="-6"/>
        </w:rPr>
        <w:t xml:space="preserve"> </w:t>
      </w:r>
      <w:r>
        <w:t>in</w:t>
      </w:r>
      <w:r>
        <w:rPr>
          <w:spacing w:val="-5"/>
        </w:rPr>
        <w:t xml:space="preserve"> </w:t>
      </w:r>
      <w:r>
        <w:t>the</w:t>
      </w:r>
      <w:r>
        <w:rPr>
          <w:spacing w:val="-5"/>
        </w:rPr>
        <w:t xml:space="preserve"> </w:t>
      </w:r>
      <w:r>
        <w:t>light</w:t>
      </w:r>
      <w:r>
        <w:rPr>
          <w:spacing w:val="-4"/>
        </w:rPr>
        <w:t xml:space="preserve"> </w:t>
      </w:r>
      <w:r>
        <w:rPr>
          <w:spacing w:val="-3"/>
        </w:rPr>
        <w:t xml:space="preserve">of </w:t>
      </w:r>
      <w:r>
        <w:t>lack of support for the compensatory strategy hypothesis in</w:t>
      </w:r>
      <w:r>
        <w:rPr>
          <w:spacing w:val="1"/>
        </w:rPr>
        <w:t xml:space="preserve"> </w:t>
      </w:r>
      <w:r>
        <w:t>ASD.</w:t>
      </w:r>
    </w:p>
    <w:p w14:paraId="0C20CBD4" w14:textId="77777777" w:rsidR="00C75312" w:rsidRDefault="00BB293A">
      <w:pPr>
        <w:pStyle w:val="BodyText"/>
        <w:spacing w:before="120" w:line="480" w:lineRule="auto"/>
        <w:ind w:left="140" w:right="1434" w:firstLine="720"/>
        <w:jc w:val="both"/>
      </w:pPr>
      <w:r>
        <w:t xml:space="preserve">Furthermore, methodological differences between this and Williams and colleagues’ study need to be considered. Williams et al. (2014) used </w:t>
      </w:r>
      <w:proofErr w:type="spellStart"/>
      <w:r>
        <w:t>nonfocal</w:t>
      </w:r>
      <w:proofErr w:type="spellEnd"/>
      <w:r>
        <w:t xml:space="preserve"> PM cues compared to focal ones in this study. The use of </w:t>
      </w:r>
      <w:proofErr w:type="spellStart"/>
      <w:r>
        <w:t>nonfocal</w:t>
      </w:r>
      <w:proofErr w:type="spellEnd"/>
      <w:r>
        <w:t xml:space="preserve"> cues usually requires a greater degree </w:t>
      </w:r>
      <w:r>
        <w:rPr>
          <w:spacing w:val="-3"/>
        </w:rPr>
        <w:t xml:space="preserve">of </w:t>
      </w:r>
      <w:r>
        <w:t xml:space="preserve">monitoring for the PM cue in the environment than a focal cue (Scullin et al., 2010). This usually results in better PM performance with focal in comparison to </w:t>
      </w:r>
      <w:proofErr w:type="spellStart"/>
      <w:r>
        <w:t>nonfocal</w:t>
      </w:r>
      <w:proofErr w:type="spellEnd"/>
      <w:r>
        <w:t xml:space="preserve"> cues, especially when the complexity</w:t>
      </w:r>
      <w:r>
        <w:rPr>
          <w:spacing w:val="-5"/>
        </w:rPr>
        <w:t xml:space="preserve"> </w:t>
      </w:r>
      <w:r>
        <w:t>of</w:t>
      </w:r>
      <w:r>
        <w:rPr>
          <w:spacing w:val="-3"/>
        </w:rPr>
        <w:t xml:space="preserve"> </w:t>
      </w:r>
      <w:r>
        <w:t>the</w:t>
      </w:r>
      <w:r>
        <w:rPr>
          <w:spacing w:val="-5"/>
        </w:rPr>
        <w:t xml:space="preserve"> </w:t>
      </w:r>
      <w:r>
        <w:t>to</w:t>
      </w:r>
      <w:r>
        <w:rPr>
          <w:spacing w:val="-5"/>
        </w:rPr>
        <w:t xml:space="preserve"> </w:t>
      </w:r>
      <w:r>
        <w:t>be</w:t>
      </w:r>
      <w:r>
        <w:rPr>
          <w:spacing w:val="-10"/>
        </w:rPr>
        <w:t xml:space="preserve"> </w:t>
      </w:r>
      <w:r>
        <w:t>remembered</w:t>
      </w:r>
      <w:r>
        <w:rPr>
          <w:spacing w:val="-5"/>
        </w:rPr>
        <w:t xml:space="preserve"> </w:t>
      </w:r>
      <w:r>
        <w:t>intention</w:t>
      </w:r>
      <w:r>
        <w:rPr>
          <w:spacing w:val="-9"/>
        </w:rPr>
        <w:t xml:space="preserve"> </w:t>
      </w:r>
      <w:r>
        <w:t>is</w:t>
      </w:r>
      <w:r>
        <w:rPr>
          <w:spacing w:val="-7"/>
        </w:rPr>
        <w:t xml:space="preserve"> </w:t>
      </w:r>
      <w:r>
        <w:t>relatively</w:t>
      </w:r>
      <w:r>
        <w:rPr>
          <w:spacing w:val="-4"/>
        </w:rPr>
        <w:t xml:space="preserve"> </w:t>
      </w:r>
      <w:r>
        <w:t>low</w:t>
      </w:r>
      <w:r>
        <w:rPr>
          <w:spacing w:val="-5"/>
        </w:rPr>
        <w:t xml:space="preserve"> </w:t>
      </w:r>
      <w:r>
        <w:t>(as</w:t>
      </w:r>
      <w:r>
        <w:rPr>
          <w:spacing w:val="-6"/>
        </w:rPr>
        <w:t xml:space="preserve"> </w:t>
      </w:r>
      <w:r>
        <w:t>it</w:t>
      </w:r>
      <w:r>
        <w:rPr>
          <w:spacing w:val="-9"/>
        </w:rPr>
        <w:t xml:space="preserve"> </w:t>
      </w:r>
      <w:r>
        <w:t>was</w:t>
      </w:r>
      <w:r>
        <w:rPr>
          <w:spacing w:val="-6"/>
        </w:rPr>
        <w:t xml:space="preserve"> </w:t>
      </w:r>
      <w:r>
        <w:t>the</w:t>
      </w:r>
      <w:r>
        <w:rPr>
          <w:spacing w:val="-6"/>
        </w:rPr>
        <w:t xml:space="preserve"> </w:t>
      </w:r>
      <w:r>
        <w:t>case</w:t>
      </w:r>
      <w:r>
        <w:rPr>
          <w:spacing w:val="-6"/>
        </w:rPr>
        <w:t xml:space="preserve"> </w:t>
      </w:r>
      <w:r>
        <w:t>in</w:t>
      </w:r>
      <w:r>
        <w:rPr>
          <w:spacing w:val="-4"/>
        </w:rPr>
        <w:t xml:space="preserve"> </w:t>
      </w:r>
      <w:r>
        <w:t>this</w:t>
      </w:r>
      <w:r>
        <w:rPr>
          <w:spacing w:val="-7"/>
        </w:rPr>
        <w:t xml:space="preserve"> </w:t>
      </w:r>
      <w:r>
        <w:t>study; Ballhausen,</w:t>
      </w:r>
      <w:r>
        <w:rPr>
          <w:spacing w:val="-7"/>
        </w:rPr>
        <w:t xml:space="preserve"> </w:t>
      </w:r>
      <w:proofErr w:type="spellStart"/>
      <w:r>
        <w:t>Schnitzspahn</w:t>
      </w:r>
      <w:proofErr w:type="spellEnd"/>
      <w:r>
        <w:t>,</w:t>
      </w:r>
      <w:r>
        <w:rPr>
          <w:spacing w:val="-7"/>
        </w:rPr>
        <w:t xml:space="preserve"> </w:t>
      </w:r>
      <w:r>
        <w:t>Horn,</w:t>
      </w:r>
      <w:r>
        <w:rPr>
          <w:spacing w:val="-6"/>
        </w:rPr>
        <w:t xml:space="preserve"> </w:t>
      </w:r>
      <w:r>
        <w:t>&amp;</w:t>
      </w:r>
      <w:r>
        <w:rPr>
          <w:spacing w:val="-9"/>
        </w:rPr>
        <w:t xml:space="preserve"> </w:t>
      </w:r>
      <w:proofErr w:type="spellStart"/>
      <w:r>
        <w:t>Kliegel</w:t>
      </w:r>
      <w:proofErr w:type="spellEnd"/>
      <w:r>
        <w:t>,</w:t>
      </w:r>
      <w:r>
        <w:rPr>
          <w:spacing w:val="-6"/>
        </w:rPr>
        <w:t xml:space="preserve"> </w:t>
      </w:r>
      <w:r>
        <w:t>2017)</w:t>
      </w:r>
      <w:r>
        <w:rPr>
          <w:spacing w:val="-13"/>
        </w:rPr>
        <w:t xml:space="preserve"> </w:t>
      </w:r>
      <w:r>
        <w:t>.</w:t>
      </w:r>
      <w:r>
        <w:rPr>
          <w:spacing w:val="40"/>
        </w:rPr>
        <w:t xml:space="preserve"> </w:t>
      </w:r>
      <w:r>
        <w:t>Thus,</w:t>
      </w:r>
      <w:r>
        <w:rPr>
          <w:spacing w:val="-7"/>
        </w:rPr>
        <w:t xml:space="preserve"> </w:t>
      </w:r>
      <w:r>
        <w:t>it</w:t>
      </w:r>
      <w:r>
        <w:rPr>
          <w:spacing w:val="-8"/>
        </w:rPr>
        <w:t xml:space="preserve"> </w:t>
      </w:r>
      <w:r>
        <w:t>may</w:t>
      </w:r>
      <w:r>
        <w:rPr>
          <w:spacing w:val="-10"/>
        </w:rPr>
        <w:t xml:space="preserve"> </w:t>
      </w:r>
      <w:r>
        <w:t>be</w:t>
      </w:r>
      <w:r>
        <w:rPr>
          <w:spacing w:val="-10"/>
        </w:rPr>
        <w:t xml:space="preserve"> </w:t>
      </w:r>
      <w:r>
        <w:t>that</w:t>
      </w:r>
      <w:r>
        <w:rPr>
          <w:spacing w:val="-9"/>
        </w:rPr>
        <w:t xml:space="preserve"> </w:t>
      </w:r>
      <w:r>
        <w:t>this</w:t>
      </w:r>
      <w:r>
        <w:rPr>
          <w:spacing w:val="-11"/>
        </w:rPr>
        <w:t xml:space="preserve"> </w:t>
      </w:r>
      <w:r>
        <w:t>study</w:t>
      </w:r>
      <w:r>
        <w:rPr>
          <w:spacing w:val="-10"/>
        </w:rPr>
        <w:t xml:space="preserve"> </w:t>
      </w:r>
      <w:r>
        <w:t>did</w:t>
      </w:r>
      <w:r>
        <w:rPr>
          <w:spacing w:val="-9"/>
        </w:rPr>
        <w:t xml:space="preserve"> </w:t>
      </w:r>
      <w:r>
        <w:t>not</w:t>
      </w:r>
      <w:r>
        <w:rPr>
          <w:spacing w:val="-9"/>
        </w:rPr>
        <w:t xml:space="preserve"> </w:t>
      </w:r>
      <w:r>
        <w:t>find an ind</w:t>
      </w:r>
      <w:r>
        <w:t>ication for strategy use due to a performance advantage with focal</w:t>
      </w:r>
      <w:r>
        <w:rPr>
          <w:spacing w:val="-3"/>
        </w:rPr>
        <w:t xml:space="preserve"> </w:t>
      </w:r>
      <w:r>
        <w:t>cues.</w:t>
      </w:r>
    </w:p>
    <w:p w14:paraId="61382CA0" w14:textId="77777777" w:rsidR="00C75312" w:rsidRDefault="00BB293A">
      <w:pPr>
        <w:pStyle w:val="BodyText"/>
        <w:spacing w:before="121" w:line="480" w:lineRule="auto"/>
        <w:ind w:left="140" w:right="1434" w:firstLine="720"/>
        <w:jc w:val="both"/>
      </w:pPr>
      <w:r>
        <w:t xml:space="preserve">Finally, the sample in this study were children aged between eight and 14 years old whereas Williams et al. (2014) tested adults aged </w:t>
      </w:r>
      <w:r>
        <w:rPr>
          <w:spacing w:val="-3"/>
        </w:rPr>
        <w:t xml:space="preserve">17 </w:t>
      </w:r>
      <w:r>
        <w:t>to 58 years covering a wide age range. It may be a possibility that adults with ASD have acquired verbal strategies to solve a variety of cognitive</w:t>
      </w:r>
      <w:r>
        <w:rPr>
          <w:spacing w:val="-6"/>
        </w:rPr>
        <w:t xml:space="preserve"> </w:t>
      </w:r>
      <w:r>
        <w:t>tasks</w:t>
      </w:r>
      <w:r>
        <w:rPr>
          <w:spacing w:val="-7"/>
        </w:rPr>
        <w:t xml:space="preserve"> </w:t>
      </w:r>
      <w:r>
        <w:t>that</w:t>
      </w:r>
      <w:r>
        <w:rPr>
          <w:spacing w:val="-4"/>
        </w:rPr>
        <w:t xml:space="preserve"> </w:t>
      </w:r>
      <w:r>
        <w:t>enable</w:t>
      </w:r>
      <w:r>
        <w:rPr>
          <w:spacing w:val="-6"/>
        </w:rPr>
        <w:t xml:space="preserve"> </w:t>
      </w:r>
      <w:r>
        <w:t>an</w:t>
      </w:r>
      <w:r>
        <w:rPr>
          <w:spacing w:val="-5"/>
        </w:rPr>
        <w:t xml:space="preserve"> </w:t>
      </w:r>
      <w:r>
        <w:t>independent</w:t>
      </w:r>
      <w:r>
        <w:rPr>
          <w:spacing w:val="-4"/>
        </w:rPr>
        <w:t xml:space="preserve"> </w:t>
      </w:r>
      <w:r>
        <w:t>everyday</w:t>
      </w:r>
      <w:r>
        <w:rPr>
          <w:spacing w:val="-5"/>
        </w:rPr>
        <w:t xml:space="preserve"> </w:t>
      </w:r>
      <w:r>
        <w:t>life,</w:t>
      </w:r>
      <w:r>
        <w:rPr>
          <w:spacing w:val="-7"/>
        </w:rPr>
        <w:t xml:space="preserve"> </w:t>
      </w:r>
      <w:r>
        <w:t>however,</w:t>
      </w:r>
      <w:r>
        <w:rPr>
          <w:spacing w:val="-7"/>
        </w:rPr>
        <w:t xml:space="preserve"> </w:t>
      </w:r>
      <w:r>
        <w:t>this</w:t>
      </w:r>
      <w:r>
        <w:rPr>
          <w:spacing w:val="-7"/>
        </w:rPr>
        <w:t xml:space="preserve"> </w:t>
      </w:r>
      <w:r>
        <w:t>use</w:t>
      </w:r>
      <w:r>
        <w:rPr>
          <w:spacing w:val="-6"/>
        </w:rPr>
        <w:t xml:space="preserve"> </w:t>
      </w:r>
      <w:r>
        <w:rPr>
          <w:spacing w:val="-3"/>
        </w:rPr>
        <w:t xml:space="preserve">of </w:t>
      </w:r>
      <w:r>
        <w:t>strategy</w:t>
      </w:r>
      <w:r>
        <w:rPr>
          <w:spacing w:val="-5"/>
        </w:rPr>
        <w:t xml:space="preserve"> </w:t>
      </w:r>
      <w:r>
        <w:t>may</w:t>
      </w:r>
      <w:r>
        <w:rPr>
          <w:spacing w:val="-10"/>
        </w:rPr>
        <w:t xml:space="preserve"> </w:t>
      </w:r>
      <w:r>
        <w:t>not yet be present in children with ASD. If this was a viable hypothesis, one would expect to</w:t>
      </w:r>
      <w:r>
        <w:rPr>
          <w:spacing w:val="-40"/>
        </w:rPr>
        <w:t xml:space="preserve"> </w:t>
      </w:r>
      <w:r>
        <w:t xml:space="preserve">find a pattern of consistently impaired event-based </w:t>
      </w:r>
      <w:r>
        <w:rPr>
          <w:spacing w:val="2"/>
        </w:rPr>
        <w:t xml:space="preserve">PM </w:t>
      </w:r>
      <w:r>
        <w:t>in children but not adults with ASD. Previous evidence however, does not reveal such a pattern of age-related event-based PM impairment in ASD (see Chapter 1 for a review). Thus, this strengthens the idea that event- based PM in ASD is indeed unimpaired and unaided by verbal strategies regar</w:t>
      </w:r>
      <w:r>
        <w:t>dless of age group.</w:t>
      </w:r>
    </w:p>
    <w:p w14:paraId="4314E133" w14:textId="77777777" w:rsidR="00C75312" w:rsidRDefault="00C75312">
      <w:pPr>
        <w:spacing w:line="480" w:lineRule="auto"/>
        <w:jc w:val="both"/>
        <w:sectPr w:rsidR="00C75312">
          <w:pgSz w:w="11900" w:h="16840"/>
          <w:pgMar w:top="1140" w:right="0" w:bottom="280" w:left="1300" w:header="720" w:footer="0" w:gutter="0"/>
          <w:cols w:space="720"/>
        </w:sectPr>
      </w:pPr>
    </w:p>
    <w:p w14:paraId="13102AA9" w14:textId="77777777" w:rsidR="00C75312" w:rsidRDefault="00C75312">
      <w:pPr>
        <w:pStyle w:val="BodyText"/>
        <w:spacing w:before="2"/>
        <w:rPr>
          <w:sz w:val="18"/>
        </w:rPr>
      </w:pPr>
    </w:p>
    <w:p w14:paraId="6E4153A8" w14:textId="77777777" w:rsidR="00C75312" w:rsidRDefault="00BB293A">
      <w:pPr>
        <w:pStyle w:val="BodyText"/>
        <w:spacing w:before="90" w:line="480" w:lineRule="auto"/>
        <w:ind w:left="140" w:right="1433" w:firstLine="720"/>
        <w:jc w:val="both"/>
      </w:pPr>
      <w:r>
        <w:t>One</w:t>
      </w:r>
      <w:r>
        <w:rPr>
          <w:spacing w:val="-11"/>
        </w:rPr>
        <w:t xml:space="preserve"> </w:t>
      </w:r>
      <w:r>
        <w:t>limitation</w:t>
      </w:r>
      <w:r>
        <w:rPr>
          <w:spacing w:val="-14"/>
        </w:rPr>
        <w:t xml:space="preserve"> </w:t>
      </w:r>
      <w:r>
        <w:t>of</w:t>
      </w:r>
      <w:r>
        <w:rPr>
          <w:spacing w:val="-13"/>
        </w:rPr>
        <w:t xml:space="preserve"> </w:t>
      </w:r>
      <w:r>
        <w:t>this</w:t>
      </w:r>
      <w:r>
        <w:rPr>
          <w:spacing w:val="-11"/>
        </w:rPr>
        <w:t xml:space="preserve"> </w:t>
      </w:r>
      <w:r>
        <w:t>study</w:t>
      </w:r>
      <w:r>
        <w:rPr>
          <w:spacing w:val="-10"/>
        </w:rPr>
        <w:t xml:space="preserve"> </w:t>
      </w:r>
      <w:r>
        <w:t>was</w:t>
      </w:r>
      <w:r>
        <w:rPr>
          <w:spacing w:val="-12"/>
        </w:rPr>
        <w:t xml:space="preserve"> </w:t>
      </w:r>
      <w:r>
        <w:t>that</w:t>
      </w:r>
      <w:r>
        <w:rPr>
          <w:spacing w:val="-13"/>
        </w:rPr>
        <w:t xml:space="preserve"> </w:t>
      </w:r>
      <w:r>
        <w:t>the</w:t>
      </w:r>
      <w:r>
        <w:rPr>
          <w:spacing w:val="-15"/>
        </w:rPr>
        <w:t xml:space="preserve"> </w:t>
      </w:r>
      <w:r>
        <w:t>ongoing</w:t>
      </w:r>
      <w:r>
        <w:rPr>
          <w:spacing w:val="-14"/>
        </w:rPr>
        <w:t xml:space="preserve"> </w:t>
      </w:r>
      <w:r>
        <w:t>tasks</w:t>
      </w:r>
      <w:r>
        <w:rPr>
          <w:spacing w:val="-11"/>
        </w:rPr>
        <w:t xml:space="preserve"> </w:t>
      </w:r>
      <w:r>
        <w:t>were</w:t>
      </w:r>
      <w:r>
        <w:rPr>
          <w:spacing w:val="-11"/>
        </w:rPr>
        <w:t xml:space="preserve"> </w:t>
      </w:r>
      <w:r>
        <w:t>not</w:t>
      </w:r>
      <w:r>
        <w:rPr>
          <w:spacing w:val="-9"/>
        </w:rPr>
        <w:t xml:space="preserve"> </w:t>
      </w:r>
      <w:r>
        <w:t>equivalent</w:t>
      </w:r>
      <w:r>
        <w:rPr>
          <w:spacing w:val="-14"/>
        </w:rPr>
        <w:t xml:space="preserve"> </w:t>
      </w:r>
      <w:r>
        <w:t>in</w:t>
      </w:r>
      <w:r>
        <w:rPr>
          <w:spacing w:val="-9"/>
        </w:rPr>
        <w:t xml:space="preserve"> </w:t>
      </w:r>
      <w:r>
        <w:t xml:space="preserve">difficulty. Based on the ongoing task performance (proportion hit rates), the verbal task was easier in comparison to the visuospatial task. Thus, it is unclear whether the division </w:t>
      </w:r>
      <w:r>
        <w:rPr>
          <w:spacing w:val="-3"/>
        </w:rPr>
        <w:t xml:space="preserve">of </w:t>
      </w:r>
      <w:r>
        <w:t>attentional resources between ongoing and PM task was comparable between tasks. This might have biased the results. Therefore, a more systematic manipulation of ongoing task load (low vs high</w:t>
      </w:r>
      <w:r>
        <w:rPr>
          <w:spacing w:val="-6"/>
        </w:rPr>
        <w:t xml:space="preserve"> </w:t>
      </w:r>
      <w:r>
        <w:t>verbal</w:t>
      </w:r>
      <w:r>
        <w:rPr>
          <w:spacing w:val="-4"/>
        </w:rPr>
        <w:t xml:space="preserve"> </w:t>
      </w:r>
      <w:r>
        <w:t>and</w:t>
      </w:r>
      <w:r>
        <w:rPr>
          <w:spacing w:val="-5"/>
        </w:rPr>
        <w:t xml:space="preserve"> </w:t>
      </w:r>
      <w:r>
        <w:t>visuospatial</w:t>
      </w:r>
      <w:r>
        <w:rPr>
          <w:spacing w:val="-4"/>
        </w:rPr>
        <w:t xml:space="preserve"> </w:t>
      </w:r>
      <w:r>
        <w:t>working</w:t>
      </w:r>
      <w:r>
        <w:rPr>
          <w:spacing w:val="-5"/>
        </w:rPr>
        <w:t xml:space="preserve"> </w:t>
      </w:r>
      <w:r>
        <w:t>memory</w:t>
      </w:r>
      <w:r>
        <w:rPr>
          <w:spacing w:val="-5"/>
        </w:rPr>
        <w:t xml:space="preserve"> </w:t>
      </w:r>
      <w:r>
        <w:t>demands)</w:t>
      </w:r>
      <w:r>
        <w:rPr>
          <w:spacing w:val="-4"/>
        </w:rPr>
        <w:t xml:space="preserve"> </w:t>
      </w:r>
      <w:r>
        <w:t>would</w:t>
      </w:r>
      <w:r>
        <w:rPr>
          <w:spacing w:val="-5"/>
        </w:rPr>
        <w:t xml:space="preserve"> </w:t>
      </w:r>
      <w:r>
        <w:t>be</w:t>
      </w:r>
      <w:r>
        <w:rPr>
          <w:spacing w:val="-6"/>
        </w:rPr>
        <w:t xml:space="preserve"> </w:t>
      </w:r>
      <w:r>
        <w:t>ne</w:t>
      </w:r>
      <w:r>
        <w:t>cessary</w:t>
      </w:r>
      <w:r>
        <w:rPr>
          <w:spacing w:val="-5"/>
        </w:rPr>
        <w:t xml:space="preserve"> </w:t>
      </w:r>
      <w:r>
        <w:t>to</w:t>
      </w:r>
      <w:r>
        <w:rPr>
          <w:spacing w:val="-5"/>
        </w:rPr>
        <w:t xml:space="preserve"> </w:t>
      </w:r>
      <w:r>
        <w:t>ensure</w:t>
      </w:r>
      <w:r>
        <w:rPr>
          <w:spacing w:val="-6"/>
        </w:rPr>
        <w:t xml:space="preserve"> </w:t>
      </w:r>
      <w:r>
        <w:t>that</w:t>
      </w:r>
      <w:r>
        <w:rPr>
          <w:spacing w:val="-4"/>
        </w:rPr>
        <w:t xml:space="preserve"> </w:t>
      </w:r>
      <w:r>
        <w:t>the level of processing demands does not play a role in ASD using ongoing tasks that are comparable in difficulty. Nonetheless, this study does not provide strong evidence to uphold the idea of verbal strategy use in ASD to support event-based PM.</w:t>
      </w:r>
    </w:p>
    <w:p w14:paraId="5B33520F" w14:textId="77777777" w:rsidR="00C75312" w:rsidRDefault="00BB293A">
      <w:pPr>
        <w:pStyle w:val="Heading1"/>
        <w:spacing w:before="120"/>
        <w:jc w:val="both"/>
      </w:pPr>
      <w:r>
        <w:t>Role of visuospatial processes/episodic future thinking for event-based PM in NT</w:t>
      </w:r>
    </w:p>
    <w:p w14:paraId="5ADFF75E" w14:textId="77777777" w:rsidR="00C75312" w:rsidRDefault="00C75312">
      <w:pPr>
        <w:pStyle w:val="BodyText"/>
        <w:rPr>
          <w:b/>
        </w:rPr>
      </w:pPr>
    </w:p>
    <w:p w14:paraId="5D21BCE5" w14:textId="77777777" w:rsidR="00C75312" w:rsidRDefault="00BB293A">
      <w:pPr>
        <w:pStyle w:val="BodyText"/>
        <w:spacing w:line="480" w:lineRule="auto"/>
        <w:ind w:left="140" w:right="1433" w:firstLine="720"/>
        <w:jc w:val="both"/>
      </w:pPr>
      <w:r>
        <w:t>The intention monitoring hypothesis (Mahy &amp; Moses, 2015) suggests that participants might intermittently think about their intentions at various points before the appropriate moment</w:t>
      </w:r>
      <w:r>
        <w:rPr>
          <w:spacing w:val="-10"/>
        </w:rPr>
        <w:t xml:space="preserve"> </w:t>
      </w:r>
      <w:r>
        <w:t>for</w:t>
      </w:r>
      <w:r>
        <w:rPr>
          <w:spacing w:val="-13"/>
        </w:rPr>
        <w:t xml:space="preserve"> </w:t>
      </w:r>
      <w:r>
        <w:t>retrieval</w:t>
      </w:r>
      <w:r>
        <w:rPr>
          <w:spacing w:val="-14"/>
        </w:rPr>
        <w:t xml:space="preserve"> </w:t>
      </w:r>
      <w:r>
        <w:t>has</w:t>
      </w:r>
      <w:r>
        <w:rPr>
          <w:spacing w:val="-12"/>
        </w:rPr>
        <w:t xml:space="preserve"> </w:t>
      </w:r>
      <w:r>
        <w:t>arrived.</w:t>
      </w:r>
      <w:r>
        <w:rPr>
          <w:spacing w:val="29"/>
        </w:rPr>
        <w:t xml:space="preserve"> </w:t>
      </w:r>
      <w:r>
        <w:t>Thus,</w:t>
      </w:r>
      <w:r>
        <w:rPr>
          <w:spacing w:val="-12"/>
        </w:rPr>
        <w:t xml:space="preserve"> </w:t>
      </w:r>
      <w:r>
        <w:t>according</w:t>
      </w:r>
      <w:r>
        <w:rPr>
          <w:spacing w:val="-14"/>
        </w:rPr>
        <w:t xml:space="preserve"> </w:t>
      </w:r>
      <w:r>
        <w:rPr>
          <w:spacing w:val="-3"/>
        </w:rPr>
        <w:t>to</w:t>
      </w:r>
      <w:r>
        <w:rPr>
          <w:spacing w:val="-10"/>
        </w:rPr>
        <w:t xml:space="preserve"> </w:t>
      </w:r>
      <w:r>
        <w:t>the</w:t>
      </w:r>
      <w:r>
        <w:rPr>
          <w:spacing w:val="-15"/>
        </w:rPr>
        <w:t xml:space="preserve"> </w:t>
      </w:r>
      <w:r>
        <w:t>assumption</w:t>
      </w:r>
      <w:r>
        <w:rPr>
          <w:spacing w:val="-10"/>
        </w:rPr>
        <w:t xml:space="preserve"> </w:t>
      </w:r>
      <w:r>
        <w:t>that</w:t>
      </w:r>
      <w:r>
        <w:rPr>
          <w:spacing w:val="-14"/>
        </w:rPr>
        <w:t xml:space="preserve"> </w:t>
      </w:r>
      <w:r>
        <w:t>NT</w:t>
      </w:r>
      <w:r>
        <w:rPr>
          <w:spacing w:val="-12"/>
        </w:rPr>
        <w:t xml:space="preserve"> </w:t>
      </w:r>
      <w:r>
        <w:t>participants</w:t>
      </w:r>
      <w:r>
        <w:rPr>
          <w:spacing w:val="-12"/>
        </w:rPr>
        <w:t xml:space="preserve"> </w:t>
      </w:r>
      <w:r>
        <w:t>might use</w:t>
      </w:r>
      <w:r>
        <w:rPr>
          <w:spacing w:val="-6"/>
        </w:rPr>
        <w:t xml:space="preserve"> </w:t>
      </w:r>
      <w:r>
        <w:t>mental</w:t>
      </w:r>
      <w:r>
        <w:rPr>
          <w:spacing w:val="-4"/>
        </w:rPr>
        <w:t xml:space="preserve"> </w:t>
      </w:r>
      <w:r>
        <w:t>imagery</w:t>
      </w:r>
      <w:r>
        <w:rPr>
          <w:spacing w:val="-5"/>
        </w:rPr>
        <w:t xml:space="preserve"> </w:t>
      </w:r>
      <w:r>
        <w:t>to</w:t>
      </w:r>
      <w:r>
        <w:rPr>
          <w:spacing w:val="-5"/>
        </w:rPr>
        <w:t xml:space="preserve"> </w:t>
      </w:r>
      <w:r>
        <w:t>support</w:t>
      </w:r>
      <w:r>
        <w:rPr>
          <w:spacing w:val="-4"/>
        </w:rPr>
        <w:t xml:space="preserve"> </w:t>
      </w:r>
      <w:r>
        <w:t>event-based</w:t>
      </w:r>
      <w:r>
        <w:rPr>
          <w:spacing w:val="-5"/>
        </w:rPr>
        <w:t xml:space="preserve"> </w:t>
      </w:r>
      <w:r>
        <w:t>PM</w:t>
      </w:r>
      <w:r>
        <w:rPr>
          <w:spacing w:val="-7"/>
        </w:rPr>
        <w:t xml:space="preserve"> </w:t>
      </w:r>
      <w:r>
        <w:t>by</w:t>
      </w:r>
      <w:r>
        <w:rPr>
          <w:spacing w:val="-1"/>
        </w:rPr>
        <w:t xml:space="preserve"> </w:t>
      </w:r>
      <w:r>
        <w:t>accessing</w:t>
      </w:r>
      <w:r>
        <w:rPr>
          <w:spacing w:val="-5"/>
        </w:rPr>
        <w:t xml:space="preserve"> </w:t>
      </w:r>
      <w:r>
        <w:t>or</w:t>
      </w:r>
      <w:r>
        <w:rPr>
          <w:spacing w:val="-3"/>
        </w:rPr>
        <w:t xml:space="preserve"> </w:t>
      </w:r>
      <w:r>
        <w:t>refreshing</w:t>
      </w:r>
      <w:r>
        <w:rPr>
          <w:spacing w:val="-5"/>
        </w:rPr>
        <w:t xml:space="preserve"> </w:t>
      </w:r>
      <w:r>
        <w:t>the</w:t>
      </w:r>
      <w:r>
        <w:rPr>
          <w:spacing w:val="-6"/>
        </w:rPr>
        <w:t xml:space="preserve"> </w:t>
      </w:r>
      <w:r>
        <w:t>mental</w:t>
      </w:r>
      <w:r>
        <w:rPr>
          <w:spacing w:val="-4"/>
        </w:rPr>
        <w:t xml:space="preserve"> </w:t>
      </w:r>
      <w:r>
        <w:t>image</w:t>
      </w:r>
      <w:r>
        <w:rPr>
          <w:spacing w:val="-5"/>
        </w:rPr>
        <w:t xml:space="preserve"> </w:t>
      </w:r>
      <w:r>
        <w:t>of the</w:t>
      </w:r>
      <w:r>
        <w:rPr>
          <w:spacing w:val="-8"/>
        </w:rPr>
        <w:t xml:space="preserve"> </w:t>
      </w:r>
      <w:r>
        <w:t>delayed</w:t>
      </w:r>
      <w:r>
        <w:rPr>
          <w:spacing w:val="-6"/>
        </w:rPr>
        <w:t xml:space="preserve"> </w:t>
      </w:r>
      <w:r>
        <w:t>intention,</w:t>
      </w:r>
      <w:r>
        <w:rPr>
          <w:spacing w:val="-3"/>
        </w:rPr>
        <w:t xml:space="preserve"> </w:t>
      </w:r>
      <w:r>
        <w:t>it</w:t>
      </w:r>
      <w:r>
        <w:rPr>
          <w:spacing w:val="-10"/>
        </w:rPr>
        <w:t xml:space="preserve"> </w:t>
      </w:r>
      <w:r>
        <w:t>was</w:t>
      </w:r>
      <w:r>
        <w:rPr>
          <w:spacing w:val="-8"/>
        </w:rPr>
        <w:t xml:space="preserve"> </w:t>
      </w:r>
      <w:r>
        <w:t>predicted</w:t>
      </w:r>
      <w:r>
        <w:rPr>
          <w:spacing w:val="-11"/>
        </w:rPr>
        <w:t xml:space="preserve"> </w:t>
      </w:r>
      <w:r>
        <w:t>that</w:t>
      </w:r>
      <w:r>
        <w:rPr>
          <w:spacing w:val="-5"/>
        </w:rPr>
        <w:t xml:space="preserve"> </w:t>
      </w:r>
      <w:r>
        <w:t>the</w:t>
      </w:r>
      <w:r>
        <w:rPr>
          <w:spacing w:val="-11"/>
        </w:rPr>
        <w:t xml:space="preserve"> </w:t>
      </w:r>
      <w:r>
        <w:t>visuospatial</w:t>
      </w:r>
      <w:r>
        <w:rPr>
          <w:spacing w:val="-6"/>
        </w:rPr>
        <w:t xml:space="preserve"> </w:t>
      </w:r>
      <w:r>
        <w:t>processing</w:t>
      </w:r>
      <w:r>
        <w:rPr>
          <w:spacing w:val="-6"/>
        </w:rPr>
        <w:t xml:space="preserve"> </w:t>
      </w:r>
      <w:r>
        <w:t>demands</w:t>
      </w:r>
      <w:r>
        <w:rPr>
          <w:spacing w:val="-8"/>
        </w:rPr>
        <w:t xml:space="preserve"> </w:t>
      </w:r>
      <w:r>
        <w:t>of</w:t>
      </w:r>
      <w:r>
        <w:rPr>
          <w:spacing w:val="-4"/>
        </w:rPr>
        <w:t xml:space="preserve"> </w:t>
      </w:r>
      <w:r>
        <w:t>the</w:t>
      </w:r>
      <w:r>
        <w:rPr>
          <w:spacing w:val="-7"/>
        </w:rPr>
        <w:t xml:space="preserve"> </w:t>
      </w:r>
      <w:r>
        <w:t>ongoing task might disrupt this process. However, the NT group performed equally well on the visuospatial task in comparison to the verbal task. This indicates that episodic future thinking did not play a major role to facilitate event-based PM in this</w:t>
      </w:r>
      <w:r>
        <w:rPr>
          <w:spacing w:val="-5"/>
        </w:rPr>
        <w:t xml:space="preserve"> </w:t>
      </w:r>
      <w:r>
        <w:t>study.</w:t>
      </w:r>
    </w:p>
    <w:p w14:paraId="72587EAC" w14:textId="77777777" w:rsidR="00C75312" w:rsidRDefault="00BB293A">
      <w:pPr>
        <w:pStyle w:val="BodyText"/>
        <w:spacing w:before="121" w:line="480" w:lineRule="auto"/>
        <w:ind w:left="140" w:right="1432" w:firstLine="720"/>
        <w:jc w:val="both"/>
      </w:pPr>
      <w:r>
        <w:t>Previous</w:t>
      </w:r>
      <w:r>
        <w:rPr>
          <w:spacing w:val="-8"/>
        </w:rPr>
        <w:t xml:space="preserve"> </w:t>
      </w:r>
      <w:r>
        <w:t>studies</w:t>
      </w:r>
      <w:r>
        <w:rPr>
          <w:spacing w:val="-7"/>
        </w:rPr>
        <w:t xml:space="preserve"> </w:t>
      </w:r>
      <w:r>
        <w:t>have</w:t>
      </w:r>
      <w:r>
        <w:rPr>
          <w:spacing w:val="-6"/>
        </w:rPr>
        <w:t xml:space="preserve"> </w:t>
      </w:r>
      <w:r>
        <w:t>found</w:t>
      </w:r>
      <w:r>
        <w:rPr>
          <w:spacing w:val="-10"/>
        </w:rPr>
        <w:t xml:space="preserve"> </w:t>
      </w:r>
      <w:r>
        <w:t>positive</w:t>
      </w:r>
      <w:r>
        <w:rPr>
          <w:spacing w:val="-11"/>
        </w:rPr>
        <w:t xml:space="preserve"> </w:t>
      </w:r>
      <w:r>
        <w:t>links</w:t>
      </w:r>
      <w:r>
        <w:rPr>
          <w:spacing w:val="-7"/>
        </w:rPr>
        <w:t xml:space="preserve"> </w:t>
      </w:r>
      <w:r>
        <w:t>among</w:t>
      </w:r>
      <w:r>
        <w:rPr>
          <w:spacing w:val="-10"/>
        </w:rPr>
        <w:t xml:space="preserve"> </w:t>
      </w:r>
      <w:r>
        <w:t>children</w:t>
      </w:r>
      <w:r>
        <w:rPr>
          <w:spacing w:val="-5"/>
        </w:rPr>
        <w:t xml:space="preserve"> </w:t>
      </w:r>
      <w:r>
        <w:t>and</w:t>
      </w:r>
      <w:r>
        <w:rPr>
          <w:spacing w:val="-10"/>
        </w:rPr>
        <w:t xml:space="preserve"> </w:t>
      </w:r>
      <w:r>
        <w:t>adults</w:t>
      </w:r>
      <w:r>
        <w:rPr>
          <w:spacing w:val="-7"/>
        </w:rPr>
        <w:t xml:space="preserve"> </w:t>
      </w:r>
      <w:r>
        <w:t>between</w:t>
      </w:r>
      <w:r>
        <w:rPr>
          <w:spacing w:val="-5"/>
        </w:rPr>
        <w:t xml:space="preserve"> </w:t>
      </w:r>
      <w:r>
        <w:t>episodic future thinking and event-based PM involving both focal (</w:t>
      </w:r>
      <w:proofErr w:type="spellStart"/>
      <w:r>
        <w:t>Altgassen</w:t>
      </w:r>
      <w:proofErr w:type="spellEnd"/>
      <w:r>
        <w:t xml:space="preserve"> et al., 2015; Nigro, </w:t>
      </w:r>
      <w:proofErr w:type="spellStart"/>
      <w:r>
        <w:t>Brandimonte</w:t>
      </w:r>
      <w:proofErr w:type="spellEnd"/>
      <w:r>
        <w:t xml:space="preserve">, Cicogna, &amp; Cosenza, 2014) and </w:t>
      </w:r>
      <w:proofErr w:type="spellStart"/>
      <w:r>
        <w:t>nonfocal</w:t>
      </w:r>
      <w:proofErr w:type="spellEnd"/>
      <w:r>
        <w:t xml:space="preserve"> (</w:t>
      </w:r>
      <w:proofErr w:type="spellStart"/>
      <w:r>
        <w:t>Atance</w:t>
      </w:r>
      <w:proofErr w:type="spellEnd"/>
      <w:r>
        <w:t xml:space="preserve"> &amp; Jackson, 2009; G. A. Brewer &amp; Marsh, 2010; Neroni, </w:t>
      </w:r>
      <w:proofErr w:type="spellStart"/>
      <w:r>
        <w:t>Gamboz</w:t>
      </w:r>
      <w:proofErr w:type="spellEnd"/>
      <w:r>
        <w:t xml:space="preserve">, &amp; </w:t>
      </w:r>
      <w:proofErr w:type="spellStart"/>
      <w:r>
        <w:t>Brandimonte</w:t>
      </w:r>
      <w:proofErr w:type="spellEnd"/>
      <w:r>
        <w:t>, 2014; Terrett et al., 2016) cues. Thus, mental simulation of the future retrieval context at the intention encoding stage should occur automatically and independently of the type of PM cue. Therefore, the use of focal PM cues in this study should not have had an impact on the re</w:t>
      </w:r>
      <w:r>
        <w:t>sults. However, the</w:t>
      </w:r>
      <w:r>
        <w:rPr>
          <w:spacing w:val="32"/>
        </w:rPr>
        <w:t xml:space="preserve"> </w:t>
      </w:r>
      <w:r>
        <w:t>visuospatial</w:t>
      </w:r>
    </w:p>
    <w:p w14:paraId="48007263" w14:textId="77777777" w:rsidR="00C75312" w:rsidRDefault="00C75312">
      <w:pPr>
        <w:spacing w:line="480" w:lineRule="auto"/>
        <w:jc w:val="both"/>
        <w:sectPr w:rsidR="00C75312">
          <w:pgSz w:w="11900" w:h="16840"/>
          <w:pgMar w:top="1140" w:right="0" w:bottom="280" w:left="1300" w:header="720" w:footer="0" w:gutter="0"/>
          <w:cols w:space="720"/>
        </w:sectPr>
      </w:pPr>
    </w:p>
    <w:p w14:paraId="54311B00" w14:textId="77777777" w:rsidR="00C75312" w:rsidRDefault="00C75312">
      <w:pPr>
        <w:pStyle w:val="BodyText"/>
        <w:spacing w:before="2"/>
        <w:rPr>
          <w:sz w:val="18"/>
        </w:rPr>
      </w:pPr>
    </w:p>
    <w:p w14:paraId="7AE5C36F" w14:textId="77777777" w:rsidR="00C75312" w:rsidRDefault="00BB293A">
      <w:pPr>
        <w:pStyle w:val="BodyText"/>
        <w:spacing w:before="90" w:line="480" w:lineRule="auto"/>
        <w:ind w:left="140" w:right="1431"/>
        <w:jc w:val="both"/>
      </w:pPr>
      <w:r>
        <w:t>ongoing task demands may not have tapped enough into resources relevant for episodic</w:t>
      </w:r>
      <w:r>
        <w:rPr>
          <w:spacing w:val="-25"/>
        </w:rPr>
        <w:t xml:space="preserve"> </w:t>
      </w:r>
      <w:r>
        <w:t xml:space="preserve">future thinking. de Vito, Buonocore, </w:t>
      </w:r>
      <w:proofErr w:type="spellStart"/>
      <w:r>
        <w:t>Bonnefon</w:t>
      </w:r>
      <w:proofErr w:type="spellEnd"/>
      <w:r>
        <w:t xml:space="preserve">, and Della Sala (2015) have outlined that episodic future thinking is facilitated through a mix of visual and spatial imagery. The visuospatial ongoing task in this study involved the mental transformation of visual images and required spatial imagery to some extent (i.e., </w:t>
      </w:r>
      <w:proofErr w:type="spellStart"/>
      <w:r>
        <w:t>memorising</w:t>
      </w:r>
      <w:proofErr w:type="spellEnd"/>
      <w:r>
        <w:t xml:space="preserve"> the spatial relations/spatial layout </w:t>
      </w:r>
      <w:r>
        <w:rPr>
          <w:spacing w:val="-3"/>
        </w:rPr>
        <w:t xml:space="preserve">of </w:t>
      </w:r>
      <w:r>
        <w:t>the dot/grid stimuli). As, episodic future thinking seems to rely much more on spatial rather than visual imagery (de Vito et al., 2015), it</w:t>
      </w:r>
      <w:r>
        <w:t xml:space="preserve"> may be that the load imposed on spatial imagery was not large enough to negatively affect event-based PM in this study. Therefore, future studies into the link between PM and episodic future thinking should explore whether only a specific component of imagery, visual or spatial, is involved in facilitating PM. Furthermore, to increase the certainty in these results, it may be interesting, to explore whether a manipulation that interferes with episodic future thinking during intention encoding leads to simi</w:t>
      </w:r>
      <w:r>
        <w:t>lar</w:t>
      </w:r>
      <w:r>
        <w:rPr>
          <w:spacing w:val="-26"/>
        </w:rPr>
        <w:t xml:space="preserve"> </w:t>
      </w:r>
      <w:r>
        <w:t>results.</w:t>
      </w:r>
    </w:p>
    <w:p w14:paraId="5B8783DE" w14:textId="77777777" w:rsidR="00C75312" w:rsidRDefault="00BB293A">
      <w:pPr>
        <w:pStyle w:val="BodyText"/>
        <w:spacing w:before="120" w:line="480" w:lineRule="auto"/>
        <w:ind w:left="140" w:right="1433" w:firstLine="720"/>
        <w:jc w:val="both"/>
      </w:pPr>
      <w:r>
        <w:t>One caveat is necessary with regards to statistical power. For the power calculation, the size of impairment in time-based PM was used since one would expect a similar size impairment</w:t>
      </w:r>
      <w:r>
        <w:rPr>
          <w:spacing w:val="-9"/>
        </w:rPr>
        <w:t xml:space="preserve"> </w:t>
      </w:r>
      <w:r>
        <w:t>in</w:t>
      </w:r>
      <w:r>
        <w:rPr>
          <w:spacing w:val="-12"/>
        </w:rPr>
        <w:t xml:space="preserve"> </w:t>
      </w:r>
      <w:r>
        <w:t>the</w:t>
      </w:r>
      <w:r>
        <w:rPr>
          <w:spacing w:val="-10"/>
        </w:rPr>
        <w:t xml:space="preserve"> </w:t>
      </w:r>
      <w:r>
        <w:t>ASD</w:t>
      </w:r>
      <w:r>
        <w:rPr>
          <w:spacing w:val="-9"/>
        </w:rPr>
        <w:t xml:space="preserve"> </w:t>
      </w:r>
      <w:r>
        <w:t>group</w:t>
      </w:r>
      <w:r>
        <w:rPr>
          <w:spacing w:val="-9"/>
        </w:rPr>
        <w:t xml:space="preserve"> </w:t>
      </w:r>
      <w:r>
        <w:rPr>
          <w:spacing w:val="-3"/>
        </w:rPr>
        <w:t>if</w:t>
      </w:r>
      <w:r>
        <w:rPr>
          <w:spacing w:val="-7"/>
        </w:rPr>
        <w:t xml:space="preserve"> </w:t>
      </w:r>
      <w:r>
        <w:t>the</w:t>
      </w:r>
      <w:r>
        <w:rPr>
          <w:spacing w:val="-14"/>
        </w:rPr>
        <w:t xml:space="preserve"> </w:t>
      </w:r>
      <w:r>
        <w:t>ongoing</w:t>
      </w:r>
      <w:r>
        <w:rPr>
          <w:spacing w:val="-9"/>
        </w:rPr>
        <w:t xml:space="preserve"> </w:t>
      </w:r>
      <w:r>
        <w:t>verbal</w:t>
      </w:r>
      <w:r>
        <w:rPr>
          <w:spacing w:val="-18"/>
        </w:rPr>
        <w:t xml:space="preserve"> </w:t>
      </w:r>
      <w:r>
        <w:t>task</w:t>
      </w:r>
      <w:r>
        <w:rPr>
          <w:spacing w:val="-9"/>
        </w:rPr>
        <w:t xml:space="preserve"> </w:t>
      </w:r>
      <w:r>
        <w:t>interfered</w:t>
      </w:r>
      <w:r>
        <w:rPr>
          <w:spacing w:val="-9"/>
        </w:rPr>
        <w:t xml:space="preserve"> </w:t>
      </w:r>
      <w:r>
        <w:t>with</w:t>
      </w:r>
      <w:r>
        <w:rPr>
          <w:spacing w:val="-13"/>
        </w:rPr>
        <w:t xml:space="preserve"> </w:t>
      </w:r>
      <w:r>
        <w:t>PM</w:t>
      </w:r>
      <w:r>
        <w:rPr>
          <w:spacing w:val="-11"/>
        </w:rPr>
        <w:t xml:space="preserve"> </w:t>
      </w:r>
      <w:r>
        <w:t>in</w:t>
      </w:r>
      <w:r>
        <w:rPr>
          <w:spacing w:val="-13"/>
        </w:rPr>
        <w:t xml:space="preserve"> </w:t>
      </w:r>
      <w:r>
        <w:t>ASD.</w:t>
      </w:r>
      <w:r>
        <w:rPr>
          <w:spacing w:val="41"/>
        </w:rPr>
        <w:t xml:space="preserve"> </w:t>
      </w:r>
      <w:r>
        <w:t>However, this effect size may not be applicable to the NT group. It may have been more appropriate to use the effect size found by Marsh and Hicks (1998) who reported visuospatial interference effects on event-based PM. Using this effect size (</w:t>
      </w:r>
      <w:r>
        <w:rPr>
          <w:i/>
        </w:rPr>
        <w:t xml:space="preserve">d </w:t>
      </w:r>
      <w:r>
        <w:t>= 0.69) 27 participants per group would have</w:t>
      </w:r>
      <w:r>
        <w:rPr>
          <w:spacing w:val="-12"/>
        </w:rPr>
        <w:t xml:space="preserve"> </w:t>
      </w:r>
      <w:r>
        <w:t>been</w:t>
      </w:r>
      <w:r>
        <w:rPr>
          <w:spacing w:val="-11"/>
        </w:rPr>
        <w:t xml:space="preserve"> </w:t>
      </w:r>
      <w:r>
        <w:t>required</w:t>
      </w:r>
      <w:r>
        <w:rPr>
          <w:spacing w:val="-14"/>
        </w:rPr>
        <w:t xml:space="preserve"> </w:t>
      </w:r>
      <w:r>
        <w:t>to</w:t>
      </w:r>
      <w:r>
        <w:rPr>
          <w:spacing w:val="-11"/>
        </w:rPr>
        <w:t xml:space="preserve"> </w:t>
      </w:r>
      <w:r>
        <w:t>detect</w:t>
      </w:r>
      <w:r>
        <w:rPr>
          <w:spacing w:val="-14"/>
        </w:rPr>
        <w:t xml:space="preserve"> </w:t>
      </w:r>
      <w:r>
        <w:t>this</w:t>
      </w:r>
      <w:r>
        <w:rPr>
          <w:spacing w:val="-18"/>
        </w:rPr>
        <w:t xml:space="preserve"> </w:t>
      </w:r>
      <w:r>
        <w:t>effect.</w:t>
      </w:r>
      <w:r>
        <w:rPr>
          <w:spacing w:val="33"/>
        </w:rPr>
        <w:t xml:space="preserve"> </w:t>
      </w:r>
      <w:r>
        <w:t>Thus,</w:t>
      </w:r>
      <w:r>
        <w:rPr>
          <w:spacing w:val="-12"/>
        </w:rPr>
        <w:t xml:space="preserve"> </w:t>
      </w:r>
      <w:r>
        <w:t>this</w:t>
      </w:r>
      <w:r>
        <w:rPr>
          <w:spacing w:val="-13"/>
        </w:rPr>
        <w:t xml:space="preserve"> </w:t>
      </w:r>
      <w:r>
        <w:t>study’s</w:t>
      </w:r>
      <w:r>
        <w:rPr>
          <w:spacing w:val="-12"/>
        </w:rPr>
        <w:t xml:space="preserve"> </w:t>
      </w:r>
      <w:r>
        <w:t>sample</w:t>
      </w:r>
      <w:r>
        <w:rPr>
          <w:spacing w:val="-12"/>
        </w:rPr>
        <w:t xml:space="preserve"> </w:t>
      </w:r>
      <w:r>
        <w:t>size</w:t>
      </w:r>
      <w:r>
        <w:rPr>
          <w:spacing w:val="-16"/>
        </w:rPr>
        <w:t xml:space="preserve"> </w:t>
      </w:r>
      <w:r>
        <w:t>may</w:t>
      </w:r>
      <w:r>
        <w:rPr>
          <w:spacing w:val="-10"/>
        </w:rPr>
        <w:t xml:space="preserve"> </w:t>
      </w:r>
      <w:r>
        <w:t>have</w:t>
      </w:r>
      <w:r>
        <w:rPr>
          <w:spacing w:val="-16"/>
        </w:rPr>
        <w:t xml:space="preserve"> </w:t>
      </w:r>
      <w:r>
        <w:t>been</w:t>
      </w:r>
      <w:r>
        <w:rPr>
          <w:spacing w:val="-10"/>
        </w:rPr>
        <w:t xml:space="preserve"> </w:t>
      </w:r>
      <w:r>
        <w:t>too</w:t>
      </w:r>
      <w:r>
        <w:rPr>
          <w:spacing w:val="-11"/>
        </w:rPr>
        <w:t xml:space="preserve"> </w:t>
      </w:r>
      <w:r>
        <w:t>small to reliably detect group differences in the PM task.</w:t>
      </w:r>
    </w:p>
    <w:p w14:paraId="78DAAFF1" w14:textId="77777777" w:rsidR="00C75312" w:rsidRDefault="00BB293A">
      <w:pPr>
        <w:pStyle w:val="Heading1"/>
        <w:spacing w:before="121"/>
      </w:pPr>
      <w:r>
        <w:t>Conclusion</w:t>
      </w:r>
    </w:p>
    <w:p w14:paraId="789C97A6" w14:textId="77777777" w:rsidR="00C75312" w:rsidRDefault="00C75312">
      <w:pPr>
        <w:pStyle w:val="BodyText"/>
        <w:rPr>
          <w:b/>
        </w:rPr>
      </w:pPr>
    </w:p>
    <w:p w14:paraId="2A72B91C" w14:textId="77777777" w:rsidR="00C75312" w:rsidRDefault="00BB293A">
      <w:pPr>
        <w:pStyle w:val="BodyText"/>
        <w:spacing w:line="480" w:lineRule="auto"/>
        <w:ind w:left="140" w:right="1434" w:firstLine="720"/>
        <w:jc w:val="both"/>
      </w:pPr>
      <w:r>
        <w:t>In the current study, participant groups were equated for baseline characteristics, showed no differences in ongoing task performance, and recalled PM task instructions equivalently. In sum results from both Chapter 2 and 3 suggest that under controlled conditions, among appropriately-matched groups, event-based PM is unimpaired in children</w:t>
      </w:r>
    </w:p>
    <w:p w14:paraId="0E34401D" w14:textId="77777777" w:rsidR="00C75312" w:rsidRDefault="00C75312">
      <w:pPr>
        <w:spacing w:line="480" w:lineRule="auto"/>
        <w:jc w:val="both"/>
        <w:sectPr w:rsidR="00C75312">
          <w:pgSz w:w="11900" w:h="16840"/>
          <w:pgMar w:top="1140" w:right="0" w:bottom="280" w:left="1300" w:header="720" w:footer="0" w:gutter="0"/>
          <w:cols w:space="720"/>
        </w:sectPr>
      </w:pPr>
    </w:p>
    <w:p w14:paraId="058C6351" w14:textId="77777777" w:rsidR="00C75312" w:rsidRDefault="00C75312">
      <w:pPr>
        <w:pStyle w:val="BodyText"/>
        <w:spacing w:before="2"/>
        <w:rPr>
          <w:sz w:val="18"/>
        </w:rPr>
      </w:pPr>
    </w:p>
    <w:p w14:paraId="75CAD88A" w14:textId="77777777" w:rsidR="00C75312" w:rsidRDefault="00BB293A">
      <w:pPr>
        <w:pStyle w:val="BodyText"/>
        <w:spacing w:before="90" w:line="480" w:lineRule="auto"/>
        <w:ind w:left="140" w:right="1433"/>
        <w:jc w:val="both"/>
      </w:pPr>
      <w:r>
        <w:t>with ASD. In the following Chapter 4, time-based PM will be explored in adults with ASD rather</w:t>
      </w:r>
      <w:r>
        <w:rPr>
          <w:spacing w:val="-8"/>
        </w:rPr>
        <w:t xml:space="preserve"> </w:t>
      </w:r>
      <w:r>
        <w:t>than</w:t>
      </w:r>
      <w:r>
        <w:rPr>
          <w:spacing w:val="-9"/>
        </w:rPr>
        <w:t xml:space="preserve"> </w:t>
      </w:r>
      <w:r>
        <w:t>with</w:t>
      </w:r>
      <w:r>
        <w:rPr>
          <w:spacing w:val="-9"/>
        </w:rPr>
        <w:t xml:space="preserve"> </w:t>
      </w:r>
      <w:r>
        <w:t>children</w:t>
      </w:r>
      <w:r>
        <w:rPr>
          <w:spacing w:val="-9"/>
        </w:rPr>
        <w:t xml:space="preserve"> </w:t>
      </w:r>
      <w:r>
        <w:t>with</w:t>
      </w:r>
      <w:r>
        <w:rPr>
          <w:spacing w:val="-9"/>
        </w:rPr>
        <w:t xml:space="preserve"> </w:t>
      </w:r>
      <w:r>
        <w:t>ASD.</w:t>
      </w:r>
      <w:r>
        <w:rPr>
          <w:spacing w:val="41"/>
        </w:rPr>
        <w:t xml:space="preserve"> </w:t>
      </w:r>
      <w:r>
        <w:t>It</w:t>
      </w:r>
      <w:r>
        <w:rPr>
          <w:spacing w:val="-8"/>
        </w:rPr>
        <w:t xml:space="preserve"> </w:t>
      </w:r>
      <w:r>
        <w:t>has</w:t>
      </w:r>
      <w:r>
        <w:rPr>
          <w:spacing w:val="-11"/>
        </w:rPr>
        <w:t xml:space="preserve"> </w:t>
      </w:r>
      <w:r>
        <w:t>been</w:t>
      </w:r>
      <w:r>
        <w:rPr>
          <w:spacing w:val="-9"/>
        </w:rPr>
        <w:t xml:space="preserve"> </w:t>
      </w:r>
      <w:r>
        <w:t>shown</w:t>
      </w:r>
      <w:r>
        <w:rPr>
          <w:spacing w:val="-9"/>
        </w:rPr>
        <w:t xml:space="preserve"> </w:t>
      </w:r>
      <w:r>
        <w:t>that</w:t>
      </w:r>
      <w:r>
        <w:rPr>
          <w:spacing w:val="-8"/>
        </w:rPr>
        <w:t xml:space="preserve"> </w:t>
      </w:r>
      <w:r>
        <w:t>there</w:t>
      </w:r>
      <w:r>
        <w:rPr>
          <w:spacing w:val="-10"/>
        </w:rPr>
        <w:t xml:space="preserve"> </w:t>
      </w:r>
      <w:r>
        <w:t>is</w:t>
      </w:r>
      <w:r>
        <w:rPr>
          <w:spacing w:val="-11"/>
        </w:rPr>
        <w:t xml:space="preserve"> </w:t>
      </w:r>
      <w:r>
        <w:t>both</w:t>
      </w:r>
      <w:r>
        <w:rPr>
          <w:spacing w:val="-9"/>
        </w:rPr>
        <w:t xml:space="preserve"> </w:t>
      </w:r>
      <w:r>
        <w:t>continuity</w:t>
      </w:r>
      <w:r>
        <w:rPr>
          <w:spacing w:val="-9"/>
        </w:rPr>
        <w:t xml:space="preserve"> </w:t>
      </w:r>
      <w:r>
        <w:t>and</w:t>
      </w:r>
      <w:r>
        <w:rPr>
          <w:spacing w:val="-9"/>
        </w:rPr>
        <w:t xml:space="preserve"> </w:t>
      </w:r>
      <w:r>
        <w:t>change in the developmental trajectories of children with ASD (McGovern &amp; Sigman, 2005). This is especially important for abilities that are thought to underpin time-based PM, e.g. executive functions. It is thought that developmental trajectories of executive functions differ in neurotypical in comparison to autistic individuals (Demetriou et al., 2017). In neurotypical children, a study has found that age-related variance in</w:t>
      </w:r>
      <w:r>
        <w:t xml:space="preserve"> time-based PM performance was due to variability in underlying cognitive resources such as planning and switching, (Mackinlay, </w:t>
      </w:r>
      <w:proofErr w:type="spellStart"/>
      <w:r>
        <w:t>Kliegel</w:t>
      </w:r>
      <w:proofErr w:type="spellEnd"/>
      <w:r>
        <w:t>,</w:t>
      </w:r>
      <w:r>
        <w:rPr>
          <w:spacing w:val="-3"/>
        </w:rPr>
        <w:t xml:space="preserve"> </w:t>
      </w:r>
      <w:r>
        <w:t>&amp;</w:t>
      </w:r>
      <w:r>
        <w:rPr>
          <w:spacing w:val="-4"/>
        </w:rPr>
        <w:t xml:space="preserve"> </w:t>
      </w:r>
      <w:r>
        <w:t>Mäntylä,</w:t>
      </w:r>
      <w:r>
        <w:rPr>
          <w:spacing w:val="-2"/>
        </w:rPr>
        <w:t xml:space="preserve"> </w:t>
      </w:r>
      <w:r>
        <w:t>2009),</w:t>
      </w:r>
      <w:r>
        <w:rPr>
          <w:spacing w:val="-2"/>
        </w:rPr>
        <w:t xml:space="preserve"> </w:t>
      </w:r>
      <w:r>
        <w:t>abilities</w:t>
      </w:r>
      <w:r>
        <w:rPr>
          <w:spacing w:val="-7"/>
        </w:rPr>
        <w:t xml:space="preserve"> </w:t>
      </w:r>
      <w:r>
        <w:t>which</w:t>
      </w:r>
      <w:r>
        <w:rPr>
          <w:spacing w:val="-5"/>
        </w:rPr>
        <w:t xml:space="preserve"> </w:t>
      </w:r>
      <w:r>
        <w:t>have</w:t>
      </w:r>
      <w:r>
        <w:rPr>
          <w:spacing w:val="-6"/>
        </w:rPr>
        <w:t xml:space="preserve"> </w:t>
      </w:r>
      <w:r>
        <w:t>been</w:t>
      </w:r>
      <w:r>
        <w:rPr>
          <w:spacing w:val="-5"/>
        </w:rPr>
        <w:t xml:space="preserve"> </w:t>
      </w:r>
      <w:r>
        <w:t>shown</w:t>
      </w:r>
      <w:r>
        <w:rPr>
          <w:spacing w:val="-5"/>
        </w:rPr>
        <w:t xml:space="preserve"> </w:t>
      </w:r>
      <w:r>
        <w:t>to</w:t>
      </w:r>
      <w:r>
        <w:rPr>
          <w:spacing w:val="-5"/>
        </w:rPr>
        <w:t xml:space="preserve"> </w:t>
      </w:r>
      <w:r>
        <w:t>be</w:t>
      </w:r>
      <w:r>
        <w:rPr>
          <w:spacing w:val="-6"/>
        </w:rPr>
        <w:t xml:space="preserve"> </w:t>
      </w:r>
      <w:r>
        <w:t>impaired</w:t>
      </w:r>
      <w:r>
        <w:rPr>
          <w:spacing w:val="-4"/>
        </w:rPr>
        <w:t xml:space="preserve"> </w:t>
      </w:r>
      <w:r>
        <w:t>in</w:t>
      </w:r>
      <w:r>
        <w:rPr>
          <w:spacing w:val="-5"/>
        </w:rPr>
        <w:t xml:space="preserve"> </w:t>
      </w:r>
      <w:r>
        <w:t>ASD</w:t>
      </w:r>
      <w:r>
        <w:rPr>
          <w:spacing w:val="-5"/>
        </w:rPr>
        <w:t xml:space="preserve"> </w:t>
      </w:r>
      <w:r>
        <w:t>(Lai</w:t>
      </w:r>
      <w:r>
        <w:rPr>
          <w:spacing w:val="-4"/>
        </w:rPr>
        <w:t xml:space="preserve"> </w:t>
      </w:r>
      <w:r>
        <w:t>et</w:t>
      </w:r>
      <w:r>
        <w:rPr>
          <w:spacing w:val="-4"/>
        </w:rPr>
        <w:t xml:space="preserve"> </w:t>
      </w:r>
      <w:r>
        <w:t>al., 2016). Thus, time-based PM was investigated in adults with ASD to exclude varying developmental trajectories/individual differences of/in abilities that underpin time-based</w:t>
      </w:r>
      <w:r>
        <w:rPr>
          <w:spacing w:val="-27"/>
        </w:rPr>
        <w:t xml:space="preserve"> </w:t>
      </w:r>
      <w:r>
        <w:t>PM.</w:t>
      </w:r>
    </w:p>
    <w:p w14:paraId="01E2163B" w14:textId="77777777" w:rsidR="00C75312" w:rsidRDefault="00C75312">
      <w:pPr>
        <w:spacing w:line="480" w:lineRule="auto"/>
        <w:jc w:val="both"/>
        <w:sectPr w:rsidR="00C75312">
          <w:pgSz w:w="11900" w:h="16840"/>
          <w:pgMar w:top="1140" w:right="0" w:bottom="280" w:left="1300" w:header="720" w:footer="0" w:gutter="0"/>
          <w:cols w:space="720"/>
        </w:sectPr>
      </w:pPr>
    </w:p>
    <w:p w14:paraId="597B7EB8" w14:textId="77777777" w:rsidR="00C75312" w:rsidRDefault="00C75312">
      <w:pPr>
        <w:pStyle w:val="BodyText"/>
        <w:spacing w:before="4"/>
        <w:rPr>
          <w:sz w:val="22"/>
        </w:rPr>
      </w:pPr>
    </w:p>
    <w:p w14:paraId="71B935E8" w14:textId="77777777" w:rsidR="00C75312" w:rsidRDefault="00BB293A">
      <w:pPr>
        <w:pStyle w:val="Heading1"/>
        <w:spacing w:before="90"/>
        <w:ind w:left="25" w:right="1328"/>
        <w:jc w:val="center"/>
      </w:pPr>
      <w:r>
        <w:t>CHAPTER 4</w:t>
      </w:r>
    </w:p>
    <w:p w14:paraId="6955E6B0" w14:textId="77777777" w:rsidR="00C75312" w:rsidRDefault="00C75312">
      <w:pPr>
        <w:pStyle w:val="BodyText"/>
        <w:rPr>
          <w:b/>
          <w:sz w:val="26"/>
        </w:rPr>
      </w:pPr>
    </w:p>
    <w:p w14:paraId="1F7FCCE0" w14:textId="77777777" w:rsidR="00C75312" w:rsidRDefault="00BB293A">
      <w:pPr>
        <w:spacing w:before="217" w:line="480" w:lineRule="auto"/>
        <w:ind w:left="25" w:right="1322"/>
        <w:jc w:val="center"/>
        <w:rPr>
          <w:b/>
          <w:sz w:val="24"/>
        </w:rPr>
      </w:pPr>
      <w:r>
        <w:rPr>
          <w:b/>
          <w:sz w:val="24"/>
        </w:rPr>
        <w:t>THE ROLE OF EXTRINSIC MOTIVATION ON TIME-BASED PROSPECTIVE MEMORY IN ADULTS WITH AUTISM: RELATIONS TO EXECUTIVE FUNCTIONING AND MINDREADING</w:t>
      </w:r>
    </w:p>
    <w:p w14:paraId="04E3662D" w14:textId="77777777" w:rsidR="00C75312" w:rsidRDefault="00C75312">
      <w:pPr>
        <w:pStyle w:val="BodyText"/>
        <w:spacing w:before="10"/>
        <w:rPr>
          <w:b/>
          <w:sz w:val="20"/>
        </w:rPr>
      </w:pPr>
    </w:p>
    <w:p w14:paraId="22D373B0" w14:textId="77777777" w:rsidR="00C75312" w:rsidRDefault="00BB293A">
      <w:pPr>
        <w:pStyle w:val="Heading1"/>
        <w:ind w:left="25" w:right="1324"/>
        <w:jc w:val="center"/>
      </w:pPr>
      <w:bookmarkStart w:id="17" w:name="_TOC_250016"/>
      <w:bookmarkEnd w:id="17"/>
      <w:r>
        <w:t>Introduction</w:t>
      </w:r>
    </w:p>
    <w:p w14:paraId="2509E847" w14:textId="77777777" w:rsidR="00C75312" w:rsidRDefault="00C75312">
      <w:pPr>
        <w:pStyle w:val="BodyText"/>
        <w:rPr>
          <w:b/>
        </w:rPr>
      </w:pPr>
    </w:p>
    <w:p w14:paraId="0820AE42" w14:textId="77777777" w:rsidR="00C75312" w:rsidRDefault="00BB293A">
      <w:pPr>
        <w:pStyle w:val="BodyText"/>
        <w:spacing w:line="480" w:lineRule="auto"/>
        <w:ind w:left="140" w:right="1436" w:firstLine="720"/>
        <w:jc w:val="both"/>
      </w:pPr>
      <w:r>
        <w:t>The previous two chapters explored event-based PM in ASD and both added to the evidence that the ability to fulfil event-based delayed intentions is undiminished in ASD. Therefore, this chapter will turn to the investigation of what might underpin time-based PM impairments in ASD.</w:t>
      </w:r>
    </w:p>
    <w:p w14:paraId="68C9D1DF" w14:textId="77777777" w:rsidR="00C75312" w:rsidRDefault="00BB293A">
      <w:pPr>
        <w:pStyle w:val="BodyText"/>
        <w:spacing w:before="120" w:line="480" w:lineRule="auto"/>
        <w:ind w:left="140" w:right="1433" w:firstLine="720"/>
        <w:jc w:val="both"/>
      </w:pPr>
      <w:r>
        <w:t>When PM requires to be carried out at a particular future time point, it is referred to as time-based</w:t>
      </w:r>
      <w:r>
        <w:rPr>
          <w:spacing w:val="-12"/>
        </w:rPr>
        <w:t xml:space="preserve"> </w:t>
      </w:r>
      <w:r>
        <w:t>PM</w:t>
      </w:r>
      <w:r>
        <w:rPr>
          <w:spacing w:val="-13"/>
        </w:rPr>
        <w:t xml:space="preserve"> </w:t>
      </w:r>
      <w:r>
        <w:t>(</w:t>
      </w:r>
      <w:proofErr w:type="spellStart"/>
      <w:r>
        <w:t>Kliegel</w:t>
      </w:r>
      <w:proofErr w:type="spellEnd"/>
      <w:r>
        <w:t>,</w:t>
      </w:r>
      <w:r>
        <w:rPr>
          <w:spacing w:val="-8"/>
        </w:rPr>
        <w:t xml:space="preserve"> </w:t>
      </w:r>
      <w:r>
        <w:t>McDaniel,</w:t>
      </w:r>
      <w:r>
        <w:rPr>
          <w:spacing w:val="-8"/>
        </w:rPr>
        <w:t xml:space="preserve"> </w:t>
      </w:r>
      <w:r>
        <w:t>et</w:t>
      </w:r>
      <w:r>
        <w:rPr>
          <w:spacing w:val="-10"/>
        </w:rPr>
        <w:t xml:space="preserve"> </w:t>
      </w:r>
      <w:r>
        <w:t>al.,</w:t>
      </w:r>
      <w:r>
        <w:rPr>
          <w:spacing w:val="-8"/>
        </w:rPr>
        <w:t xml:space="preserve"> </w:t>
      </w:r>
      <w:r>
        <w:t>2008;</w:t>
      </w:r>
      <w:r>
        <w:rPr>
          <w:spacing w:val="-15"/>
        </w:rPr>
        <w:t xml:space="preserve"> </w:t>
      </w:r>
      <w:proofErr w:type="spellStart"/>
      <w:r>
        <w:t>Kvavilashvili</w:t>
      </w:r>
      <w:proofErr w:type="spellEnd"/>
      <w:r>
        <w:rPr>
          <w:spacing w:val="-10"/>
        </w:rPr>
        <w:t xml:space="preserve"> </w:t>
      </w:r>
      <w:r>
        <w:t>&amp;</w:t>
      </w:r>
      <w:r>
        <w:rPr>
          <w:spacing w:val="-11"/>
        </w:rPr>
        <w:t xml:space="preserve"> </w:t>
      </w:r>
      <w:r>
        <w:t>Ellis,</w:t>
      </w:r>
      <w:r>
        <w:rPr>
          <w:spacing w:val="-12"/>
        </w:rPr>
        <w:t xml:space="preserve"> </w:t>
      </w:r>
      <w:r>
        <w:t>1996).</w:t>
      </w:r>
      <w:r>
        <w:rPr>
          <w:spacing w:val="36"/>
        </w:rPr>
        <w:t xml:space="preserve"> </w:t>
      </w:r>
      <w:r>
        <w:t>Time-based</w:t>
      </w:r>
      <w:r>
        <w:rPr>
          <w:spacing w:val="-11"/>
        </w:rPr>
        <w:t xml:space="preserve"> </w:t>
      </w:r>
      <w:r>
        <w:t>PM encompasses both remembering to carry out an action after a certain time delay (e.g., taking medication</w:t>
      </w:r>
      <w:r>
        <w:rPr>
          <w:spacing w:val="-11"/>
        </w:rPr>
        <w:t xml:space="preserve"> </w:t>
      </w:r>
      <w:r>
        <w:t>30</w:t>
      </w:r>
      <w:r>
        <w:rPr>
          <w:spacing w:val="-10"/>
        </w:rPr>
        <w:t xml:space="preserve"> </w:t>
      </w:r>
      <w:r>
        <w:t>minutes</w:t>
      </w:r>
      <w:r>
        <w:rPr>
          <w:spacing w:val="-12"/>
        </w:rPr>
        <w:t xml:space="preserve"> </w:t>
      </w:r>
      <w:r>
        <w:t>after</w:t>
      </w:r>
      <w:r>
        <w:rPr>
          <w:spacing w:val="-8"/>
        </w:rPr>
        <w:t xml:space="preserve"> </w:t>
      </w:r>
      <w:r>
        <w:t>eating),</w:t>
      </w:r>
      <w:r>
        <w:rPr>
          <w:spacing w:val="-12"/>
        </w:rPr>
        <w:t xml:space="preserve"> </w:t>
      </w:r>
      <w:r>
        <w:t>or</w:t>
      </w:r>
      <w:r>
        <w:rPr>
          <w:spacing w:val="-13"/>
        </w:rPr>
        <w:t xml:space="preserve"> </w:t>
      </w:r>
      <w:r>
        <w:t>at</w:t>
      </w:r>
      <w:r>
        <w:rPr>
          <w:spacing w:val="-9"/>
        </w:rPr>
        <w:t xml:space="preserve"> </w:t>
      </w:r>
      <w:r>
        <w:t>a</w:t>
      </w:r>
      <w:r>
        <w:rPr>
          <w:spacing w:val="-15"/>
        </w:rPr>
        <w:t xml:space="preserve"> </w:t>
      </w:r>
      <w:r>
        <w:t>specific</w:t>
      </w:r>
      <w:r>
        <w:rPr>
          <w:spacing w:val="-14"/>
        </w:rPr>
        <w:t xml:space="preserve"> </w:t>
      </w:r>
      <w:r>
        <w:t>time</w:t>
      </w:r>
      <w:r>
        <w:rPr>
          <w:spacing w:val="-11"/>
        </w:rPr>
        <w:t xml:space="preserve"> </w:t>
      </w:r>
      <w:r>
        <w:t>point</w:t>
      </w:r>
      <w:r>
        <w:rPr>
          <w:spacing w:val="-14"/>
        </w:rPr>
        <w:t xml:space="preserve"> </w:t>
      </w:r>
      <w:r>
        <w:t>(e.g.,</w:t>
      </w:r>
      <w:r>
        <w:rPr>
          <w:spacing w:val="-12"/>
        </w:rPr>
        <w:t xml:space="preserve"> </w:t>
      </w:r>
      <w:r>
        <w:t>taking</w:t>
      </w:r>
      <w:r>
        <w:rPr>
          <w:spacing w:val="-14"/>
        </w:rPr>
        <w:t xml:space="preserve"> </w:t>
      </w:r>
      <w:r>
        <w:t>medication</w:t>
      </w:r>
      <w:r>
        <w:rPr>
          <w:spacing w:val="-10"/>
        </w:rPr>
        <w:t xml:space="preserve"> </w:t>
      </w:r>
      <w:r>
        <w:t>at</w:t>
      </w:r>
      <w:r>
        <w:rPr>
          <w:spacing w:val="-9"/>
        </w:rPr>
        <w:t xml:space="preserve"> </w:t>
      </w:r>
      <w:r>
        <w:t>7pm). As such, time-based PM facilitates successful completion of tasks on a daily basis, although PM failures are not uncommon in the general population (Terry, 1988) and can have adverse consequences (Woods et al.,</w:t>
      </w:r>
      <w:r>
        <w:rPr>
          <w:spacing w:val="1"/>
        </w:rPr>
        <w:t xml:space="preserve"> </w:t>
      </w:r>
      <w:r>
        <w:t>2015).</w:t>
      </w:r>
    </w:p>
    <w:p w14:paraId="2185452F" w14:textId="77777777" w:rsidR="00C75312" w:rsidRDefault="00BB293A">
      <w:pPr>
        <w:pStyle w:val="Heading1"/>
        <w:spacing w:before="121"/>
        <w:jc w:val="both"/>
      </w:pPr>
      <w:r>
        <w:t>Mechanisms of time-based PM</w:t>
      </w:r>
    </w:p>
    <w:p w14:paraId="10BBE881" w14:textId="77777777" w:rsidR="00C75312" w:rsidRDefault="00C75312">
      <w:pPr>
        <w:pStyle w:val="BodyText"/>
        <w:rPr>
          <w:b/>
        </w:rPr>
      </w:pPr>
    </w:p>
    <w:p w14:paraId="13D35AD5" w14:textId="77777777" w:rsidR="00C75312" w:rsidRDefault="00BB293A">
      <w:pPr>
        <w:pStyle w:val="BodyText"/>
        <w:spacing w:line="480" w:lineRule="auto"/>
        <w:ind w:left="140" w:right="1434" w:firstLine="720"/>
        <w:jc w:val="both"/>
      </w:pPr>
      <w:r>
        <w:t>Carrying out a time-based delayed intention is a process consisting of different stages (intention encoding, maintenance, retrieval, and execution; Ellis 1996), and involves both executive control processes and time perception (M. Martin et al., 2003; Mioni &amp; Stablum, 2014). In a laboratory setting, participants have to divide their attention between an ongoing task (e.g., rating words on different dimensions) and the time-based PM task, which usually requires participants to carry out the intended action a</w:t>
      </w:r>
      <w:r>
        <w:t>t the appropriate point (e.g., to press a specific keyboard key after every 2 minutes). To keep track of the elapsed time, a timer or</w:t>
      </w:r>
    </w:p>
    <w:p w14:paraId="2E50592C" w14:textId="77777777" w:rsidR="00C75312" w:rsidRDefault="00C75312">
      <w:pPr>
        <w:spacing w:line="480" w:lineRule="auto"/>
        <w:jc w:val="both"/>
        <w:sectPr w:rsidR="00C75312">
          <w:headerReference w:type="default" r:id="rId32"/>
          <w:pgSz w:w="11900" w:h="16840"/>
          <w:pgMar w:top="1140" w:right="0" w:bottom="280" w:left="1300" w:header="720" w:footer="0" w:gutter="0"/>
          <w:pgNumType w:start="89"/>
          <w:cols w:space="720"/>
        </w:sectPr>
      </w:pPr>
    </w:p>
    <w:p w14:paraId="5B79C4E0" w14:textId="77777777" w:rsidR="00C75312" w:rsidRDefault="00BB293A">
      <w:pPr>
        <w:pStyle w:val="BodyText"/>
        <w:spacing w:before="107" w:line="480" w:lineRule="auto"/>
        <w:ind w:left="140" w:right="1431"/>
        <w:jc w:val="both"/>
      </w:pPr>
      <w:r>
        <w:lastRenderedPageBreak/>
        <w:t xml:space="preserve">clock is available on demand (e.g., by pressing another pre-specified keyboard key). Thus, clock-checking plays a crucial role for successful PM. Specifically, a J-shaped function of time checks has been found to reflect strategic time monitoring processes (Mäntylä &amp; Carelli, 2006). This means that at the beginning </w:t>
      </w:r>
      <w:r>
        <w:rPr>
          <w:spacing w:val="-3"/>
        </w:rPr>
        <w:t xml:space="preserve">of </w:t>
      </w:r>
      <w:r>
        <w:t>any interval preceding a time-based PM task, an individual will only occasionally pay attention to how much time has elapsed since forming the intention. The frequency of time checks will steadily increase and reach its peak prior to the respective target time. Thus, in comparison to cued PM retrieval in event-based PM task, time-based PM involves a series of self-initiated processes to enable PM retrieval (Einstein et al., 1995). An interplay of several cognitive processes supports this process. Updatin</w:t>
      </w:r>
      <w:r>
        <w:t>g of information</w:t>
      </w:r>
      <w:r>
        <w:rPr>
          <w:spacing w:val="-15"/>
        </w:rPr>
        <w:t xml:space="preserve"> </w:t>
      </w:r>
      <w:r>
        <w:t>in</w:t>
      </w:r>
      <w:r>
        <w:rPr>
          <w:spacing w:val="-10"/>
        </w:rPr>
        <w:t xml:space="preserve"> </w:t>
      </w:r>
      <w:r>
        <w:t>working</w:t>
      </w:r>
      <w:r>
        <w:rPr>
          <w:spacing w:val="-10"/>
        </w:rPr>
        <w:t xml:space="preserve"> </w:t>
      </w:r>
      <w:r>
        <w:t>memory</w:t>
      </w:r>
      <w:r>
        <w:rPr>
          <w:spacing w:val="-10"/>
        </w:rPr>
        <w:t xml:space="preserve"> </w:t>
      </w:r>
      <w:r>
        <w:t>supports</w:t>
      </w:r>
      <w:r>
        <w:rPr>
          <w:spacing w:val="-17"/>
        </w:rPr>
        <w:t xml:space="preserve"> </w:t>
      </w:r>
      <w:r>
        <w:t>the</w:t>
      </w:r>
      <w:r>
        <w:rPr>
          <w:spacing w:val="-11"/>
        </w:rPr>
        <w:t xml:space="preserve"> </w:t>
      </w:r>
      <w:r>
        <w:t>intermittent</w:t>
      </w:r>
      <w:r>
        <w:rPr>
          <w:spacing w:val="-9"/>
        </w:rPr>
        <w:t xml:space="preserve"> </w:t>
      </w:r>
      <w:r>
        <w:t>maintenance</w:t>
      </w:r>
      <w:r>
        <w:rPr>
          <w:spacing w:val="-12"/>
        </w:rPr>
        <w:t xml:space="preserve"> </w:t>
      </w:r>
      <w:r>
        <w:t>of</w:t>
      </w:r>
      <w:r>
        <w:rPr>
          <w:spacing w:val="-13"/>
        </w:rPr>
        <w:t xml:space="preserve"> </w:t>
      </w:r>
      <w:r>
        <w:t>the</w:t>
      </w:r>
      <w:r>
        <w:rPr>
          <w:spacing w:val="-11"/>
        </w:rPr>
        <w:t xml:space="preserve"> </w:t>
      </w:r>
      <w:r>
        <w:t>content</w:t>
      </w:r>
      <w:r>
        <w:rPr>
          <w:spacing w:val="-14"/>
        </w:rPr>
        <w:t xml:space="preserve"> </w:t>
      </w:r>
      <w:r>
        <w:t>of</w:t>
      </w:r>
      <w:r>
        <w:rPr>
          <w:spacing w:val="-13"/>
        </w:rPr>
        <w:t xml:space="preserve"> </w:t>
      </w:r>
      <w:r>
        <w:t>a</w:t>
      </w:r>
      <w:r>
        <w:rPr>
          <w:spacing w:val="-11"/>
        </w:rPr>
        <w:t xml:space="preserve"> </w:t>
      </w:r>
      <w:r>
        <w:t xml:space="preserve">time- based intention while engaging in the ongoing task and tracking the passage of time (Mioni &amp; Stablum, 2014; Voigt et al., 2014). Inhibitory control, as well as cognitive flexibility are required to interrupt attending to the ongoing task (Kerns, 2000) and subsequently to either initiate a check of how much time has elapsed (Mioni &amp; Stablum, 2014; Mioni, Stablum, McClintock, &amp; Cantagallo, 2012; Vanneste, Baudouin, </w:t>
      </w:r>
      <w:proofErr w:type="spellStart"/>
      <w:r>
        <w:t>Bouazzaoui</w:t>
      </w:r>
      <w:proofErr w:type="spellEnd"/>
      <w:r>
        <w:t xml:space="preserve">, &amp; </w:t>
      </w:r>
      <w:proofErr w:type="spellStart"/>
      <w:r>
        <w:t>Taconnat</w:t>
      </w:r>
      <w:proofErr w:type="spellEnd"/>
      <w:r>
        <w:t>, 2016) or to execute</w:t>
      </w:r>
      <w:r>
        <w:rPr>
          <w:spacing w:val="-7"/>
        </w:rPr>
        <w:t xml:space="preserve"> </w:t>
      </w:r>
      <w:r>
        <w:t>the</w:t>
      </w:r>
      <w:r>
        <w:rPr>
          <w:spacing w:val="-6"/>
        </w:rPr>
        <w:t xml:space="preserve"> </w:t>
      </w:r>
      <w:r>
        <w:t>PM</w:t>
      </w:r>
      <w:r>
        <w:rPr>
          <w:spacing w:val="-7"/>
        </w:rPr>
        <w:t xml:space="preserve"> </w:t>
      </w:r>
      <w:r>
        <w:t>task</w:t>
      </w:r>
      <w:r>
        <w:rPr>
          <w:spacing w:val="-5"/>
        </w:rPr>
        <w:t xml:space="preserve"> </w:t>
      </w:r>
      <w:r>
        <w:t>(</w:t>
      </w:r>
      <w:proofErr w:type="spellStart"/>
      <w:r>
        <w:t>Kliegel</w:t>
      </w:r>
      <w:proofErr w:type="spellEnd"/>
      <w:r>
        <w:rPr>
          <w:spacing w:val="-4"/>
        </w:rPr>
        <w:t xml:space="preserve"> </w:t>
      </w:r>
      <w:r>
        <w:t>et</w:t>
      </w:r>
      <w:r>
        <w:rPr>
          <w:spacing w:val="-4"/>
        </w:rPr>
        <w:t xml:space="preserve"> </w:t>
      </w:r>
      <w:r>
        <w:t>al.,</w:t>
      </w:r>
      <w:r>
        <w:rPr>
          <w:spacing w:val="-2"/>
        </w:rPr>
        <w:t xml:space="preserve"> </w:t>
      </w:r>
      <w:r>
        <w:t>2002;</w:t>
      </w:r>
      <w:r>
        <w:rPr>
          <w:spacing w:val="-4"/>
        </w:rPr>
        <w:t xml:space="preserve"> </w:t>
      </w:r>
      <w:proofErr w:type="spellStart"/>
      <w:r>
        <w:t>Kliegel</w:t>
      </w:r>
      <w:proofErr w:type="spellEnd"/>
      <w:r>
        <w:t>,</w:t>
      </w:r>
      <w:r>
        <w:rPr>
          <w:spacing w:val="-7"/>
        </w:rPr>
        <w:t xml:space="preserve"> </w:t>
      </w:r>
      <w:proofErr w:type="spellStart"/>
      <w:r>
        <w:t>R</w:t>
      </w:r>
      <w:r>
        <w:t>amuschkat</w:t>
      </w:r>
      <w:proofErr w:type="spellEnd"/>
      <w:r>
        <w:t>,</w:t>
      </w:r>
      <w:r>
        <w:rPr>
          <w:spacing w:val="-3"/>
        </w:rPr>
        <w:t xml:space="preserve"> </w:t>
      </w:r>
      <w:r>
        <w:t>&amp;</w:t>
      </w:r>
      <w:r>
        <w:rPr>
          <w:spacing w:val="-4"/>
        </w:rPr>
        <w:t xml:space="preserve"> </w:t>
      </w:r>
      <w:r>
        <w:t>Martin,</w:t>
      </w:r>
      <w:r>
        <w:rPr>
          <w:spacing w:val="-2"/>
        </w:rPr>
        <w:t xml:space="preserve"> </w:t>
      </w:r>
      <w:r>
        <w:t>2003;</w:t>
      </w:r>
      <w:r>
        <w:rPr>
          <w:spacing w:val="-4"/>
        </w:rPr>
        <w:t xml:space="preserve"> </w:t>
      </w:r>
      <w:r>
        <w:t>Mackinlay</w:t>
      </w:r>
      <w:r>
        <w:rPr>
          <w:spacing w:val="-5"/>
        </w:rPr>
        <w:t xml:space="preserve"> </w:t>
      </w:r>
      <w:r>
        <w:t xml:space="preserve">et al., 2009). Finally, mindreading/mentalizing ability (the ability to represent one’s own and others’ mental states; Frith, 2005) has also been implicated in time-based PM (e.g., Williams et al., 2013). First, carrying out a delayed intention involves </w:t>
      </w:r>
      <w:proofErr w:type="spellStart"/>
      <w:r>
        <w:t>recognising</w:t>
      </w:r>
      <w:proofErr w:type="spellEnd"/>
      <w:r>
        <w:t xml:space="preserve"> and responding to one’s own mental state (i.e., one’s intention) in the first place, which </w:t>
      </w:r>
      <w:r>
        <w:rPr>
          <w:spacing w:val="-3"/>
        </w:rPr>
        <w:t xml:space="preserve">of </w:t>
      </w:r>
      <w:r>
        <w:t>course requires mindreading (Williams et al., 2013). There may be a second way in which mindreading might contribut</w:t>
      </w:r>
      <w:r>
        <w:t xml:space="preserve">e to successful time-based PM, however, and this relates to understanding the demands of </w:t>
      </w:r>
      <w:r>
        <w:rPr>
          <w:i/>
        </w:rPr>
        <w:t xml:space="preserve">others </w:t>
      </w:r>
      <w:r>
        <w:t>when they give time-based PM instructions. This possibility is considered in the context of the following discussion of PM</w:t>
      </w:r>
      <w:r>
        <w:rPr>
          <w:spacing w:val="4"/>
        </w:rPr>
        <w:t xml:space="preserve"> </w:t>
      </w:r>
      <w:r>
        <w:t>encoding.</w:t>
      </w:r>
    </w:p>
    <w:p w14:paraId="6982A1AF" w14:textId="77777777" w:rsidR="00C75312" w:rsidRDefault="00C75312">
      <w:pPr>
        <w:spacing w:line="480" w:lineRule="auto"/>
        <w:jc w:val="both"/>
        <w:sectPr w:rsidR="00C75312">
          <w:pgSz w:w="11900" w:h="16840"/>
          <w:pgMar w:top="1140" w:right="0" w:bottom="280" w:left="1300" w:header="720" w:footer="0" w:gutter="0"/>
          <w:cols w:space="720"/>
        </w:sectPr>
      </w:pPr>
    </w:p>
    <w:p w14:paraId="5381AE62" w14:textId="77777777" w:rsidR="00C75312" w:rsidRDefault="00BB293A">
      <w:pPr>
        <w:pStyle w:val="Heading1"/>
        <w:spacing w:before="107"/>
      </w:pPr>
      <w:r>
        <w:lastRenderedPageBreak/>
        <w:t>Aspects of PM encoding</w:t>
      </w:r>
    </w:p>
    <w:p w14:paraId="310BD073" w14:textId="77777777" w:rsidR="00C75312" w:rsidRDefault="00C75312">
      <w:pPr>
        <w:pStyle w:val="BodyText"/>
        <w:rPr>
          <w:b/>
        </w:rPr>
      </w:pPr>
    </w:p>
    <w:p w14:paraId="2D48A65E" w14:textId="77777777" w:rsidR="00C75312" w:rsidRDefault="00BB293A">
      <w:pPr>
        <w:pStyle w:val="BodyText"/>
        <w:spacing w:line="480" w:lineRule="auto"/>
        <w:ind w:left="140" w:right="1433" w:firstLine="720"/>
        <w:jc w:val="both"/>
      </w:pPr>
      <w:proofErr w:type="spellStart"/>
      <w:r>
        <w:t>Kvavilashvili</w:t>
      </w:r>
      <w:proofErr w:type="spellEnd"/>
      <w:r>
        <w:t xml:space="preserve"> and Ellis (1996) discussed different types of intentions and how this might affect PM performance. Of particular interest is the level of priority/importance an intention is assigned during its initial encoding. Naturally, subjective importance of an intention</w:t>
      </w:r>
      <w:r>
        <w:rPr>
          <w:spacing w:val="-12"/>
        </w:rPr>
        <w:t xml:space="preserve"> </w:t>
      </w:r>
      <w:r>
        <w:t>will</w:t>
      </w:r>
      <w:r>
        <w:rPr>
          <w:spacing w:val="-15"/>
        </w:rPr>
        <w:t xml:space="preserve"> </w:t>
      </w:r>
      <w:r>
        <w:t>vary</w:t>
      </w:r>
      <w:r>
        <w:rPr>
          <w:spacing w:val="-14"/>
        </w:rPr>
        <w:t xml:space="preserve"> </w:t>
      </w:r>
      <w:r>
        <w:t>in</w:t>
      </w:r>
      <w:r>
        <w:rPr>
          <w:spacing w:val="-12"/>
        </w:rPr>
        <w:t xml:space="preserve"> </w:t>
      </w:r>
      <w:r>
        <w:t>everyday</w:t>
      </w:r>
      <w:r>
        <w:rPr>
          <w:spacing w:val="-15"/>
        </w:rPr>
        <w:t xml:space="preserve"> </w:t>
      </w:r>
      <w:r>
        <w:t>life</w:t>
      </w:r>
      <w:r>
        <w:rPr>
          <w:spacing w:val="-12"/>
        </w:rPr>
        <w:t xml:space="preserve"> </w:t>
      </w:r>
      <w:r>
        <w:t>depending</w:t>
      </w:r>
      <w:r>
        <w:rPr>
          <w:spacing w:val="-15"/>
        </w:rPr>
        <w:t xml:space="preserve"> </w:t>
      </w:r>
      <w:r>
        <w:t>on</w:t>
      </w:r>
      <w:r>
        <w:rPr>
          <w:spacing w:val="-14"/>
        </w:rPr>
        <w:t xml:space="preserve"> </w:t>
      </w:r>
      <w:r>
        <w:t>personal</w:t>
      </w:r>
      <w:r>
        <w:rPr>
          <w:spacing w:val="-11"/>
        </w:rPr>
        <w:t xml:space="preserve"> </w:t>
      </w:r>
      <w:r>
        <w:t>(e.g.,</w:t>
      </w:r>
      <w:r>
        <w:rPr>
          <w:spacing w:val="-13"/>
        </w:rPr>
        <w:t xml:space="preserve"> </w:t>
      </w:r>
      <w:r>
        <w:t>desires,</w:t>
      </w:r>
      <w:r>
        <w:rPr>
          <w:spacing w:val="-13"/>
        </w:rPr>
        <w:t xml:space="preserve"> </w:t>
      </w:r>
      <w:r>
        <w:t>goals,</w:t>
      </w:r>
      <w:r>
        <w:rPr>
          <w:spacing w:val="-13"/>
        </w:rPr>
        <w:t xml:space="preserve"> </w:t>
      </w:r>
      <w:r>
        <w:t>other</w:t>
      </w:r>
      <w:r>
        <w:rPr>
          <w:spacing w:val="-14"/>
        </w:rPr>
        <w:t xml:space="preserve"> </w:t>
      </w:r>
      <w:r>
        <w:t>intentions) and social (e.g., self- or other-generated intentions) factors. However, during laboratory experiments, perceived importance might rely more strongly on how a p</w:t>
      </w:r>
      <w:r>
        <w:t xml:space="preserve">articular task is instructed. Usually a time-based PM instruction of the form, “please try to remember to do press this button in 2-minute intervals”, is given </w:t>
      </w:r>
      <w:r>
        <w:rPr>
          <w:spacing w:val="-3"/>
        </w:rPr>
        <w:t xml:space="preserve">to </w:t>
      </w:r>
      <w:r>
        <w:t xml:space="preserve">the participant by the experimenter. As with many PM instructions given by others in everyday life, this form is somewhat vague and unstructured. Hence, participants are given no benchmark on how important the PM task is </w:t>
      </w:r>
      <w:r>
        <w:rPr>
          <w:i/>
        </w:rPr>
        <w:t>relative</w:t>
      </w:r>
      <w:r>
        <w:rPr>
          <w:i/>
          <w:spacing w:val="-16"/>
        </w:rPr>
        <w:t xml:space="preserve"> </w:t>
      </w:r>
      <w:r>
        <w:rPr>
          <w:i/>
        </w:rPr>
        <w:t>to</w:t>
      </w:r>
      <w:r>
        <w:rPr>
          <w:i/>
          <w:spacing w:val="-14"/>
        </w:rPr>
        <w:t xml:space="preserve"> </w:t>
      </w:r>
      <w:r>
        <w:t>the</w:t>
      </w:r>
      <w:r>
        <w:rPr>
          <w:spacing w:val="-15"/>
        </w:rPr>
        <w:t xml:space="preserve"> </w:t>
      </w:r>
      <w:r>
        <w:t>ongoing</w:t>
      </w:r>
      <w:r>
        <w:rPr>
          <w:spacing w:val="-14"/>
        </w:rPr>
        <w:t xml:space="preserve"> </w:t>
      </w:r>
      <w:r>
        <w:t>task</w:t>
      </w:r>
      <w:r>
        <w:rPr>
          <w:spacing w:val="-14"/>
        </w:rPr>
        <w:t xml:space="preserve"> </w:t>
      </w:r>
      <w:r>
        <w:t>using</w:t>
      </w:r>
      <w:r>
        <w:rPr>
          <w:spacing w:val="-14"/>
        </w:rPr>
        <w:t xml:space="preserve"> </w:t>
      </w:r>
      <w:r>
        <w:t>this</w:t>
      </w:r>
      <w:r>
        <w:rPr>
          <w:spacing w:val="-17"/>
        </w:rPr>
        <w:t xml:space="preserve"> </w:t>
      </w:r>
      <w:proofErr w:type="spellStart"/>
      <w:r>
        <w:t>standardised</w:t>
      </w:r>
      <w:proofErr w:type="spellEnd"/>
      <w:r>
        <w:rPr>
          <w:spacing w:val="-14"/>
        </w:rPr>
        <w:t xml:space="preserve"> </w:t>
      </w:r>
      <w:r>
        <w:t>task</w:t>
      </w:r>
      <w:r>
        <w:rPr>
          <w:spacing w:val="-14"/>
        </w:rPr>
        <w:t xml:space="preserve"> </w:t>
      </w:r>
      <w:r>
        <w:t>instruction.</w:t>
      </w:r>
      <w:r>
        <w:rPr>
          <w:spacing w:val="34"/>
        </w:rPr>
        <w:t xml:space="preserve"> </w:t>
      </w:r>
      <w:r>
        <w:t>In</w:t>
      </w:r>
      <w:r>
        <w:rPr>
          <w:spacing w:val="-14"/>
        </w:rPr>
        <w:t xml:space="preserve"> </w:t>
      </w:r>
      <w:r>
        <w:t>this</w:t>
      </w:r>
      <w:r>
        <w:rPr>
          <w:spacing w:val="-17"/>
        </w:rPr>
        <w:t xml:space="preserve"> </w:t>
      </w:r>
      <w:r>
        <w:t>context,</w:t>
      </w:r>
      <w:r>
        <w:rPr>
          <w:spacing w:val="-12"/>
        </w:rPr>
        <w:t xml:space="preserve"> </w:t>
      </w:r>
      <w:r>
        <w:t>participants need to infer the experimenter’s intention about the relative importance of the tasks they are being set, which may well require</w:t>
      </w:r>
      <w:r>
        <w:rPr>
          <w:spacing w:val="6"/>
        </w:rPr>
        <w:t xml:space="preserve"> </w:t>
      </w:r>
      <w:r>
        <w:t>mindreading.</w:t>
      </w:r>
    </w:p>
    <w:p w14:paraId="57232EC7" w14:textId="77777777" w:rsidR="00C75312" w:rsidRDefault="00BB293A">
      <w:pPr>
        <w:pStyle w:val="BodyText"/>
        <w:spacing w:before="121" w:line="480" w:lineRule="auto"/>
        <w:ind w:left="140" w:right="1432" w:firstLine="720"/>
        <w:jc w:val="both"/>
      </w:pPr>
      <w:r>
        <w:t xml:space="preserve">In a recent review Walter and Meier (2014) underlined the role </w:t>
      </w:r>
      <w:r>
        <w:rPr>
          <w:spacing w:val="-3"/>
        </w:rPr>
        <w:t xml:space="preserve">of </w:t>
      </w:r>
      <w:r>
        <w:t xml:space="preserve">an intention’s importance for PM. They suggested that different types </w:t>
      </w:r>
      <w:r>
        <w:rPr>
          <w:spacing w:val="-3"/>
        </w:rPr>
        <w:t xml:space="preserve">of </w:t>
      </w:r>
      <w:r>
        <w:t xml:space="preserve">importance instruction either increase intrinsic motivation (doing something out of natural interest or other internally motivating factors) or extrinsic motivation (doing something for external incentives/driving factors), which in turn are differently linked </w:t>
      </w:r>
      <w:r>
        <w:rPr>
          <w:spacing w:val="-3"/>
        </w:rPr>
        <w:t xml:space="preserve">to </w:t>
      </w:r>
      <w:r>
        <w:t xml:space="preserve">PM performance. According to their framework, the manipulation of an intention’s </w:t>
      </w:r>
      <w:r>
        <w:rPr>
          <w:i/>
        </w:rPr>
        <w:t xml:space="preserve">social importance </w:t>
      </w:r>
      <w:r>
        <w:t>(i.e., the experimenter informs the participant that an intention is impo</w:t>
      </w:r>
      <w:r>
        <w:t>rtant for someone else) might lead to deeper encoding</w:t>
      </w:r>
      <w:r>
        <w:rPr>
          <w:spacing w:val="-15"/>
        </w:rPr>
        <w:t xml:space="preserve"> </w:t>
      </w:r>
      <w:r>
        <w:t>of</w:t>
      </w:r>
      <w:r>
        <w:rPr>
          <w:spacing w:val="-14"/>
        </w:rPr>
        <w:t xml:space="preserve"> </w:t>
      </w:r>
      <w:r>
        <w:t>the</w:t>
      </w:r>
      <w:r>
        <w:rPr>
          <w:spacing w:val="-21"/>
        </w:rPr>
        <w:t xml:space="preserve"> </w:t>
      </w:r>
      <w:r>
        <w:t>intention</w:t>
      </w:r>
      <w:r>
        <w:rPr>
          <w:spacing w:val="-15"/>
        </w:rPr>
        <w:t xml:space="preserve"> </w:t>
      </w:r>
      <w:r>
        <w:t>and</w:t>
      </w:r>
      <w:r>
        <w:rPr>
          <w:spacing w:val="-19"/>
        </w:rPr>
        <w:t xml:space="preserve"> </w:t>
      </w:r>
      <w:r>
        <w:t>facilitate</w:t>
      </w:r>
      <w:r>
        <w:rPr>
          <w:spacing w:val="-16"/>
        </w:rPr>
        <w:t xml:space="preserve"> </w:t>
      </w:r>
      <w:r>
        <w:t>spontaneous</w:t>
      </w:r>
      <w:r>
        <w:rPr>
          <w:spacing w:val="-18"/>
        </w:rPr>
        <w:t xml:space="preserve"> </w:t>
      </w:r>
      <w:r>
        <w:t>retrieval</w:t>
      </w:r>
      <w:r>
        <w:rPr>
          <w:spacing w:val="-15"/>
        </w:rPr>
        <w:t xml:space="preserve"> </w:t>
      </w:r>
      <w:r>
        <w:t>processes</w:t>
      </w:r>
      <w:r>
        <w:rPr>
          <w:spacing w:val="-18"/>
        </w:rPr>
        <w:t xml:space="preserve"> </w:t>
      </w:r>
      <w:r>
        <w:t>associated</w:t>
      </w:r>
      <w:r>
        <w:rPr>
          <w:spacing w:val="-15"/>
        </w:rPr>
        <w:t xml:space="preserve"> </w:t>
      </w:r>
      <w:r>
        <w:t>with</w:t>
      </w:r>
      <w:r>
        <w:rPr>
          <w:spacing w:val="-14"/>
        </w:rPr>
        <w:t xml:space="preserve"> </w:t>
      </w:r>
      <w:r>
        <w:t xml:space="preserve">intrinsic motivation. In contrast, emphasizing the </w:t>
      </w:r>
      <w:r>
        <w:rPr>
          <w:i/>
        </w:rPr>
        <w:t xml:space="preserve">relative importance </w:t>
      </w:r>
      <w:r>
        <w:t>of the intention (i.e., the importance</w:t>
      </w:r>
      <w:r>
        <w:rPr>
          <w:spacing w:val="-12"/>
        </w:rPr>
        <w:t xml:space="preserve"> </w:t>
      </w:r>
      <w:r>
        <w:t>of</w:t>
      </w:r>
      <w:r>
        <w:rPr>
          <w:spacing w:val="-14"/>
        </w:rPr>
        <w:t xml:space="preserve"> </w:t>
      </w:r>
      <w:r>
        <w:t>one</w:t>
      </w:r>
      <w:r>
        <w:rPr>
          <w:spacing w:val="-15"/>
        </w:rPr>
        <w:t xml:space="preserve"> </w:t>
      </w:r>
      <w:r>
        <w:t>intention</w:t>
      </w:r>
      <w:r>
        <w:rPr>
          <w:spacing w:val="-15"/>
        </w:rPr>
        <w:t xml:space="preserve"> </w:t>
      </w:r>
      <w:r>
        <w:t>relative</w:t>
      </w:r>
      <w:r>
        <w:rPr>
          <w:spacing w:val="-15"/>
        </w:rPr>
        <w:t xml:space="preserve"> </w:t>
      </w:r>
      <w:r>
        <w:t>to</w:t>
      </w:r>
      <w:r>
        <w:rPr>
          <w:spacing w:val="-15"/>
        </w:rPr>
        <w:t xml:space="preserve"> </w:t>
      </w:r>
      <w:r>
        <w:t>another)</w:t>
      </w:r>
      <w:r>
        <w:rPr>
          <w:spacing w:val="-13"/>
        </w:rPr>
        <w:t xml:space="preserve"> </w:t>
      </w:r>
      <w:r>
        <w:t>affects</w:t>
      </w:r>
      <w:r>
        <w:rPr>
          <w:spacing w:val="-13"/>
        </w:rPr>
        <w:t xml:space="preserve"> </w:t>
      </w:r>
      <w:r>
        <w:t>PM</w:t>
      </w:r>
      <w:r>
        <w:rPr>
          <w:spacing w:val="-13"/>
        </w:rPr>
        <w:t xml:space="preserve"> </w:t>
      </w:r>
      <w:r>
        <w:t>performance</w:t>
      </w:r>
      <w:r>
        <w:rPr>
          <w:spacing w:val="-11"/>
        </w:rPr>
        <w:t xml:space="preserve"> </w:t>
      </w:r>
      <w:r>
        <w:t>by</w:t>
      </w:r>
      <w:r>
        <w:rPr>
          <w:spacing w:val="-15"/>
        </w:rPr>
        <w:t xml:space="preserve"> </w:t>
      </w:r>
      <w:r>
        <w:t>increasing</w:t>
      </w:r>
      <w:r>
        <w:rPr>
          <w:spacing w:val="-14"/>
        </w:rPr>
        <w:t xml:space="preserve"> </w:t>
      </w:r>
      <w:r>
        <w:t xml:space="preserve">extrinsic motivation mediated by changes in the allocation </w:t>
      </w:r>
      <w:r>
        <w:rPr>
          <w:spacing w:val="-3"/>
        </w:rPr>
        <w:t xml:space="preserve">of </w:t>
      </w:r>
      <w:r>
        <w:t>attentional resources. For example, when travelling</w:t>
      </w:r>
      <w:r>
        <w:rPr>
          <w:spacing w:val="-5"/>
        </w:rPr>
        <w:t xml:space="preserve"> </w:t>
      </w:r>
      <w:r>
        <w:t>by</w:t>
      </w:r>
      <w:r>
        <w:rPr>
          <w:spacing w:val="-10"/>
        </w:rPr>
        <w:t xml:space="preserve"> </w:t>
      </w:r>
      <w:r>
        <w:t>airplane,</w:t>
      </w:r>
      <w:r>
        <w:rPr>
          <w:spacing w:val="-7"/>
        </w:rPr>
        <w:t xml:space="preserve"> </w:t>
      </w:r>
      <w:r>
        <w:t>the</w:t>
      </w:r>
      <w:r>
        <w:rPr>
          <w:spacing w:val="-5"/>
        </w:rPr>
        <w:t xml:space="preserve"> </w:t>
      </w:r>
      <w:r>
        <w:t>intention</w:t>
      </w:r>
      <w:r>
        <w:rPr>
          <w:spacing w:val="-5"/>
        </w:rPr>
        <w:t xml:space="preserve"> </w:t>
      </w:r>
      <w:r>
        <w:t>not</w:t>
      </w:r>
      <w:r>
        <w:rPr>
          <w:spacing w:val="-9"/>
        </w:rPr>
        <w:t xml:space="preserve"> </w:t>
      </w:r>
      <w:r>
        <w:t>to</w:t>
      </w:r>
      <w:r>
        <w:rPr>
          <w:spacing w:val="-9"/>
        </w:rPr>
        <w:t xml:space="preserve"> </w:t>
      </w:r>
      <w:r>
        <w:t>miss</w:t>
      </w:r>
      <w:r>
        <w:rPr>
          <w:spacing w:val="-7"/>
        </w:rPr>
        <w:t xml:space="preserve"> </w:t>
      </w:r>
      <w:r>
        <w:t>the</w:t>
      </w:r>
      <w:r>
        <w:rPr>
          <w:spacing w:val="-11"/>
        </w:rPr>
        <w:t xml:space="preserve"> </w:t>
      </w:r>
      <w:r>
        <w:t>flight</w:t>
      </w:r>
      <w:r>
        <w:rPr>
          <w:spacing w:val="-8"/>
        </w:rPr>
        <w:t xml:space="preserve"> </w:t>
      </w:r>
      <w:r>
        <w:t>back</w:t>
      </w:r>
      <w:r>
        <w:rPr>
          <w:spacing w:val="-5"/>
        </w:rPr>
        <w:t xml:space="preserve"> </w:t>
      </w:r>
      <w:r>
        <w:t>home</w:t>
      </w:r>
      <w:r>
        <w:rPr>
          <w:spacing w:val="-11"/>
        </w:rPr>
        <w:t xml:space="preserve"> </w:t>
      </w:r>
      <w:r>
        <w:t>is</w:t>
      </w:r>
      <w:r>
        <w:rPr>
          <w:spacing w:val="-7"/>
        </w:rPr>
        <w:t xml:space="preserve"> </w:t>
      </w:r>
      <w:r>
        <w:t>more</w:t>
      </w:r>
      <w:r>
        <w:rPr>
          <w:spacing w:val="-10"/>
        </w:rPr>
        <w:t xml:space="preserve"> </w:t>
      </w:r>
      <w:r>
        <w:t>important</w:t>
      </w:r>
      <w:r>
        <w:rPr>
          <w:spacing w:val="-9"/>
        </w:rPr>
        <w:t xml:space="preserve"> </w:t>
      </w:r>
      <w:r>
        <w:t>t</w:t>
      </w:r>
      <w:r>
        <w:t>han</w:t>
      </w:r>
      <w:r>
        <w:rPr>
          <w:spacing w:val="-10"/>
        </w:rPr>
        <w:t xml:space="preserve"> </w:t>
      </w:r>
      <w:r>
        <w:t>the</w:t>
      </w:r>
    </w:p>
    <w:p w14:paraId="7BC65ED5" w14:textId="77777777" w:rsidR="00C75312" w:rsidRDefault="00C75312">
      <w:pPr>
        <w:spacing w:line="480" w:lineRule="auto"/>
        <w:jc w:val="both"/>
        <w:sectPr w:rsidR="00C75312">
          <w:pgSz w:w="11900" w:h="16840"/>
          <w:pgMar w:top="1140" w:right="0" w:bottom="280" w:left="1300" w:header="720" w:footer="0" w:gutter="0"/>
          <w:cols w:space="720"/>
        </w:sectPr>
      </w:pPr>
    </w:p>
    <w:p w14:paraId="043109B8" w14:textId="77777777" w:rsidR="00C75312" w:rsidRDefault="00BB293A">
      <w:pPr>
        <w:pStyle w:val="BodyText"/>
        <w:spacing w:before="107" w:line="480" w:lineRule="auto"/>
        <w:ind w:left="140" w:right="1433"/>
        <w:jc w:val="both"/>
      </w:pPr>
      <w:r>
        <w:lastRenderedPageBreak/>
        <w:t>intention to buy a souvenir at the airport. Thus, one will make sure to arrive in time at the airport, and to regularly check the information boards for updates on the gate, boarding etc. Only a few studies have studied such importance effects on time-based PM.</w:t>
      </w:r>
    </w:p>
    <w:p w14:paraId="684E8087" w14:textId="77777777" w:rsidR="00C75312" w:rsidRDefault="00BB293A">
      <w:pPr>
        <w:pStyle w:val="BodyText"/>
        <w:spacing w:before="120" w:line="480" w:lineRule="auto"/>
        <w:ind w:left="140" w:right="1431" w:firstLine="720"/>
        <w:jc w:val="both"/>
      </w:pPr>
      <w:r>
        <w:rPr>
          <w:b/>
        </w:rPr>
        <w:t xml:space="preserve">Social importance. </w:t>
      </w:r>
      <w:r>
        <w:t>An early time-based PM study by Cicogna and Nigro (1998) manipulated the social motive associated with the delayed intention. Specifically, participants were either told to put the receiver back on the phone after five minutes either because the experimenter</w:t>
      </w:r>
      <w:r>
        <w:rPr>
          <w:spacing w:val="-4"/>
        </w:rPr>
        <w:t xml:space="preserve"> </w:t>
      </w:r>
      <w:r>
        <w:t>expected</w:t>
      </w:r>
      <w:r>
        <w:rPr>
          <w:spacing w:val="-6"/>
        </w:rPr>
        <w:t xml:space="preserve"> </w:t>
      </w:r>
      <w:r>
        <w:t>a</w:t>
      </w:r>
      <w:r>
        <w:rPr>
          <w:spacing w:val="-6"/>
        </w:rPr>
        <w:t xml:space="preserve"> </w:t>
      </w:r>
      <w:r>
        <w:t>very</w:t>
      </w:r>
      <w:r>
        <w:rPr>
          <w:spacing w:val="-6"/>
        </w:rPr>
        <w:t xml:space="preserve"> </w:t>
      </w:r>
      <w:r>
        <w:t>important</w:t>
      </w:r>
      <w:r>
        <w:rPr>
          <w:spacing w:val="-9"/>
        </w:rPr>
        <w:t xml:space="preserve"> </w:t>
      </w:r>
      <w:r>
        <w:t>phone</w:t>
      </w:r>
      <w:r>
        <w:rPr>
          <w:spacing w:val="-7"/>
        </w:rPr>
        <w:t xml:space="preserve"> </w:t>
      </w:r>
      <w:r>
        <w:t>call</w:t>
      </w:r>
      <w:r>
        <w:rPr>
          <w:spacing w:val="-9"/>
        </w:rPr>
        <w:t xml:space="preserve"> </w:t>
      </w:r>
      <w:r>
        <w:t>(high</w:t>
      </w:r>
      <w:r>
        <w:rPr>
          <w:spacing w:val="-6"/>
        </w:rPr>
        <w:t xml:space="preserve"> </w:t>
      </w:r>
      <w:r>
        <w:t>social</w:t>
      </w:r>
      <w:r>
        <w:rPr>
          <w:spacing w:val="-4"/>
        </w:rPr>
        <w:t xml:space="preserve"> </w:t>
      </w:r>
      <w:r>
        <w:t>importance)</w:t>
      </w:r>
      <w:r>
        <w:rPr>
          <w:spacing w:val="-4"/>
        </w:rPr>
        <w:t xml:space="preserve"> </w:t>
      </w:r>
      <w:r>
        <w:t>or</w:t>
      </w:r>
      <w:r>
        <w:rPr>
          <w:spacing w:val="-8"/>
        </w:rPr>
        <w:t xml:space="preserve"> </w:t>
      </w:r>
      <w:r>
        <w:t>because</w:t>
      </w:r>
      <w:r>
        <w:rPr>
          <w:spacing w:val="-7"/>
        </w:rPr>
        <w:t xml:space="preserve"> </w:t>
      </w:r>
      <w:r>
        <w:t>he</w:t>
      </w:r>
      <w:r>
        <w:rPr>
          <w:spacing w:val="-6"/>
        </w:rPr>
        <w:t xml:space="preserve"> </w:t>
      </w:r>
      <w:r>
        <w:t>was expecting</w:t>
      </w:r>
      <w:r>
        <w:rPr>
          <w:spacing w:val="-11"/>
        </w:rPr>
        <w:t xml:space="preserve"> </w:t>
      </w:r>
      <w:r>
        <w:t>a</w:t>
      </w:r>
      <w:r>
        <w:rPr>
          <w:spacing w:val="-12"/>
        </w:rPr>
        <w:t xml:space="preserve"> </w:t>
      </w:r>
      <w:r>
        <w:t>call</w:t>
      </w:r>
      <w:r>
        <w:rPr>
          <w:spacing w:val="-15"/>
        </w:rPr>
        <w:t xml:space="preserve"> </w:t>
      </w:r>
      <w:r>
        <w:t>from</w:t>
      </w:r>
      <w:r>
        <w:rPr>
          <w:spacing w:val="-14"/>
        </w:rPr>
        <w:t xml:space="preserve"> </w:t>
      </w:r>
      <w:r>
        <w:t>a</w:t>
      </w:r>
      <w:r>
        <w:rPr>
          <w:spacing w:val="-12"/>
        </w:rPr>
        <w:t xml:space="preserve"> </w:t>
      </w:r>
      <w:r>
        <w:t>colleague</w:t>
      </w:r>
      <w:r>
        <w:rPr>
          <w:spacing w:val="-16"/>
        </w:rPr>
        <w:t xml:space="preserve"> </w:t>
      </w:r>
      <w:r>
        <w:t>(low</w:t>
      </w:r>
      <w:r>
        <w:rPr>
          <w:spacing w:val="-15"/>
        </w:rPr>
        <w:t xml:space="preserve"> </w:t>
      </w:r>
      <w:r>
        <w:t>social</w:t>
      </w:r>
      <w:r>
        <w:rPr>
          <w:spacing w:val="-10"/>
        </w:rPr>
        <w:t xml:space="preserve"> </w:t>
      </w:r>
      <w:r>
        <w:t>importance).</w:t>
      </w:r>
      <w:r>
        <w:rPr>
          <w:spacing w:val="37"/>
        </w:rPr>
        <w:t xml:space="preserve"> </w:t>
      </w:r>
      <w:r>
        <w:t>Stressing</w:t>
      </w:r>
      <w:r>
        <w:rPr>
          <w:spacing w:val="-11"/>
        </w:rPr>
        <w:t xml:space="preserve"> </w:t>
      </w:r>
      <w:r>
        <w:t>social</w:t>
      </w:r>
      <w:r>
        <w:rPr>
          <w:spacing w:val="-10"/>
        </w:rPr>
        <w:t xml:space="preserve"> </w:t>
      </w:r>
      <w:r>
        <w:t>importance</w:t>
      </w:r>
      <w:r>
        <w:rPr>
          <w:spacing w:val="-12"/>
        </w:rPr>
        <w:t xml:space="preserve"> </w:t>
      </w:r>
      <w:r>
        <w:t xml:space="preserve">resulted in a higher rate of fulfilling the delayed intention as well as a higher subjective rating of intention importance. This is in line with findings by Penningroth, Scott, and </w:t>
      </w:r>
      <w:proofErr w:type="spellStart"/>
      <w:r>
        <w:t>Freuen</w:t>
      </w:r>
      <w:proofErr w:type="spellEnd"/>
      <w:r>
        <w:t xml:space="preserve"> (2011). In a first experiment, they asked participants to list important or less important past intentions and whether they had been completed. Subsequently intentions were </w:t>
      </w:r>
      <w:proofErr w:type="spellStart"/>
      <w:r>
        <w:t>categorised</w:t>
      </w:r>
      <w:proofErr w:type="spellEnd"/>
      <w:r>
        <w:t xml:space="preserve"> as social or not by two independent raters. Their analyses found that intentions classified as social were important intentions and that t</w:t>
      </w:r>
      <w:r>
        <w:t xml:space="preserve">hose intentions were fulfilled to a significantly greater extent than non-social intentions. In their second experiment Penningroth et al. (2011) found that participants assigned greater importance to social in comparison to non-social PM tasks. Furthermore, </w:t>
      </w:r>
      <w:proofErr w:type="spellStart"/>
      <w:r>
        <w:t>Altgassen</w:t>
      </w:r>
      <w:proofErr w:type="spellEnd"/>
      <w:r>
        <w:t xml:space="preserve">, </w:t>
      </w:r>
      <w:proofErr w:type="spellStart"/>
      <w:r>
        <w:t>Kliegel</w:t>
      </w:r>
      <w:proofErr w:type="spellEnd"/>
      <w:r>
        <w:t xml:space="preserve">, </w:t>
      </w:r>
      <w:proofErr w:type="spellStart"/>
      <w:r>
        <w:t>Brandimonte</w:t>
      </w:r>
      <w:proofErr w:type="spellEnd"/>
      <w:r>
        <w:t>, and Filippello (2010) manipulated social importance in a standard time-based PM task where participants were required to press a specific keyboard in 2-minute intervals while performing a concurrent ongoing task (see cha</w:t>
      </w:r>
      <w:r>
        <w:t xml:space="preserve">pter 1, Table 1, </w:t>
      </w:r>
      <w:proofErr w:type="spellStart"/>
      <w:r>
        <w:t>Altgassen</w:t>
      </w:r>
      <w:proofErr w:type="spellEnd"/>
      <w:r>
        <w:t xml:space="preserve"> et al. 2009). The time-based PM was either instructed as doing a</w:t>
      </w:r>
      <w:r>
        <w:rPr>
          <w:spacing w:val="-12"/>
        </w:rPr>
        <w:t xml:space="preserve"> </w:t>
      </w:r>
      <w:proofErr w:type="spellStart"/>
      <w:r>
        <w:t>favour</w:t>
      </w:r>
      <w:proofErr w:type="spellEnd"/>
      <w:r>
        <w:rPr>
          <w:spacing w:val="-9"/>
        </w:rPr>
        <w:t xml:space="preserve"> </w:t>
      </w:r>
      <w:r>
        <w:t>to</w:t>
      </w:r>
      <w:r>
        <w:rPr>
          <w:spacing w:val="-10"/>
        </w:rPr>
        <w:t xml:space="preserve"> </w:t>
      </w:r>
      <w:r>
        <w:t>the</w:t>
      </w:r>
      <w:r>
        <w:rPr>
          <w:spacing w:val="-11"/>
        </w:rPr>
        <w:t xml:space="preserve"> </w:t>
      </w:r>
      <w:r>
        <w:t>experimenter</w:t>
      </w:r>
      <w:r>
        <w:rPr>
          <w:spacing w:val="-9"/>
        </w:rPr>
        <w:t xml:space="preserve"> </w:t>
      </w:r>
      <w:r>
        <w:t>(high</w:t>
      </w:r>
      <w:r>
        <w:rPr>
          <w:spacing w:val="-14"/>
        </w:rPr>
        <w:t xml:space="preserve"> </w:t>
      </w:r>
      <w:r>
        <w:t>social</w:t>
      </w:r>
      <w:r>
        <w:rPr>
          <w:spacing w:val="-10"/>
        </w:rPr>
        <w:t xml:space="preserve"> </w:t>
      </w:r>
      <w:r>
        <w:t>importance)</w:t>
      </w:r>
      <w:r>
        <w:rPr>
          <w:spacing w:val="-9"/>
        </w:rPr>
        <w:t xml:space="preserve"> </w:t>
      </w:r>
      <w:r>
        <w:t>or</w:t>
      </w:r>
      <w:r>
        <w:rPr>
          <w:spacing w:val="-8"/>
        </w:rPr>
        <w:t xml:space="preserve"> </w:t>
      </w:r>
      <w:r>
        <w:t>without</w:t>
      </w:r>
      <w:r>
        <w:rPr>
          <w:spacing w:val="-10"/>
        </w:rPr>
        <w:t xml:space="preserve"> </w:t>
      </w:r>
      <w:r>
        <w:t>additional</w:t>
      </w:r>
      <w:r>
        <w:rPr>
          <w:spacing w:val="-9"/>
        </w:rPr>
        <w:t xml:space="preserve"> </w:t>
      </w:r>
      <w:r>
        <w:t>social</w:t>
      </w:r>
      <w:r>
        <w:rPr>
          <w:spacing w:val="-10"/>
        </w:rPr>
        <w:t xml:space="preserve"> </w:t>
      </w:r>
      <w:r>
        <w:t>context.</w:t>
      </w:r>
      <w:r>
        <w:rPr>
          <w:spacing w:val="43"/>
        </w:rPr>
        <w:t xml:space="preserve"> </w:t>
      </w:r>
      <w:r>
        <w:t>The social importance instruction had a beneficial effect on time-based PM in older adults compared to performance under standard task instructions. Younger adults performed similarly under both</w:t>
      </w:r>
      <w:r>
        <w:rPr>
          <w:spacing w:val="-46"/>
        </w:rPr>
        <w:t xml:space="preserve"> </w:t>
      </w:r>
      <w:r>
        <w:t>types of instructions. However, the within-group performance increase in older adults did not lead to equivalent performance compared t</w:t>
      </w:r>
      <w:r>
        <w:t>o the younger</w:t>
      </w:r>
      <w:r>
        <w:rPr>
          <w:spacing w:val="-7"/>
        </w:rPr>
        <w:t xml:space="preserve"> </w:t>
      </w:r>
      <w:r>
        <w:t>adults.</w:t>
      </w:r>
    </w:p>
    <w:p w14:paraId="26A5AD16" w14:textId="77777777" w:rsidR="00C75312" w:rsidRDefault="00C75312">
      <w:pPr>
        <w:spacing w:line="480" w:lineRule="auto"/>
        <w:jc w:val="both"/>
        <w:sectPr w:rsidR="00C75312">
          <w:pgSz w:w="11900" w:h="16840"/>
          <w:pgMar w:top="1140" w:right="0" w:bottom="280" w:left="1300" w:header="720" w:footer="0" w:gutter="0"/>
          <w:cols w:space="720"/>
        </w:sectPr>
      </w:pPr>
    </w:p>
    <w:p w14:paraId="3CEDEA00" w14:textId="77777777" w:rsidR="00C75312" w:rsidRDefault="00BB293A">
      <w:pPr>
        <w:pStyle w:val="BodyText"/>
        <w:spacing w:before="107" w:line="480" w:lineRule="auto"/>
        <w:ind w:left="140" w:right="1431" w:firstLine="720"/>
        <w:jc w:val="both"/>
      </w:pPr>
      <w:r>
        <w:rPr>
          <w:b/>
        </w:rPr>
        <w:lastRenderedPageBreak/>
        <w:t>Relative</w:t>
      </w:r>
      <w:r>
        <w:rPr>
          <w:b/>
          <w:spacing w:val="-17"/>
        </w:rPr>
        <w:t xml:space="preserve"> </w:t>
      </w:r>
      <w:r>
        <w:rPr>
          <w:b/>
        </w:rPr>
        <w:t>importance.</w:t>
      </w:r>
      <w:r>
        <w:rPr>
          <w:b/>
          <w:spacing w:val="27"/>
        </w:rPr>
        <w:t xml:space="preserve"> </w:t>
      </w:r>
      <w:r>
        <w:t>For</w:t>
      </w:r>
      <w:r>
        <w:rPr>
          <w:spacing w:val="-19"/>
        </w:rPr>
        <w:t xml:space="preserve"> </w:t>
      </w:r>
      <w:r>
        <w:t>time-based</w:t>
      </w:r>
      <w:r>
        <w:rPr>
          <w:spacing w:val="-16"/>
        </w:rPr>
        <w:t xml:space="preserve"> </w:t>
      </w:r>
      <w:r>
        <w:t>PM,</w:t>
      </w:r>
      <w:r>
        <w:rPr>
          <w:spacing w:val="-13"/>
        </w:rPr>
        <w:t xml:space="preserve"> </w:t>
      </w:r>
      <w:r>
        <w:t>only</w:t>
      </w:r>
      <w:r>
        <w:rPr>
          <w:spacing w:val="-15"/>
        </w:rPr>
        <w:t xml:space="preserve"> </w:t>
      </w:r>
      <w:r>
        <w:t>one</w:t>
      </w:r>
      <w:r>
        <w:rPr>
          <w:spacing w:val="-17"/>
        </w:rPr>
        <w:t xml:space="preserve"> </w:t>
      </w:r>
      <w:r>
        <w:t>study</w:t>
      </w:r>
      <w:r>
        <w:rPr>
          <w:spacing w:val="-15"/>
        </w:rPr>
        <w:t xml:space="preserve"> </w:t>
      </w:r>
      <w:r>
        <w:t>has</w:t>
      </w:r>
      <w:r>
        <w:rPr>
          <w:spacing w:val="-18"/>
        </w:rPr>
        <w:t xml:space="preserve"> </w:t>
      </w:r>
      <w:r>
        <w:t>so</w:t>
      </w:r>
      <w:r>
        <w:rPr>
          <w:spacing w:val="-15"/>
        </w:rPr>
        <w:t xml:space="preserve"> </w:t>
      </w:r>
      <w:r>
        <w:t>far</w:t>
      </w:r>
      <w:r>
        <w:rPr>
          <w:spacing w:val="-15"/>
        </w:rPr>
        <w:t xml:space="preserve"> </w:t>
      </w:r>
      <w:r>
        <w:t>explicitly</w:t>
      </w:r>
      <w:r>
        <w:rPr>
          <w:spacing w:val="-15"/>
        </w:rPr>
        <w:t xml:space="preserve"> </w:t>
      </w:r>
      <w:r>
        <w:t xml:space="preserve">explored the effect on task performance </w:t>
      </w:r>
      <w:r>
        <w:rPr>
          <w:spacing w:val="-3"/>
        </w:rPr>
        <w:t xml:space="preserve">of </w:t>
      </w:r>
      <w:r>
        <w:t xml:space="preserve">stressing the relative importance </w:t>
      </w:r>
      <w:r>
        <w:rPr>
          <w:spacing w:val="-3"/>
        </w:rPr>
        <w:t xml:space="preserve">of </w:t>
      </w:r>
      <w:r>
        <w:t>an intention (</w:t>
      </w:r>
      <w:proofErr w:type="spellStart"/>
      <w:r>
        <w:t>Kliegel</w:t>
      </w:r>
      <w:proofErr w:type="spellEnd"/>
      <w:r>
        <w:t>, Martin, McDaniel, &amp; Einstein, 2001). Participants had to remember to press a pre-specified key in 2-minute intervals (time-based PM task) while completing a word rating task (ongoing task). Half of the participants were told that the time-based PM task was more important than the ongoing task (PM high importance condition) and half were t</w:t>
      </w:r>
      <w:r>
        <w:t>old the opposite, namely that the ongoing task was more important than the time-based PM task (PM low importance condition).</w:t>
      </w:r>
      <w:r>
        <w:rPr>
          <w:spacing w:val="38"/>
        </w:rPr>
        <w:t xml:space="preserve"> </w:t>
      </w:r>
      <w:r>
        <w:t>Results</w:t>
      </w:r>
      <w:r>
        <w:rPr>
          <w:spacing w:val="-12"/>
        </w:rPr>
        <w:t xml:space="preserve"> </w:t>
      </w:r>
      <w:r>
        <w:t>revealed</w:t>
      </w:r>
      <w:r>
        <w:rPr>
          <w:spacing w:val="-10"/>
        </w:rPr>
        <w:t xml:space="preserve"> </w:t>
      </w:r>
      <w:r>
        <w:t>that</w:t>
      </w:r>
      <w:r>
        <w:rPr>
          <w:spacing w:val="-9"/>
        </w:rPr>
        <w:t xml:space="preserve"> </w:t>
      </w:r>
      <w:r>
        <w:t>the</w:t>
      </w:r>
      <w:r>
        <w:rPr>
          <w:spacing w:val="-15"/>
        </w:rPr>
        <w:t xml:space="preserve"> </w:t>
      </w:r>
      <w:r>
        <w:t>PM</w:t>
      </w:r>
      <w:r>
        <w:rPr>
          <w:spacing w:val="-13"/>
        </w:rPr>
        <w:t xml:space="preserve"> </w:t>
      </w:r>
      <w:r>
        <w:t>high-importance</w:t>
      </w:r>
      <w:r>
        <w:rPr>
          <w:spacing w:val="-11"/>
        </w:rPr>
        <w:t xml:space="preserve"> </w:t>
      </w:r>
      <w:r>
        <w:t>condition</w:t>
      </w:r>
      <w:r>
        <w:rPr>
          <w:spacing w:val="-10"/>
        </w:rPr>
        <w:t xml:space="preserve"> </w:t>
      </w:r>
      <w:r>
        <w:t>positively</w:t>
      </w:r>
      <w:r>
        <w:rPr>
          <w:spacing w:val="-14"/>
        </w:rPr>
        <w:t xml:space="preserve"> </w:t>
      </w:r>
      <w:r>
        <w:t>affected</w:t>
      </w:r>
      <w:r>
        <w:rPr>
          <w:spacing w:val="-10"/>
        </w:rPr>
        <w:t xml:space="preserve"> </w:t>
      </w:r>
      <w:r>
        <w:t>the</w:t>
      </w:r>
      <w:r>
        <w:rPr>
          <w:spacing w:val="-15"/>
        </w:rPr>
        <w:t xml:space="preserve"> </w:t>
      </w:r>
      <w:r>
        <w:t>PM hit rate (</w:t>
      </w:r>
      <w:r>
        <w:rPr>
          <w:i/>
        </w:rPr>
        <w:t xml:space="preserve">d </w:t>
      </w:r>
      <w:r>
        <w:t>= 1.14), as well as the timeliness of the PM responses (</w:t>
      </w:r>
      <w:r>
        <w:rPr>
          <w:i/>
        </w:rPr>
        <w:t xml:space="preserve">d </w:t>
      </w:r>
      <w:r>
        <w:t xml:space="preserve">= 1.11). Furthermore, participants monitored the time more frequently when PM was </w:t>
      </w:r>
      <w:proofErr w:type="spellStart"/>
      <w:r>
        <w:t>emphasised</w:t>
      </w:r>
      <w:proofErr w:type="spellEnd"/>
      <w:r>
        <w:t xml:space="preserve"> (</w:t>
      </w:r>
      <w:r>
        <w:rPr>
          <w:i/>
        </w:rPr>
        <w:t xml:space="preserve">d </w:t>
      </w:r>
      <w:r>
        <w:t xml:space="preserve">= 0.75) indicating a strategic allocation of attentional resources in </w:t>
      </w:r>
      <w:proofErr w:type="spellStart"/>
      <w:r>
        <w:t>favour</w:t>
      </w:r>
      <w:proofErr w:type="spellEnd"/>
      <w:r>
        <w:t xml:space="preserve"> of PM. Interestingly, the costs of high PM importance on the ongoing task were restricted to trials prior and after a PM target</w:t>
      </w:r>
      <w:r>
        <w:rPr>
          <w:spacing w:val="-9"/>
        </w:rPr>
        <w:t xml:space="preserve"> </w:t>
      </w:r>
      <w:r>
        <w:t>time,</w:t>
      </w:r>
      <w:r>
        <w:rPr>
          <w:spacing w:val="-7"/>
        </w:rPr>
        <w:t xml:space="preserve"> </w:t>
      </w:r>
      <w:r>
        <w:t>instead</w:t>
      </w:r>
      <w:r>
        <w:rPr>
          <w:spacing w:val="-9"/>
        </w:rPr>
        <w:t xml:space="preserve"> </w:t>
      </w:r>
      <w:r>
        <w:t>of</w:t>
      </w:r>
      <w:r>
        <w:rPr>
          <w:spacing w:val="-8"/>
        </w:rPr>
        <w:t xml:space="preserve"> </w:t>
      </w:r>
      <w:r>
        <w:t>having</w:t>
      </w:r>
      <w:r>
        <w:rPr>
          <w:spacing w:val="-9"/>
        </w:rPr>
        <w:t xml:space="preserve"> </w:t>
      </w:r>
      <w:r>
        <w:t>an</w:t>
      </w:r>
      <w:r>
        <w:rPr>
          <w:spacing w:val="-9"/>
        </w:rPr>
        <w:t xml:space="preserve"> </w:t>
      </w:r>
      <w:r>
        <w:t>overall</w:t>
      </w:r>
      <w:r>
        <w:rPr>
          <w:spacing w:val="-9"/>
        </w:rPr>
        <w:t xml:space="preserve"> </w:t>
      </w:r>
      <w:r>
        <w:t>effect</w:t>
      </w:r>
      <w:r>
        <w:rPr>
          <w:spacing w:val="-8"/>
        </w:rPr>
        <w:t xml:space="preserve"> </w:t>
      </w:r>
      <w:r>
        <w:t>on</w:t>
      </w:r>
      <w:r>
        <w:rPr>
          <w:spacing w:val="-10"/>
        </w:rPr>
        <w:t xml:space="preserve"> </w:t>
      </w:r>
      <w:r>
        <w:t>word</w:t>
      </w:r>
      <w:r>
        <w:rPr>
          <w:spacing w:val="-9"/>
        </w:rPr>
        <w:t xml:space="preserve"> </w:t>
      </w:r>
      <w:r>
        <w:t>rating</w:t>
      </w:r>
      <w:r>
        <w:rPr>
          <w:spacing w:val="-10"/>
        </w:rPr>
        <w:t xml:space="preserve"> </w:t>
      </w:r>
      <w:r>
        <w:t>performance.</w:t>
      </w:r>
      <w:r>
        <w:rPr>
          <w:spacing w:val="40"/>
        </w:rPr>
        <w:t xml:space="preserve"> </w:t>
      </w:r>
      <w:r>
        <w:t>This</w:t>
      </w:r>
      <w:r>
        <w:rPr>
          <w:spacing w:val="-11"/>
        </w:rPr>
        <w:t xml:space="preserve"> </w:t>
      </w:r>
      <w:r>
        <w:t>is</w:t>
      </w:r>
      <w:r>
        <w:rPr>
          <w:spacing w:val="-12"/>
        </w:rPr>
        <w:t xml:space="preserve"> </w:t>
      </w:r>
      <w:r>
        <w:t>in</w:t>
      </w:r>
      <w:r>
        <w:rPr>
          <w:spacing w:val="-9"/>
        </w:rPr>
        <w:t xml:space="preserve"> </w:t>
      </w:r>
      <w:r>
        <w:t>line</w:t>
      </w:r>
      <w:r>
        <w:rPr>
          <w:spacing w:val="-10"/>
        </w:rPr>
        <w:t xml:space="preserve"> </w:t>
      </w:r>
      <w:r>
        <w:t>with research on interference effects of nontemporal</w:t>
      </w:r>
      <w:r>
        <w:t xml:space="preserve"> tasks on concurrent temporal tasks. For instance in a dual-task study by Brown (1997) the nontemporal task (which would be the equivalent of the ongoing task in a prospective memory paradigm) negatively affected time perception performance but not vice versa due </w:t>
      </w:r>
      <w:r>
        <w:rPr>
          <w:spacing w:val="-3"/>
        </w:rPr>
        <w:t xml:space="preserve">to </w:t>
      </w:r>
      <w:r>
        <w:t>the two tasks competing for attentional resources. This effect however seems reversible as studies that explicitly instructed to attend more</w:t>
      </w:r>
      <w:r>
        <w:rPr>
          <w:spacing w:val="-6"/>
        </w:rPr>
        <w:t xml:space="preserve"> </w:t>
      </w:r>
      <w:r>
        <w:t>to</w:t>
      </w:r>
      <w:r>
        <w:rPr>
          <w:spacing w:val="-4"/>
        </w:rPr>
        <w:t xml:space="preserve"> </w:t>
      </w:r>
      <w:r>
        <w:t>the</w:t>
      </w:r>
      <w:r>
        <w:rPr>
          <w:spacing w:val="-5"/>
        </w:rPr>
        <w:t xml:space="preserve"> </w:t>
      </w:r>
      <w:r>
        <w:t>timing</w:t>
      </w:r>
      <w:r>
        <w:rPr>
          <w:spacing w:val="-4"/>
        </w:rPr>
        <w:t xml:space="preserve"> </w:t>
      </w:r>
      <w:r>
        <w:t>task</w:t>
      </w:r>
      <w:r>
        <w:rPr>
          <w:spacing w:val="-4"/>
        </w:rPr>
        <w:t xml:space="preserve"> </w:t>
      </w:r>
      <w:r>
        <w:t>(e.g.,</w:t>
      </w:r>
      <w:r>
        <w:rPr>
          <w:spacing w:val="-1"/>
        </w:rPr>
        <w:t xml:space="preserve"> </w:t>
      </w:r>
      <w:r>
        <w:t>75%</w:t>
      </w:r>
      <w:r>
        <w:rPr>
          <w:spacing w:val="-3"/>
        </w:rPr>
        <w:t xml:space="preserve"> vs.</w:t>
      </w:r>
      <w:r>
        <w:rPr>
          <w:spacing w:val="-1"/>
        </w:rPr>
        <w:t xml:space="preserve"> </w:t>
      </w:r>
      <w:r>
        <w:t>25%)</w:t>
      </w:r>
      <w:r>
        <w:rPr>
          <w:spacing w:val="-2"/>
        </w:rPr>
        <w:t xml:space="preserve"> </w:t>
      </w:r>
      <w:r>
        <w:t>showed</w:t>
      </w:r>
      <w:r>
        <w:rPr>
          <w:spacing w:val="-4"/>
        </w:rPr>
        <w:t xml:space="preserve"> </w:t>
      </w:r>
      <w:r>
        <w:t>an</w:t>
      </w:r>
      <w:r>
        <w:rPr>
          <w:spacing w:val="-4"/>
        </w:rPr>
        <w:t xml:space="preserve"> </w:t>
      </w:r>
      <w:r>
        <w:t>improved</w:t>
      </w:r>
      <w:r>
        <w:rPr>
          <w:spacing w:val="-4"/>
        </w:rPr>
        <w:t xml:space="preserve"> </w:t>
      </w:r>
      <w:r>
        <w:t>accuracy</w:t>
      </w:r>
      <w:r>
        <w:rPr>
          <w:spacing w:val="-4"/>
        </w:rPr>
        <w:t xml:space="preserve"> </w:t>
      </w:r>
      <w:r>
        <w:t>in</w:t>
      </w:r>
      <w:r>
        <w:rPr>
          <w:spacing w:val="-5"/>
        </w:rPr>
        <w:t xml:space="preserve"> </w:t>
      </w:r>
      <w:r>
        <w:t>time</w:t>
      </w:r>
      <w:r>
        <w:rPr>
          <w:spacing w:val="-5"/>
        </w:rPr>
        <w:t xml:space="preserve"> </w:t>
      </w:r>
      <w:r>
        <w:t xml:space="preserve">judgements (Macar, Grondin, &amp; Casini, 1994). Other studies into the effects </w:t>
      </w:r>
      <w:r>
        <w:rPr>
          <w:spacing w:val="-3"/>
        </w:rPr>
        <w:t xml:space="preserve">of </w:t>
      </w:r>
      <w:r>
        <w:t>relative importance on event-based PM (Loft, Kearney, &amp; Remington, 2008; R. E. Smith &amp; Bayen, 2004) further support</w:t>
      </w:r>
      <w:r>
        <w:rPr>
          <w:spacing w:val="-4"/>
        </w:rPr>
        <w:t xml:space="preserve"> </w:t>
      </w:r>
      <w:r>
        <w:t>beneficial</w:t>
      </w:r>
      <w:r>
        <w:rPr>
          <w:spacing w:val="-9"/>
        </w:rPr>
        <w:t xml:space="preserve"> </w:t>
      </w:r>
      <w:r>
        <w:t>effects</w:t>
      </w:r>
      <w:r>
        <w:rPr>
          <w:spacing w:val="-12"/>
        </w:rPr>
        <w:t xml:space="preserve"> </w:t>
      </w:r>
      <w:r>
        <w:t>of</w:t>
      </w:r>
      <w:r>
        <w:rPr>
          <w:spacing w:val="-7"/>
        </w:rPr>
        <w:t xml:space="preserve"> </w:t>
      </w:r>
      <w:r>
        <w:t>emphasizing</w:t>
      </w:r>
      <w:r>
        <w:rPr>
          <w:spacing w:val="-5"/>
        </w:rPr>
        <w:t xml:space="preserve"> </w:t>
      </w:r>
      <w:r>
        <w:t>the</w:t>
      </w:r>
      <w:r>
        <w:rPr>
          <w:spacing w:val="-11"/>
        </w:rPr>
        <w:t xml:space="preserve"> </w:t>
      </w:r>
      <w:r>
        <w:t>PM</w:t>
      </w:r>
      <w:r>
        <w:rPr>
          <w:spacing w:val="-11"/>
        </w:rPr>
        <w:t xml:space="preserve"> </w:t>
      </w:r>
      <w:r>
        <w:t>over</w:t>
      </w:r>
      <w:r>
        <w:rPr>
          <w:spacing w:val="-3"/>
        </w:rPr>
        <w:t xml:space="preserve"> </w:t>
      </w:r>
      <w:r>
        <w:t>the</w:t>
      </w:r>
      <w:r>
        <w:rPr>
          <w:spacing w:val="-11"/>
        </w:rPr>
        <w:t xml:space="preserve"> </w:t>
      </w:r>
      <w:r>
        <w:t>ongoing</w:t>
      </w:r>
      <w:r>
        <w:rPr>
          <w:spacing w:val="-9"/>
        </w:rPr>
        <w:t xml:space="preserve"> </w:t>
      </w:r>
      <w:r>
        <w:t>task.</w:t>
      </w:r>
      <w:r>
        <w:rPr>
          <w:spacing w:val="44"/>
        </w:rPr>
        <w:t xml:space="preserve"> </w:t>
      </w:r>
      <w:r>
        <w:t>However,</w:t>
      </w:r>
      <w:r>
        <w:rPr>
          <w:spacing w:val="-6"/>
        </w:rPr>
        <w:t xml:space="preserve"> </w:t>
      </w:r>
      <w:r>
        <w:t>in</w:t>
      </w:r>
      <w:r>
        <w:rPr>
          <w:spacing w:val="-10"/>
        </w:rPr>
        <w:t xml:space="preserve"> </w:t>
      </w:r>
      <w:r>
        <w:t>line</w:t>
      </w:r>
      <w:r>
        <w:rPr>
          <w:spacing w:val="-11"/>
        </w:rPr>
        <w:t xml:space="preserve"> </w:t>
      </w:r>
      <w:r>
        <w:t xml:space="preserve">with the </w:t>
      </w:r>
      <w:proofErr w:type="spellStart"/>
      <w:r>
        <w:t>multiprocess</w:t>
      </w:r>
      <w:proofErr w:type="spellEnd"/>
      <w:r>
        <w:t xml:space="preserve"> framework (McDaniel &amp; Einstein, 2000), the effects of importance instructions were dependent on ongoing task demands and characteristics of the PM cue (saliency, focality) suggesting that if PM is mediated by autom</w:t>
      </w:r>
      <w:r>
        <w:t>atic processes, the importance instructions should not make a difference (</w:t>
      </w:r>
      <w:proofErr w:type="spellStart"/>
      <w:r>
        <w:t>Kliegel</w:t>
      </w:r>
      <w:proofErr w:type="spellEnd"/>
      <w:r>
        <w:t>, Martin, McDaniel, &amp; Einstein,</w:t>
      </w:r>
      <w:r>
        <w:rPr>
          <w:spacing w:val="-10"/>
        </w:rPr>
        <w:t xml:space="preserve"> </w:t>
      </w:r>
      <w:r>
        <w:t>2004).</w:t>
      </w:r>
    </w:p>
    <w:p w14:paraId="0E36E702" w14:textId="77777777" w:rsidR="00C75312" w:rsidRDefault="00C75312">
      <w:pPr>
        <w:spacing w:line="480" w:lineRule="auto"/>
        <w:jc w:val="both"/>
        <w:sectPr w:rsidR="00C75312">
          <w:pgSz w:w="11900" w:h="16840"/>
          <w:pgMar w:top="1140" w:right="0" w:bottom="280" w:left="1300" w:header="720" w:footer="0" w:gutter="0"/>
          <w:cols w:space="720"/>
        </w:sectPr>
      </w:pPr>
    </w:p>
    <w:p w14:paraId="6B48E581" w14:textId="77777777" w:rsidR="00C75312" w:rsidRDefault="00BB293A">
      <w:pPr>
        <w:pStyle w:val="BodyText"/>
        <w:spacing w:before="107" w:line="480" w:lineRule="auto"/>
        <w:ind w:left="140" w:right="1431" w:firstLine="720"/>
        <w:jc w:val="both"/>
      </w:pPr>
      <w:r>
        <w:lastRenderedPageBreak/>
        <w:t>In sum, although mediated through different processes both relative and social importance instructions seem to be promising means to enhance time-based PM. This opportunity is particularly relevant for people with developmental or neuropsychological disorders that involve diminished time-based PM ability, such as ASD.</w:t>
      </w:r>
    </w:p>
    <w:p w14:paraId="66998564" w14:textId="77777777" w:rsidR="00C75312" w:rsidRDefault="00BB293A">
      <w:pPr>
        <w:pStyle w:val="Heading1"/>
        <w:spacing w:before="120"/>
        <w:jc w:val="both"/>
      </w:pPr>
      <w:r>
        <w:t>Time-based PM impairments in ASD</w:t>
      </w:r>
    </w:p>
    <w:p w14:paraId="2A9F2D2A" w14:textId="77777777" w:rsidR="00C75312" w:rsidRDefault="00C75312">
      <w:pPr>
        <w:pStyle w:val="BodyText"/>
        <w:rPr>
          <w:b/>
        </w:rPr>
      </w:pPr>
    </w:p>
    <w:p w14:paraId="379463F3" w14:textId="77777777" w:rsidR="00C75312" w:rsidRDefault="00BB293A">
      <w:pPr>
        <w:pStyle w:val="BodyText"/>
        <w:spacing w:line="480" w:lineRule="auto"/>
        <w:ind w:left="140" w:right="1434" w:firstLine="720"/>
        <w:jc w:val="both"/>
      </w:pPr>
      <w:r>
        <w:t xml:space="preserve">Research has established time-based PM problems in ASD (see Chapter 1) and these problems arguably contribute to reduced everyday functioning and quality of life (van </w:t>
      </w:r>
      <w:proofErr w:type="spellStart"/>
      <w:r>
        <w:t>Heijst</w:t>
      </w:r>
      <w:proofErr w:type="spellEnd"/>
      <w:r>
        <w:t xml:space="preserve"> &amp; Geurts, 2015). However, despite agreement about the existence of time-based PM difficulties in ASD, the underlying mechanism(s) for this impairment still remain(s) unclear. Despite problems with executive functions in ASD (Hill, 2004; Kenworthy et al., 2008), only inconsistent associations have been found between time-based PM and measures of inhibition and cognitive flexibility (Henry et al., 2014; Williams et al., 2013), as well as no association with working memory (Williams et al., 2014).</w:t>
      </w:r>
    </w:p>
    <w:p w14:paraId="52CB23E3" w14:textId="77777777" w:rsidR="00C75312" w:rsidRDefault="00BB293A">
      <w:pPr>
        <w:pStyle w:val="BodyText"/>
        <w:spacing w:before="120" w:line="480" w:lineRule="auto"/>
        <w:ind w:left="140" w:right="1433" w:firstLine="720"/>
        <w:jc w:val="both"/>
      </w:pPr>
      <w:r>
        <w:t>Furthermore, an interesting correlation between mindreading and time-based PM has been reported (Williams et al., 2013). The Triple I hypothesis (White, 2013) proposes that mindreading impairments in ASD result in problems to infer implicit information. Therefore, tasks that are unstructured, open-ended, or that require the inference of the experimenter’s implicit expectations will result in difficulties for individuals with ASD. White (2013) have made</w:t>
      </w:r>
      <w:r>
        <w:rPr>
          <w:spacing w:val="-16"/>
        </w:rPr>
        <w:t xml:space="preserve"> </w:t>
      </w:r>
      <w:r>
        <w:t>this</w:t>
      </w:r>
      <w:r>
        <w:rPr>
          <w:spacing w:val="-17"/>
        </w:rPr>
        <w:t xml:space="preserve"> </w:t>
      </w:r>
      <w:r>
        <w:t>case</w:t>
      </w:r>
      <w:r>
        <w:rPr>
          <w:spacing w:val="-16"/>
        </w:rPr>
        <w:t xml:space="preserve"> </w:t>
      </w:r>
      <w:r>
        <w:t>specifically</w:t>
      </w:r>
      <w:r>
        <w:rPr>
          <w:spacing w:val="-14"/>
        </w:rPr>
        <w:t xml:space="preserve"> </w:t>
      </w:r>
      <w:r>
        <w:t>to</w:t>
      </w:r>
      <w:r>
        <w:rPr>
          <w:spacing w:val="-14"/>
        </w:rPr>
        <w:t xml:space="preserve"> </w:t>
      </w:r>
      <w:r>
        <w:t>explain</w:t>
      </w:r>
      <w:r>
        <w:rPr>
          <w:spacing w:val="-15"/>
        </w:rPr>
        <w:t xml:space="preserve"> </w:t>
      </w:r>
      <w:r>
        <w:t>the</w:t>
      </w:r>
      <w:r>
        <w:rPr>
          <w:spacing w:val="-15"/>
        </w:rPr>
        <w:t xml:space="preserve"> </w:t>
      </w:r>
      <w:r>
        <w:t>variability</w:t>
      </w:r>
      <w:r>
        <w:rPr>
          <w:spacing w:val="-15"/>
        </w:rPr>
        <w:t xml:space="preserve"> </w:t>
      </w:r>
      <w:r>
        <w:t>of</w:t>
      </w:r>
      <w:r>
        <w:rPr>
          <w:spacing w:val="-13"/>
        </w:rPr>
        <w:t xml:space="preserve"> </w:t>
      </w:r>
      <w:r>
        <w:t>performance</w:t>
      </w:r>
      <w:r>
        <w:rPr>
          <w:spacing w:val="-16"/>
        </w:rPr>
        <w:t xml:space="preserve"> </w:t>
      </w:r>
      <w:r>
        <w:t>on</w:t>
      </w:r>
      <w:r>
        <w:rPr>
          <w:spacing w:val="-14"/>
        </w:rPr>
        <w:t xml:space="preserve"> </w:t>
      </w:r>
      <w:r>
        <w:t>executive</w:t>
      </w:r>
      <w:r>
        <w:rPr>
          <w:spacing w:val="-15"/>
        </w:rPr>
        <w:t xml:space="preserve"> </w:t>
      </w:r>
      <w:r>
        <w:t>function</w:t>
      </w:r>
      <w:r>
        <w:rPr>
          <w:spacing w:val="-15"/>
        </w:rPr>
        <w:t xml:space="preserve"> </w:t>
      </w:r>
      <w:r>
        <w:t xml:space="preserve">tasks in ASD. However, the Triple I concept does equally apply to time-based PM tasks where participants are not explicitly told about the importance of PM task. Mindreading problems in ASD might result in difficulties to form a clear representation of the experimenter’s implicit expectation that carrying out the time-based PM </w:t>
      </w:r>
      <w:r>
        <w:rPr>
          <w:spacing w:val="-3"/>
        </w:rPr>
        <w:t xml:space="preserve">is </w:t>
      </w:r>
      <w:r>
        <w:t xml:space="preserve">a crucial part of completing the task, and thus result in time-based PM impairments in ASD. </w:t>
      </w:r>
      <w:r>
        <w:t>Williams et al. (2013) provide tentative evidence for this</w:t>
      </w:r>
      <w:r>
        <w:rPr>
          <w:spacing w:val="4"/>
        </w:rPr>
        <w:t xml:space="preserve"> </w:t>
      </w:r>
      <w:r>
        <w:t>idea.</w:t>
      </w:r>
    </w:p>
    <w:p w14:paraId="562CA7A9" w14:textId="77777777" w:rsidR="00C75312" w:rsidRDefault="00C75312">
      <w:pPr>
        <w:spacing w:line="480" w:lineRule="auto"/>
        <w:jc w:val="both"/>
        <w:sectPr w:rsidR="00C75312">
          <w:pgSz w:w="11900" w:h="16840"/>
          <w:pgMar w:top="1140" w:right="0" w:bottom="280" w:left="1300" w:header="720" w:footer="0" w:gutter="0"/>
          <w:cols w:space="720"/>
        </w:sectPr>
      </w:pPr>
    </w:p>
    <w:p w14:paraId="0A28E354" w14:textId="77777777" w:rsidR="00C75312" w:rsidRDefault="00BB293A">
      <w:pPr>
        <w:pStyle w:val="Heading1"/>
        <w:spacing w:before="107"/>
      </w:pPr>
      <w:r>
        <w:lastRenderedPageBreak/>
        <w:t>The current study</w:t>
      </w:r>
    </w:p>
    <w:p w14:paraId="5DA5B454" w14:textId="77777777" w:rsidR="00C75312" w:rsidRDefault="00C75312">
      <w:pPr>
        <w:pStyle w:val="BodyText"/>
        <w:rPr>
          <w:b/>
        </w:rPr>
      </w:pPr>
    </w:p>
    <w:p w14:paraId="3903D7CD" w14:textId="77777777" w:rsidR="00C75312" w:rsidRDefault="00BB293A">
      <w:pPr>
        <w:pStyle w:val="BodyText"/>
        <w:spacing w:line="480" w:lineRule="auto"/>
        <w:ind w:left="140" w:right="1433" w:firstLine="720"/>
        <w:jc w:val="both"/>
      </w:pPr>
      <w:r>
        <w:t xml:space="preserve">In sum, both executive and social-cognitive processes have been implicated in successful retrieval and execution of time-based intentions in ASD. However, the processes involved in the </w:t>
      </w:r>
      <w:r>
        <w:rPr>
          <w:i/>
        </w:rPr>
        <w:t xml:space="preserve">encoding </w:t>
      </w:r>
      <w:r>
        <w:t xml:space="preserve">of time-based intentions have so far received only very limited attention. Their exploration could extend our understanding of diminished time-based PM in ASD. As outlined above, the level </w:t>
      </w:r>
      <w:r>
        <w:rPr>
          <w:spacing w:val="-3"/>
        </w:rPr>
        <w:t xml:space="preserve">of </w:t>
      </w:r>
      <w:r>
        <w:t xml:space="preserve">importance </w:t>
      </w:r>
      <w:r>
        <w:rPr>
          <w:spacing w:val="-3"/>
        </w:rPr>
        <w:t xml:space="preserve">of </w:t>
      </w:r>
      <w:r>
        <w:t>an intention can have a positive impact</w:t>
      </w:r>
      <w:r>
        <w:rPr>
          <w:spacing w:val="-31"/>
        </w:rPr>
        <w:t xml:space="preserve"> </w:t>
      </w:r>
      <w:r>
        <w:t>on PM,</w:t>
      </w:r>
      <w:r>
        <w:rPr>
          <w:spacing w:val="-8"/>
        </w:rPr>
        <w:t xml:space="preserve"> </w:t>
      </w:r>
      <w:r>
        <w:t>but</w:t>
      </w:r>
      <w:r>
        <w:rPr>
          <w:spacing w:val="-14"/>
        </w:rPr>
        <w:t xml:space="preserve"> </w:t>
      </w:r>
      <w:r>
        <w:t>this</w:t>
      </w:r>
      <w:r>
        <w:rPr>
          <w:spacing w:val="-12"/>
        </w:rPr>
        <w:t xml:space="preserve"> </w:t>
      </w:r>
      <w:r>
        <w:t>effect</w:t>
      </w:r>
      <w:r>
        <w:rPr>
          <w:spacing w:val="-14"/>
        </w:rPr>
        <w:t xml:space="preserve"> </w:t>
      </w:r>
      <w:r>
        <w:t>has</w:t>
      </w:r>
      <w:r>
        <w:rPr>
          <w:spacing w:val="-12"/>
        </w:rPr>
        <w:t xml:space="preserve"> </w:t>
      </w:r>
      <w:r>
        <w:t>not</w:t>
      </w:r>
      <w:r>
        <w:rPr>
          <w:spacing w:val="-10"/>
        </w:rPr>
        <w:t xml:space="preserve"> </w:t>
      </w:r>
      <w:r>
        <w:t>yet</w:t>
      </w:r>
      <w:r>
        <w:rPr>
          <w:spacing w:val="-14"/>
        </w:rPr>
        <w:t xml:space="preserve"> </w:t>
      </w:r>
      <w:r>
        <w:t>been</w:t>
      </w:r>
      <w:r>
        <w:rPr>
          <w:spacing w:val="-10"/>
        </w:rPr>
        <w:t xml:space="preserve"> </w:t>
      </w:r>
      <w:r>
        <w:t>explored</w:t>
      </w:r>
      <w:r>
        <w:rPr>
          <w:spacing w:val="-10"/>
        </w:rPr>
        <w:t xml:space="preserve"> </w:t>
      </w:r>
      <w:r>
        <w:t>in</w:t>
      </w:r>
      <w:r>
        <w:rPr>
          <w:spacing w:val="-14"/>
        </w:rPr>
        <w:t xml:space="preserve"> </w:t>
      </w:r>
      <w:r>
        <w:t>ASD.</w:t>
      </w:r>
      <w:r>
        <w:rPr>
          <w:spacing w:val="38"/>
        </w:rPr>
        <w:t xml:space="preserve"> </w:t>
      </w:r>
      <w:r>
        <w:t>The</w:t>
      </w:r>
      <w:r>
        <w:rPr>
          <w:spacing w:val="-11"/>
        </w:rPr>
        <w:t xml:space="preserve"> </w:t>
      </w:r>
      <w:r>
        <w:t>current</w:t>
      </w:r>
      <w:r>
        <w:rPr>
          <w:spacing w:val="-14"/>
        </w:rPr>
        <w:t xml:space="preserve"> </w:t>
      </w:r>
      <w:r>
        <w:t>study</w:t>
      </w:r>
      <w:r>
        <w:rPr>
          <w:spacing w:val="-11"/>
        </w:rPr>
        <w:t xml:space="preserve"> </w:t>
      </w:r>
      <w:r>
        <w:t>investigated</w:t>
      </w:r>
      <w:r>
        <w:rPr>
          <w:spacing w:val="-10"/>
        </w:rPr>
        <w:t xml:space="preserve"> </w:t>
      </w:r>
      <w:r>
        <w:t>this</w:t>
      </w:r>
      <w:r>
        <w:rPr>
          <w:spacing w:val="-12"/>
        </w:rPr>
        <w:t xml:space="preserve"> </w:t>
      </w:r>
      <w:r>
        <w:t xml:space="preserve">effect by manipulating the relative importance of the intended action to be completed. Participants with and without ASD completed two versions </w:t>
      </w:r>
      <w:r>
        <w:rPr>
          <w:spacing w:val="-3"/>
        </w:rPr>
        <w:t xml:space="preserve">of </w:t>
      </w:r>
      <w:r>
        <w:t>a time-based PM t</w:t>
      </w:r>
      <w:r>
        <w:t xml:space="preserve">ask previously employed by Williams et al. (2014), once emphasizing the importance of the PM task and once emphasizing the importance of the ongoing task. For the </w:t>
      </w:r>
      <w:r>
        <w:rPr>
          <w:spacing w:val="-3"/>
        </w:rPr>
        <w:t xml:space="preserve">NT </w:t>
      </w:r>
      <w:r>
        <w:t xml:space="preserve">control group, a replication of the overall findings reported by </w:t>
      </w:r>
      <w:proofErr w:type="spellStart"/>
      <w:r>
        <w:t>Kliegel</w:t>
      </w:r>
      <w:proofErr w:type="spellEnd"/>
      <w:r>
        <w:t xml:space="preserve"> et al. (2001) was expected. Specifically, the</w:t>
      </w:r>
      <w:r>
        <w:rPr>
          <w:spacing w:val="-36"/>
        </w:rPr>
        <w:t xml:space="preserve"> </w:t>
      </w:r>
      <w:r>
        <w:t xml:space="preserve">following effects were predicted: a) significantly more completions of intended actions (time-based PM hits) in the PM high compared to the PM low importance condition; b) facilitated by strategic time-monitoring especially </w:t>
      </w:r>
      <w:r>
        <w:rPr>
          <w:spacing w:val="-3"/>
        </w:rPr>
        <w:t xml:space="preserve">in </w:t>
      </w:r>
      <w:r>
        <w:t>the time interval prior to target time; and c) worse ongoing task performance when emphasizing the importance of the PM task as compared to when emphasizing the ongoing</w:t>
      </w:r>
      <w:r>
        <w:rPr>
          <w:spacing w:val="4"/>
        </w:rPr>
        <w:t xml:space="preserve"> </w:t>
      </w:r>
      <w:r>
        <w:t>task.</w:t>
      </w:r>
    </w:p>
    <w:p w14:paraId="637AB2C8" w14:textId="77777777" w:rsidR="00C75312" w:rsidRDefault="00BB293A">
      <w:pPr>
        <w:pStyle w:val="BodyText"/>
        <w:spacing w:before="121" w:line="480" w:lineRule="auto"/>
        <w:ind w:left="140" w:right="1433" w:firstLine="720"/>
        <w:jc w:val="both"/>
      </w:pPr>
      <w:r>
        <w:t>For</w:t>
      </w:r>
      <w:r>
        <w:rPr>
          <w:spacing w:val="-3"/>
        </w:rPr>
        <w:t xml:space="preserve"> </w:t>
      </w:r>
      <w:r>
        <w:t>the</w:t>
      </w:r>
      <w:r>
        <w:rPr>
          <w:spacing w:val="-5"/>
        </w:rPr>
        <w:t xml:space="preserve"> </w:t>
      </w:r>
      <w:r>
        <w:t>ASD</w:t>
      </w:r>
      <w:r>
        <w:rPr>
          <w:spacing w:val="-4"/>
        </w:rPr>
        <w:t xml:space="preserve"> </w:t>
      </w:r>
      <w:r>
        <w:t>group,</w:t>
      </w:r>
      <w:r>
        <w:rPr>
          <w:spacing w:val="-2"/>
        </w:rPr>
        <w:t xml:space="preserve"> </w:t>
      </w:r>
      <w:r>
        <w:t>it</w:t>
      </w:r>
      <w:r>
        <w:rPr>
          <w:spacing w:val="-3"/>
        </w:rPr>
        <w:t xml:space="preserve"> </w:t>
      </w:r>
      <w:r>
        <w:t>was</w:t>
      </w:r>
      <w:r>
        <w:rPr>
          <w:spacing w:val="-6"/>
        </w:rPr>
        <w:t xml:space="preserve"> </w:t>
      </w:r>
      <w:r>
        <w:t>predicted</w:t>
      </w:r>
      <w:r>
        <w:rPr>
          <w:spacing w:val="-4"/>
        </w:rPr>
        <w:t xml:space="preserve"> </w:t>
      </w:r>
      <w:r>
        <w:t>that</w:t>
      </w:r>
      <w:r>
        <w:rPr>
          <w:spacing w:val="-3"/>
        </w:rPr>
        <w:t xml:space="preserve"> </w:t>
      </w:r>
      <w:r>
        <w:t>there</w:t>
      </w:r>
      <w:r>
        <w:rPr>
          <w:spacing w:val="-6"/>
        </w:rPr>
        <w:t xml:space="preserve"> </w:t>
      </w:r>
      <w:r>
        <w:t>would</w:t>
      </w:r>
      <w:r>
        <w:rPr>
          <w:spacing w:val="-4"/>
        </w:rPr>
        <w:t xml:space="preserve"> </w:t>
      </w:r>
      <w:r>
        <w:t>be</w:t>
      </w:r>
      <w:r>
        <w:rPr>
          <w:spacing w:val="-5"/>
        </w:rPr>
        <w:t xml:space="preserve"> </w:t>
      </w:r>
      <w:r>
        <w:rPr>
          <w:i/>
        </w:rPr>
        <w:t>enhanced</w:t>
      </w:r>
      <w:r>
        <w:rPr>
          <w:i/>
          <w:spacing w:val="-4"/>
        </w:rPr>
        <w:t xml:space="preserve"> </w:t>
      </w:r>
      <w:r>
        <w:t>beneficial</w:t>
      </w:r>
      <w:r>
        <w:rPr>
          <w:spacing w:val="-4"/>
        </w:rPr>
        <w:t xml:space="preserve"> </w:t>
      </w:r>
      <w:r>
        <w:t>effects</w:t>
      </w:r>
      <w:r>
        <w:rPr>
          <w:spacing w:val="-6"/>
        </w:rPr>
        <w:t xml:space="preserve"> </w:t>
      </w:r>
      <w:r>
        <w:t xml:space="preserve">of </w:t>
      </w:r>
      <w:proofErr w:type="spellStart"/>
      <w:r>
        <w:t>emphasising</w:t>
      </w:r>
      <w:proofErr w:type="spellEnd"/>
      <w:r>
        <w:t xml:space="preserve"> importance of the PM task, relative to the benefits experienced by the control participants (who usually perform well on time-based PM tasks anyway). Thus, the increase in PM performance in the high in comparison to a low importance condition was expected to be significantly larger in the ASD group in comparison to the </w:t>
      </w:r>
      <w:r>
        <w:rPr>
          <w:spacing w:val="-3"/>
        </w:rPr>
        <w:t xml:space="preserve">NT </w:t>
      </w:r>
      <w:r>
        <w:t>group. Furthermore, it was hypothesized that the high importance instruction should have a positive effect on the allocation of attentional resources, which should be reflec</w:t>
      </w:r>
      <w:r>
        <w:t xml:space="preserve">ted in increased time-monitoring </w:t>
      </w:r>
      <w:proofErr w:type="spellStart"/>
      <w:r>
        <w:t>behaviour</w:t>
      </w:r>
      <w:proofErr w:type="spellEnd"/>
      <w:r>
        <w:t xml:space="preserve"> in the </w:t>
      </w:r>
      <w:r>
        <w:rPr>
          <w:i/>
        </w:rPr>
        <w:t xml:space="preserve">PM high importance </w:t>
      </w:r>
      <w:r>
        <w:t>condition, especially in the critical time interval prior</w:t>
      </w:r>
      <w:r>
        <w:rPr>
          <w:spacing w:val="-31"/>
        </w:rPr>
        <w:t xml:space="preserve"> </w:t>
      </w:r>
      <w:r>
        <w:t>to target</w:t>
      </w:r>
      <w:r>
        <w:rPr>
          <w:spacing w:val="1"/>
        </w:rPr>
        <w:t xml:space="preserve"> </w:t>
      </w:r>
      <w:r>
        <w:t>time.</w:t>
      </w:r>
    </w:p>
    <w:p w14:paraId="75297E4A" w14:textId="77777777" w:rsidR="00C75312" w:rsidRDefault="00C75312">
      <w:pPr>
        <w:spacing w:line="480" w:lineRule="auto"/>
        <w:jc w:val="both"/>
        <w:sectPr w:rsidR="00C75312">
          <w:pgSz w:w="11900" w:h="16840"/>
          <w:pgMar w:top="1140" w:right="0" w:bottom="280" w:left="1300" w:header="720" w:footer="0" w:gutter="0"/>
          <w:cols w:space="720"/>
        </w:sectPr>
      </w:pPr>
    </w:p>
    <w:p w14:paraId="53DEE2B4" w14:textId="77777777" w:rsidR="00C75312" w:rsidRDefault="00BB293A">
      <w:pPr>
        <w:pStyle w:val="BodyText"/>
        <w:spacing w:before="107" w:line="480" w:lineRule="auto"/>
        <w:ind w:left="140" w:right="1433" w:firstLine="720"/>
        <w:jc w:val="both"/>
      </w:pPr>
      <w:r>
        <w:lastRenderedPageBreak/>
        <w:t xml:space="preserve">Importantly, the second aim </w:t>
      </w:r>
      <w:r>
        <w:rPr>
          <w:spacing w:val="-3"/>
        </w:rPr>
        <w:t xml:space="preserve">of </w:t>
      </w:r>
      <w:r>
        <w:t>this study was to establish possible correlates of time- based PM improvements in the PM high vs low importance condition. As reviewed above, executive functions play a key role in facilitating time-based PM and individuals with ASD show a particular pattern of executive dysfunction (</w:t>
      </w:r>
      <w:proofErr w:type="spellStart"/>
      <w:r>
        <w:t>characterised</w:t>
      </w:r>
      <w:proofErr w:type="spellEnd"/>
      <w:r>
        <w:t xml:space="preserve"> by impairments in cognitive flexibility and working memory, and relatively unimpaired inhibitory control; Hill, 2004; Kenworthy et al., 2008; </w:t>
      </w:r>
      <w:proofErr w:type="spellStart"/>
      <w:r>
        <w:t>Kercood</w:t>
      </w:r>
      <w:proofErr w:type="spellEnd"/>
      <w:r>
        <w:t xml:space="preserve"> et al., 2014; </w:t>
      </w:r>
      <w:r>
        <w:rPr>
          <w:spacing w:val="-3"/>
        </w:rPr>
        <w:t xml:space="preserve">Lai </w:t>
      </w:r>
      <w:r>
        <w:t>et al, 2016; Landry &amp; Al-Taie, 2016). Ther</w:t>
      </w:r>
      <w:r>
        <w:t xml:space="preserve">efore, it was explored whether self-report and </w:t>
      </w:r>
      <w:proofErr w:type="spellStart"/>
      <w:r>
        <w:t>behavioural</w:t>
      </w:r>
      <w:proofErr w:type="spellEnd"/>
      <w:r>
        <w:t xml:space="preserve"> measures of inhibition and cognitive flexibility were related to changes in time-based PM outcome measures. Inhibitory control was assessed due to its critical involvement in time-monitoring to facilitate PM. As changes in time monitoring are expected to result in increases in PM performance, it was explored whether this was related to individual differences in inhibitory control. Cognitive flexibility was examined as it is consistently impaired in </w:t>
      </w:r>
      <w:r>
        <w:t>ASD and due to its pivotal role for the execution of time-based intentions. It was predicted that ASD participants with lower executive function indices would benefit more from the structure-enhancing importance instruction.</w:t>
      </w:r>
      <w:r>
        <w:rPr>
          <w:spacing w:val="43"/>
        </w:rPr>
        <w:t xml:space="preserve"> </w:t>
      </w:r>
      <w:r>
        <w:t>Associations</w:t>
      </w:r>
      <w:r>
        <w:rPr>
          <w:spacing w:val="-11"/>
        </w:rPr>
        <w:t xml:space="preserve"> </w:t>
      </w:r>
      <w:r>
        <w:t>between</w:t>
      </w:r>
      <w:r>
        <w:rPr>
          <w:spacing w:val="-10"/>
        </w:rPr>
        <w:t xml:space="preserve"> </w:t>
      </w:r>
      <w:r>
        <w:t>change</w:t>
      </w:r>
      <w:r>
        <w:rPr>
          <w:spacing w:val="-11"/>
        </w:rPr>
        <w:t xml:space="preserve"> </w:t>
      </w:r>
      <w:r>
        <w:t>in</w:t>
      </w:r>
      <w:r>
        <w:rPr>
          <w:spacing w:val="-10"/>
        </w:rPr>
        <w:t xml:space="preserve"> </w:t>
      </w:r>
      <w:r>
        <w:t>time-based</w:t>
      </w:r>
      <w:r>
        <w:rPr>
          <w:spacing w:val="-10"/>
        </w:rPr>
        <w:t xml:space="preserve"> </w:t>
      </w:r>
      <w:r>
        <w:t>PM</w:t>
      </w:r>
      <w:r>
        <w:rPr>
          <w:spacing w:val="-12"/>
        </w:rPr>
        <w:t xml:space="preserve"> </w:t>
      </w:r>
      <w:r>
        <w:t>outcome</w:t>
      </w:r>
      <w:r>
        <w:rPr>
          <w:spacing w:val="-11"/>
        </w:rPr>
        <w:t xml:space="preserve"> </w:t>
      </w:r>
      <w:r>
        <w:t>measures</w:t>
      </w:r>
      <w:r>
        <w:rPr>
          <w:spacing w:val="-12"/>
        </w:rPr>
        <w:t xml:space="preserve"> </w:t>
      </w:r>
      <w:r>
        <w:t>and</w:t>
      </w:r>
      <w:r>
        <w:rPr>
          <w:spacing w:val="-10"/>
        </w:rPr>
        <w:t xml:space="preserve"> </w:t>
      </w:r>
      <w:r>
        <w:t>self-report measures of inhibition, cognitive flexibility and PM were additionally explored. These self- report indices provide greater ecological validity, reflecting everyday life problems in the respective executive do</w:t>
      </w:r>
      <w:r>
        <w:t xml:space="preserve">main, and are associated with independent adaptive functioning and quality of life (de Vries &amp; Geurts, 2015; Pugliese et al., 2016; Woods, </w:t>
      </w:r>
      <w:proofErr w:type="spellStart"/>
      <w:r>
        <w:t>Weinborn</w:t>
      </w:r>
      <w:proofErr w:type="spellEnd"/>
      <w:r>
        <w:t xml:space="preserve">, </w:t>
      </w:r>
      <w:proofErr w:type="spellStart"/>
      <w:r>
        <w:t>Velnoweth</w:t>
      </w:r>
      <w:proofErr w:type="spellEnd"/>
      <w:r>
        <w:t>, Rooney,</w:t>
      </w:r>
      <w:r>
        <w:rPr>
          <w:spacing w:val="-3"/>
        </w:rPr>
        <w:t xml:space="preserve"> </w:t>
      </w:r>
      <w:r>
        <w:t>&amp;</w:t>
      </w:r>
      <w:r>
        <w:rPr>
          <w:spacing w:val="-9"/>
        </w:rPr>
        <w:t xml:space="preserve"> </w:t>
      </w:r>
      <w:r>
        <w:t>Bucks,</w:t>
      </w:r>
      <w:r>
        <w:rPr>
          <w:spacing w:val="-2"/>
        </w:rPr>
        <w:t xml:space="preserve"> </w:t>
      </w:r>
      <w:r>
        <w:t>2012)</w:t>
      </w:r>
      <w:r>
        <w:rPr>
          <w:spacing w:val="-8"/>
        </w:rPr>
        <w:t xml:space="preserve"> </w:t>
      </w:r>
      <w:r>
        <w:t>which</w:t>
      </w:r>
      <w:r>
        <w:rPr>
          <w:spacing w:val="-10"/>
        </w:rPr>
        <w:t xml:space="preserve"> </w:t>
      </w:r>
      <w:r>
        <w:t>PM</w:t>
      </w:r>
      <w:r>
        <w:rPr>
          <w:spacing w:val="-7"/>
        </w:rPr>
        <w:t xml:space="preserve"> </w:t>
      </w:r>
      <w:r>
        <w:t>is</w:t>
      </w:r>
      <w:r>
        <w:rPr>
          <w:spacing w:val="-12"/>
        </w:rPr>
        <w:t xml:space="preserve"> </w:t>
      </w:r>
      <w:r>
        <w:t>important</w:t>
      </w:r>
      <w:r>
        <w:rPr>
          <w:spacing w:val="-9"/>
        </w:rPr>
        <w:t xml:space="preserve"> </w:t>
      </w:r>
      <w:r>
        <w:t>for.</w:t>
      </w:r>
      <w:r>
        <w:rPr>
          <w:spacing w:val="44"/>
        </w:rPr>
        <w:t xml:space="preserve"> </w:t>
      </w:r>
      <w:r>
        <w:t>Therefore,</w:t>
      </w:r>
      <w:r>
        <w:rPr>
          <w:spacing w:val="-7"/>
        </w:rPr>
        <w:t xml:space="preserve"> </w:t>
      </w:r>
      <w:r>
        <w:t>the</w:t>
      </w:r>
      <w:r>
        <w:rPr>
          <w:spacing w:val="-6"/>
        </w:rPr>
        <w:t xml:space="preserve"> </w:t>
      </w:r>
      <w:r>
        <w:t>aim</w:t>
      </w:r>
      <w:r>
        <w:rPr>
          <w:spacing w:val="-9"/>
        </w:rPr>
        <w:t xml:space="preserve"> </w:t>
      </w:r>
      <w:r>
        <w:t>was</w:t>
      </w:r>
      <w:r>
        <w:rPr>
          <w:spacing w:val="-7"/>
        </w:rPr>
        <w:t xml:space="preserve"> </w:t>
      </w:r>
      <w:r>
        <w:t>to</w:t>
      </w:r>
      <w:r>
        <w:rPr>
          <w:spacing w:val="-10"/>
        </w:rPr>
        <w:t xml:space="preserve"> </w:t>
      </w:r>
      <w:r>
        <w:t>assess</w:t>
      </w:r>
      <w:r>
        <w:rPr>
          <w:spacing w:val="-7"/>
        </w:rPr>
        <w:t xml:space="preserve"> </w:t>
      </w:r>
      <w:r>
        <w:t xml:space="preserve">whether individuals who report poorer executive function and PM in everyday life are those who will benefit most from the importance manipulation </w:t>
      </w:r>
      <w:r>
        <w:rPr>
          <w:spacing w:val="-3"/>
        </w:rPr>
        <w:t xml:space="preserve">or </w:t>
      </w:r>
      <w:r>
        <w:t>whether the manipulation has (positive) effects regardless of how individuals perceive their own abilities. Furthermore,</w:t>
      </w:r>
      <w:r>
        <w:t xml:space="preserve"> there is some theoretical and empirical support for the idea that difficulties with mindreading might be involved in how individuals with ASD perceive the importance of a given task. Therefore,</w:t>
      </w:r>
      <w:r>
        <w:rPr>
          <w:spacing w:val="-23"/>
        </w:rPr>
        <w:t xml:space="preserve"> </w:t>
      </w:r>
      <w:r>
        <w:t>the</w:t>
      </w:r>
    </w:p>
    <w:p w14:paraId="28ABFD1E" w14:textId="77777777" w:rsidR="00C75312" w:rsidRDefault="00C75312">
      <w:pPr>
        <w:spacing w:line="480" w:lineRule="auto"/>
        <w:jc w:val="both"/>
        <w:sectPr w:rsidR="00C75312">
          <w:pgSz w:w="11900" w:h="16840"/>
          <w:pgMar w:top="1140" w:right="0" w:bottom="280" w:left="1300" w:header="720" w:footer="0" w:gutter="0"/>
          <w:cols w:space="720"/>
        </w:sectPr>
      </w:pPr>
    </w:p>
    <w:p w14:paraId="691A26B0" w14:textId="77777777" w:rsidR="00C75312" w:rsidRDefault="00BB293A">
      <w:pPr>
        <w:pStyle w:val="BodyText"/>
        <w:spacing w:before="107" w:line="480" w:lineRule="auto"/>
        <w:ind w:left="140" w:right="1301"/>
      </w:pPr>
      <w:r>
        <w:lastRenderedPageBreak/>
        <w:t xml:space="preserve">association between mindreading ability and changes in performance from the PM low to the PM high importance condition was </w:t>
      </w:r>
      <w:proofErr w:type="spellStart"/>
      <w:r>
        <w:t>analysed</w:t>
      </w:r>
      <w:proofErr w:type="spellEnd"/>
      <w:r>
        <w:t>.</w:t>
      </w:r>
    </w:p>
    <w:p w14:paraId="2B4B1005" w14:textId="77777777" w:rsidR="00C75312" w:rsidRDefault="00C75312">
      <w:pPr>
        <w:pStyle w:val="BodyText"/>
        <w:spacing w:before="10"/>
        <w:rPr>
          <w:sz w:val="20"/>
        </w:rPr>
      </w:pPr>
    </w:p>
    <w:p w14:paraId="79B260BC" w14:textId="77777777" w:rsidR="00C75312" w:rsidRDefault="00BB293A">
      <w:pPr>
        <w:pStyle w:val="Heading1"/>
        <w:ind w:left="4200"/>
      </w:pPr>
      <w:bookmarkStart w:id="18" w:name="_TOC_250015"/>
      <w:bookmarkEnd w:id="18"/>
      <w:r>
        <w:t>Methods</w:t>
      </w:r>
    </w:p>
    <w:p w14:paraId="4B361318" w14:textId="77777777" w:rsidR="00C75312" w:rsidRDefault="00C75312">
      <w:pPr>
        <w:pStyle w:val="BodyText"/>
        <w:spacing w:before="4"/>
        <w:rPr>
          <w:b/>
          <w:sz w:val="27"/>
        </w:rPr>
      </w:pPr>
    </w:p>
    <w:p w14:paraId="748750DD" w14:textId="77777777" w:rsidR="00C75312" w:rsidRDefault="00BB293A">
      <w:pPr>
        <w:ind w:left="140"/>
        <w:rPr>
          <w:b/>
          <w:sz w:val="24"/>
        </w:rPr>
      </w:pPr>
      <w:r>
        <w:rPr>
          <w:b/>
          <w:sz w:val="24"/>
        </w:rPr>
        <w:t>Power analysis</w:t>
      </w:r>
    </w:p>
    <w:p w14:paraId="063623A0" w14:textId="77777777" w:rsidR="00C75312" w:rsidRDefault="00C75312">
      <w:pPr>
        <w:pStyle w:val="BodyText"/>
        <w:rPr>
          <w:b/>
        </w:rPr>
      </w:pPr>
    </w:p>
    <w:p w14:paraId="660175FB" w14:textId="77777777" w:rsidR="00C75312" w:rsidRDefault="00BB293A">
      <w:pPr>
        <w:pStyle w:val="BodyText"/>
        <w:spacing w:line="480" w:lineRule="auto"/>
        <w:ind w:left="140" w:right="1433" w:firstLine="720"/>
        <w:jc w:val="both"/>
        <w:rPr>
          <w:i/>
        </w:rPr>
      </w:pPr>
      <w:r>
        <w:t>G*Power 3 (Faul et al., 2007) was used to conduct a power analysis to determine the required</w:t>
      </w:r>
      <w:r>
        <w:rPr>
          <w:spacing w:val="-11"/>
        </w:rPr>
        <w:t xml:space="preserve"> </w:t>
      </w:r>
      <w:r>
        <w:t>sample</w:t>
      </w:r>
      <w:r>
        <w:rPr>
          <w:spacing w:val="-11"/>
        </w:rPr>
        <w:t xml:space="preserve"> </w:t>
      </w:r>
      <w:r>
        <w:t>size</w:t>
      </w:r>
      <w:r>
        <w:rPr>
          <w:spacing w:val="-11"/>
        </w:rPr>
        <w:t xml:space="preserve"> </w:t>
      </w:r>
      <w:r>
        <w:t>to</w:t>
      </w:r>
      <w:r>
        <w:rPr>
          <w:spacing w:val="-10"/>
        </w:rPr>
        <w:t xml:space="preserve"> </w:t>
      </w:r>
      <w:r>
        <w:t>detect</w:t>
      </w:r>
      <w:r>
        <w:rPr>
          <w:spacing w:val="-9"/>
        </w:rPr>
        <w:t xml:space="preserve"> </w:t>
      </w:r>
      <w:r>
        <w:t>the</w:t>
      </w:r>
      <w:r>
        <w:rPr>
          <w:spacing w:val="-11"/>
        </w:rPr>
        <w:t xml:space="preserve"> </w:t>
      </w:r>
      <w:r>
        <w:t>predicted</w:t>
      </w:r>
      <w:r>
        <w:rPr>
          <w:spacing w:val="-14"/>
        </w:rPr>
        <w:t xml:space="preserve"> </w:t>
      </w:r>
      <w:r>
        <w:t>improvement</w:t>
      </w:r>
      <w:r>
        <w:rPr>
          <w:spacing w:val="-10"/>
        </w:rPr>
        <w:t xml:space="preserve"> </w:t>
      </w:r>
      <w:r>
        <w:t>in</w:t>
      </w:r>
      <w:r>
        <w:rPr>
          <w:spacing w:val="-9"/>
        </w:rPr>
        <w:t xml:space="preserve"> </w:t>
      </w:r>
      <w:r>
        <w:t>time-based</w:t>
      </w:r>
      <w:r>
        <w:rPr>
          <w:spacing w:val="-10"/>
        </w:rPr>
        <w:t xml:space="preserve"> </w:t>
      </w:r>
      <w:r>
        <w:t>PM</w:t>
      </w:r>
      <w:r>
        <w:rPr>
          <w:spacing w:val="-12"/>
        </w:rPr>
        <w:t xml:space="preserve"> </w:t>
      </w:r>
      <w:r>
        <w:t>performance</w:t>
      </w:r>
      <w:r>
        <w:rPr>
          <w:spacing w:val="-11"/>
        </w:rPr>
        <w:t xml:space="preserve"> </w:t>
      </w:r>
      <w:r>
        <w:t>in</w:t>
      </w:r>
      <w:r>
        <w:rPr>
          <w:spacing w:val="-10"/>
        </w:rPr>
        <w:t xml:space="preserve"> </w:t>
      </w:r>
      <w:r>
        <w:t>the ASD</w:t>
      </w:r>
      <w:r>
        <w:rPr>
          <w:spacing w:val="-5"/>
        </w:rPr>
        <w:t xml:space="preserve"> </w:t>
      </w:r>
      <w:r>
        <w:t>group.</w:t>
      </w:r>
      <w:r>
        <w:rPr>
          <w:spacing w:val="45"/>
        </w:rPr>
        <w:t xml:space="preserve"> </w:t>
      </w:r>
      <w:proofErr w:type="spellStart"/>
      <w:r>
        <w:t>Kliegel</w:t>
      </w:r>
      <w:proofErr w:type="spellEnd"/>
      <w:r>
        <w:rPr>
          <w:spacing w:val="-4"/>
        </w:rPr>
        <w:t xml:space="preserve"> </w:t>
      </w:r>
      <w:r>
        <w:t>et</w:t>
      </w:r>
      <w:r>
        <w:rPr>
          <w:spacing w:val="-9"/>
        </w:rPr>
        <w:t xml:space="preserve"> </w:t>
      </w:r>
      <w:r>
        <w:t>al.</w:t>
      </w:r>
      <w:r>
        <w:rPr>
          <w:spacing w:val="-6"/>
        </w:rPr>
        <w:t xml:space="preserve"> </w:t>
      </w:r>
      <w:r>
        <w:t>(2001)</w:t>
      </w:r>
      <w:r>
        <w:rPr>
          <w:spacing w:val="-8"/>
        </w:rPr>
        <w:t xml:space="preserve"> </w:t>
      </w:r>
      <w:r>
        <w:t>found</w:t>
      </w:r>
      <w:r>
        <w:rPr>
          <w:spacing w:val="-9"/>
        </w:rPr>
        <w:t xml:space="preserve"> </w:t>
      </w:r>
      <w:r>
        <w:t>a</w:t>
      </w:r>
      <w:r>
        <w:rPr>
          <w:spacing w:val="-6"/>
        </w:rPr>
        <w:t xml:space="preserve"> </w:t>
      </w:r>
      <w:r>
        <w:t>large</w:t>
      </w:r>
      <w:r>
        <w:rPr>
          <w:spacing w:val="-6"/>
        </w:rPr>
        <w:t xml:space="preserve"> </w:t>
      </w:r>
      <w:r>
        <w:t>effect</w:t>
      </w:r>
      <w:r>
        <w:rPr>
          <w:spacing w:val="-3"/>
        </w:rPr>
        <w:t xml:space="preserve"> </w:t>
      </w:r>
      <w:r>
        <w:t>sizes</w:t>
      </w:r>
      <w:r>
        <w:rPr>
          <w:spacing w:val="-7"/>
        </w:rPr>
        <w:t xml:space="preserve"> </w:t>
      </w:r>
      <w:r>
        <w:t>of</w:t>
      </w:r>
      <w:r>
        <w:rPr>
          <w:spacing w:val="-3"/>
        </w:rPr>
        <w:t xml:space="preserve"> </w:t>
      </w:r>
      <w:r>
        <w:rPr>
          <w:i/>
        </w:rPr>
        <w:t>d</w:t>
      </w:r>
      <w:r>
        <w:rPr>
          <w:i/>
          <w:spacing w:val="-5"/>
        </w:rPr>
        <w:t xml:space="preserve"> </w:t>
      </w:r>
      <w:r>
        <w:t>=</w:t>
      </w:r>
      <w:r>
        <w:rPr>
          <w:spacing w:val="-10"/>
        </w:rPr>
        <w:t xml:space="preserve"> </w:t>
      </w:r>
      <w:r>
        <w:t>1.14</w:t>
      </w:r>
      <w:r>
        <w:rPr>
          <w:spacing w:val="-10"/>
        </w:rPr>
        <w:t xml:space="preserve"> </w:t>
      </w:r>
      <w:r>
        <w:t>for</w:t>
      </w:r>
      <w:r>
        <w:rPr>
          <w:spacing w:val="-2"/>
        </w:rPr>
        <w:t xml:space="preserve"> </w:t>
      </w:r>
      <w:r>
        <w:t>improvement</w:t>
      </w:r>
      <w:r>
        <w:rPr>
          <w:spacing w:val="-4"/>
        </w:rPr>
        <w:t xml:space="preserve"> </w:t>
      </w:r>
      <w:r>
        <w:t>in</w:t>
      </w:r>
      <w:r>
        <w:rPr>
          <w:spacing w:val="-10"/>
        </w:rPr>
        <w:t xml:space="preserve"> </w:t>
      </w:r>
      <w:r>
        <w:t>PM hit rates from the low to the high importance condition. Thus, assuming this effect size and</w:t>
      </w:r>
      <w:r>
        <w:rPr>
          <w:spacing w:val="11"/>
        </w:rPr>
        <w:t xml:space="preserve"> </w:t>
      </w:r>
      <w:r>
        <w:rPr>
          <w:i/>
        </w:rPr>
        <w:t>α</w:t>
      </w:r>
    </w:p>
    <w:p w14:paraId="61181B9D" w14:textId="77777777" w:rsidR="00C75312" w:rsidRDefault="00BB293A">
      <w:pPr>
        <w:pStyle w:val="BodyText"/>
        <w:spacing w:line="480" w:lineRule="auto"/>
        <w:ind w:left="140" w:right="1436"/>
        <w:jc w:val="both"/>
      </w:pPr>
      <w:r>
        <w:t>=</w:t>
      </w:r>
      <w:r>
        <w:rPr>
          <w:spacing w:val="-6"/>
        </w:rPr>
        <w:t xml:space="preserve"> </w:t>
      </w:r>
      <w:r>
        <w:t>.05,</w:t>
      </w:r>
      <w:r>
        <w:rPr>
          <w:spacing w:val="-7"/>
        </w:rPr>
        <w:t xml:space="preserve"> </w:t>
      </w:r>
      <w:r>
        <w:t>it</w:t>
      </w:r>
      <w:r>
        <w:rPr>
          <w:spacing w:val="-9"/>
        </w:rPr>
        <w:t xml:space="preserve"> </w:t>
      </w:r>
      <w:r>
        <w:t>was</w:t>
      </w:r>
      <w:r>
        <w:rPr>
          <w:spacing w:val="-7"/>
        </w:rPr>
        <w:t xml:space="preserve"> </w:t>
      </w:r>
      <w:r>
        <w:t>established</w:t>
      </w:r>
      <w:r>
        <w:rPr>
          <w:spacing w:val="-5"/>
        </w:rPr>
        <w:t xml:space="preserve"> </w:t>
      </w:r>
      <w:r>
        <w:t>that</w:t>
      </w:r>
      <w:r>
        <w:rPr>
          <w:spacing w:val="-4"/>
        </w:rPr>
        <w:t xml:space="preserve"> </w:t>
      </w:r>
      <w:r>
        <w:t>a</w:t>
      </w:r>
      <w:r>
        <w:rPr>
          <w:spacing w:val="-6"/>
        </w:rPr>
        <w:t xml:space="preserve"> </w:t>
      </w:r>
      <w:r>
        <w:t>total</w:t>
      </w:r>
      <w:r>
        <w:rPr>
          <w:spacing w:val="-4"/>
        </w:rPr>
        <w:t xml:space="preserve"> </w:t>
      </w:r>
      <w:r>
        <w:t>sample</w:t>
      </w:r>
      <w:r>
        <w:rPr>
          <w:spacing w:val="-6"/>
        </w:rPr>
        <w:t xml:space="preserve"> </w:t>
      </w:r>
      <w:r>
        <w:t>size</w:t>
      </w:r>
      <w:r>
        <w:rPr>
          <w:spacing w:val="-6"/>
        </w:rPr>
        <w:t xml:space="preserve"> </w:t>
      </w:r>
      <w:r>
        <w:t>of</w:t>
      </w:r>
      <w:r>
        <w:rPr>
          <w:spacing w:val="-12"/>
        </w:rPr>
        <w:t xml:space="preserve"> </w:t>
      </w:r>
      <w:r>
        <w:rPr>
          <w:i/>
        </w:rPr>
        <w:t>n</w:t>
      </w:r>
      <w:r>
        <w:rPr>
          <w:i/>
          <w:spacing w:val="-5"/>
        </w:rPr>
        <w:t xml:space="preserve"> </w:t>
      </w:r>
      <w:r>
        <w:t>=</w:t>
      </w:r>
      <w:r>
        <w:rPr>
          <w:spacing w:val="-6"/>
        </w:rPr>
        <w:t xml:space="preserve"> </w:t>
      </w:r>
      <w:r>
        <w:t>14</w:t>
      </w:r>
      <w:r>
        <w:rPr>
          <w:spacing w:val="-5"/>
        </w:rPr>
        <w:t xml:space="preserve"> </w:t>
      </w:r>
      <w:r>
        <w:t>participants</w:t>
      </w:r>
      <w:r>
        <w:rPr>
          <w:spacing w:val="-7"/>
        </w:rPr>
        <w:t xml:space="preserve"> </w:t>
      </w:r>
      <w:r>
        <w:t>per</w:t>
      </w:r>
      <w:r>
        <w:rPr>
          <w:spacing w:val="-3"/>
        </w:rPr>
        <w:t xml:space="preserve"> </w:t>
      </w:r>
      <w:r>
        <w:t>group</w:t>
      </w:r>
      <w:r>
        <w:rPr>
          <w:spacing w:val="-5"/>
        </w:rPr>
        <w:t xml:space="preserve"> </w:t>
      </w:r>
      <w:r>
        <w:t>would</w:t>
      </w:r>
      <w:r>
        <w:rPr>
          <w:spacing w:val="-10"/>
        </w:rPr>
        <w:t xml:space="preserve"> </w:t>
      </w:r>
      <w:r>
        <w:t xml:space="preserve">achieve Cohen’s (1992) recommended power of .80. Given the actual sample size of 48 in this study, an actual power of 0.97 was achieved assuming </w:t>
      </w:r>
      <w:r>
        <w:rPr>
          <w:i/>
        </w:rPr>
        <w:t xml:space="preserve">α </w:t>
      </w:r>
      <w:r>
        <w:t xml:space="preserve">= .05, and </w:t>
      </w:r>
      <w:r>
        <w:rPr>
          <w:i/>
        </w:rPr>
        <w:t>d</w:t>
      </w:r>
      <w:r>
        <w:t>=</w:t>
      </w:r>
      <w:r>
        <w:rPr>
          <w:spacing w:val="8"/>
        </w:rPr>
        <w:t xml:space="preserve"> </w:t>
      </w:r>
      <w:r>
        <w:t>1.14.</w:t>
      </w:r>
    </w:p>
    <w:p w14:paraId="74E8326B" w14:textId="77777777" w:rsidR="00C75312" w:rsidRDefault="00BB293A">
      <w:pPr>
        <w:pStyle w:val="Heading1"/>
        <w:spacing w:before="120"/>
      </w:pPr>
      <w:r>
        <w:t>Participants</w:t>
      </w:r>
    </w:p>
    <w:p w14:paraId="0AE331A7" w14:textId="77777777" w:rsidR="00C75312" w:rsidRDefault="00C75312">
      <w:pPr>
        <w:pStyle w:val="BodyText"/>
        <w:rPr>
          <w:b/>
        </w:rPr>
      </w:pPr>
    </w:p>
    <w:p w14:paraId="48F49408" w14:textId="77777777" w:rsidR="00C75312" w:rsidRDefault="00BB293A">
      <w:pPr>
        <w:pStyle w:val="BodyText"/>
        <w:spacing w:line="480" w:lineRule="auto"/>
        <w:ind w:left="140" w:right="1434" w:firstLine="720"/>
        <w:jc w:val="both"/>
      </w:pPr>
      <w:r>
        <w:t>Twenty-five</w:t>
      </w:r>
      <w:r>
        <w:rPr>
          <w:spacing w:val="-6"/>
        </w:rPr>
        <w:t xml:space="preserve"> </w:t>
      </w:r>
      <w:r>
        <w:t>participants</w:t>
      </w:r>
      <w:r>
        <w:rPr>
          <w:spacing w:val="-6"/>
        </w:rPr>
        <w:t xml:space="preserve"> </w:t>
      </w:r>
      <w:r>
        <w:t>with</w:t>
      </w:r>
      <w:r>
        <w:rPr>
          <w:spacing w:val="-9"/>
        </w:rPr>
        <w:t xml:space="preserve"> </w:t>
      </w:r>
      <w:r>
        <w:t>ASD</w:t>
      </w:r>
      <w:r>
        <w:rPr>
          <w:spacing w:val="-9"/>
        </w:rPr>
        <w:t xml:space="preserve"> </w:t>
      </w:r>
      <w:r>
        <w:t>(21</w:t>
      </w:r>
      <w:r>
        <w:rPr>
          <w:spacing w:val="-9"/>
        </w:rPr>
        <w:t xml:space="preserve"> </w:t>
      </w:r>
      <w:r>
        <w:t>male)</w:t>
      </w:r>
      <w:r>
        <w:rPr>
          <w:spacing w:val="-7"/>
        </w:rPr>
        <w:t xml:space="preserve"> </w:t>
      </w:r>
      <w:r>
        <w:t>and</w:t>
      </w:r>
      <w:r>
        <w:rPr>
          <w:spacing w:val="-9"/>
        </w:rPr>
        <w:t xml:space="preserve"> </w:t>
      </w:r>
      <w:r>
        <w:t>23</w:t>
      </w:r>
      <w:r>
        <w:rPr>
          <w:spacing w:val="-4"/>
        </w:rPr>
        <w:t xml:space="preserve"> </w:t>
      </w:r>
      <w:r>
        <w:t>NT</w:t>
      </w:r>
      <w:r>
        <w:rPr>
          <w:spacing w:val="-6"/>
        </w:rPr>
        <w:t xml:space="preserve"> </w:t>
      </w:r>
      <w:r>
        <w:t>control</w:t>
      </w:r>
      <w:r>
        <w:rPr>
          <w:spacing w:val="-8"/>
        </w:rPr>
        <w:t xml:space="preserve"> </w:t>
      </w:r>
      <w:r>
        <w:t>participants</w:t>
      </w:r>
      <w:r>
        <w:rPr>
          <w:spacing w:val="-11"/>
        </w:rPr>
        <w:t xml:space="preserve"> </w:t>
      </w:r>
      <w:r>
        <w:t>(19</w:t>
      </w:r>
      <w:r>
        <w:rPr>
          <w:spacing w:val="-9"/>
        </w:rPr>
        <w:t xml:space="preserve"> </w:t>
      </w:r>
      <w:r>
        <w:t>male) were recruited for this study. The study was approved by the ethics committee of the School of</w:t>
      </w:r>
      <w:r>
        <w:rPr>
          <w:spacing w:val="-4"/>
        </w:rPr>
        <w:t xml:space="preserve"> </w:t>
      </w:r>
      <w:r>
        <w:t>Psychology</w:t>
      </w:r>
      <w:r>
        <w:rPr>
          <w:spacing w:val="-5"/>
        </w:rPr>
        <w:t xml:space="preserve"> </w:t>
      </w:r>
      <w:r>
        <w:t>at</w:t>
      </w:r>
      <w:r>
        <w:rPr>
          <w:spacing w:val="-4"/>
        </w:rPr>
        <w:t xml:space="preserve"> </w:t>
      </w:r>
      <w:r>
        <w:t>the</w:t>
      </w:r>
      <w:r>
        <w:rPr>
          <w:spacing w:val="-6"/>
        </w:rPr>
        <w:t xml:space="preserve"> </w:t>
      </w:r>
      <w:r>
        <w:t>University</w:t>
      </w:r>
      <w:r>
        <w:rPr>
          <w:spacing w:val="-5"/>
        </w:rPr>
        <w:t xml:space="preserve"> </w:t>
      </w:r>
      <w:r>
        <w:rPr>
          <w:spacing w:val="-3"/>
        </w:rPr>
        <w:t xml:space="preserve">of </w:t>
      </w:r>
      <w:r>
        <w:t>Kent</w:t>
      </w:r>
      <w:r>
        <w:rPr>
          <w:spacing w:val="-4"/>
        </w:rPr>
        <w:t xml:space="preserve"> </w:t>
      </w:r>
      <w:r>
        <w:t>and</w:t>
      </w:r>
      <w:r>
        <w:rPr>
          <w:spacing w:val="-5"/>
        </w:rPr>
        <w:t xml:space="preserve"> </w:t>
      </w:r>
      <w:r>
        <w:t>participants</w:t>
      </w:r>
      <w:r>
        <w:rPr>
          <w:spacing w:val="-7"/>
        </w:rPr>
        <w:t xml:space="preserve"> </w:t>
      </w:r>
      <w:r>
        <w:t>gave</w:t>
      </w:r>
      <w:r>
        <w:rPr>
          <w:spacing w:val="-6"/>
        </w:rPr>
        <w:t xml:space="preserve"> </w:t>
      </w:r>
      <w:r>
        <w:t>written</w:t>
      </w:r>
      <w:r>
        <w:rPr>
          <w:spacing w:val="-5"/>
        </w:rPr>
        <w:t xml:space="preserve"> </w:t>
      </w:r>
      <w:r>
        <w:t>informed</w:t>
      </w:r>
      <w:r>
        <w:rPr>
          <w:spacing w:val="-10"/>
        </w:rPr>
        <w:t xml:space="preserve"> </w:t>
      </w:r>
      <w:r>
        <w:t>consent</w:t>
      </w:r>
      <w:r>
        <w:rPr>
          <w:spacing w:val="-4"/>
        </w:rPr>
        <w:t xml:space="preserve"> </w:t>
      </w:r>
      <w:r>
        <w:t>before taking part. All participants in the ASD group had a confirmed diagnosis of ASD according</w:t>
      </w:r>
      <w:r>
        <w:rPr>
          <w:spacing w:val="-40"/>
        </w:rPr>
        <w:t xml:space="preserve"> </w:t>
      </w:r>
      <w:r>
        <w:t>to standard diagnostic criteria (ICD-10, DSM-IV or DSM-5) (American Psychiatric</w:t>
      </w:r>
      <w:r>
        <w:rPr>
          <w:spacing w:val="-45"/>
        </w:rPr>
        <w:t xml:space="preserve"> </w:t>
      </w:r>
      <w:r>
        <w:t>Association, 2000, 2013; World Health Organization, 2006). Additionally, all participants with ASD undertook</w:t>
      </w:r>
      <w:r>
        <w:rPr>
          <w:spacing w:val="-3"/>
        </w:rPr>
        <w:t xml:space="preserve"> </w:t>
      </w:r>
      <w:r>
        <w:t>the</w:t>
      </w:r>
      <w:r>
        <w:rPr>
          <w:spacing w:val="-7"/>
        </w:rPr>
        <w:t xml:space="preserve"> </w:t>
      </w:r>
      <w:r>
        <w:t>Autism</w:t>
      </w:r>
      <w:r>
        <w:rPr>
          <w:spacing w:val="-6"/>
        </w:rPr>
        <w:t xml:space="preserve"> </w:t>
      </w:r>
      <w:r>
        <w:t>Diagnostic</w:t>
      </w:r>
      <w:r>
        <w:rPr>
          <w:spacing w:val="-3"/>
        </w:rPr>
        <w:t xml:space="preserve"> </w:t>
      </w:r>
      <w:r>
        <w:t>Observation</w:t>
      </w:r>
      <w:r>
        <w:rPr>
          <w:spacing w:val="-7"/>
        </w:rPr>
        <w:t xml:space="preserve"> </w:t>
      </w:r>
      <w:r>
        <w:t>Schedule, second</w:t>
      </w:r>
      <w:r>
        <w:rPr>
          <w:spacing w:val="-2"/>
        </w:rPr>
        <w:t xml:space="preserve"> </w:t>
      </w:r>
      <w:r>
        <w:t>edition</w:t>
      </w:r>
      <w:r>
        <w:rPr>
          <w:spacing w:val="-7"/>
        </w:rPr>
        <w:t xml:space="preserve"> </w:t>
      </w:r>
      <w:r>
        <w:t>(ADOS-2,</w:t>
      </w:r>
      <w:r>
        <w:rPr>
          <w:spacing w:val="-4"/>
        </w:rPr>
        <w:t xml:space="preserve"> </w:t>
      </w:r>
      <w:r>
        <w:t>Lord</w:t>
      </w:r>
      <w:r>
        <w:rPr>
          <w:spacing w:val="-2"/>
        </w:rPr>
        <w:t xml:space="preserve"> </w:t>
      </w:r>
      <w:r>
        <w:t>et</w:t>
      </w:r>
      <w:r>
        <w:rPr>
          <w:spacing w:val="-6"/>
        </w:rPr>
        <w:t xml:space="preserve"> </w:t>
      </w:r>
      <w:r>
        <w:t>al., 2012), scores on which provide an indication of ASD severity. All participants completed</w:t>
      </w:r>
      <w:r>
        <w:rPr>
          <w:spacing w:val="-27"/>
        </w:rPr>
        <w:t xml:space="preserve"> </w:t>
      </w:r>
      <w:r>
        <w:t>the Autism Spectrum Quotient, a self-report measure of A</w:t>
      </w:r>
      <w:r>
        <w:t xml:space="preserve">SD traits (Baron-Cohen, Wheelwright, Skinner, Martin, &amp; </w:t>
      </w:r>
      <w:proofErr w:type="spellStart"/>
      <w:r>
        <w:t>Clubley</w:t>
      </w:r>
      <w:proofErr w:type="spellEnd"/>
      <w:r>
        <w:t>, 2001). Groups were matched closely for chronological age and gender, as well as for verbal IQ, performance IQ, and full-scale IQ using the Wechsler Abbreviated Scale of Intelligence (WASI-II, second edition, Wechsler, 2011; see Table</w:t>
      </w:r>
      <w:r>
        <w:rPr>
          <w:spacing w:val="-18"/>
        </w:rPr>
        <w:t xml:space="preserve"> </w:t>
      </w:r>
      <w:r>
        <w:t>12).</w:t>
      </w:r>
    </w:p>
    <w:p w14:paraId="69DFD1DE" w14:textId="77777777" w:rsidR="00C75312" w:rsidRDefault="00C75312">
      <w:pPr>
        <w:spacing w:line="480" w:lineRule="auto"/>
        <w:jc w:val="both"/>
        <w:sectPr w:rsidR="00C75312">
          <w:pgSz w:w="11900" w:h="16840"/>
          <w:pgMar w:top="1140" w:right="0" w:bottom="280" w:left="1300" w:header="720" w:footer="0" w:gutter="0"/>
          <w:cols w:space="720"/>
        </w:sectPr>
      </w:pPr>
    </w:p>
    <w:p w14:paraId="4A831F1E" w14:textId="77777777" w:rsidR="00C75312" w:rsidRDefault="00BB293A">
      <w:pPr>
        <w:spacing w:before="106"/>
        <w:ind w:left="140"/>
        <w:rPr>
          <w:i/>
          <w:sz w:val="20"/>
        </w:rPr>
      </w:pPr>
      <w:r>
        <w:rPr>
          <w:i/>
          <w:sz w:val="20"/>
        </w:rPr>
        <w:lastRenderedPageBreak/>
        <w:t>Table 12. Sample characteristics</w:t>
      </w:r>
    </w:p>
    <w:p w14:paraId="234DAA33" w14:textId="77777777" w:rsidR="00C75312" w:rsidRDefault="00C75312">
      <w:pPr>
        <w:pStyle w:val="BodyText"/>
        <w:rPr>
          <w:i/>
          <w:sz w:val="17"/>
        </w:rPr>
      </w:pPr>
    </w:p>
    <w:p w14:paraId="75873A5F" w14:textId="77777777" w:rsidR="00C75312" w:rsidRDefault="00BB293A">
      <w:pPr>
        <w:pStyle w:val="BodyText"/>
        <w:spacing w:line="20" w:lineRule="exact"/>
        <w:ind w:left="132"/>
        <w:rPr>
          <w:sz w:val="2"/>
        </w:rPr>
      </w:pPr>
      <w:r>
        <w:rPr>
          <w:sz w:val="2"/>
        </w:rPr>
      </w:r>
      <w:r>
        <w:rPr>
          <w:sz w:val="2"/>
        </w:rPr>
        <w:pict w14:anchorId="6C458BCF">
          <v:group id="_x0000_s2702" style="width:451.2pt;height:.75pt;mso-position-horizontal-relative:char;mso-position-vertical-relative:line" coordsize="9024,15">
            <v:line id="_x0000_s2713" style="position:absolute" from="0,7" to="1176,7" strokeweight=".72pt"/>
            <v:rect id="_x0000_s2712" style="position:absolute;left:1176;width:15;height:15" fillcolor="black" stroked="f"/>
            <v:line id="_x0000_s2711" style="position:absolute" from="1190,7" to="5424,7" strokeweight=".72pt"/>
            <v:rect id="_x0000_s2710" style="position:absolute;left:5424;width:15;height:15" fillcolor="black" stroked="f"/>
            <v:line id="_x0000_s2709" style="position:absolute" from="5438,7" to="6283,7" strokeweight=".72pt"/>
            <v:rect id="_x0000_s2708" style="position:absolute;left:6283;width:15;height:15" fillcolor="black" stroked="f"/>
            <v:line id="_x0000_s2707" style="position:absolute" from="6298,7" to="7128,7" strokeweight=".72pt"/>
            <v:rect id="_x0000_s2706" style="position:absolute;left:7128;width:15;height:15" fillcolor="black" stroked="f"/>
            <v:line id="_x0000_s2705" style="position:absolute" from="7142,7" to="7992,7" strokeweight=".72pt"/>
            <v:rect id="_x0000_s2704" style="position:absolute;left:7992;width:15;height:15" fillcolor="black" stroked="f"/>
            <v:line id="_x0000_s2703" style="position:absolute" from="8006,7" to="9024,7" strokeweight=".72pt"/>
            <w10:anchorlock/>
          </v:group>
        </w:pict>
      </w:r>
    </w:p>
    <w:p w14:paraId="5FD7322A" w14:textId="77777777" w:rsidR="00C75312" w:rsidRDefault="00C75312">
      <w:pPr>
        <w:spacing w:line="20" w:lineRule="exact"/>
        <w:rPr>
          <w:sz w:val="2"/>
        </w:rPr>
        <w:sectPr w:rsidR="00C75312">
          <w:pgSz w:w="11900" w:h="16840"/>
          <w:pgMar w:top="1140" w:right="0" w:bottom="280" w:left="1300" w:header="720" w:footer="0" w:gutter="0"/>
          <w:cols w:space="720"/>
        </w:sectPr>
      </w:pPr>
    </w:p>
    <w:p w14:paraId="5DAC6593" w14:textId="77777777" w:rsidR="00C75312" w:rsidRDefault="00BB293A">
      <w:pPr>
        <w:spacing w:before="87"/>
        <w:ind w:left="2640"/>
        <w:rPr>
          <w:b/>
          <w:sz w:val="20"/>
        </w:rPr>
      </w:pPr>
      <w:r>
        <w:rPr>
          <w:b/>
          <w:sz w:val="20"/>
        </w:rPr>
        <w:t>Group means (SD)</w:t>
      </w:r>
    </w:p>
    <w:p w14:paraId="39C19CF5" w14:textId="77777777" w:rsidR="00C75312" w:rsidRDefault="00BB293A">
      <w:pPr>
        <w:tabs>
          <w:tab w:val="left" w:pos="4455"/>
        </w:tabs>
        <w:spacing w:before="173"/>
        <w:ind w:left="2266"/>
        <w:rPr>
          <w:b/>
          <w:sz w:val="20"/>
        </w:rPr>
      </w:pPr>
      <w:r>
        <w:pict w14:anchorId="43117D6F">
          <v:group id="_x0000_s2698" style="position:absolute;left:0;text-align:left;margin-left:130.8pt;margin-top:5.25pt;width:212.4pt;height:.5pt;z-index:251731968;mso-position-horizontal-relative:page" coordorigin="2616,105" coordsize="4248,10">
            <v:line id="_x0000_s2701" style="position:absolute" from="2616,110" to="4920,110" strokeweight=".48pt"/>
            <v:rect id="_x0000_s2700" style="position:absolute;left:4920;top:105;width:10;height:10" fillcolor="black" stroked="f"/>
            <v:line id="_x0000_s2699" style="position:absolute" from="4930,110" to="6864,110" strokeweight=".48pt"/>
            <w10:wrap anchorx="page"/>
          </v:group>
        </w:pict>
      </w:r>
      <w:r>
        <w:rPr>
          <w:b/>
          <w:sz w:val="20"/>
        </w:rPr>
        <w:t>ASD</w:t>
      </w:r>
      <w:r>
        <w:rPr>
          <w:b/>
          <w:sz w:val="20"/>
        </w:rPr>
        <w:tab/>
      </w:r>
      <w:r>
        <w:rPr>
          <w:b/>
          <w:spacing w:val="-12"/>
          <w:sz w:val="20"/>
        </w:rPr>
        <w:t>NT</w:t>
      </w:r>
    </w:p>
    <w:p w14:paraId="53AF33B3" w14:textId="77777777" w:rsidR="00C75312" w:rsidRDefault="00BB293A">
      <w:pPr>
        <w:pStyle w:val="BodyText"/>
        <w:rPr>
          <w:b/>
          <w:sz w:val="22"/>
        </w:rPr>
      </w:pPr>
      <w:r>
        <w:br w:type="column"/>
      </w:r>
    </w:p>
    <w:p w14:paraId="035F4BEC" w14:textId="77777777" w:rsidR="00C75312" w:rsidRDefault="00C75312">
      <w:pPr>
        <w:pStyle w:val="BodyText"/>
        <w:rPr>
          <w:b/>
          <w:sz w:val="22"/>
        </w:rPr>
      </w:pPr>
    </w:p>
    <w:p w14:paraId="79F053CE" w14:textId="77777777" w:rsidR="00C75312" w:rsidRDefault="00BB293A">
      <w:pPr>
        <w:tabs>
          <w:tab w:val="left" w:pos="1991"/>
          <w:tab w:val="left" w:pos="2875"/>
          <w:tab w:val="left" w:pos="3455"/>
        </w:tabs>
        <w:spacing w:before="128"/>
        <w:ind w:left="1190"/>
        <w:rPr>
          <w:b/>
          <w:i/>
          <w:sz w:val="20"/>
        </w:rPr>
      </w:pPr>
      <w:r>
        <w:pict w14:anchorId="1105E145">
          <v:shape id="_x0000_s2697" type="#_x0000_t202" style="position:absolute;left:0;text-align:left;margin-left:71.65pt;margin-top:13.95pt;width:451.6pt;height:144.15pt;z-index:25173299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09"/>
                    <w:gridCol w:w="2092"/>
                    <w:gridCol w:w="1927"/>
                    <w:gridCol w:w="1039"/>
                    <w:gridCol w:w="693"/>
                    <w:gridCol w:w="1005"/>
                    <w:gridCol w:w="964"/>
                  </w:tblGrid>
                  <w:tr w:rsidR="00C75312" w14:paraId="11AC52D3" w14:textId="77777777">
                    <w:trPr>
                      <w:trHeight w:val="294"/>
                    </w:trPr>
                    <w:tc>
                      <w:tcPr>
                        <w:tcW w:w="1309" w:type="dxa"/>
                        <w:tcBorders>
                          <w:bottom w:val="single" w:sz="6" w:space="0" w:color="000000"/>
                        </w:tcBorders>
                      </w:tcPr>
                      <w:p w14:paraId="2CEAEB49" w14:textId="77777777" w:rsidR="00C75312" w:rsidRDefault="00C75312">
                        <w:pPr>
                          <w:pStyle w:val="TableParagraph"/>
                        </w:pPr>
                      </w:p>
                    </w:tc>
                    <w:tc>
                      <w:tcPr>
                        <w:tcW w:w="2092" w:type="dxa"/>
                        <w:tcBorders>
                          <w:bottom w:val="single" w:sz="6" w:space="0" w:color="000000"/>
                        </w:tcBorders>
                      </w:tcPr>
                      <w:p w14:paraId="4B510EE9" w14:textId="77777777" w:rsidR="00C75312" w:rsidRDefault="00BB293A">
                        <w:pPr>
                          <w:pStyle w:val="TableParagraph"/>
                          <w:spacing w:line="223" w:lineRule="exact"/>
                          <w:ind w:left="695"/>
                          <w:rPr>
                            <w:b/>
                            <w:sz w:val="20"/>
                          </w:rPr>
                        </w:pPr>
                        <w:r>
                          <w:rPr>
                            <w:b/>
                            <w:sz w:val="20"/>
                          </w:rPr>
                          <w:t>(</w:t>
                        </w:r>
                        <w:r>
                          <w:rPr>
                            <w:b/>
                            <w:i/>
                            <w:sz w:val="20"/>
                          </w:rPr>
                          <w:t xml:space="preserve">n </w:t>
                        </w:r>
                        <w:r>
                          <w:rPr>
                            <w:b/>
                            <w:sz w:val="20"/>
                          </w:rPr>
                          <w:t>= 25)</w:t>
                        </w:r>
                      </w:p>
                    </w:tc>
                    <w:tc>
                      <w:tcPr>
                        <w:tcW w:w="1927" w:type="dxa"/>
                        <w:tcBorders>
                          <w:bottom w:val="single" w:sz="6" w:space="0" w:color="000000"/>
                        </w:tcBorders>
                      </w:tcPr>
                      <w:p w14:paraId="7FB5CDBE" w14:textId="77777777" w:rsidR="00C75312" w:rsidRDefault="00BB293A">
                        <w:pPr>
                          <w:pStyle w:val="TableParagraph"/>
                          <w:spacing w:line="223" w:lineRule="exact"/>
                          <w:ind w:left="450" w:right="247"/>
                          <w:jc w:val="center"/>
                          <w:rPr>
                            <w:b/>
                            <w:sz w:val="20"/>
                          </w:rPr>
                        </w:pPr>
                        <w:r>
                          <w:rPr>
                            <w:b/>
                            <w:sz w:val="20"/>
                          </w:rPr>
                          <w:t>(</w:t>
                        </w:r>
                        <w:r>
                          <w:rPr>
                            <w:b/>
                            <w:i/>
                            <w:sz w:val="20"/>
                          </w:rPr>
                          <w:t xml:space="preserve">n </w:t>
                        </w:r>
                        <w:r>
                          <w:rPr>
                            <w:b/>
                            <w:sz w:val="20"/>
                          </w:rPr>
                          <w:t>=23)</w:t>
                        </w:r>
                      </w:p>
                    </w:tc>
                    <w:tc>
                      <w:tcPr>
                        <w:tcW w:w="3701" w:type="dxa"/>
                        <w:gridSpan w:val="4"/>
                        <w:tcBorders>
                          <w:bottom w:val="single" w:sz="6" w:space="0" w:color="000000"/>
                        </w:tcBorders>
                      </w:tcPr>
                      <w:p w14:paraId="7CA2EEB3" w14:textId="77777777" w:rsidR="00C75312" w:rsidRDefault="00C75312">
                        <w:pPr>
                          <w:pStyle w:val="TableParagraph"/>
                        </w:pPr>
                      </w:p>
                    </w:tc>
                  </w:tr>
                  <w:tr w:rsidR="00C75312" w14:paraId="7F3F5609" w14:textId="77777777">
                    <w:trPr>
                      <w:trHeight w:val="418"/>
                    </w:trPr>
                    <w:tc>
                      <w:tcPr>
                        <w:tcW w:w="1309" w:type="dxa"/>
                        <w:tcBorders>
                          <w:top w:val="single" w:sz="6" w:space="0" w:color="000000"/>
                        </w:tcBorders>
                      </w:tcPr>
                      <w:p w14:paraId="1AF21DA1" w14:textId="77777777" w:rsidR="00C75312" w:rsidRDefault="00BB293A">
                        <w:pPr>
                          <w:pStyle w:val="TableParagraph"/>
                          <w:spacing w:before="86"/>
                          <w:ind w:left="297" w:right="410"/>
                          <w:jc w:val="center"/>
                          <w:rPr>
                            <w:b/>
                            <w:sz w:val="20"/>
                          </w:rPr>
                        </w:pPr>
                        <w:r>
                          <w:rPr>
                            <w:b/>
                            <w:sz w:val="20"/>
                          </w:rPr>
                          <w:t>Age</w:t>
                        </w:r>
                      </w:p>
                    </w:tc>
                    <w:tc>
                      <w:tcPr>
                        <w:tcW w:w="2092" w:type="dxa"/>
                        <w:tcBorders>
                          <w:top w:val="single" w:sz="6" w:space="0" w:color="000000"/>
                        </w:tcBorders>
                      </w:tcPr>
                      <w:p w14:paraId="55676D13" w14:textId="77777777" w:rsidR="00C75312" w:rsidRDefault="00BB293A">
                        <w:pPr>
                          <w:pStyle w:val="TableParagraph"/>
                          <w:spacing w:before="86"/>
                          <w:ind w:left="483"/>
                          <w:rPr>
                            <w:sz w:val="20"/>
                          </w:rPr>
                        </w:pPr>
                        <w:r>
                          <w:rPr>
                            <w:sz w:val="20"/>
                          </w:rPr>
                          <w:t>34.84 (11.42)</w:t>
                        </w:r>
                      </w:p>
                    </w:tc>
                    <w:tc>
                      <w:tcPr>
                        <w:tcW w:w="1927" w:type="dxa"/>
                        <w:tcBorders>
                          <w:top w:val="single" w:sz="6" w:space="0" w:color="000000"/>
                        </w:tcBorders>
                      </w:tcPr>
                      <w:p w14:paraId="7BD04598" w14:textId="77777777" w:rsidR="00C75312" w:rsidRDefault="00BB293A">
                        <w:pPr>
                          <w:pStyle w:val="TableParagraph"/>
                          <w:spacing w:before="86"/>
                          <w:ind w:left="450" w:right="252"/>
                          <w:jc w:val="center"/>
                          <w:rPr>
                            <w:sz w:val="20"/>
                          </w:rPr>
                        </w:pPr>
                        <w:r>
                          <w:rPr>
                            <w:sz w:val="20"/>
                          </w:rPr>
                          <w:t>38.24 (13.19)</w:t>
                        </w:r>
                      </w:p>
                    </w:tc>
                    <w:tc>
                      <w:tcPr>
                        <w:tcW w:w="1039" w:type="dxa"/>
                        <w:tcBorders>
                          <w:top w:val="single" w:sz="6" w:space="0" w:color="000000"/>
                        </w:tcBorders>
                      </w:tcPr>
                      <w:p w14:paraId="000AD44E" w14:textId="77777777" w:rsidR="00C75312" w:rsidRDefault="00BB293A">
                        <w:pPr>
                          <w:pStyle w:val="TableParagraph"/>
                          <w:spacing w:before="86"/>
                          <w:ind w:left="254" w:right="228"/>
                          <w:jc w:val="center"/>
                          <w:rPr>
                            <w:sz w:val="20"/>
                          </w:rPr>
                        </w:pPr>
                        <w:r>
                          <w:rPr>
                            <w:sz w:val="20"/>
                          </w:rPr>
                          <w:t>-0.958</w:t>
                        </w:r>
                      </w:p>
                    </w:tc>
                    <w:tc>
                      <w:tcPr>
                        <w:tcW w:w="693" w:type="dxa"/>
                        <w:tcBorders>
                          <w:top w:val="single" w:sz="6" w:space="0" w:color="000000"/>
                        </w:tcBorders>
                      </w:tcPr>
                      <w:p w14:paraId="3A7F6005" w14:textId="77777777" w:rsidR="00C75312" w:rsidRDefault="00BB293A">
                        <w:pPr>
                          <w:pStyle w:val="TableParagraph"/>
                          <w:spacing w:before="86"/>
                          <w:ind w:right="244"/>
                          <w:jc w:val="right"/>
                          <w:rPr>
                            <w:sz w:val="20"/>
                          </w:rPr>
                        </w:pPr>
                        <w:r>
                          <w:rPr>
                            <w:sz w:val="20"/>
                          </w:rPr>
                          <w:t>46</w:t>
                        </w:r>
                      </w:p>
                    </w:tc>
                    <w:tc>
                      <w:tcPr>
                        <w:tcW w:w="1005" w:type="dxa"/>
                        <w:tcBorders>
                          <w:top w:val="single" w:sz="6" w:space="0" w:color="000000"/>
                        </w:tcBorders>
                      </w:tcPr>
                      <w:p w14:paraId="439375B0" w14:textId="77777777" w:rsidR="00C75312" w:rsidRDefault="00BB293A">
                        <w:pPr>
                          <w:pStyle w:val="TableParagraph"/>
                          <w:spacing w:before="86"/>
                          <w:ind w:left="230" w:right="221"/>
                          <w:jc w:val="center"/>
                          <w:rPr>
                            <w:sz w:val="20"/>
                          </w:rPr>
                        </w:pPr>
                        <w:r>
                          <w:rPr>
                            <w:sz w:val="20"/>
                          </w:rPr>
                          <w:t>0.34</w:t>
                        </w:r>
                      </w:p>
                    </w:tc>
                    <w:tc>
                      <w:tcPr>
                        <w:tcW w:w="964" w:type="dxa"/>
                        <w:tcBorders>
                          <w:top w:val="single" w:sz="6" w:space="0" w:color="000000"/>
                        </w:tcBorders>
                      </w:tcPr>
                      <w:p w14:paraId="0B16A833" w14:textId="77777777" w:rsidR="00C75312" w:rsidRDefault="00BB293A">
                        <w:pPr>
                          <w:pStyle w:val="TableParagraph"/>
                          <w:spacing w:before="86"/>
                          <w:ind w:left="241"/>
                          <w:rPr>
                            <w:sz w:val="20"/>
                          </w:rPr>
                        </w:pPr>
                        <w:r>
                          <w:rPr>
                            <w:sz w:val="20"/>
                          </w:rPr>
                          <w:t>-0.28</w:t>
                        </w:r>
                      </w:p>
                    </w:tc>
                  </w:tr>
                  <w:tr w:rsidR="00C75312" w14:paraId="40115A19" w14:textId="77777777">
                    <w:trPr>
                      <w:trHeight w:val="424"/>
                    </w:trPr>
                    <w:tc>
                      <w:tcPr>
                        <w:tcW w:w="1309" w:type="dxa"/>
                      </w:tcPr>
                      <w:p w14:paraId="3BD4893C" w14:textId="77777777" w:rsidR="00C75312" w:rsidRDefault="00BB293A">
                        <w:pPr>
                          <w:pStyle w:val="TableParagraph"/>
                          <w:spacing w:before="95"/>
                          <w:ind w:left="297" w:right="416"/>
                          <w:jc w:val="center"/>
                          <w:rPr>
                            <w:b/>
                            <w:sz w:val="20"/>
                          </w:rPr>
                        </w:pPr>
                        <w:r>
                          <w:rPr>
                            <w:b/>
                            <w:sz w:val="20"/>
                          </w:rPr>
                          <w:t>VIQ</w:t>
                        </w:r>
                      </w:p>
                    </w:tc>
                    <w:tc>
                      <w:tcPr>
                        <w:tcW w:w="2092" w:type="dxa"/>
                      </w:tcPr>
                      <w:p w14:paraId="63A1A746" w14:textId="77777777" w:rsidR="00C75312" w:rsidRDefault="00BB293A">
                        <w:pPr>
                          <w:pStyle w:val="TableParagraph"/>
                          <w:spacing w:before="95"/>
                          <w:ind w:left="435"/>
                          <w:rPr>
                            <w:sz w:val="20"/>
                          </w:rPr>
                        </w:pPr>
                        <w:r>
                          <w:rPr>
                            <w:sz w:val="20"/>
                          </w:rPr>
                          <w:t>105.20 (13.64)</w:t>
                        </w:r>
                      </w:p>
                    </w:tc>
                    <w:tc>
                      <w:tcPr>
                        <w:tcW w:w="1927" w:type="dxa"/>
                      </w:tcPr>
                      <w:p w14:paraId="4B9B1886" w14:textId="77777777" w:rsidR="00C75312" w:rsidRDefault="00BB293A">
                        <w:pPr>
                          <w:pStyle w:val="TableParagraph"/>
                          <w:spacing w:before="95"/>
                          <w:ind w:left="450" w:right="252"/>
                          <w:jc w:val="center"/>
                          <w:rPr>
                            <w:sz w:val="20"/>
                          </w:rPr>
                        </w:pPr>
                        <w:r>
                          <w:rPr>
                            <w:sz w:val="20"/>
                          </w:rPr>
                          <w:t>104.35 (9.60)</w:t>
                        </w:r>
                      </w:p>
                    </w:tc>
                    <w:tc>
                      <w:tcPr>
                        <w:tcW w:w="1039" w:type="dxa"/>
                      </w:tcPr>
                      <w:p w14:paraId="18089C55" w14:textId="77777777" w:rsidR="00C75312" w:rsidRDefault="00BB293A">
                        <w:pPr>
                          <w:pStyle w:val="TableParagraph"/>
                          <w:spacing w:before="95"/>
                          <w:ind w:left="254" w:right="228"/>
                          <w:jc w:val="center"/>
                          <w:rPr>
                            <w:sz w:val="20"/>
                          </w:rPr>
                        </w:pPr>
                        <w:r>
                          <w:rPr>
                            <w:sz w:val="20"/>
                          </w:rPr>
                          <w:t>0.248</w:t>
                        </w:r>
                      </w:p>
                    </w:tc>
                    <w:tc>
                      <w:tcPr>
                        <w:tcW w:w="693" w:type="dxa"/>
                      </w:tcPr>
                      <w:p w14:paraId="1D621F94" w14:textId="77777777" w:rsidR="00C75312" w:rsidRDefault="00BB293A">
                        <w:pPr>
                          <w:pStyle w:val="TableParagraph"/>
                          <w:spacing w:before="95"/>
                          <w:ind w:right="244"/>
                          <w:jc w:val="right"/>
                          <w:rPr>
                            <w:sz w:val="20"/>
                          </w:rPr>
                        </w:pPr>
                        <w:r>
                          <w:rPr>
                            <w:sz w:val="20"/>
                          </w:rPr>
                          <w:t>46</w:t>
                        </w:r>
                      </w:p>
                    </w:tc>
                    <w:tc>
                      <w:tcPr>
                        <w:tcW w:w="1005" w:type="dxa"/>
                      </w:tcPr>
                      <w:p w14:paraId="58623B2B" w14:textId="77777777" w:rsidR="00C75312" w:rsidRDefault="00BB293A">
                        <w:pPr>
                          <w:pStyle w:val="TableParagraph"/>
                          <w:spacing w:before="95"/>
                          <w:ind w:left="230" w:right="221"/>
                          <w:jc w:val="center"/>
                          <w:rPr>
                            <w:sz w:val="20"/>
                          </w:rPr>
                        </w:pPr>
                        <w:r>
                          <w:rPr>
                            <w:sz w:val="20"/>
                          </w:rPr>
                          <w:t>0.81</w:t>
                        </w:r>
                      </w:p>
                    </w:tc>
                    <w:tc>
                      <w:tcPr>
                        <w:tcW w:w="964" w:type="dxa"/>
                      </w:tcPr>
                      <w:p w14:paraId="4B84C89F" w14:textId="77777777" w:rsidR="00C75312" w:rsidRDefault="00BB293A">
                        <w:pPr>
                          <w:pStyle w:val="TableParagraph"/>
                          <w:spacing w:before="95"/>
                          <w:ind w:left="275"/>
                          <w:rPr>
                            <w:sz w:val="20"/>
                          </w:rPr>
                        </w:pPr>
                        <w:r>
                          <w:rPr>
                            <w:sz w:val="20"/>
                          </w:rPr>
                          <w:t>0.07</w:t>
                        </w:r>
                      </w:p>
                    </w:tc>
                  </w:tr>
                  <w:tr w:rsidR="00C75312" w14:paraId="3FE1A90D" w14:textId="77777777">
                    <w:trPr>
                      <w:trHeight w:val="424"/>
                    </w:trPr>
                    <w:tc>
                      <w:tcPr>
                        <w:tcW w:w="1309" w:type="dxa"/>
                      </w:tcPr>
                      <w:p w14:paraId="74BA3EDB" w14:textId="77777777" w:rsidR="00C75312" w:rsidRDefault="00BB293A">
                        <w:pPr>
                          <w:pStyle w:val="TableParagraph"/>
                          <w:spacing w:before="92"/>
                          <w:ind w:left="297" w:right="415"/>
                          <w:jc w:val="center"/>
                          <w:rPr>
                            <w:b/>
                            <w:sz w:val="20"/>
                          </w:rPr>
                        </w:pPr>
                        <w:r>
                          <w:rPr>
                            <w:b/>
                            <w:sz w:val="20"/>
                          </w:rPr>
                          <w:t>PIQ</w:t>
                        </w:r>
                      </w:p>
                    </w:tc>
                    <w:tc>
                      <w:tcPr>
                        <w:tcW w:w="2092" w:type="dxa"/>
                      </w:tcPr>
                      <w:p w14:paraId="280A463B" w14:textId="77777777" w:rsidR="00C75312" w:rsidRDefault="00BB293A">
                        <w:pPr>
                          <w:pStyle w:val="TableParagraph"/>
                          <w:spacing w:before="92"/>
                          <w:ind w:left="435"/>
                          <w:rPr>
                            <w:sz w:val="20"/>
                          </w:rPr>
                        </w:pPr>
                        <w:r>
                          <w:rPr>
                            <w:sz w:val="20"/>
                          </w:rPr>
                          <w:t>102.92 (19.39)</w:t>
                        </w:r>
                      </w:p>
                    </w:tc>
                    <w:tc>
                      <w:tcPr>
                        <w:tcW w:w="1927" w:type="dxa"/>
                      </w:tcPr>
                      <w:p w14:paraId="2D3503DA" w14:textId="77777777" w:rsidR="00C75312" w:rsidRDefault="00BB293A">
                        <w:pPr>
                          <w:pStyle w:val="TableParagraph"/>
                          <w:spacing w:before="92"/>
                          <w:ind w:left="450" w:right="252"/>
                          <w:jc w:val="center"/>
                          <w:rPr>
                            <w:sz w:val="20"/>
                          </w:rPr>
                        </w:pPr>
                        <w:r>
                          <w:rPr>
                            <w:sz w:val="20"/>
                          </w:rPr>
                          <w:t>104.65 (10.81)</w:t>
                        </w:r>
                      </w:p>
                    </w:tc>
                    <w:tc>
                      <w:tcPr>
                        <w:tcW w:w="1039" w:type="dxa"/>
                      </w:tcPr>
                      <w:p w14:paraId="65E1816F" w14:textId="77777777" w:rsidR="00C75312" w:rsidRDefault="00BB293A">
                        <w:pPr>
                          <w:pStyle w:val="TableParagraph"/>
                          <w:spacing w:before="92"/>
                          <w:ind w:left="254" w:right="228"/>
                          <w:jc w:val="center"/>
                          <w:rPr>
                            <w:sz w:val="20"/>
                          </w:rPr>
                        </w:pPr>
                        <w:r>
                          <w:rPr>
                            <w:sz w:val="20"/>
                          </w:rPr>
                          <w:t>-0.378</w:t>
                        </w:r>
                      </w:p>
                    </w:tc>
                    <w:tc>
                      <w:tcPr>
                        <w:tcW w:w="693" w:type="dxa"/>
                      </w:tcPr>
                      <w:p w14:paraId="172F64DB" w14:textId="77777777" w:rsidR="00C75312" w:rsidRDefault="00BB293A">
                        <w:pPr>
                          <w:pStyle w:val="TableParagraph"/>
                          <w:spacing w:before="92"/>
                          <w:ind w:right="244"/>
                          <w:jc w:val="right"/>
                          <w:rPr>
                            <w:sz w:val="20"/>
                          </w:rPr>
                        </w:pPr>
                        <w:r>
                          <w:rPr>
                            <w:sz w:val="20"/>
                          </w:rPr>
                          <w:t>46</w:t>
                        </w:r>
                      </w:p>
                    </w:tc>
                    <w:tc>
                      <w:tcPr>
                        <w:tcW w:w="1005" w:type="dxa"/>
                      </w:tcPr>
                      <w:p w14:paraId="103CDDC2" w14:textId="77777777" w:rsidR="00C75312" w:rsidRDefault="00BB293A">
                        <w:pPr>
                          <w:pStyle w:val="TableParagraph"/>
                          <w:spacing w:before="92"/>
                          <w:ind w:left="230" w:right="221"/>
                          <w:jc w:val="center"/>
                          <w:rPr>
                            <w:sz w:val="20"/>
                          </w:rPr>
                        </w:pPr>
                        <w:r>
                          <w:rPr>
                            <w:sz w:val="20"/>
                          </w:rPr>
                          <w:t>0.71</w:t>
                        </w:r>
                      </w:p>
                    </w:tc>
                    <w:tc>
                      <w:tcPr>
                        <w:tcW w:w="964" w:type="dxa"/>
                      </w:tcPr>
                      <w:p w14:paraId="0A1417CC" w14:textId="77777777" w:rsidR="00C75312" w:rsidRDefault="00BB293A">
                        <w:pPr>
                          <w:pStyle w:val="TableParagraph"/>
                          <w:spacing w:before="92"/>
                          <w:ind w:left="241"/>
                          <w:rPr>
                            <w:sz w:val="20"/>
                          </w:rPr>
                        </w:pPr>
                        <w:r>
                          <w:rPr>
                            <w:sz w:val="20"/>
                          </w:rPr>
                          <w:t>-0.11</w:t>
                        </w:r>
                      </w:p>
                    </w:tc>
                  </w:tr>
                  <w:tr w:rsidR="00C75312" w14:paraId="4037996F" w14:textId="77777777">
                    <w:trPr>
                      <w:trHeight w:val="427"/>
                    </w:trPr>
                    <w:tc>
                      <w:tcPr>
                        <w:tcW w:w="1309" w:type="dxa"/>
                      </w:tcPr>
                      <w:p w14:paraId="4F1F3D8D" w14:textId="77777777" w:rsidR="00C75312" w:rsidRDefault="00BB293A">
                        <w:pPr>
                          <w:pStyle w:val="TableParagraph"/>
                          <w:spacing w:before="95"/>
                          <w:ind w:left="297" w:right="410"/>
                          <w:jc w:val="center"/>
                          <w:rPr>
                            <w:b/>
                            <w:sz w:val="20"/>
                          </w:rPr>
                        </w:pPr>
                        <w:r>
                          <w:rPr>
                            <w:b/>
                            <w:sz w:val="20"/>
                          </w:rPr>
                          <w:t>FSIQ</w:t>
                        </w:r>
                      </w:p>
                    </w:tc>
                    <w:tc>
                      <w:tcPr>
                        <w:tcW w:w="2092" w:type="dxa"/>
                      </w:tcPr>
                      <w:p w14:paraId="7C891E4A" w14:textId="77777777" w:rsidR="00C75312" w:rsidRDefault="00BB293A">
                        <w:pPr>
                          <w:pStyle w:val="TableParagraph"/>
                          <w:spacing w:before="95"/>
                          <w:ind w:left="435"/>
                          <w:rPr>
                            <w:sz w:val="20"/>
                          </w:rPr>
                        </w:pPr>
                        <w:r>
                          <w:rPr>
                            <w:sz w:val="20"/>
                          </w:rPr>
                          <w:t>104.32 (16.44)</w:t>
                        </w:r>
                      </w:p>
                    </w:tc>
                    <w:tc>
                      <w:tcPr>
                        <w:tcW w:w="1927" w:type="dxa"/>
                      </w:tcPr>
                      <w:p w14:paraId="335BF572" w14:textId="77777777" w:rsidR="00C75312" w:rsidRDefault="00BB293A">
                        <w:pPr>
                          <w:pStyle w:val="TableParagraph"/>
                          <w:spacing w:before="95"/>
                          <w:ind w:left="450" w:right="252"/>
                          <w:jc w:val="center"/>
                          <w:rPr>
                            <w:sz w:val="20"/>
                          </w:rPr>
                        </w:pPr>
                        <w:r>
                          <w:rPr>
                            <w:sz w:val="20"/>
                          </w:rPr>
                          <w:t>104.87 (9.39)</w:t>
                        </w:r>
                      </w:p>
                    </w:tc>
                    <w:tc>
                      <w:tcPr>
                        <w:tcW w:w="1039" w:type="dxa"/>
                      </w:tcPr>
                      <w:p w14:paraId="69E3D3EE" w14:textId="77777777" w:rsidR="00C75312" w:rsidRDefault="00BB293A">
                        <w:pPr>
                          <w:pStyle w:val="TableParagraph"/>
                          <w:spacing w:before="95"/>
                          <w:ind w:left="254" w:right="228"/>
                          <w:jc w:val="center"/>
                          <w:rPr>
                            <w:sz w:val="20"/>
                          </w:rPr>
                        </w:pPr>
                        <w:r>
                          <w:rPr>
                            <w:sz w:val="20"/>
                          </w:rPr>
                          <w:t>-0.141</w:t>
                        </w:r>
                      </w:p>
                    </w:tc>
                    <w:tc>
                      <w:tcPr>
                        <w:tcW w:w="693" w:type="dxa"/>
                      </w:tcPr>
                      <w:p w14:paraId="6446302B" w14:textId="77777777" w:rsidR="00C75312" w:rsidRDefault="00BB293A">
                        <w:pPr>
                          <w:pStyle w:val="TableParagraph"/>
                          <w:spacing w:before="95"/>
                          <w:ind w:right="244"/>
                          <w:jc w:val="right"/>
                          <w:rPr>
                            <w:sz w:val="20"/>
                          </w:rPr>
                        </w:pPr>
                        <w:r>
                          <w:rPr>
                            <w:sz w:val="20"/>
                          </w:rPr>
                          <w:t>46</w:t>
                        </w:r>
                      </w:p>
                    </w:tc>
                    <w:tc>
                      <w:tcPr>
                        <w:tcW w:w="1005" w:type="dxa"/>
                      </w:tcPr>
                      <w:p w14:paraId="73B2D23C" w14:textId="77777777" w:rsidR="00C75312" w:rsidRDefault="00BB293A">
                        <w:pPr>
                          <w:pStyle w:val="TableParagraph"/>
                          <w:spacing w:before="95"/>
                          <w:ind w:left="230" w:right="221"/>
                          <w:jc w:val="center"/>
                          <w:rPr>
                            <w:sz w:val="20"/>
                          </w:rPr>
                        </w:pPr>
                        <w:r>
                          <w:rPr>
                            <w:sz w:val="20"/>
                          </w:rPr>
                          <w:t>0.89</w:t>
                        </w:r>
                      </w:p>
                    </w:tc>
                    <w:tc>
                      <w:tcPr>
                        <w:tcW w:w="964" w:type="dxa"/>
                      </w:tcPr>
                      <w:p w14:paraId="2E38483A" w14:textId="77777777" w:rsidR="00C75312" w:rsidRDefault="00BB293A">
                        <w:pPr>
                          <w:pStyle w:val="TableParagraph"/>
                          <w:spacing w:before="95"/>
                          <w:ind w:left="241"/>
                          <w:rPr>
                            <w:sz w:val="20"/>
                          </w:rPr>
                        </w:pPr>
                        <w:r>
                          <w:rPr>
                            <w:sz w:val="20"/>
                          </w:rPr>
                          <w:t>-0.04</w:t>
                        </w:r>
                      </w:p>
                    </w:tc>
                  </w:tr>
                  <w:tr w:rsidR="00C75312" w14:paraId="5EA6ADB2" w14:textId="77777777">
                    <w:trPr>
                      <w:trHeight w:val="427"/>
                    </w:trPr>
                    <w:tc>
                      <w:tcPr>
                        <w:tcW w:w="1309" w:type="dxa"/>
                      </w:tcPr>
                      <w:p w14:paraId="3006124A" w14:textId="77777777" w:rsidR="00C75312" w:rsidRDefault="00BB293A">
                        <w:pPr>
                          <w:pStyle w:val="TableParagraph"/>
                          <w:spacing w:before="95"/>
                          <w:ind w:left="297" w:right="416"/>
                          <w:jc w:val="center"/>
                          <w:rPr>
                            <w:b/>
                            <w:sz w:val="20"/>
                          </w:rPr>
                        </w:pPr>
                        <w:r>
                          <w:rPr>
                            <w:b/>
                            <w:sz w:val="20"/>
                          </w:rPr>
                          <w:t>AQ</w:t>
                        </w:r>
                      </w:p>
                    </w:tc>
                    <w:tc>
                      <w:tcPr>
                        <w:tcW w:w="2092" w:type="dxa"/>
                      </w:tcPr>
                      <w:p w14:paraId="73F867FD" w14:textId="77777777" w:rsidR="00C75312" w:rsidRDefault="00BB293A">
                        <w:pPr>
                          <w:pStyle w:val="TableParagraph"/>
                          <w:spacing w:before="95"/>
                          <w:ind w:left="531"/>
                          <w:rPr>
                            <w:sz w:val="20"/>
                          </w:rPr>
                        </w:pPr>
                        <w:r>
                          <w:rPr>
                            <w:sz w:val="20"/>
                          </w:rPr>
                          <w:t>31.00 (9.06)</w:t>
                        </w:r>
                      </w:p>
                    </w:tc>
                    <w:tc>
                      <w:tcPr>
                        <w:tcW w:w="1927" w:type="dxa"/>
                      </w:tcPr>
                      <w:p w14:paraId="1BBA3D36" w14:textId="77777777" w:rsidR="00C75312" w:rsidRDefault="00BB293A">
                        <w:pPr>
                          <w:pStyle w:val="TableParagraph"/>
                          <w:spacing w:before="95"/>
                          <w:ind w:left="450" w:right="247"/>
                          <w:jc w:val="center"/>
                          <w:rPr>
                            <w:sz w:val="20"/>
                          </w:rPr>
                        </w:pPr>
                        <w:r>
                          <w:rPr>
                            <w:sz w:val="20"/>
                          </w:rPr>
                          <w:t>16.91 (6.75)</w:t>
                        </w:r>
                      </w:p>
                    </w:tc>
                    <w:tc>
                      <w:tcPr>
                        <w:tcW w:w="1039" w:type="dxa"/>
                      </w:tcPr>
                      <w:p w14:paraId="52CB1476" w14:textId="77777777" w:rsidR="00C75312" w:rsidRDefault="00BB293A">
                        <w:pPr>
                          <w:pStyle w:val="TableParagraph"/>
                          <w:spacing w:before="95"/>
                          <w:ind w:left="254" w:right="228"/>
                          <w:jc w:val="center"/>
                          <w:rPr>
                            <w:sz w:val="20"/>
                          </w:rPr>
                        </w:pPr>
                        <w:r>
                          <w:rPr>
                            <w:sz w:val="20"/>
                          </w:rPr>
                          <w:t>-6.068</w:t>
                        </w:r>
                      </w:p>
                    </w:tc>
                    <w:tc>
                      <w:tcPr>
                        <w:tcW w:w="693" w:type="dxa"/>
                      </w:tcPr>
                      <w:p w14:paraId="53DCD685" w14:textId="77777777" w:rsidR="00C75312" w:rsidRDefault="00BB293A">
                        <w:pPr>
                          <w:pStyle w:val="TableParagraph"/>
                          <w:spacing w:before="95"/>
                          <w:ind w:right="244"/>
                          <w:jc w:val="right"/>
                          <w:rPr>
                            <w:sz w:val="20"/>
                          </w:rPr>
                        </w:pPr>
                        <w:r>
                          <w:rPr>
                            <w:sz w:val="20"/>
                          </w:rPr>
                          <w:t>46</w:t>
                        </w:r>
                      </w:p>
                    </w:tc>
                    <w:tc>
                      <w:tcPr>
                        <w:tcW w:w="1005" w:type="dxa"/>
                      </w:tcPr>
                      <w:p w14:paraId="5A1E9C7C" w14:textId="77777777" w:rsidR="00C75312" w:rsidRDefault="00BB293A">
                        <w:pPr>
                          <w:pStyle w:val="TableParagraph"/>
                          <w:spacing w:before="95"/>
                          <w:ind w:left="230" w:right="221"/>
                          <w:jc w:val="center"/>
                          <w:rPr>
                            <w:sz w:val="20"/>
                          </w:rPr>
                        </w:pPr>
                        <w:r>
                          <w:rPr>
                            <w:sz w:val="20"/>
                          </w:rPr>
                          <w:t>&lt; .001</w:t>
                        </w:r>
                      </w:p>
                    </w:tc>
                    <w:tc>
                      <w:tcPr>
                        <w:tcW w:w="964" w:type="dxa"/>
                      </w:tcPr>
                      <w:p w14:paraId="636617AA" w14:textId="77777777" w:rsidR="00C75312" w:rsidRDefault="00BB293A">
                        <w:pPr>
                          <w:pStyle w:val="TableParagraph"/>
                          <w:spacing w:before="95"/>
                          <w:ind w:left="275"/>
                          <w:rPr>
                            <w:sz w:val="20"/>
                          </w:rPr>
                        </w:pPr>
                        <w:r>
                          <w:rPr>
                            <w:sz w:val="20"/>
                          </w:rPr>
                          <w:t>1.76</w:t>
                        </w:r>
                      </w:p>
                    </w:tc>
                  </w:tr>
                  <w:tr w:rsidR="00C75312" w14:paraId="2E05E513" w14:textId="77777777">
                    <w:trPr>
                      <w:trHeight w:val="435"/>
                    </w:trPr>
                    <w:tc>
                      <w:tcPr>
                        <w:tcW w:w="1309" w:type="dxa"/>
                        <w:tcBorders>
                          <w:bottom w:val="single" w:sz="4" w:space="0" w:color="000000"/>
                        </w:tcBorders>
                      </w:tcPr>
                      <w:p w14:paraId="3B6276CE" w14:textId="77777777" w:rsidR="00C75312" w:rsidRDefault="00BB293A">
                        <w:pPr>
                          <w:pStyle w:val="TableParagraph"/>
                          <w:spacing w:before="95"/>
                          <w:ind w:left="297" w:right="416"/>
                          <w:jc w:val="center"/>
                          <w:rPr>
                            <w:b/>
                            <w:sz w:val="20"/>
                          </w:rPr>
                        </w:pPr>
                        <w:r>
                          <w:rPr>
                            <w:b/>
                            <w:sz w:val="20"/>
                          </w:rPr>
                          <w:t>ADOS</w:t>
                        </w:r>
                      </w:p>
                    </w:tc>
                    <w:tc>
                      <w:tcPr>
                        <w:tcW w:w="2092" w:type="dxa"/>
                        <w:tcBorders>
                          <w:bottom w:val="single" w:sz="4" w:space="0" w:color="000000"/>
                        </w:tcBorders>
                      </w:tcPr>
                      <w:p w14:paraId="4B74A150" w14:textId="77777777" w:rsidR="00C75312" w:rsidRDefault="00BB293A">
                        <w:pPr>
                          <w:pStyle w:val="TableParagraph"/>
                          <w:spacing w:before="95"/>
                          <w:ind w:left="584"/>
                          <w:rPr>
                            <w:sz w:val="20"/>
                          </w:rPr>
                        </w:pPr>
                        <w:r>
                          <w:rPr>
                            <w:sz w:val="20"/>
                          </w:rPr>
                          <w:t>8.80 (4.09)</w:t>
                        </w:r>
                      </w:p>
                    </w:tc>
                    <w:tc>
                      <w:tcPr>
                        <w:tcW w:w="1927" w:type="dxa"/>
                        <w:tcBorders>
                          <w:bottom w:val="single" w:sz="4" w:space="0" w:color="000000"/>
                        </w:tcBorders>
                      </w:tcPr>
                      <w:p w14:paraId="545D6A28" w14:textId="77777777" w:rsidR="00C75312" w:rsidRDefault="00C75312">
                        <w:pPr>
                          <w:pStyle w:val="TableParagraph"/>
                        </w:pPr>
                      </w:p>
                    </w:tc>
                    <w:tc>
                      <w:tcPr>
                        <w:tcW w:w="1039" w:type="dxa"/>
                        <w:tcBorders>
                          <w:bottom w:val="single" w:sz="4" w:space="0" w:color="000000"/>
                        </w:tcBorders>
                      </w:tcPr>
                      <w:p w14:paraId="1EBE502F" w14:textId="77777777" w:rsidR="00C75312" w:rsidRDefault="00C75312">
                        <w:pPr>
                          <w:pStyle w:val="TableParagraph"/>
                        </w:pPr>
                      </w:p>
                    </w:tc>
                    <w:tc>
                      <w:tcPr>
                        <w:tcW w:w="693" w:type="dxa"/>
                        <w:tcBorders>
                          <w:bottom w:val="single" w:sz="4" w:space="0" w:color="000000"/>
                        </w:tcBorders>
                      </w:tcPr>
                      <w:p w14:paraId="0616D1C7" w14:textId="77777777" w:rsidR="00C75312" w:rsidRDefault="00C75312">
                        <w:pPr>
                          <w:pStyle w:val="TableParagraph"/>
                        </w:pPr>
                      </w:p>
                    </w:tc>
                    <w:tc>
                      <w:tcPr>
                        <w:tcW w:w="1005" w:type="dxa"/>
                        <w:tcBorders>
                          <w:bottom w:val="single" w:sz="4" w:space="0" w:color="000000"/>
                        </w:tcBorders>
                      </w:tcPr>
                      <w:p w14:paraId="347A6356" w14:textId="77777777" w:rsidR="00C75312" w:rsidRDefault="00C75312">
                        <w:pPr>
                          <w:pStyle w:val="TableParagraph"/>
                        </w:pPr>
                      </w:p>
                    </w:tc>
                    <w:tc>
                      <w:tcPr>
                        <w:tcW w:w="964" w:type="dxa"/>
                        <w:tcBorders>
                          <w:bottom w:val="single" w:sz="4" w:space="0" w:color="000000"/>
                        </w:tcBorders>
                      </w:tcPr>
                      <w:p w14:paraId="56419BE1" w14:textId="77777777" w:rsidR="00C75312" w:rsidRDefault="00C75312">
                        <w:pPr>
                          <w:pStyle w:val="TableParagraph"/>
                        </w:pPr>
                      </w:p>
                    </w:tc>
                  </w:tr>
                </w:tbl>
                <w:p w14:paraId="3331D7AE" w14:textId="77777777" w:rsidR="00C75312" w:rsidRDefault="00C75312">
                  <w:pPr>
                    <w:pStyle w:val="BodyText"/>
                  </w:pPr>
                </w:p>
              </w:txbxContent>
            </v:textbox>
            <w10:wrap anchorx="page"/>
          </v:shape>
        </w:pict>
      </w:r>
      <w:r>
        <w:rPr>
          <w:b/>
          <w:i/>
          <w:sz w:val="20"/>
        </w:rPr>
        <w:t>t</w:t>
      </w:r>
      <w:r>
        <w:rPr>
          <w:b/>
          <w:i/>
          <w:sz w:val="20"/>
        </w:rPr>
        <w:tab/>
      </w:r>
      <w:proofErr w:type="spellStart"/>
      <w:r>
        <w:rPr>
          <w:b/>
          <w:i/>
          <w:sz w:val="20"/>
        </w:rPr>
        <w:t>df</w:t>
      </w:r>
      <w:proofErr w:type="spellEnd"/>
      <w:r>
        <w:rPr>
          <w:b/>
          <w:i/>
          <w:sz w:val="20"/>
        </w:rPr>
        <w:tab/>
        <w:t>p</w:t>
      </w:r>
      <w:r>
        <w:rPr>
          <w:b/>
          <w:i/>
          <w:sz w:val="20"/>
        </w:rPr>
        <w:tab/>
      </w:r>
      <w:r>
        <w:rPr>
          <w:b/>
          <w:sz w:val="20"/>
        </w:rPr>
        <w:t>Cohen's</w:t>
      </w:r>
      <w:r>
        <w:rPr>
          <w:b/>
          <w:spacing w:val="1"/>
          <w:sz w:val="20"/>
        </w:rPr>
        <w:t xml:space="preserve"> </w:t>
      </w:r>
      <w:r>
        <w:rPr>
          <w:b/>
          <w:i/>
          <w:sz w:val="20"/>
        </w:rPr>
        <w:t>d</w:t>
      </w:r>
    </w:p>
    <w:p w14:paraId="13CBF316" w14:textId="77777777" w:rsidR="00C75312" w:rsidRDefault="00C75312">
      <w:pPr>
        <w:rPr>
          <w:sz w:val="20"/>
        </w:rPr>
        <w:sectPr w:rsidR="00C75312">
          <w:type w:val="continuous"/>
          <w:pgSz w:w="11900" w:h="16840"/>
          <w:pgMar w:top="700" w:right="0" w:bottom="280" w:left="1300" w:header="720" w:footer="720" w:gutter="0"/>
          <w:cols w:num="2" w:space="720" w:equalWidth="0">
            <w:col w:w="4733" w:space="40"/>
            <w:col w:w="5827"/>
          </w:cols>
        </w:sectPr>
      </w:pPr>
    </w:p>
    <w:p w14:paraId="1239402D" w14:textId="77777777" w:rsidR="00C75312" w:rsidRDefault="00C75312">
      <w:pPr>
        <w:pStyle w:val="BodyText"/>
        <w:rPr>
          <w:b/>
          <w:i/>
          <w:sz w:val="20"/>
        </w:rPr>
      </w:pPr>
    </w:p>
    <w:p w14:paraId="395FC621" w14:textId="77777777" w:rsidR="00C75312" w:rsidRDefault="00C75312">
      <w:pPr>
        <w:pStyle w:val="BodyText"/>
        <w:rPr>
          <w:b/>
          <w:i/>
          <w:sz w:val="20"/>
        </w:rPr>
      </w:pPr>
    </w:p>
    <w:p w14:paraId="2A40BA47" w14:textId="77777777" w:rsidR="00C75312" w:rsidRDefault="00C75312">
      <w:pPr>
        <w:pStyle w:val="BodyText"/>
        <w:rPr>
          <w:b/>
          <w:i/>
          <w:sz w:val="20"/>
        </w:rPr>
      </w:pPr>
    </w:p>
    <w:p w14:paraId="10370AEA" w14:textId="77777777" w:rsidR="00C75312" w:rsidRDefault="00C75312">
      <w:pPr>
        <w:pStyle w:val="BodyText"/>
        <w:rPr>
          <w:b/>
          <w:i/>
          <w:sz w:val="20"/>
        </w:rPr>
      </w:pPr>
    </w:p>
    <w:p w14:paraId="2AAA73AC" w14:textId="77777777" w:rsidR="00C75312" w:rsidRDefault="00C75312">
      <w:pPr>
        <w:pStyle w:val="BodyText"/>
        <w:rPr>
          <w:b/>
          <w:i/>
          <w:sz w:val="20"/>
        </w:rPr>
      </w:pPr>
    </w:p>
    <w:p w14:paraId="68245DF5" w14:textId="77777777" w:rsidR="00C75312" w:rsidRDefault="00C75312">
      <w:pPr>
        <w:pStyle w:val="BodyText"/>
        <w:rPr>
          <w:b/>
          <w:i/>
          <w:sz w:val="20"/>
        </w:rPr>
      </w:pPr>
    </w:p>
    <w:p w14:paraId="56355CFD" w14:textId="77777777" w:rsidR="00C75312" w:rsidRDefault="00C75312">
      <w:pPr>
        <w:pStyle w:val="BodyText"/>
        <w:rPr>
          <w:b/>
          <w:i/>
          <w:sz w:val="20"/>
        </w:rPr>
      </w:pPr>
    </w:p>
    <w:p w14:paraId="583D3FB5" w14:textId="77777777" w:rsidR="00C75312" w:rsidRDefault="00C75312">
      <w:pPr>
        <w:pStyle w:val="BodyText"/>
        <w:rPr>
          <w:b/>
          <w:i/>
          <w:sz w:val="20"/>
        </w:rPr>
      </w:pPr>
    </w:p>
    <w:p w14:paraId="40C1EEE0" w14:textId="77777777" w:rsidR="00C75312" w:rsidRDefault="00C75312">
      <w:pPr>
        <w:pStyle w:val="BodyText"/>
        <w:rPr>
          <w:b/>
          <w:i/>
          <w:sz w:val="20"/>
        </w:rPr>
      </w:pPr>
    </w:p>
    <w:p w14:paraId="6AF5E555" w14:textId="77777777" w:rsidR="00C75312" w:rsidRDefault="00C75312">
      <w:pPr>
        <w:pStyle w:val="BodyText"/>
        <w:rPr>
          <w:b/>
          <w:i/>
          <w:sz w:val="20"/>
        </w:rPr>
      </w:pPr>
    </w:p>
    <w:p w14:paraId="766BE589" w14:textId="77777777" w:rsidR="00C75312" w:rsidRDefault="00C75312">
      <w:pPr>
        <w:pStyle w:val="BodyText"/>
        <w:rPr>
          <w:b/>
          <w:i/>
          <w:sz w:val="20"/>
        </w:rPr>
      </w:pPr>
    </w:p>
    <w:p w14:paraId="2451BC1F" w14:textId="77777777" w:rsidR="00C75312" w:rsidRDefault="00C75312">
      <w:pPr>
        <w:pStyle w:val="BodyText"/>
        <w:rPr>
          <w:b/>
          <w:i/>
          <w:sz w:val="20"/>
        </w:rPr>
      </w:pPr>
    </w:p>
    <w:p w14:paraId="6EAAB4C5" w14:textId="77777777" w:rsidR="00C75312" w:rsidRDefault="00C75312">
      <w:pPr>
        <w:pStyle w:val="BodyText"/>
        <w:rPr>
          <w:b/>
          <w:i/>
          <w:sz w:val="20"/>
        </w:rPr>
      </w:pPr>
    </w:p>
    <w:p w14:paraId="25E5DCA8" w14:textId="77777777" w:rsidR="00C75312" w:rsidRDefault="00C75312">
      <w:pPr>
        <w:pStyle w:val="BodyText"/>
        <w:rPr>
          <w:b/>
          <w:i/>
          <w:sz w:val="21"/>
        </w:rPr>
      </w:pPr>
    </w:p>
    <w:p w14:paraId="7E4EF2DE" w14:textId="77777777" w:rsidR="00C75312" w:rsidRDefault="00BB293A">
      <w:pPr>
        <w:pStyle w:val="Heading1"/>
      </w:pPr>
      <w:r>
        <w:t>Materials and procedures</w:t>
      </w:r>
    </w:p>
    <w:p w14:paraId="35C826AF" w14:textId="77777777" w:rsidR="00C75312" w:rsidRDefault="00C75312">
      <w:pPr>
        <w:pStyle w:val="BodyText"/>
        <w:rPr>
          <w:b/>
        </w:rPr>
      </w:pPr>
    </w:p>
    <w:p w14:paraId="5A80E11D" w14:textId="77777777" w:rsidR="00C75312" w:rsidRDefault="00BB293A">
      <w:pPr>
        <w:pStyle w:val="BodyText"/>
        <w:spacing w:before="1"/>
        <w:ind w:left="860"/>
        <w:jc w:val="both"/>
      </w:pPr>
      <w:r>
        <w:t>Autism Diagnostic Observation Schedule 2 (ADOS-2, Lord et al. 2012): The ADOS-</w:t>
      </w:r>
    </w:p>
    <w:p w14:paraId="1D48F1B3" w14:textId="77777777" w:rsidR="00C75312" w:rsidRDefault="00C75312">
      <w:pPr>
        <w:pStyle w:val="BodyText"/>
        <w:spacing w:before="11"/>
        <w:rPr>
          <w:sz w:val="23"/>
        </w:rPr>
      </w:pPr>
    </w:p>
    <w:p w14:paraId="126D238A" w14:textId="77777777" w:rsidR="00C75312" w:rsidRDefault="00BB293A">
      <w:pPr>
        <w:pStyle w:val="ListParagraph"/>
        <w:numPr>
          <w:ilvl w:val="0"/>
          <w:numId w:val="4"/>
        </w:numPr>
        <w:tabs>
          <w:tab w:val="left" w:pos="486"/>
        </w:tabs>
        <w:spacing w:line="480" w:lineRule="auto"/>
        <w:ind w:left="140" w:right="1433" w:firstLine="0"/>
        <w:jc w:val="both"/>
        <w:rPr>
          <w:sz w:val="24"/>
        </w:rPr>
      </w:pPr>
      <w:r>
        <w:rPr>
          <w:sz w:val="24"/>
        </w:rPr>
        <w:t>is a very widely-used, “gold standard” observational/interview assessment of communication,</w:t>
      </w:r>
      <w:r>
        <w:rPr>
          <w:spacing w:val="-8"/>
          <w:sz w:val="24"/>
        </w:rPr>
        <w:t xml:space="preserve"> </w:t>
      </w:r>
      <w:r>
        <w:rPr>
          <w:sz w:val="24"/>
        </w:rPr>
        <w:t>social</w:t>
      </w:r>
      <w:r>
        <w:rPr>
          <w:spacing w:val="-9"/>
          <w:sz w:val="24"/>
        </w:rPr>
        <w:t xml:space="preserve"> </w:t>
      </w:r>
      <w:r>
        <w:rPr>
          <w:sz w:val="24"/>
        </w:rPr>
        <w:t>interaction,</w:t>
      </w:r>
      <w:r>
        <w:rPr>
          <w:spacing w:val="-7"/>
          <w:sz w:val="24"/>
        </w:rPr>
        <w:t xml:space="preserve"> </w:t>
      </w:r>
      <w:r>
        <w:rPr>
          <w:sz w:val="24"/>
        </w:rPr>
        <w:t>and</w:t>
      </w:r>
      <w:r>
        <w:rPr>
          <w:spacing w:val="-14"/>
          <w:sz w:val="24"/>
        </w:rPr>
        <w:t xml:space="preserve"> </w:t>
      </w:r>
      <w:r>
        <w:rPr>
          <w:sz w:val="24"/>
        </w:rPr>
        <w:t>imagination.</w:t>
      </w:r>
      <w:r>
        <w:rPr>
          <w:spacing w:val="-7"/>
          <w:sz w:val="24"/>
        </w:rPr>
        <w:t xml:space="preserve"> </w:t>
      </w:r>
      <w:r>
        <w:rPr>
          <w:sz w:val="24"/>
        </w:rPr>
        <w:t>It</w:t>
      </w:r>
      <w:r>
        <w:rPr>
          <w:spacing w:val="-14"/>
          <w:sz w:val="24"/>
        </w:rPr>
        <w:t xml:space="preserve"> </w:t>
      </w:r>
      <w:r>
        <w:rPr>
          <w:sz w:val="24"/>
        </w:rPr>
        <w:t>is</w:t>
      </w:r>
      <w:r>
        <w:rPr>
          <w:spacing w:val="-11"/>
          <w:sz w:val="24"/>
        </w:rPr>
        <w:t xml:space="preserve"> </w:t>
      </w:r>
      <w:r>
        <w:rPr>
          <w:sz w:val="24"/>
        </w:rPr>
        <w:t>designed</w:t>
      </w:r>
      <w:r>
        <w:rPr>
          <w:spacing w:val="-10"/>
          <w:sz w:val="24"/>
        </w:rPr>
        <w:t xml:space="preserve"> </w:t>
      </w:r>
      <w:r>
        <w:rPr>
          <w:sz w:val="24"/>
        </w:rPr>
        <w:t>to</w:t>
      </w:r>
      <w:r>
        <w:rPr>
          <w:spacing w:val="-10"/>
          <w:sz w:val="24"/>
        </w:rPr>
        <w:t xml:space="preserve"> </w:t>
      </w:r>
      <w:r>
        <w:rPr>
          <w:sz w:val="24"/>
        </w:rPr>
        <w:t>provide</w:t>
      </w:r>
      <w:r>
        <w:rPr>
          <w:spacing w:val="-11"/>
          <w:sz w:val="24"/>
        </w:rPr>
        <w:t xml:space="preserve"> </w:t>
      </w:r>
      <w:r>
        <w:rPr>
          <w:sz w:val="24"/>
        </w:rPr>
        <w:t>an</w:t>
      </w:r>
      <w:r>
        <w:rPr>
          <w:spacing w:val="-10"/>
          <w:sz w:val="24"/>
        </w:rPr>
        <w:t xml:space="preserve"> </w:t>
      </w:r>
      <w:r>
        <w:rPr>
          <w:sz w:val="24"/>
        </w:rPr>
        <w:t>estimate</w:t>
      </w:r>
      <w:r>
        <w:rPr>
          <w:spacing w:val="-11"/>
          <w:sz w:val="24"/>
        </w:rPr>
        <w:t xml:space="preserve"> </w:t>
      </w:r>
      <w:r>
        <w:rPr>
          <w:sz w:val="24"/>
        </w:rPr>
        <w:t>of</w:t>
      </w:r>
      <w:r>
        <w:rPr>
          <w:spacing w:val="-13"/>
          <w:sz w:val="24"/>
        </w:rPr>
        <w:t xml:space="preserve"> </w:t>
      </w:r>
      <w:r>
        <w:rPr>
          <w:sz w:val="24"/>
        </w:rPr>
        <w:t>the severity</w:t>
      </w:r>
      <w:r>
        <w:rPr>
          <w:spacing w:val="-6"/>
          <w:sz w:val="24"/>
        </w:rPr>
        <w:t xml:space="preserve"> </w:t>
      </w:r>
      <w:r>
        <w:rPr>
          <w:sz w:val="24"/>
        </w:rPr>
        <w:t>of</w:t>
      </w:r>
      <w:r>
        <w:rPr>
          <w:spacing w:val="-4"/>
          <w:sz w:val="24"/>
        </w:rPr>
        <w:t xml:space="preserve"> </w:t>
      </w:r>
      <w:r>
        <w:rPr>
          <w:sz w:val="24"/>
        </w:rPr>
        <w:t>ASD</w:t>
      </w:r>
      <w:r>
        <w:rPr>
          <w:spacing w:val="-6"/>
          <w:sz w:val="24"/>
        </w:rPr>
        <w:t xml:space="preserve"> </w:t>
      </w:r>
      <w:r>
        <w:rPr>
          <w:sz w:val="24"/>
        </w:rPr>
        <w:t>diagnostic</w:t>
      </w:r>
      <w:r>
        <w:rPr>
          <w:spacing w:val="-11"/>
          <w:sz w:val="24"/>
        </w:rPr>
        <w:t xml:space="preserve"> </w:t>
      </w:r>
      <w:r>
        <w:rPr>
          <w:sz w:val="24"/>
        </w:rPr>
        <w:t>features.</w:t>
      </w:r>
      <w:r>
        <w:rPr>
          <w:spacing w:val="46"/>
          <w:sz w:val="24"/>
        </w:rPr>
        <w:t xml:space="preserve"> </w:t>
      </w:r>
      <w:r>
        <w:rPr>
          <w:sz w:val="24"/>
        </w:rPr>
        <w:t>For</w:t>
      </w:r>
      <w:r>
        <w:rPr>
          <w:spacing w:val="-4"/>
          <w:sz w:val="24"/>
        </w:rPr>
        <w:t xml:space="preserve"> </w:t>
      </w:r>
      <w:r>
        <w:rPr>
          <w:sz w:val="24"/>
        </w:rPr>
        <w:t>those</w:t>
      </w:r>
      <w:r>
        <w:rPr>
          <w:spacing w:val="-6"/>
          <w:sz w:val="24"/>
        </w:rPr>
        <w:t xml:space="preserve"> </w:t>
      </w:r>
      <w:r>
        <w:rPr>
          <w:sz w:val="24"/>
        </w:rPr>
        <w:t>participants</w:t>
      </w:r>
      <w:r>
        <w:rPr>
          <w:spacing w:val="-8"/>
          <w:sz w:val="24"/>
        </w:rPr>
        <w:t xml:space="preserve"> </w:t>
      </w:r>
      <w:r>
        <w:rPr>
          <w:sz w:val="24"/>
        </w:rPr>
        <w:t>with</w:t>
      </w:r>
      <w:r>
        <w:rPr>
          <w:spacing w:val="-6"/>
          <w:sz w:val="24"/>
        </w:rPr>
        <w:t xml:space="preserve"> </w:t>
      </w:r>
      <w:r>
        <w:rPr>
          <w:sz w:val="24"/>
        </w:rPr>
        <w:t>ASD</w:t>
      </w:r>
      <w:r>
        <w:rPr>
          <w:spacing w:val="-10"/>
          <w:sz w:val="24"/>
        </w:rPr>
        <w:t xml:space="preserve"> </w:t>
      </w:r>
      <w:r>
        <w:rPr>
          <w:sz w:val="24"/>
        </w:rPr>
        <w:t>who</w:t>
      </w:r>
      <w:r>
        <w:rPr>
          <w:spacing w:val="-6"/>
          <w:sz w:val="24"/>
        </w:rPr>
        <w:t xml:space="preserve"> </w:t>
      </w:r>
      <w:r>
        <w:rPr>
          <w:sz w:val="24"/>
        </w:rPr>
        <w:t>did</w:t>
      </w:r>
      <w:r>
        <w:rPr>
          <w:spacing w:val="-11"/>
          <w:sz w:val="24"/>
        </w:rPr>
        <w:t xml:space="preserve"> </w:t>
      </w:r>
      <w:r>
        <w:rPr>
          <w:sz w:val="24"/>
        </w:rPr>
        <w:t>not</w:t>
      </w:r>
      <w:r>
        <w:rPr>
          <w:spacing w:val="-9"/>
          <w:sz w:val="24"/>
        </w:rPr>
        <w:t xml:space="preserve"> </w:t>
      </w:r>
      <w:r>
        <w:rPr>
          <w:sz w:val="24"/>
        </w:rPr>
        <w:t>have</w:t>
      </w:r>
      <w:r>
        <w:rPr>
          <w:spacing w:val="-7"/>
          <w:sz w:val="24"/>
        </w:rPr>
        <w:t xml:space="preserve"> </w:t>
      </w:r>
      <w:r>
        <w:rPr>
          <w:sz w:val="24"/>
        </w:rPr>
        <w:t>record of</w:t>
      </w:r>
      <w:r>
        <w:rPr>
          <w:spacing w:val="-14"/>
          <w:sz w:val="24"/>
        </w:rPr>
        <w:t xml:space="preserve"> </w:t>
      </w:r>
      <w:r>
        <w:rPr>
          <w:sz w:val="24"/>
        </w:rPr>
        <w:t>an</w:t>
      </w:r>
      <w:r>
        <w:rPr>
          <w:spacing w:val="-15"/>
          <w:sz w:val="24"/>
        </w:rPr>
        <w:t xml:space="preserve"> </w:t>
      </w:r>
      <w:r>
        <w:rPr>
          <w:sz w:val="24"/>
        </w:rPr>
        <w:t>existing/recent</w:t>
      </w:r>
      <w:r>
        <w:rPr>
          <w:spacing w:val="-14"/>
          <w:sz w:val="24"/>
        </w:rPr>
        <w:t xml:space="preserve"> </w:t>
      </w:r>
      <w:r>
        <w:rPr>
          <w:sz w:val="24"/>
        </w:rPr>
        <w:t>(within</w:t>
      </w:r>
      <w:r>
        <w:rPr>
          <w:spacing w:val="-15"/>
          <w:sz w:val="24"/>
        </w:rPr>
        <w:t xml:space="preserve"> </w:t>
      </w:r>
      <w:r>
        <w:rPr>
          <w:sz w:val="24"/>
        </w:rPr>
        <w:t>2</w:t>
      </w:r>
      <w:r>
        <w:rPr>
          <w:spacing w:val="-19"/>
          <w:sz w:val="24"/>
        </w:rPr>
        <w:t xml:space="preserve"> </w:t>
      </w:r>
      <w:r>
        <w:rPr>
          <w:sz w:val="24"/>
        </w:rPr>
        <w:t>years)</w:t>
      </w:r>
      <w:r>
        <w:rPr>
          <w:spacing w:val="-13"/>
          <w:sz w:val="24"/>
        </w:rPr>
        <w:t xml:space="preserve"> </w:t>
      </w:r>
      <w:r>
        <w:rPr>
          <w:sz w:val="24"/>
        </w:rPr>
        <w:t>ADOS</w:t>
      </w:r>
      <w:r>
        <w:rPr>
          <w:spacing w:val="-15"/>
          <w:sz w:val="24"/>
        </w:rPr>
        <w:t xml:space="preserve"> </w:t>
      </w:r>
      <w:r>
        <w:rPr>
          <w:sz w:val="24"/>
        </w:rPr>
        <w:t>assessment,</w:t>
      </w:r>
      <w:r>
        <w:rPr>
          <w:spacing w:val="-12"/>
          <w:sz w:val="24"/>
        </w:rPr>
        <w:t xml:space="preserve"> </w:t>
      </w:r>
      <w:r>
        <w:rPr>
          <w:sz w:val="24"/>
        </w:rPr>
        <w:t>Module</w:t>
      </w:r>
      <w:r>
        <w:rPr>
          <w:spacing w:val="-16"/>
          <w:sz w:val="24"/>
        </w:rPr>
        <w:t xml:space="preserve"> </w:t>
      </w:r>
      <w:r>
        <w:rPr>
          <w:sz w:val="24"/>
        </w:rPr>
        <w:t>4</w:t>
      </w:r>
      <w:r>
        <w:rPr>
          <w:spacing w:val="-19"/>
          <w:sz w:val="24"/>
        </w:rPr>
        <w:t xml:space="preserve"> </w:t>
      </w:r>
      <w:r>
        <w:rPr>
          <w:sz w:val="24"/>
        </w:rPr>
        <w:t>(i.e.,</w:t>
      </w:r>
      <w:r>
        <w:rPr>
          <w:spacing w:val="-17"/>
          <w:sz w:val="24"/>
        </w:rPr>
        <w:t xml:space="preserve"> </w:t>
      </w:r>
      <w:r>
        <w:rPr>
          <w:sz w:val="24"/>
        </w:rPr>
        <w:t>the</w:t>
      </w:r>
      <w:r>
        <w:rPr>
          <w:spacing w:val="-16"/>
          <w:sz w:val="24"/>
        </w:rPr>
        <w:t xml:space="preserve"> </w:t>
      </w:r>
      <w:r>
        <w:rPr>
          <w:sz w:val="24"/>
        </w:rPr>
        <w:t>module</w:t>
      </w:r>
      <w:r>
        <w:rPr>
          <w:spacing w:val="-20"/>
          <w:sz w:val="24"/>
        </w:rPr>
        <w:t xml:space="preserve"> </w:t>
      </w:r>
      <w:r>
        <w:rPr>
          <w:sz w:val="24"/>
        </w:rPr>
        <w:t>appropriate for verbally fluent individuals, which all the participants were) was</w:t>
      </w:r>
      <w:r>
        <w:rPr>
          <w:spacing w:val="-4"/>
          <w:sz w:val="24"/>
        </w:rPr>
        <w:t xml:space="preserve"> </w:t>
      </w:r>
      <w:r>
        <w:rPr>
          <w:sz w:val="24"/>
        </w:rPr>
        <w:t>administered.</w:t>
      </w:r>
    </w:p>
    <w:p w14:paraId="7FF931DB" w14:textId="77777777" w:rsidR="00C75312" w:rsidRDefault="00BB293A">
      <w:pPr>
        <w:pStyle w:val="Heading1"/>
        <w:spacing w:before="120"/>
        <w:ind w:left="860"/>
        <w:jc w:val="both"/>
      </w:pPr>
      <w:r>
        <w:t>Self-report measures.</w:t>
      </w:r>
    </w:p>
    <w:p w14:paraId="15FA9EC4" w14:textId="77777777" w:rsidR="00C75312" w:rsidRDefault="00C75312">
      <w:pPr>
        <w:pStyle w:val="BodyText"/>
        <w:spacing w:before="5"/>
        <w:rPr>
          <w:b/>
          <w:sz w:val="34"/>
        </w:rPr>
      </w:pPr>
    </w:p>
    <w:p w14:paraId="4AA97096" w14:textId="77777777" w:rsidR="00C75312" w:rsidRDefault="00BB293A">
      <w:pPr>
        <w:pStyle w:val="BodyText"/>
        <w:spacing w:line="480" w:lineRule="auto"/>
        <w:ind w:left="140" w:right="1433" w:firstLine="720"/>
        <w:jc w:val="both"/>
      </w:pPr>
      <w:r>
        <w:t>Autism-spectrum Quotient (AQ): The AQ is a 50-item questionnaire assessing autistic characteristics. Participants rate their level of agreement on a 4-level scale (‘Definitely</w:t>
      </w:r>
      <w:r>
        <w:rPr>
          <w:spacing w:val="-43"/>
        </w:rPr>
        <w:t xml:space="preserve"> </w:t>
      </w:r>
      <w:r>
        <w:t xml:space="preserve">agree’, ‘Slightly agree’, ‘Slightly disagree’, ‘Definitely disagree’). It provides a total score </w:t>
      </w:r>
      <w:r>
        <w:rPr>
          <w:spacing w:val="-3"/>
        </w:rPr>
        <w:t xml:space="preserve">of </w:t>
      </w:r>
      <w:r>
        <w:t>autistic features (range 0 to 50) with higher scores indicating the presence of more autistic features.</w:t>
      </w:r>
      <w:r>
        <w:rPr>
          <w:spacing w:val="9"/>
        </w:rPr>
        <w:t xml:space="preserve"> </w:t>
      </w:r>
      <w:r>
        <w:t>It has good psychometric properties with regards to test-retest reliability, internal consistency (Baron-Cohen et al., 2001), as well as discriminant validity (Woodbury-Smith, Robinson, Wheelwright, &amp; Baron-Cohen, 2005). The established screening cut-off for ASD is a total score of 26 (Woodbury-Smith et al</w:t>
      </w:r>
      <w:r>
        <w:t>.,</w:t>
      </w:r>
      <w:r>
        <w:rPr>
          <w:spacing w:val="4"/>
        </w:rPr>
        <w:t xml:space="preserve"> </w:t>
      </w:r>
      <w:r>
        <w:t>2005).</w:t>
      </w:r>
    </w:p>
    <w:p w14:paraId="61510AD9" w14:textId="77777777" w:rsidR="00C75312" w:rsidRDefault="00C75312">
      <w:pPr>
        <w:spacing w:line="480" w:lineRule="auto"/>
        <w:jc w:val="both"/>
        <w:sectPr w:rsidR="00C75312">
          <w:type w:val="continuous"/>
          <w:pgSz w:w="11900" w:h="16840"/>
          <w:pgMar w:top="700" w:right="0" w:bottom="280" w:left="1300" w:header="720" w:footer="720" w:gutter="0"/>
          <w:cols w:space="720"/>
        </w:sectPr>
      </w:pPr>
    </w:p>
    <w:p w14:paraId="7D1A174C" w14:textId="77777777" w:rsidR="00C75312" w:rsidRDefault="00BB293A">
      <w:pPr>
        <w:pStyle w:val="BodyText"/>
        <w:spacing w:before="107" w:line="480" w:lineRule="auto"/>
        <w:ind w:left="140" w:right="1433" w:firstLine="720"/>
        <w:jc w:val="both"/>
      </w:pPr>
      <w:proofErr w:type="spellStart"/>
      <w:r>
        <w:lastRenderedPageBreak/>
        <w:t>Behaviour</w:t>
      </w:r>
      <w:proofErr w:type="spellEnd"/>
      <w:r>
        <w:t xml:space="preserve"> Rating Inventory of Executive Function - Adult version (BRIEF-A; Roth, </w:t>
      </w:r>
      <w:proofErr w:type="spellStart"/>
      <w:r>
        <w:t>Isquith</w:t>
      </w:r>
      <w:proofErr w:type="spellEnd"/>
      <w:r>
        <w:t xml:space="preserve">, &amp; Gioia, 2005): The BRIEF-A was administered to assess self-reported everyday executive functioning. The BRIEF-A consists of </w:t>
      </w:r>
      <w:r>
        <w:rPr>
          <w:spacing w:val="-3"/>
        </w:rPr>
        <w:t xml:space="preserve">75 </w:t>
      </w:r>
      <w:r>
        <w:t xml:space="preserve">statements describing specific </w:t>
      </w:r>
      <w:proofErr w:type="spellStart"/>
      <w:r>
        <w:t>behaviours</w:t>
      </w:r>
      <w:proofErr w:type="spellEnd"/>
      <w:r>
        <w:t xml:space="preserve"> and participants have to rate how often a certain </w:t>
      </w:r>
      <w:proofErr w:type="spellStart"/>
      <w:r>
        <w:t>behaviour</w:t>
      </w:r>
      <w:proofErr w:type="spellEnd"/>
      <w:r>
        <w:t xml:space="preserve"> has been a problem within the past month on a 3-point scale (‘Never’, ‘Sometimes’, ‘Often’). Several subscales (Inhibit, Shift, Emotional control, Self-monitor, Initiate, Working memory, Plan/</w:t>
      </w:r>
      <w:proofErr w:type="spellStart"/>
      <w:r>
        <w:t>organise</w:t>
      </w:r>
      <w:proofErr w:type="spellEnd"/>
      <w:r>
        <w:t>,</w:t>
      </w:r>
      <w:r>
        <w:t xml:space="preserve"> Task monitor, and </w:t>
      </w:r>
      <w:proofErr w:type="spellStart"/>
      <w:r>
        <w:t>Organisation</w:t>
      </w:r>
      <w:proofErr w:type="spellEnd"/>
      <w:r>
        <w:t xml:space="preserve"> of materials) and summary scores (</w:t>
      </w:r>
      <w:proofErr w:type="spellStart"/>
      <w:r>
        <w:t>Behaviour</w:t>
      </w:r>
      <w:proofErr w:type="spellEnd"/>
      <w:r>
        <w:t xml:space="preserve"> regulation index, Metacognition index, and Global composite score) can be calculated. Of particular interest for this study are the Inhibit subscale (measuring the ability to control prepotent responses/inhibitory control) and Shift subscale (measuring the ability to switch flexibly between activities </w:t>
      </w:r>
      <w:r>
        <w:rPr>
          <w:spacing w:val="-3"/>
        </w:rPr>
        <w:t xml:space="preserve">or </w:t>
      </w:r>
      <w:r>
        <w:t>situations, to switch attentional focus; and to tolerate change). The BRIEF-A has a good reliability for both internal consistency</w:t>
      </w:r>
      <w:r>
        <w:t xml:space="preserve"> (global indices .93 to .96, clinical scales .73 to .90) and test-retest reliability (global indices .93 to .94, subscales </w:t>
      </w:r>
      <w:r>
        <w:rPr>
          <w:spacing w:val="2"/>
        </w:rPr>
        <w:t xml:space="preserve">.82 </w:t>
      </w:r>
      <w:r>
        <w:t>to.93) and good convergent validity with other</w:t>
      </w:r>
      <w:r>
        <w:rPr>
          <w:spacing w:val="-14"/>
        </w:rPr>
        <w:t xml:space="preserve"> </w:t>
      </w:r>
      <w:r>
        <w:t>self-report</w:t>
      </w:r>
      <w:r>
        <w:rPr>
          <w:spacing w:val="-15"/>
        </w:rPr>
        <w:t xml:space="preserve"> </w:t>
      </w:r>
      <w:r>
        <w:t>measures</w:t>
      </w:r>
      <w:r>
        <w:rPr>
          <w:spacing w:val="-18"/>
        </w:rPr>
        <w:t xml:space="preserve"> </w:t>
      </w:r>
      <w:r>
        <w:t>of</w:t>
      </w:r>
      <w:r>
        <w:rPr>
          <w:spacing w:val="-14"/>
        </w:rPr>
        <w:t xml:space="preserve"> </w:t>
      </w:r>
      <w:r>
        <w:t>executive</w:t>
      </w:r>
      <w:r>
        <w:rPr>
          <w:spacing w:val="-16"/>
        </w:rPr>
        <w:t xml:space="preserve"> </w:t>
      </w:r>
      <w:r>
        <w:t>functioning.</w:t>
      </w:r>
      <w:r>
        <w:rPr>
          <w:spacing w:val="33"/>
        </w:rPr>
        <w:t xml:space="preserve"> </w:t>
      </w:r>
      <w:r>
        <w:t>Raw</w:t>
      </w:r>
      <w:r>
        <w:rPr>
          <w:spacing w:val="-16"/>
        </w:rPr>
        <w:t xml:space="preserve"> </w:t>
      </w:r>
      <w:r>
        <w:t>scores</w:t>
      </w:r>
      <w:r>
        <w:rPr>
          <w:spacing w:val="-18"/>
        </w:rPr>
        <w:t xml:space="preserve"> </w:t>
      </w:r>
      <w:r>
        <w:t>were</w:t>
      </w:r>
      <w:r>
        <w:rPr>
          <w:spacing w:val="-16"/>
        </w:rPr>
        <w:t xml:space="preserve"> </w:t>
      </w:r>
      <w:r>
        <w:t>converted</w:t>
      </w:r>
      <w:r>
        <w:rPr>
          <w:spacing w:val="-15"/>
        </w:rPr>
        <w:t xml:space="preserve"> </w:t>
      </w:r>
      <w:r>
        <w:t>to</w:t>
      </w:r>
      <w:r>
        <w:rPr>
          <w:spacing w:val="-14"/>
        </w:rPr>
        <w:t xml:space="preserve"> </w:t>
      </w:r>
      <w:r>
        <w:t>age-normed T-scores (with a mean of 50 and a SD of 10) with higher scores indicating greater executive problems. Scores above a T-score of 65 are considered as potentially clinical</w:t>
      </w:r>
      <w:r>
        <w:rPr>
          <w:spacing w:val="-8"/>
        </w:rPr>
        <w:t xml:space="preserve"> </w:t>
      </w:r>
      <w:r>
        <w:t>relevant.</w:t>
      </w:r>
    </w:p>
    <w:p w14:paraId="6CFCB119" w14:textId="77777777" w:rsidR="00C75312" w:rsidRDefault="00BB293A">
      <w:pPr>
        <w:pStyle w:val="BodyText"/>
        <w:spacing w:before="121" w:line="480" w:lineRule="auto"/>
        <w:ind w:left="140" w:right="1435" w:firstLine="720"/>
        <w:jc w:val="both"/>
      </w:pPr>
      <w:r>
        <w:t xml:space="preserve">Prospective Retrospective Memory Questionnaire (PRMQ, Crawford, Smith, Maylor, Della Sala, &amp; </w:t>
      </w:r>
      <w:proofErr w:type="spellStart"/>
      <w:r>
        <w:t>Logie</w:t>
      </w:r>
      <w:proofErr w:type="spellEnd"/>
      <w:r>
        <w:t xml:space="preserve">, 2000; G. Smith, Della Sala, </w:t>
      </w:r>
      <w:proofErr w:type="spellStart"/>
      <w:r>
        <w:t>Logie</w:t>
      </w:r>
      <w:proofErr w:type="spellEnd"/>
      <w:r>
        <w:t>, &amp; Maylor, 2000): The PRMQ is a self-report measure of everyday memory slips. It is composed of 16 items probing for both retrospective and prospective memory difficulties. Participants have to rate the frequency of described</w:t>
      </w:r>
      <w:r>
        <w:rPr>
          <w:spacing w:val="-6"/>
        </w:rPr>
        <w:t xml:space="preserve"> </w:t>
      </w:r>
      <w:r>
        <w:t>memory</w:t>
      </w:r>
      <w:r>
        <w:rPr>
          <w:spacing w:val="-6"/>
        </w:rPr>
        <w:t xml:space="preserve"> </w:t>
      </w:r>
      <w:r>
        <w:t>slips</w:t>
      </w:r>
      <w:r>
        <w:rPr>
          <w:spacing w:val="-7"/>
        </w:rPr>
        <w:t xml:space="preserve"> </w:t>
      </w:r>
      <w:r>
        <w:t>on</w:t>
      </w:r>
      <w:r>
        <w:rPr>
          <w:spacing w:val="-6"/>
        </w:rPr>
        <w:t xml:space="preserve"> </w:t>
      </w:r>
      <w:r>
        <w:t>a</w:t>
      </w:r>
      <w:r>
        <w:rPr>
          <w:spacing w:val="-7"/>
        </w:rPr>
        <w:t xml:space="preserve"> </w:t>
      </w:r>
      <w:r>
        <w:t>5-point</w:t>
      </w:r>
      <w:r>
        <w:rPr>
          <w:spacing w:val="-4"/>
        </w:rPr>
        <w:t xml:space="preserve"> </w:t>
      </w:r>
      <w:r>
        <w:t>scale</w:t>
      </w:r>
      <w:r>
        <w:rPr>
          <w:spacing w:val="-7"/>
        </w:rPr>
        <w:t xml:space="preserve"> </w:t>
      </w:r>
      <w:r>
        <w:t>(‘Very</w:t>
      </w:r>
      <w:r>
        <w:rPr>
          <w:spacing w:val="-5"/>
        </w:rPr>
        <w:t xml:space="preserve"> </w:t>
      </w:r>
      <w:r>
        <w:t>often’,</w:t>
      </w:r>
      <w:r>
        <w:rPr>
          <w:spacing w:val="-8"/>
        </w:rPr>
        <w:t xml:space="preserve"> </w:t>
      </w:r>
      <w:r>
        <w:t>‘Quite</w:t>
      </w:r>
      <w:r>
        <w:rPr>
          <w:spacing w:val="-7"/>
        </w:rPr>
        <w:t xml:space="preserve"> </w:t>
      </w:r>
      <w:r>
        <w:t>often’,</w:t>
      </w:r>
      <w:r>
        <w:rPr>
          <w:spacing w:val="-7"/>
        </w:rPr>
        <w:t xml:space="preserve"> </w:t>
      </w:r>
      <w:r>
        <w:t>‘Sometimes’,</w:t>
      </w:r>
      <w:r>
        <w:rPr>
          <w:spacing w:val="-8"/>
        </w:rPr>
        <w:t xml:space="preserve"> </w:t>
      </w:r>
      <w:r>
        <w:t>‘Rarely’, ‘Never’). Sum scores provide a general memory factor, as well as a prospective and retrospective</w:t>
      </w:r>
      <w:r>
        <w:rPr>
          <w:spacing w:val="-15"/>
        </w:rPr>
        <w:t xml:space="preserve"> </w:t>
      </w:r>
      <w:r>
        <w:t>memory</w:t>
      </w:r>
      <w:r>
        <w:rPr>
          <w:spacing w:val="-14"/>
        </w:rPr>
        <w:t xml:space="preserve"> </w:t>
      </w:r>
      <w:r>
        <w:t>score.</w:t>
      </w:r>
      <w:r>
        <w:rPr>
          <w:spacing w:val="29"/>
        </w:rPr>
        <w:t xml:space="preserve"> </w:t>
      </w:r>
      <w:r>
        <w:t>The</w:t>
      </w:r>
      <w:r>
        <w:rPr>
          <w:spacing w:val="-15"/>
        </w:rPr>
        <w:t xml:space="preserve"> </w:t>
      </w:r>
      <w:r>
        <w:t>scales</w:t>
      </w:r>
      <w:r>
        <w:rPr>
          <w:spacing w:val="-17"/>
        </w:rPr>
        <w:t xml:space="preserve"> </w:t>
      </w:r>
      <w:r>
        <w:t>have</w:t>
      </w:r>
      <w:r>
        <w:rPr>
          <w:spacing w:val="-14"/>
        </w:rPr>
        <w:t xml:space="preserve"> </w:t>
      </w:r>
      <w:r>
        <w:t>good</w:t>
      </w:r>
      <w:r>
        <w:rPr>
          <w:spacing w:val="-19"/>
        </w:rPr>
        <w:t xml:space="preserve"> </w:t>
      </w:r>
      <w:r>
        <w:t>internal</w:t>
      </w:r>
      <w:r>
        <w:rPr>
          <w:spacing w:val="-14"/>
        </w:rPr>
        <w:t xml:space="preserve"> </w:t>
      </w:r>
      <w:r>
        <w:t>consistency</w:t>
      </w:r>
      <w:r>
        <w:rPr>
          <w:spacing w:val="-14"/>
        </w:rPr>
        <w:t xml:space="preserve"> </w:t>
      </w:r>
      <w:r>
        <w:t>(Cronbach’s</w:t>
      </w:r>
      <w:r>
        <w:rPr>
          <w:spacing w:val="-17"/>
        </w:rPr>
        <w:t xml:space="preserve"> </w:t>
      </w:r>
      <w:r>
        <w:t>alpha</w:t>
      </w:r>
      <w:r>
        <w:rPr>
          <w:spacing w:val="-14"/>
        </w:rPr>
        <w:t xml:space="preserve"> </w:t>
      </w:r>
      <w:r>
        <w:t xml:space="preserve">0.80 to 0.89). Raw scores were converted to </w:t>
      </w:r>
      <w:proofErr w:type="spellStart"/>
      <w:r>
        <w:t>standardised</w:t>
      </w:r>
      <w:proofErr w:type="spellEnd"/>
      <w:r>
        <w:t xml:space="preserve"> T-scores (Crawford et al., 2003), with higher T-scores indicating better</w:t>
      </w:r>
      <w:r>
        <w:rPr>
          <w:spacing w:val="4"/>
        </w:rPr>
        <w:t xml:space="preserve"> </w:t>
      </w:r>
      <w:r>
        <w:t>memory.</w:t>
      </w:r>
    </w:p>
    <w:p w14:paraId="3522FAE7" w14:textId="77777777" w:rsidR="00C75312" w:rsidRDefault="00C75312">
      <w:pPr>
        <w:spacing w:line="480" w:lineRule="auto"/>
        <w:jc w:val="both"/>
        <w:sectPr w:rsidR="00C75312">
          <w:pgSz w:w="11900" w:h="16840"/>
          <w:pgMar w:top="1140" w:right="0" w:bottom="280" w:left="1300" w:header="720" w:footer="0" w:gutter="0"/>
          <w:cols w:space="720"/>
        </w:sectPr>
      </w:pPr>
    </w:p>
    <w:p w14:paraId="1A003C46" w14:textId="77777777" w:rsidR="00C75312" w:rsidRDefault="00BB293A">
      <w:pPr>
        <w:pStyle w:val="BodyText"/>
        <w:spacing w:before="107" w:line="480" w:lineRule="auto"/>
        <w:ind w:left="140" w:right="1434" w:firstLine="720"/>
        <w:jc w:val="both"/>
      </w:pPr>
      <w:proofErr w:type="spellStart"/>
      <w:r>
        <w:rPr>
          <w:b/>
        </w:rPr>
        <w:lastRenderedPageBreak/>
        <w:t>Behavioural</w:t>
      </w:r>
      <w:proofErr w:type="spellEnd"/>
      <w:r>
        <w:rPr>
          <w:b/>
        </w:rPr>
        <w:t xml:space="preserve"> measures. </w:t>
      </w:r>
      <w:r>
        <w:t xml:space="preserve">Computer tasks were presented using </w:t>
      </w:r>
      <w:proofErr w:type="spellStart"/>
      <w:r>
        <w:t>Psychtoolbox</w:t>
      </w:r>
      <w:proofErr w:type="spellEnd"/>
      <w:r>
        <w:t xml:space="preserve"> (version 3.0.11; Brainard, 1997; Kleiner et al., 2007; Pelli, 1997) running in </w:t>
      </w:r>
      <w:proofErr w:type="spellStart"/>
      <w:r>
        <w:t>Matlab</w:t>
      </w:r>
      <w:proofErr w:type="spellEnd"/>
      <w:r>
        <w:t xml:space="preserve"> 2014 (The MathWorks,</w:t>
      </w:r>
      <w:r>
        <w:rPr>
          <w:spacing w:val="-9"/>
        </w:rPr>
        <w:t xml:space="preserve"> </w:t>
      </w:r>
      <w:r>
        <w:t>Inc.),</w:t>
      </w:r>
      <w:r>
        <w:rPr>
          <w:spacing w:val="-12"/>
        </w:rPr>
        <w:t xml:space="preserve"> </w:t>
      </w:r>
      <w:r>
        <w:t>PsychoPy2</w:t>
      </w:r>
      <w:r>
        <w:rPr>
          <w:spacing w:val="-15"/>
        </w:rPr>
        <w:t xml:space="preserve"> </w:t>
      </w:r>
      <w:r>
        <w:t>(version</w:t>
      </w:r>
      <w:r>
        <w:rPr>
          <w:spacing w:val="-15"/>
        </w:rPr>
        <w:t xml:space="preserve"> </w:t>
      </w:r>
      <w:r>
        <w:t>1.84.2;</w:t>
      </w:r>
      <w:r>
        <w:rPr>
          <w:spacing w:val="-15"/>
        </w:rPr>
        <w:t xml:space="preserve"> </w:t>
      </w:r>
      <w:r>
        <w:t>Peirce,</w:t>
      </w:r>
      <w:r>
        <w:rPr>
          <w:spacing w:val="-8"/>
        </w:rPr>
        <w:t xml:space="preserve"> </w:t>
      </w:r>
      <w:r>
        <w:t>2007),</w:t>
      </w:r>
      <w:r>
        <w:rPr>
          <w:spacing w:val="-13"/>
        </w:rPr>
        <w:t xml:space="preserve"> </w:t>
      </w:r>
      <w:r>
        <w:t>and</w:t>
      </w:r>
      <w:r>
        <w:rPr>
          <w:spacing w:val="-14"/>
        </w:rPr>
        <w:t xml:space="preserve"> </w:t>
      </w:r>
      <w:r>
        <w:t>E-Prime</w:t>
      </w:r>
      <w:r>
        <w:rPr>
          <w:spacing w:val="-16"/>
        </w:rPr>
        <w:t xml:space="preserve"> </w:t>
      </w:r>
      <w:r>
        <w:t>(version</w:t>
      </w:r>
      <w:r>
        <w:rPr>
          <w:spacing w:val="-15"/>
        </w:rPr>
        <w:t xml:space="preserve"> </w:t>
      </w:r>
      <w:r>
        <w:t>2.0.10.252; Schneider, Eschman, &amp; Zuccolotto,</w:t>
      </w:r>
      <w:r>
        <w:rPr>
          <w:spacing w:val="1"/>
        </w:rPr>
        <w:t xml:space="preserve"> </w:t>
      </w:r>
      <w:r>
        <w:t>2002).</w:t>
      </w:r>
    </w:p>
    <w:p w14:paraId="1615006E" w14:textId="77777777" w:rsidR="00C75312" w:rsidRDefault="00BB293A">
      <w:pPr>
        <w:pStyle w:val="BodyText"/>
        <w:spacing w:before="120" w:line="480" w:lineRule="auto"/>
        <w:ind w:left="140" w:right="1433" w:firstLine="720"/>
        <w:jc w:val="both"/>
      </w:pPr>
      <w:r>
        <w:t xml:space="preserve">The Stroop and WCST tests were chosen as established standard </w:t>
      </w:r>
      <w:proofErr w:type="spellStart"/>
      <w:r>
        <w:t>behavioural</w:t>
      </w:r>
      <w:proofErr w:type="spellEnd"/>
      <w:r>
        <w:t xml:space="preserve"> tests of executive functions in neurodevelopmental disorders (</w:t>
      </w:r>
      <w:proofErr w:type="spellStart"/>
      <w:r>
        <w:t>Ozonoff</w:t>
      </w:r>
      <w:proofErr w:type="spellEnd"/>
      <w:r>
        <w:t xml:space="preserve"> &amp; Jensen, 1999). The Stroop task is thought to be a classic measure of the ability to inhibit prepotent responses (Miyake et al., 2000). Using structural equation modelling, Miyake et al. (2000) have found that set shifting/cognitive flexibility is the crucial component which underpins performance on the main outcome variable of the WCST (perseverative errors). Furthermore, the WCST perseverative errors reliably distinguish AS</w:t>
      </w:r>
      <w:r>
        <w:t xml:space="preserve">D from neurotypical individuals (Landry &amp; Al- Taie, 2016). As the WCST has been widely used in ASD research, it was thought that it was the right task to use in this study although some researchers have raised concerns about its psychological validity (Geurts, Corbett, &amp; Solomon, 2009). Importantly, both cognitive flexibility as measured by the WCST and response inhibition as measured by the Stroop task have been associated with restricted repetitive </w:t>
      </w:r>
      <w:proofErr w:type="spellStart"/>
      <w:r>
        <w:t>behaviours</w:t>
      </w:r>
      <w:proofErr w:type="spellEnd"/>
      <w:r>
        <w:t xml:space="preserve"> and motor stereotypies in ASD (</w:t>
      </w:r>
      <w:proofErr w:type="spellStart"/>
      <w:r>
        <w:t>Lemonda</w:t>
      </w:r>
      <w:proofErr w:type="spellEnd"/>
      <w:r>
        <w:t>, Holtze</w:t>
      </w:r>
      <w:r>
        <w:t xml:space="preserve">r, &amp; Goldman, 2012; Lopez, Lincoln, </w:t>
      </w:r>
      <w:proofErr w:type="spellStart"/>
      <w:r>
        <w:t>Ozonoff</w:t>
      </w:r>
      <w:proofErr w:type="spellEnd"/>
      <w:r>
        <w:t xml:space="preserve">, &amp; Lai, 2005; Mostert- </w:t>
      </w:r>
      <w:proofErr w:type="spellStart"/>
      <w:r>
        <w:t>Kerckhoffs</w:t>
      </w:r>
      <w:proofErr w:type="spellEnd"/>
      <w:r>
        <w:t>, Staal, Houben, &amp; de Jonge, 2015). Furthermore, tasks were also chosen based</w:t>
      </w:r>
      <w:r>
        <w:rPr>
          <w:spacing w:val="-34"/>
        </w:rPr>
        <w:t xml:space="preserve"> </w:t>
      </w:r>
      <w:r>
        <w:t>on associations</w:t>
      </w:r>
      <w:r>
        <w:rPr>
          <w:spacing w:val="-13"/>
        </w:rPr>
        <w:t xml:space="preserve"> </w:t>
      </w:r>
      <w:r>
        <w:t>with</w:t>
      </w:r>
      <w:r>
        <w:rPr>
          <w:spacing w:val="-11"/>
        </w:rPr>
        <w:t xml:space="preserve"> </w:t>
      </w:r>
      <w:r>
        <w:t>time-based</w:t>
      </w:r>
      <w:r>
        <w:rPr>
          <w:spacing w:val="-10"/>
        </w:rPr>
        <w:t xml:space="preserve"> </w:t>
      </w:r>
      <w:r>
        <w:t>prospective</w:t>
      </w:r>
      <w:r>
        <w:rPr>
          <w:spacing w:val="-12"/>
        </w:rPr>
        <w:t xml:space="preserve"> </w:t>
      </w:r>
      <w:r>
        <w:t>memory.</w:t>
      </w:r>
      <w:r>
        <w:rPr>
          <w:spacing w:val="42"/>
        </w:rPr>
        <w:t xml:space="preserve"> </w:t>
      </w:r>
      <w:r>
        <w:t>Both</w:t>
      </w:r>
      <w:r>
        <w:rPr>
          <w:spacing w:val="-10"/>
        </w:rPr>
        <w:t xml:space="preserve"> </w:t>
      </w:r>
      <w:r>
        <w:t>the</w:t>
      </w:r>
      <w:r>
        <w:rPr>
          <w:spacing w:val="-12"/>
        </w:rPr>
        <w:t xml:space="preserve"> </w:t>
      </w:r>
      <w:r>
        <w:t>WCST</w:t>
      </w:r>
      <w:r>
        <w:rPr>
          <w:spacing w:val="-8"/>
        </w:rPr>
        <w:t xml:space="preserve"> </w:t>
      </w:r>
      <w:r>
        <w:t>and</w:t>
      </w:r>
      <w:r>
        <w:rPr>
          <w:spacing w:val="-11"/>
        </w:rPr>
        <w:t xml:space="preserve"> </w:t>
      </w:r>
      <w:r>
        <w:t>Stroop</w:t>
      </w:r>
      <w:r>
        <w:rPr>
          <w:spacing w:val="-10"/>
        </w:rPr>
        <w:t xml:space="preserve"> </w:t>
      </w:r>
      <w:r>
        <w:t>tests</w:t>
      </w:r>
      <w:r>
        <w:rPr>
          <w:spacing w:val="-13"/>
        </w:rPr>
        <w:t xml:space="preserve"> </w:t>
      </w:r>
      <w:r>
        <w:t>have</w:t>
      </w:r>
      <w:r>
        <w:rPr>
          <w:spacing w:val="-12"/>
        </w:rPr>
        <w:t xml:space="preserve"> </w:t>
      </w:r>
      <w:r>
        <w:t xml:space="preserve">been linked to performance on time-based PM tasks in neurotypical individuals and/or individuals with ASD (Henry et al., 2014; </w:t>
      </w:r>
      <w:proofErr w:type="spellStart"/>
      <w:r>
        <w:t>Kliegel</w:t>
      </w:r>
      <w:proofErr w:type="spellEnd"/>
      <w:r>
        <w:t xml:space="preserve">, Martin, McDaniel, &amp; Einstein, 2002; </w:t>
      </w:r>
      <w:proofErr w:type="spellStart"/>
      <w:r>
        <w:t>Kliegel</w:t>
      </w:r>
      <w:proofErr w:type="spellEnd"/>
      <w:r>
        <w:t xml:space="preserve">, </w:t>
      </w:r>
      <w:proofErr w:type="spellStart"/>
      <w:r>
        <w:t>Ramuschkat</w:t>
      </w:r>
      <w:proofErr w:type="spellEnd"/>
      <w:r>
        <w:t xml:space="preserve">, &amp; Martin, 2003; Mioni &amp; Stablum, 2014; Vanneste, Baudouin, </w:t>
      </w:r>
      <w:proofErr w:type="spellStart"/>
      <w:r>
        <w:t>Bouazzaoui</w:t>
      </w:r>
      <w:proofErr w:type="spellEnd"/>
      <w:r>
        <w:t xml:space="preserve">, &amp; </w:t>
      </w:r>
      <w:proofErr w:type="spellStart"/>
      <w:r>
        <w:t>Tac</w:t>
      </w:r>
      <w:r>
        <w:t>onnat</w:t>
      </w:r>
      <w:proofErr w:type="spellEnd"/>
      <w:r>
        <w:t xml:space="preserve">, 2016; Williams, Boucher, Lind, &amp; Jarrold, 2013). Therefore, </w:t>
      </w:r>
      <w:r>
        <w:rPr>
          <w:spacing w:val="-3"/>
        </w:rPr>
        <w:t xml:space="preserve">it </w:t>
      </w:r>
      <w:r>
        <w:t>was thought that these tasks would be suitable to investigate whether performance changes in prospective memory from the PM low importance to the PM high importance condition were associated with executive function</w:t>
      </w:r>
      <w:r>
        <w:rPr>
          <w:spacing w:val="4"/>
        </w:rPr>
        <w:t xml:space="preserve"> </w:t>
      </w:r>
      <w:r>
        <w:t>abilities.</w:t>
      </w:r>
    </w:p>
    <w:p w14:paraId="3EBE3BE0" w14:textId="77777777" w:rsidR="00C75312" w:rsidRDefault="00C75312">
      <w:pPr>
        <w:spacing w:line="480" w:lineRule="auto"/>
        <w:jc w:val="both"/>
        <w:sectPr w:rsidR="00C75312">
          <w:pgSz w:w="11900" w:h="16840"/>
          <w:pgMar w:top="1140" w:right="0" w:bottom="280" w:left="1300" w:header="720" w:footer="0" w:gutter="0"/>
          <w:cols w:space="720"/>
        </w:sectPr>
      </w:pPr>
    </w:p>
    <w:p w14:paraId="230BD7E5" w14:textId="77777777" w:rsidR="00C75312" w:rsidRDefault="00BB293A">
      <w:pPr>
        <w:pStyle w:val="BodyText"/>
        <w:spacing w:before="107" w:line="480" w:lineRule="auto"/>
        <w:ind w:left="140" w:right="1432" w:firstLine="720"/>
        <w:jc w:val="both"/>
      </w:pPr>
      <w:r>
        <w:lastRenderedPageBreak/>
        <w:t xml:space="preserve">A </w:t>
      </w:r>
      <w:proofErr w:type="spellStart"/>
      <w:r>
        <w:t>computerised</w:t>
      </w:r>
      <w:proofErr w:type="spellEnd"/>
      <w:r>
        <w:t xml:space="preserve"> version </w:t>
      </w:r>
      <w:r>
        <w:rPr>
          <w:spacing w:val="-3"/>
        </w:rPr>
        <w:t xml:space="preserve">of </w:t>
      </w:r>
      <w:r>
        <w:t xml:space="preserve">the </w:t>
      </w:r>
      <w:r>
        <w:rPr>
          <w:i/>
        </w:rPr>
        <w:t xml:space="preserve">Stroop task </w:t>
      </w:r>
      <w:r>
        <w:t xml:space="preserve">(Stroop, 1935) was used as a standard measure of inhibitory control/the ability to inhibit prepotent responses (Miyake et al., 2000). Participants were required to respond to a series </w:t>
      </w:r>
      <w:r>
        <w:rPr>
          <w:spacing w:val="-3"/>
        </w:rPr>
        <w:t xml:space="preserve">of </w:t>
      </w:r>
      <w:r>
        <w:t xml:space="preserve">single words of different ink </w:t>
      </w:r>
      <w:proofErr w:type="spellStart"/>
      <w:r>
        <w:t>colours</w:t>
      </w:r>
      <w:proofErr w:type="spellEnd"/>
      <w:r>
        <w:rPr>
          <w:spacing w:val="-39"/>
        </w:rPr>
        <w:t xml:space="preserve"> </w:t>
      </w:r>
      <w:r>
        <w:t>(blue, green, red, and yellow) on the screen. The task was to indicate as quickly as possible the respective</w:t>
      </w:r>
      <w:r>
        <w:rPr>
          <w:spacing w:val="-7"/>
        </w:rPr>
        <w:t xml:space="preserve"> </w:t>
      </w:r>
      <w:r>
        <w:t>ink</w:t>
      </w:r>
      <w:r>
        <w:rPr>
          <w:spacing w:val="-6"/>
        </w:rPr>
        <w:t xml:space="preserve"> </w:t>
      </w:r>
      <w:proofErr w:type="spellStart"/>
      <w:r>
        <w:t>colour</w:t>
      </w:r>
      <w:proofErr w:type="spellEnd"/>
      <w:r>
        <w:rPr>
          <w:spacing w:val="-9"/>
        </w:rPr>
        <w:t xml:space="preserve"> </w:t>
      </w:r>
      <w:r>
        <w:t>of</w:t>
      </w:r>
      <w:r>
        <w:rPr>
          <w:spacing w:val="-9"/>
        </w:rPr>
        <w:t xml:space="preserve"> </w:t>
      </w:r>
      <w:r>
        <w:t>each</w:t>
      </w:r>
      <w:r>
        <w:rPr>
          <w:spacing w:val="-6"/>
        </w:rPr>
        <w:t xml:space="preserve"> </w:t>
      </w:r>
      <w:r>
        <w:t>word</w:t>
      </w:r>
      <w:r>
        <w:rPr>
          <w:spacing w:val="-6"/>
        </w:rPr>
        <w:t xml:space="preserve"> </w:t>
      </w:r>
      <w:r>
        <w:t>via</w:t>
      </w:r>
      <w:r>
        <w:rPr>
          <w:spacing w:val="-12"/>
        </w:rPr>
        <w:t xml:space="preserve"> </w:t>
      </w:r>
      <w:r>
        <w:t>keypress.</w:t>
      </w:r>
      <w:r>
        <w:rPr>
          <w:spacing w:val="43"/>
        </w:rPr>
        <w:t xml:space="preserve"> </w:t>
      </w:r>
      <w:r>
        <w:t>There</w:t>
      </w:r>
      <w:r>
        <w:rPr>
          <w:spacing w:val="-7"/>
        </w:rPr>
        <w:t xml:space="preserve"> </w:t>
      </w:r>
      <w:r>
        <w:t>were</w:t>
      </w:r>
      <w:r>
        <w:rPr>
          <w:spacing w:val="-7"/>
        </w:rPr>
        <w:t xml:space="preserve"> </w:t>
      </w:r>
      <w:r>
        <w:t>150</w:t>
      </w:r>
      <w:r>
        <w:rPr>
          <w:spacing w:val="-11"/>
        </w:rPr>
        <w:t xml:space="preserve"> </w:t>
      </w:r>
      <w:r>
        <w:t>trials,</w:t>
      </w:r>
      <w:r>
        <w:rPr>
          <w:spacing w:val="-3"/>
        </w:rPr>
        <w:t xml:space="preserve"> </w:t>
      </w:r>
      <w:r>
        <w:t>which</w:t>
      </w:r>
      <w:r>
        <w:rPr>
          <w:spacing w:val="-11"/>
        </w:rPr>
        <w:t xml:space="preserve"> </w:t>
      </w:r>
      <w:r>
        <w:t>contained</w:t>
      </w:r>
      <w:r>
        <w:rPr>
          <w:spacing w:val="-6"/>
        </w:rPr>
        <w:t xml:space="preserve"> </w:t>
      </w:r>
      <w:r>
        <w:t xml:space="preserve">either neutral, congruent, or incongruent word stimuli. In the </w:t>
      </w:r>
      <w:r>
        <w:rPr>
          <w:i/>
        </w:rPr>
        <w:t>neutral trials</w:t>
      </w:r>
      <w:r>
        <w:t>, participants had to re</w:t>
      </w:r>
      <w:r>
        <w:t>spond to one of four neutral non-</w:t>
      </w:r>
      <w:proofErr w:type="spellStart"/>
      <w:r>
        <w:t>colour</w:t>
      </w:r>
      <w:proofErr w:type="spellEnd"/>
      <w:r>
        <w:t xml:space="preserve"> words (CHIEF, MEET, PLENTY, TAX). The four </w:t>
      </w:r>
      <w:proofErr w:type="spellStart"/>
      <w:r>
        <w:t>colour</w:t>
      </w:r>
      <w:proofErr w:type="spellEnd"/>
      <w:r>
        <w:rPr>
          <w:spacing w:val="-13"/>
        </w:rPr>
        <w:t xml:space="preserve"> </w:t>
      </w:r>
      <w:r>
        <w:t>words</w:t>
      </w:r>
      <w:r>
        <w:rPr>
          <w:spacing w:val="-17"/>
        </w:rPr>
        <w:t xml:space="preserve"> </w:t>
      </w:r>
      <w:r>
        <w:t>corresponding</w:t>
      </w:r>
      <w:r>
        <w:rPr>
          <w:spacing w:val="-13"/>
        </w:rPr>
        <w:t xml:space="preserve"> </w:t>
      </w:r>
      <w:r>
        <w:t>to</w:t>
      </w:r>
      <w:r>
        <w:rPr>
          <w:spacing w:val="-14"/>
        </w:rPr>
        <w:t xml:space="preserve"> </w:t>
      </w:r>
      <w:r>
        <w:t>the</w:t>
      </w:r>
      <w:r>
        <w:rPr>
          <w:spacing w:val="-19"/>
        </w:rPr>
        <w:t xml:space="preserve"> </w:t>
      </w:r>
      <w:r>
        <w:t>four</w:t>
      </w:r>
      <w:r>
        <w:rPr>
          <w:spacing w:val="-18"/>
        </w:rPr>
        <w:t xml:space="preserve"> </w:t>
      </w:r>
      <w:r>
        <w:t>ink</w:t>
      </w:r>
      <w:r>
        <w:rPr>
          <w:spacing w:val="-14"/>
        </w:rPr>
        <w:t xml:space="preserve"> </w:t>
      </w:r>
      <w:proofErr w:type="spellStart"/>
      <w:r>
        <w:t>colours</w:t>
      </w:r>
      <w:proofErr w:type="spellEnd"/>
      <w:r>
        <w:rPr>
          <w:spacing w:val="-20"/>
        </w:rPr>
        <w:t xml:space="preserve"> </w:t>
      </w:r>
      <w:r>
        <w:t>were</w:t>
      </w:r>
      <w:r>
        <w:rPr>
          <w:spacing w:val="-15"/>
        </w:rPr>
        <w:t xml:space="preserve"> </w:t>
      </w:r>
      <w:r>
        <w:t>used</w:t>
      </w:r>
      <w:r>
        <w:rPr>
          <w:spacing w:val="-13"/>
        </w:rPr>
        <w:t xml:space="preserve"> </w:t>
      </w:r>
      <w:r>
        <w:t>in</w:t>
      </w:r>
      <w:r>
        <w:rPr>
          <w:spacing w:val="-14"/>
        </w:rPr>
        <w:t xml:space="preserve"> </w:t>
      </w:r>
      <w:r>
        <w:t>the</w:t>
      </w:r>
      <w:r>
        <w:rPr>
          <w:spacing w:val="-14"/>
        </w:rPr>
        <w:t xml:space="preserve"> </w:t>
      </w:r>
      <w:r>
        <w:t>two</w:t>
      </w:r>
      <w:r>
        <w:rPr>
          <w:spacing w:val="-19"/>
        </w:rPr>
        <w:t xml:space="preserve"> </w:t>
      </w:r>
      <w:r>
        <w:t>non-neutral</w:t>
      </w:r>
      <w:r>
        <w:rPr>
          <w:spacing w:val="-14"/>
        </w:rPr>
        <w:t xml:space="preserve"> </w:t>
      </w:r>
      <w:r>
        <w:t>conditions. In c</w:t>
      </w:r>
      <w:r>
        <w:rPr>
          <w:i/>
        </w:rPr>
        <w:t xml:space="preserve">ongruent trials, </w:t>
      </w:r>
      <w:r>
        <w:t xml:space="preserve">the </w:t>
      </w:r>
      <w:proofErr w:type="spellStart"/>
      <w:r>
        <w:t>colour</w:t>
      </w:r>
      <w:proofErr w:type="spellEnd"/>
      <w:r>
        <w:t xml:space="preserve"> word and its ink </w:t>
      </w:r>
      <w:proofErr w:type="spellStart"/>
      <w:r>
        <w:t>colour</w:t>
      </w:r>
      <w:proofErr w:type="spellEnd"/>
      <w:r>
        <w:t xml:space="preserve"> were identical, whereas in i</w:t>
      </w:r>
      <w:r>
        <w:rPr>
          <w:i/>
        </w:rPr>
        <w:t xml:space="preserve">ncongruent trials </w:t>
      </w:r>
      <w:r>
        <w:t xml:space="preserve">the </w:t>
      </w:r>
      <w:proofErr w:type="spellStart"/>
      <w:r>
        <w:t>colour</w:t>
      </w:r>
      <w:proofErr w:type="spellEnd"/>
      <w:r>
        <w:t xml:space="preserve"> word was printed in a different ink </w:t>
      </w:r>
      <w:proofErr w:type="spellStart"/>
      <w:r>
        <w:t>colour</w:t>
      </w:r>
      <w:proofErr w:type="spellEnd"/>
      <w:r>
        <w:t xml:space="preserve">. Participants completed a short practice at the beginning to </w:t>
      </w:r>
      <w:proofErr w:type="spellStart"/>
      <w:r>
        <w:t>familiarise</w:t>
      </w:r>
      <w:proofErr w:type="spellEnd"/>
      <w:r>
        <w:t xml:space="preserve"> themselves with the response options (which key corresponds to which ink </w:t>
      </w:r>
      <w:proofErr w:type="spellStart"/>
      <w:r>
        <w:t>colour</w:t>
      </w:r>
      <w:proofErr w:type="spellEnd"/>
      <w:r>
        <w:t>). As measure of inhibito</w:t>
      </w:r>
      <w:r>
        <w:t>ry control, the reaction time difference between correct responses on incongruent versus congruent trials was calculated. Trials with reaction times faster than 200ms (anticipatory) or slower than 2.5SDs above the individual mean reaction time across all trials were excluded from the</w:t>
      </w:r>
      <w:r>
        <w:rPr>
          <w:spacing w:val="-5"/>
        </w:rPr>
        <w:t xml:space="preserve"> </w:t>
      </w:r>
      <w:r>
        <w:t>analysis.</w:t>
      </w:r>
    </w:p>
    <w:p w14:paraId="186625AA" w14:textId="77777777" w:rsidR="00C75312" w:rsidRDefault="00BB293A">
      <w:pPr>
        <w:pStyle w:val="BodyText"/>
        <w:spacing w:before="121" w:line="480" w:lineRule="auto"/>
        <w:ind w:left="140" w:right="1433" w:firstLine="720"/>
        <w:jc w:val="both"/>
      </w:pPr>
      <w:r>
        <w:t xml:space="preserve">A </w:t>
      </w:r>
      <w:proofErr w:type="spellStart"/>
      <w:r>
        <w:t>computerised</w:t>
      </w:r>
      <w:proofErr w:type="spellEnd"/>
      <w:r>
        <w:t xml:space="preserve"> version of the </w:t>
      </w:r>
      <w:r>
        <w:rPr>
          <w:i/>
        </w:rPr>
        <w:t xml:space="preserve">Wisconsin Card Sorting Task </w:t>
      </w:r>
      <w:r>
        <w:t>(WCST; Berg, 1948; Nelson,</w:t>
      </w:r>
      <w:r>
        <w:rPr>
          <w:spacing w:val="-4"/>
        </w:rPr>
        <w:t xml:space="preserve"> </w:t>
      </w:r>
      <w:r>
        <w:t>1976)</w:t>
      </w:r>
      <w:r>
        <w:rPr>
          <w:spacing w:val="40"/>
        </w:rPr>
        <w:t xml:space="preserve"> </w:t>
      </w:r>
      <w:r>
        <w:t>was</w:t>
      </w:r>
      <w:r>
        <w:rPr>
          <w:spacing w:val="-8"/>
        </w:rPr>
        <w:t xml:space="preserve"> </w:t>
      </w:r>
      <w:r>
        <w:t>used</w:t>
      </w:r>
      <w:r>
        <w:rPr>
          <w:spacing w:val="-7"/>
        </w:rPr>
        <w:t xml:space="preserve"> </w:t>
      </w:r>
      <w:r>
        <w:t>as</w:t>
      </w:r>
      <w:r>
        <w:rPr>
          <w:spacing w:val="-8"/>
        </w:rPr>
        <w:t xml:space="preserve"> </w:t>
      </w:r>
      <w:r>
        <w:t>an</w:t>
      </w:r>
      <w:r>
        <w:rPr>
          <w:spacing w:val="-11"/>
        </w:rPr>
        <w:t xml:space="preserve"> </w:t>
      </w:r>
      <w:r>
        <w:t>established</w:t>
      </w:r>
      <w:r>
        <w:rPr>
          <w:spacing w:val="-7"/>
        </w:rPr>
        <w:t xml:space="preserve"> </w:t>
      </w:r>
      <w:r>
        <w:t>measure</w:t>
      </w:r>
      <w:r>
        <w:rPr>
          <w:spacing w:val="-12"/>
        </w:rPr>
        <w:t xml:space="preserve"> </w:t>
      </w:r>
      <w:r>
        <w:t>of</w:t>
      </w:r>
      <w:r>
        <w:rPr>
          <w:spacing w:val="-4"/>
        </w:rPr>
        <w:t xml:space="preserve"> </w:t>
      </w:r>
      <w:r>
        <w:t>cognitive</w:t>
      </w:r>
      <w:r>
        <w:rPr>
          <w:spacing w:val="-13"/>
        </w:rPr>
        <w:t xml:space="preserve"> </w:t>
      </w:r>
      <w:r>
        <w:t>flexibility/set</w:t>
      </w:r>
      <w:r>
        <w:rPr>
          <w:spacing w:val="-5"/>
        </w:rPr>
        <w:t xml:space="preserve"> </w:t>
      </w:r>
      <w:r>
        <w:t>shifting</w:t>
      </w:r>
      <w:r>
        <w:rPr>
          <w:spacing w:val="-11"/>
        </w:rPr>
        <w:t xml:space="preserve"> </w:t>
      </w:r>
      <w:r>
        <w:t xml:space="preserve">(Miyake et al., 2000). It consisted of four stimulus cards and 128 response cards which varied on three dimensions: number </w:t>
      </w:r>
      <w:r>
        <w:rPr>
          <w:spacing w:val="-3"/>
        </w:rPr>
        <w:t xml:space="preserve">of </w:t>
      </w:r>
      <w:r>
        <w:t xml:space="preserve">shapes (1 to 4), type of shape (circle, cross, star, triangle), and </w:t>
      </w:r>
      <w:proofErr w:type="spellStart"/>
      <w:r>
        <w:t>colour</w:t>
      </w:r>
      <w:proofErr w:type="spellEnd"/>
      <w:r>
        <w:t xml:space="preserve"> of shapes (blue, green, red, yellow) with each card showing a different, shape, </w:t>
      </w:r>
      <w:proofErr w:type="spellStart"/>
      <w:r>
        <w:t>colour</w:t>
      </w:r>
      <w:proofErr w:type="spellEnd"/>
      <w:r>
        <w:t>, and number of shape. The participant’s task was to sort each response card presented below the stimulus cards into categories according to an unknown rule. Participants had to determine what</w:t>
      </w:r>
      <w:r>
        <w:rPr>
          <w:spacing w:val="-4"/>
        </w:rPr>
        <w:t xml:space="preserve"> </w:t>
      </w:r>
      <w:r>
        <w:t>the</w:t>
      </w:r>
      <w:r>
        <w:rPr>
          <w:spacing w:val="-11"/>
        </w:rPr>
        <w:t xml:space="preserve"> </w:t>
      </w:r>
      <w:r>
        <w:t>rule</w:t>
      </w:r>
      <w:r>
        <w:rPr>
          <w:spacing w:val="-11"/>
        </w:rPr>
        <w:t xml:space="preserve"> </w:t>
      </w:r>
      <w:r>
        <w:t>was</w:t>
      </w:r>
      <w:r>
        <w:rPr>
          <w:spacing w:val="-6"/>
        </w:rPr>
        <w:t xml:space="preserve"> </w:t>
      </w:r>
      <w:r>
        <w:t>(sorting</w:t>
      </w:r>
      <w:r>
        <w:rPr>
          <w:spacing w:val="-10"/>
        </w:rPr>
        <w:t xml:space="preserve"> </w:t>
      </w:r>
      <w:r>
        <w:t>by</w:t>
      </w:r>
      <w:r>
        <w:rPr>
          <w:spacing w:val="-10"/>
        </w:rPr>
        <w:t xml:space="preserve"> </w:t>
      </w:r>
      <w:r>
        <w:t>type</w:t>
      </w:r>
      <w:r>
        <w:rPr>
          <w:spacing w:val="-10"/>
        </w:rPr>
        <w:t xml:space="preserve"> </w:t>
      </w:r>
      <w:r>
        <w:rPr>
          <w:spacing w:val="-3"/>
        </w:rPr>
        <w:t>of</w:t>
      </w:r>
      <w:r>
        <w:rPr>
          <w:spacing w:val="-8"/>
        </w:rPr>
        <w:t xml:space="preserve"> </w:t>
      </w:r>
      <w:r>
        <w:t>shape,</w:t>
      </w:r>
      <w:r>
        <w:rPr>
          <w:spacing w:val="-2"/>
        </w:rPr>
        <w:t xml:space="preserve"> </w:t>
      </w:r>
      <w:r>
        <w:t>number</w:t>
      </w:r>
      <w:r>
        <w:rPr>
          <w:spacing w:val="-3"/>
        </w:rPr>
        <w:t xml:space="preserve"> of</w:t>
      </w:r>
      <w:r>
        <w:rPr>
          <w:spacing w:val="-8"/>
        </w:rPr>
        <w:t xml:space="preserve"> </w:t>
      </w:r>
      <w:r>
        <w:t>shape,</w:t>
      </w:r>
      <w:r>
        <w:rPr>
          <w:spacing w:val="-2"/>
        </w:rPr>
        <w:t xml:space="preserve"> </w:t>
      </w:r>
      <w:r>
        <w:rPr>
          <w:spacing w:val="-3"/>
        </w:rPr>
        <w:t>or</w:t>
      </w:r>
      <w:r>
        <w:rPr>
          <w:spacing w:val="-2"/>
        </w:rPr>
        <w:t xml:space="preserve"> </w:t>
      </w:r>
      <w:proofErr w:type="spellStart"/>
      <w:r>
        <w:t>colour</w:t>
      </w:r>
      <w:proofErr w:type="spellEnd"/>
      <w:r>
        <w:t>)</w:t>
      </w:r>
      <w:r>
        <w:rPr>
          <w:spacing w:val="-8"/>
        </w:rPr>
        <w:t xml:space="preserve"> </w:t>
      </w:r>
      <w:r>
        <w:t>and</w:t>
      </w:r>
      <w:r>
        <w:rPr>
          <w:spacing w:val="-10"/>
        </w:rPr>
        <w:t xml:space="preserve"> </w:t>
      </w:r>
      <w:r>
        <w:t>received</w:t>
      </w:r>
      <w:r>
        <w:rPr>
          <w:spacing w:val="-10"/>
        </w:rPr>
        <w:t xml:space="preserve"> </w:t>
      </w:r>
      <w:r>
        <w:t>feedback after each response whether they responded correctly or not. The card that needed to be categorized</w:t>
      </w:r>
      <w:r>
        <w:rPr>
          <w:spacing w:val="-5"/>
        </w:rPr>
        <w:t xml:space="preserve"> </w:t>
      </w:r>
      <w:r>
        <w:t>never</w:t>
      </w:r>
      <w:r>
        <w:rPr>
          <w:spacing w:val="-3"/>
        </w:rPr>
        <w:t xml:space="preserve"> </w:t>
      </w:r>
      <w:r>
        <w:t>matched</w:t>
      </w:r>
      <w:r>
        <w:rPr>
          <w:spacing w:val="-5"/>
        </w:rPr>
        <w:t xml:space="preserve"> </w:t>
      </w:r>
      <w:r>
        <w:t>on</w:t>
      </w:r>
      <w:r>
        <w:rPr>
          <w:spacing w:val="-5"/>
        </w:rPr>
        <w:t xml:space="preserve"> </w:t>
      </w:r>
      <w:r>
        <w:t>more</w:t>
      </w:r>
      <w:r>
        <w:rPr>
          <w:spacing w:val="-5"/>
        </w:rPr>
        <w:t xml:space="preserve"> </w:t>
      </w:r>
      <w:r>
        <w:t>than</w:t>
      </w:r>
      <w:r>
        <w:rPr>
          <w:spacing w:val="-5"/>
        </w:rPr>
        <w:t xml:space="preserve"> </w:t>
      </w:r>
      <w:r>
        <w:t>one</w:t>
      </w:r>
      <w:r>
        <w:rPr>
          <w:spacing w:val="-11"/>
        </w:rPr>
        <w:t xml:space="preserve"> </w:t>
      </w:r>
      <w:r>
        <w:t>feature</w:t>
      </w:r>
      <w:r>
        <w:rPr>
          <w:spacing w:val="-5"/>
        </w:rPr>
        <w:t xml:space="preserve"> </w:t>
      </w:r>
      <w:r>
        <w:t>with</w:t>
      </w:r>
      <w:r>
        <w:rPr>
          <w:spacing w:val="-5"/>
        </w:rPr>
        <w:t xml:space="preserve"> </w:t>
      </w:r>
      <w:r>
        <w:t>each</w:t>
      </w:r>
      <w:r>
        <w:rPr>
          <w:spacing w:val="-5"/>
        </w:rPr>
        <w:t xml:space="preserve"> </w:t>
      </w:r>
      <w:r>
        <w:t>of</w:t>
      </w:r>
      <w:r>
        <w:rPr>
          <w:spacing w:val="-3"/>
        </w:rPr>
        <w:t xml:space="preserve"> </w:t>
      </w:r>
      <w:r>
        <w:t>the</w:t>
      </w:r>
      <w:r>
        <w:rPr>
          <w:spacing w:val="-5"/>
        </w:rPr>
        <w:t xml:space="preserve"> </w:t>
      </w:r>
      <w:r>
        <w:t>four</w:t>
      </w:r>
      <w:r>
        <w:rPr>
          <w:spacing w:val="-3"/>
        </w:rPr>
        <w:t xml:space="preserve"> </w:t>
      </w:r>
      <w:r>
        <w:t>stimulus</w:t>
      </w:r>
      <w:r>
        <w:rPr>
          <w:spacing w:val="-7"/>
        </w:rPr>
        <w:t xml:space="preserve"> </w:t>
      </w:r>
      <w:r>
        <w:t>cards</w:t>
      </w:r>
      <w:r>
        <w:rPr>
          <w:spacing w:val="-7"/>
        </w:rPr>
        <w:t xml:space="preserve"> </w:t>
      </w:r>
      <w:r>
        <w:t xml:space="preserve">(e.g., shape and </w:t>
      </w:r>
      <w:proofErr w:type="spellStart"/>
      <w:r>
        <w:t>colour</w:t>
      </w:r>
      <w:proofErr w:type="spellEnd"/>
      <w:r>
        <w:t>). The sorting rule changed unbeknown to the participant after 10 cards</w:t>
      </w:r>
      <w:r>
        <w:rPr>
          <w:spacing w:val="-33"/>
        </w:rPr>
        <w:t xml:space="preserve"> </w:t>
      </w:r>
      <w:r>
        <w:t>were</w:t>
      </w:r>
    </w:p>
    <w:p w14:paraId="21BFAA73" w14:textId="77777777" w:rsidR="00C75312" w:rsidRDefault="00C75312">
      <w:pPr>
        <w:spacing w:line="480" w:lineRule="auto"/>
        <w:jc w:val="both"/>
        <w:sectPr w:rsidR="00C75312">
          <w:pgSz w:w="11900" w:h="16840"/>
          <w:pgMar w:top="1140" w:right="0" w:bottom="280" w:left="1300" w:header="720" w:footer="0" w:gutter="0"/>
          <w:cols w:space="720"/>
        </w:sectPr>
      </w:pPr>
    </w:p>
    <w:p w14:paraId="50FAC063" w14:textId="77777777" w:rsidR="00C75312" w:rsidRDefault="00BB293A">
      <w:pPr>
        <w:pStyle w:val="BodyText"/>
        <w:spacing w:before="107" w:line="480" w:lineRule="auto"/>
        <w:ind w:left="140" w:right="1433"/>
        <w:jc w:val="both"/>
      </w:pPr>
      <w:r>
        <w:lastRenderedPageBreak/>
        <w:t>sorted correctly. The number of perseverative errors was used as an index of cognitive inflexibility (i.e., a tendency to become stuck in set). A perseverative error was defined as a) persisting to sort a card into the same category as the previous one, after they had received feedback</w:t>
      </w:r>
      <w:r>
        <w:rPr>
          <w:spacing w:val="-7"/>
        </w:rPr>
        <w:t xml:space="preserve"> </w:t>
      </w:r>
      <w:r>
        <w:t>of</w:t>
      </w:r>
      <w:r>
        <w:rPr>
          <w:spacing w:val="-9"/>
        </w:rPr>
        <w:t xml:space="preserve"> </w:t>
      </w:r>
      <w:r>
        <w:t>their</w:t>
      </w:r>
      <w:r>
        <w:rPr>
          <w:spacing w:val="-9"/>
        </w:rPr>
        <w:t xml:space="preserve"> </w:t>
      </w:r>
      <w:r>
        <w:t>previous</w:t>
      </w:r>
      <w:r>
        <w:rPr>
          <w:spacing w:val="-9"/>
        </w:rPr>
        <w:t xml:space="preserve"> </w:t>
      </w:r>
      <w:r>
        <w:t>sort</w:t>
      </w:r>
      <w:r>
        <w:rPr>
          <w:spacing w:val="-10"/>
        </w:rPr>
        <w:t xml:space="preserve"> </w:t>
      </w:r>
      <w:r>
        <w:t>being</w:t>
      </w:r>
      <w:r>
        <w:rPr>
          <w:spacing w:val="-11"/>
        </w:rPr>
        <w:t xml:space="preserve"> </w:t>
      </w:r>
      <w:r>
        <w:t>incorrect</w:t>
      </w:r>
      <w:r>
        <w:rPr>
          <w:spacing w:val="-10"/>
        </w:rPr>
        <w:t xml:space="preserve"> </w:t>
      </w:r>
      <w:r>
        <w:t>(see</w:t>
      </w:r>
      <w:r>
        <w:rPr>
          <w:spacing w:val="-12"/>
        </w:rPr>
        <w:t xml:space="preserve"> </w:t>
      </w:r>
      <w:r>
        <w:t>Cianchetti,</w:t>
      </w:r>
      <w:r>
        <w:rPr>
          <w:spacing w:val="-4"/>
        </w:rPr>
        <w:t xml:space="preserve"> </w:t>
      </w:r>
      <w:r>
        <w:t>Corona,</w:t>
      </w:r>
      <w:r>
        <w:rPr>
          <w:spacing w:val="-8"/>
        </w:rPr>
        <w:t xml:space="preserve"> </w:t>
      </w:r>
      <w:proofErr w:type="spellStart"/>
      <w:r>
        <w:t>Foscoliano</w:t>
      </w:r>
      <w:proofErr w:type="spellEnd"/>
      <w:r>
        <w:t>,</w:t>
      </w:r>
      <w:r>
        <w:rPr>
          <w:spacing w:val="-8"/>
        </w:rPr>
        <w:t xml:space="preserve"> </w:t>
      </w:r>
      <w:proofErr w:type="spellStart"/>
      <w:r>
        <w:t>Contu</w:t>
      </w:r>
      <w:proofErr w:type="spellEnd"/>
      <w:r>
        <w:t>,</w:t>
      </w:r>
      <w:r>
        <w:rPr>
          <w:spacing w:val="-9"/>
        </w:rPr>
        <w:t xml:space="preserve"> </w:t>
      </w:r>
      <w:r>
        <w:t>and Sannio-</w:t>
      </w:r>
      <w:proofErr w:type="spellStart"/>
      <w:r>
        <w:t>Fancello</w:t>
      </w:r>
      <w:proofErr w:type="spellEnd"/>
      <w:r>
        <w:t>,</w:t>
      </w:r>
      <w:r>
        <w:rPr>
          <w:spacing w:val="3"/>
        </w:rPr>
        <w:t xml:space="preserve"> </w:t>
      </w:r>
      <w:r>
        <w:t>2007).</w:t>
      </w:r>
    </w:p>
    <w:p w14:paraId="3EB38229" w14:textId="77777777" w:rsidR="00C75312" w:rsidRDefault="00BB293A">
      <w:pPr>
        <w:pStyle w:val="BodyText"/>
        <w:spacing w:before="120" w:line="480" w:lineRule="auto"/>
        <w:ind w:left="140" w:right="1431" w:firstLine="720"/>
        <w:jc w:val="both"/>
      </w:pPr>
      <w:r>
        <w:t xml:space="preserve">As a measure of mindreading, the </w:t>
      </w:r>
      <w:r>
        <w:rPr>
          <w:i/>
        </w:rPr>
        <w:t xml:space="preserve">Animations task </w:t>
      </w:r>
      <w:r>
        <w:t xml:space="preserve">(Abell, </w:t>
      </w:r>
      <w:proofErr w:type="spellStart"/>
      <w:r>
        <w:t>Happé</w:t>
      </w:r>
      <w:proofErr w:type="spellEnd"/>
      <w:r>
        <w:t>, &amp; Frith, 2000) was administered.</w:t>
      </w:r>
      <w:r>
        <w:rPr>
          <w:spacing w:val="33"/>
        </w:rPr>
        <w:t xml:space="preserve"> </w:t>
      </w:r>
      <w:r>
        <w:t>This</w:t>
      </w:r>
      <w:r>
        <w:rPr>
          <w:spacing w:val="-12"/>
        </w:rPr>
        <w:t xml:space="preserve"> </w:t>
      </w:r>
      <w:r>
        <w:t>task</w:t>
      </w:r>
      <w:r>
        <w:rPr>
          <w:spacing w:val="-14"/>
        </w:rPr>
        <w:t xml:space="preserve"> </w:t>
      </w:r>
      <w:r>
        <w:t>involved</w:t>
      </w:r>
      <w:r>
        <w:rPr>
          <w:spacing w:val="-14"/>
        </w:rPr>
        <w:t xml:space="preserve"> </w:t>
      </w:r>
      <w:r>
        <w:t>watching</w:t>
      </w:r>
      <w:r>
        <w:rPr>
          <w:spacing w:val="-15"/>
        </w:rPr>
        <w:t xml:space="preserve"> </w:t>
      </w:r>
      <w:r>
        <w:t>four</w:t>
      </w:r>
      <w:r>
        <w:rPr>
          <w:spacing w:val="-13"/>
        </w:rPr>
        <w:t xml:space="preserve"> </w:t>
      </w:r>
      <w:r>
        <w:t>short</w:t>
      </w:r>
      <w:r>
        <w:rPr>
          <w:spacing w:val="-9"/>
        </w:rPr>
        <w:t xml:space="preserve"> </w:t>
      </w:r>
      <w:r>
        <w:t>video</w:t>
      </w:r>
      <w:r>
        <w:rPr>
          <w:spacing w:val="-10"/>
        </w:rPr>
        <w:t xml:space="preserve"> </w:t>
      </w:r>
      <w:r>
        <w:t>clips</w:t>
      </w:r>
      <w:r>
        <w:rPr>
          <w:spacing w:val="-17"/>
        </w:rPr>
        <w:t xml:space="preserve"> </w:t>
      </w:r>
      <w:r>
        <w:t>in</w:t>
      </w:r>
      <w:r>
        <w:rPr>
          <w:spacing w:val="-15"/>
        </w:rPr>
        <w:t xml:space="preserve"> </w:t>
      </w:r>
      <w:r>
        <w:t>pseudorandom</w:t>
      </w:r>
      <w:r>
        <w:rPr>
          <w:spacing w:val="-14"/>
        </w:rPr>
        <w:t xml:space="preserve"> </w:t>
      </w:r>
      <w:r>
        <w:t>order.</w:t>
      </w:r>
      <w:r>
        <w:rPr>
          <w:spacing w:val="34"/>
        </w:rPr>
        <w:t xml:space="preserve"> </w:t>
      </w:r>
      <w:r>
        <w:t xml:space="preserve">Each clip showed the interaction between a small blue and a big red triangle moving around the screen. Participants had to describe what was happening in each clip. An accurate description of each scene required the attribution </w:t>
      </w:r>
      <w:r>
        <w:rPr>
          <w:spacing w:val="-3"/>
        </w:rPr>
        <w:t xml:space="preserve">of </w:t>
      </w:r>
      <w:r>
        <w:t>mental states to the triangles (coaxing or surprising). Participants watched each clip twice and gave a running commentary during the second viewing. Descripti</w:t>
      </w:r>
      <w:r>
        <w:t xml:space="preserve">ons were recorded, and later transcribed and coded by two independent raters who were unaware of the hypotheses of the study or to group membership. Transcripts were awarded a score of two, one, or zero based </w:t>
      </w:r>
      <w:r>
        <w:rPr>
          <w:spacing w:val="-3"/>
        </w:rPr>
        <w:t xml:space="preserve">on </w:t>
      </w:r>
      <w:r>
        <w:t>how accurately the descriptions reflected each</w:t>
      </w:r>
      <w:r>
        <w:rPr>
          <w:spacing w:val="-10"/>
        </w:rPr>
        <w:t xml:space="preserve"> </w:t>
      </w:r>
      <w:r>
        <w:t>clip</w:t>
      </w:r>
      <w:r>
        <w:rPr>
          <w:spacing w:val="-9"/>
        </w:rPr>
        <w:t xml:space="preserve"> </w:t>
      </w:r>
      <w:r>
        <w:t>following</w:t>
      </w:r>
      <w:r>
        <w:rPr>
          <w:spacing w:val="-9"/>
        </w:rPr>
        <w:t xml:space="preserve"> </w:t>
      </w:r>
      <w:r>
        <w:t>the</w:t>
      </w:r>
      <w:r>
        <w:rPr>
          <w:spacing w:val="-11"/>
        </w:rPr>
        <w:t xml:space="preserve"> </w:t>
      </w:r>
      <w:r>
        <w:t>coding</w:t>
      </w:r>
      <w:r>
        <w:rPr>
          <w:spacing w:val="-9"/>
        </w:rPr>
        <w:t xml:space="preserve"> </w:t>
      </w:r>
      <w:r>
        <w:t>guidelines</w:t>
      </w:r>
      <w:r>
        <w:rPr>
          <w:spacing w:val="-11"/>
        </w:rPr>
        <w:t xml:space="preserve"> </w:t>
      </w:r>
      <w:r>
        <w:t>provided</w:t>
      </w:r>
      <w:r>
        <w:rPr>
          <w:spacing w:val="-9"/>
        </w:rPr>
        <w:t xml:space="preserve"> </w:t>
      </w:r>
      <w:r>
        <w:t>by</w:t>
      </w:r>
      <w:r>
        <w:rPr>
          <w:spacing w:val="-9"/>
        </w:rPr>
        <w:t xml:space="preserve"> </w:t>
      </w:r>
      <w:r>
        <w:t>Abell</w:t>
      </w:r>
      <w:r>
        <w:rPr>
          <w:spacing w:val="-8"/>
        </w:rPr>
        <w:t xml:space="preserve"> </w:t>
      </w:r>
      <w:r>
        <w:t>et</w:t>
      </w:r>
      <w:r>
        <w:rPr>
          <w:spacing w:val="-8"/>
        </w:rPr>
        <w:t xml:space="preserve"> </w:t>
      </w:r>
      <w:r>
        <w:t>al.</w:t>
      </w:r>
      <w:r>
        <w:rPr>
          <w:spacing w:val="-7"/>
        </w:rPr>
        <w:t xml:space="preserve"> </w:t>
      </w:r>
      <w:r>
        <w:t>(2000).</w:t>
      </w:r>
      <w:r>
        <w:rPr>
          <w:spacing w:val="46"/>
        </w:rPr>
        <w:t xml:space="preserve"> </w:t>
      </w:r>
      <w:r>
        <w:t>Hence,</w:t>
      </w:r>
      <w:r>
        <w:rPr>
          <w:spacing w:val="-7"/>
        </w:rPr>
        <w:t xml:space="preserve"> </w:t>
      </w:r>
      <w:r>
        <w:t xml:space="preserve">mindreading sum scores ranged from zero to eight. Inter-rater reliability was good according to established criteria (Fleiss, Levin, &amp; Paik, 2003; Landis &amp; Koch, 1977), weighted κ = 0.63, </w:t>
      </w:r>
      <w:r>
        <w:rPr>
          <w:i/>
        </w:rPr>
        <w:t xml:space="preserve">p </w:t>
      </w:r>
      <w:r>
        <w:t>&lt;</w:t>
      </w:r>
      <w:r>
        <w:rPr>
          <w:spacing w:val="-7"/>
        </w:rPr>
        <w:t xml:space="preserve"> </w:t>
      </w:r>
      <w:r>
        <w:t>.001.</w:t>
      </w:r>
    </w:p>
    <w:p w14:paraId="079543D4" w14:textId="77777777" w:rsidR="00C75312" w:rsidRDefault="00BB293A">
      <w:pPr>
        <w:pStyle w:val="BodyText"/>
        <w:spacing w:before="121" w:line="480" w:lineRule="auto"/>
        <w:ind w:left="140" w:right="1433" w:firstLine="720"/>
        <w:jc w:val="both"/>
      </w:pPr>
      <w:r>
        <w:rPr>
          <w:b/>
        </w:rPr>
        <w:t xml:space="preserve">PM experiment. </w:t>
      </w:r>
      <w:r>
        <w:t>Participants completed two conditions of a time-based PM experiment in counter-balanced order to explore effects of importance instructions. The same ongoing and PM task were used for both conditions. Each condition lasted for approximately 11 minutes and contained 40 ongoing trials and five PM trials. The conditions differed only</w:t>
      </w:r>
      <w:r>
        <w:rPr>
          <w:spacing w:val="-40"/>
        </w:rPr>
        <w:t xml:space="preserve"> </w:t>
      </w:r>
      <w:r>
        <w:t xml:space="preserve">in how their importance was instructed. In the </w:t>
      </w:r>
      <w:r>
        <w:rPr>
          <w:i/>
        </w:rPr>
        <w:t>PM low importance condition</w:t>
      </w:r>
      <w:r>
        <w:t>, participants were told that the ongoing task was more important than the prospective memory task, where</w:t>
      </w:r>
      <w:r>
        <w:t xml:space="preserve">as in the </w:t>
      </w:r>
      <w:r>
        <w:rPr>
          <w:i/>
        </w:rPr>
        <w:t xml:space="preserve">PM high importance condition </w:t>
      </w:r>
      <w:r>
        <w:t>instructions were reversed, i.e., the prospective memory task was instructed to be more important than the ongoing task. Between the two conditions, there was a 45-minute gap during which participants completed several filler</w:t>
      </w:r>
      <w:r>
        <w:rPr>
          <w:spacing w:val="-5"/>
        </w:rPr>
        <w:t xml:space="preserve"> </w:t>
      </w:r>
      <w:r>
        <w:t>tasks.</w:t>
      </w:r>
    </w:p>
    <w:p w14:paraId="0457C2D5" w14:textId="77777777" w:rsidR="00C75312" w:rsidRDefault="00C75312">
      <w:pPr>
        <w:spacing w:line="480" w:lineRule="auto"/>
        <w:jc w:val="both"/>
        <w:sectPr w:rsidR="00C75312">
          <w:pgSz w:w="11900" w:h="16840"/>
          <w:pgMar w:top="1140" w:right="0" w:bottom="280" w:left="1300" w:header="720" w:footer="0" w:gutter="0"/>
          <w:cols w:space="720"/>
        </w:sectPr>
      </w:pPr>
    </w:p>
    <w:p w14:paraId="35DA1C4D" w14:textId="77777777" w:rsidR="00C75312" w:rsidRDefault="00C75312">
      <w:pPr>
        <w:pStyle w:val="BodyText"/>
        <w:spacing w:before="2"/>
        <w:rPr>
          <w:sz w:val="17"/>
        </w:rPr>
      </w:pPr>
    </w:p>
    <w:p w14:paraId="0B7C9549" w14:textId="77777777" w:rsidR="00C75312" w:rsidRDefault="00BB293A">
      <w:pPr>
        <w:pStyle w:val="BodyText"/>
        <w:ind w:left="386"/>
        <w:rPr>
          <w:sz w:val="20"/>
        </w:rPr>
      </w:pPr>
      <w:r>
        <w:rPr>
          <w:noProof/>
          <w:sz w:val="20"/>
        </w:rPr>
        <w:drawing>
          <wp:inline distT="0" distB="0" distL="0" distR="0" wp14:anchorId="299FD4A8" wp14:editId="73ADFA88">
            <wp:extent cx="5395488" cy="1275873"/>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3" cstate="print"/>
                    <a:stretch>
                      <a:fillRect/>
                    </a:stretch>
                  </pic:blipFill>
                  <pic:spPr>
                    <a:xfrm>
                      <a:off x="0" y="0"/>
                      <a:ext cx="5395488" cy="1275873"/>
                    </a:xfrm>
                    <a:prstGeom prst="rect">
                      <a:avLst/>
                    </a:prstGeom>
                  </pic:spPr>
                </pic:pic>
              </a:graphicData>
            </a:graphic>
          </wp:inline>
        </w:drawing>
      </w:r>
    </w:p>
    <w:p w14:paraId="4577C6CB" w14:textId="77777777" w:rsidR="00C75312" w:rsidRDefault="00C75312">
      <w:pPr>
        <w:pStyle w:val="BodyText"/>
        <w:spacing w:before="3"/>
        <w:rPr>
          <w:sz w:val="20"/>
        </w:rPr>
      </w:pPr>
    </w:p>
    <w:p w14:paraId="1F123935" w14:textId="77777777" w:rsidR="00C75312" w:rsidRDefault="00BB293A">
      <w:pPr>
        <w:spacing w:before="94"/>
        <w:ind w:left="140"/>
        <w:rPr>
          <w:i/>
          <w:sz w:val="20"/>
        </w:rPr>
      </w:pPr>
      <w:r>
        <w:rPr>
          <w:i/>
          <w:sz w:val="20"/>
        </w:rPr>
        <w:t xml:space="preserve">Figure </w:t>
      </w:r>
      <w:r>
        <w:rPr>
          <w:i/>
          <w:spacing w:val="-3"/>
          <w:sz w:val="20"/>
        </w:rPr>
        <w:t xml:space="preserve">7. </w:t>
      </w:r>
      <w:r>
        <w:rPr>
          <w:i/>
          <w:sz w:val="20"/>
        </w:rPr>
        <w:t>Schematic depiction of the trial structure of the ongoing</w:t>
      </w:r>
      <w:r>
        <w:rPr>
          <w:i/>
          <w:spacing w:val="-17"/>
          <w:sz w:val="20"/>
        </w:rPr>
        <w:t xml:space="preserve"> </w:t>
      </w:r>
      <w:r>
        <w:rPr>
          <w:i/>
          <w:sz w:val="20"/>
        </w:rPr>
        <w:t>task</w:t>
      </w:r>
    </w:p>
    <w:p w14:paraId="19296978" w14:textId="77777777" w:rsidR="00C75312" w:rsidRDefault="00C75312">
      <w:pPr>
        <w:pStyle w:val="BodyText"/>
        <w:spacing w:before="8"/>
        <w:rPr>
          <w:i/>
        </w:rPr>
      </w:pPr>
    </w:p>
    <w:p w14:paraId="64BFD172" w14:textId="77777777" w:rsidR="00C75312" w:rsidRDefault="00BB293A">
      <w:pPr>
        <w:pStyle w:val="BodyText"/>
        <w:spacing w:line="480" w:lineRule="auto"/>
        <w:ind w:left="140" w:right="1433" w:firstLine="720"/>
        <w:jc w:val="both"/>
      </w:pPr>
      <w:r>
        <w:t xml:space="preserve">The </w:t>
      </w:r>
      <w:r>
        <w:rPr>
          <w:i/>
        </w:rPr>
        <w:t xml:space="preserve">ongoing task </w:t>
      </w:r>
      <w:r>
        <w:t xml:space="preserve">(see Figure 7) followed the procedure previously used by Williams et al. (2014). Participants had to </w:t>
      </w:r>
      <w:proofErr w:type="spellStart"/>
      <w:r>
        <w:t>memorise</w:t>
      </w:r>
      <w:proofErr w:type="spellEnd"/>
      <w:r>
        <w:t xml:space="preserve"> seven sequentially presented words (study phase), followed by a test list of seven words (test phase). In the test phase, participants had four seconds to respond whether the list of words matched the words presented during the study phase or not and press a respective keyboard key. In half of the trials the test phase were identical to those during the study phase and for the other hal</w:t>
      </w:r>
      <w:r>
        <w:t xml:space="preserve">f of the trials, one word was replaced with a lure item that had to be found to </w:t>
      </w:r>
      <w:r>
        <w:rPr>
          <w:spacing w:val="-3"/>
        </w:rPr>
        <w:t xml:space="preserve">be </w:t>
      </w:r>
      <w:r>
        <w:t>identified as a mismatch trial. To ensure understanding of task instructions, participants had to complete five practice trials. A score of one was awarded for each correct response and a proportion score (</w:t>
      </w:r>
      <w:r>
        <w:rPr>
          <w:i/>
        </w:rPr>
        <w:t>ongoing task proportion hits</w:t>
      </w:r>
      <w:r>
        <w:t>) was calculated, as the total number of hits relative to the total number of ongoing trials. For the analysis of performance changes between the two conditions a difference score was computed by</w:t>
      </w:r>
      <w:r>
        <w:t xml:space="preserve"> subtracting performance in the PM high importance condition from the performance in the PM low importance condition. A positive difference score indicates</w:t>
      </w:r>
      <w:r>
        <w:rPr>
          <w:spacing w:val="-39"/>
        </w:rPr>
        <w:t xml:space="preserve"> </w:t>
      </w:r>
      <w:r>
        <w:t>better ongoing performance in the PM low importance</w:t>
      </w:r>
      <w:r>
        <w:rPr>
          <w:spacing w:val="1"/>
        </w:rPr>
        <w:t xml:space="preserve"> </w:t>
      </w:r>
      <w:r>
        <w:t>condition.</w:t>
      </w:r>
    </w:p>
    <w:p w14:paraId="2DD2ECBD" w14:textId="77777777" w:rsidR="00C75312" w:rsidRDefault="00BB293A">
      <w:pPr>
        <w:pStyle w:val="BodyText"/>
        <w:spacing w:before="116" w:line="480" w:lineRule="auto"/>
        <w:ind w:left="140" w:right="1436" w:firstLine="720"/>
        <w:jc w:val="both"/>
      </w:pPr>
      <w:r>
        <w:t>Two sets of 300 words were used as stimuli counter-balanced across conditions (280 word stimuli plus 20 lure stimuli). Both sets were equated for frequency and syllable length according</w:t>
      </w:r>
      <w:r>
        <w:rPr>
          <w:spacing w:val="-14"/>
        </w:rPr>
        <w:t xml:space="preserve"> </w:t>
      </w:r>
      <w:r>
        <w:t>to</w:t>
      </w:r>
      <w:r>
        <w:rPr>
          <w:spacing w:val="-14"/>
        </w:rPr>
        <w:t xml:space="preserve"> </w:t>
      </w:r>
      <w:r>
        <w:t>Kucera</w:t>
      </w:r>
      <w:r>
        <w:rPr>
          <w:spacing w:val="-14"/>
        </w:rPr>
        <w:t xml:space="preserve"> </w:t>
      </w:r>
      <w:r>
        <w:t>and</w:t>
      </w:r>
      <w:r>
        <w:rPr>
          <w:spacing w:val="-14"/>
        </w:rPr>
        <w:t xml:space="preserve"> </w:t>
      </w:r>
      <w:r>
        <w:t>Francis</w:t>
      </w:r>
      <w:r>
        <w:rPr>
          <w:spacing w:val="-16"/>
        </w:rPr>
        <w:t xml:space="preserve"> </w:t>
      </w:r>
      <w:r>
        <w:t>(1967)</w:t>
      </w:r>
      <w:r>
        <w:rPr>
          <w:spacing w:val="-13"/>
        </w:rPr>
        <w:t xml:space="preserve"> </w:t>
      </w:r>
      <w:r>
        <w:t>guidelines</w:t>
      </w:r>
      <w:r>
        <w:rPr>
          <w:spacing w:val="-16"/>
        </w:rPr>
        <w:t xml:space="preserve"> </w:t>
      </w:r>
      <w:r>
        <w:t>and</w:t>
      </w:r>
      <w:r>
        <w:rPr>
          <w:spacing w:val="-14"/>
        </w:rPr>
        <w:t xml:space="preserve"> </w:t>
      </w:r>
      <w:r>
        <w:t>derived</w:t>
      </w:r>
      <w:r>
        <w:rPr>
          <w:spacing w:val="-13"/>
        </w:rPr>
        <w:t xml:space="preserve"> </w:t>
      </w:r>
      <w:r>
        <w:t>from</w:t>
      </w:r>
      <w:r>
        <w:rPr>
          <w:spacing w:val="-14"/>
        </w:rPr>
        <w:t xml:space="preserve"> </w:t>
      </w:r>
      <w:r>
        <w:t>the</w:t>
      </w:r>
      <w:r>
        <w:rPr>
          <w:spacing w:val="-14"/>
        </w:rPr>
        <w:t xml:space="preserve"> </w:t>
      </w:r>
      <w:r>
        <w:t>MRC</w:t>
      </w:r>
      <w:r>
        <w:rPr>
          <w:spacing w:val="-16"/>
        </w:rPr>
        <w:t xml:space="preserve"> </w:t>
      </w:r>
      <w:r>
        <w:t xml:space="preserve">Psycholinguistic Database (Coltheart, 1981). The matching </w:t>
      </w:r>
      <w:r>
        <w:rPr>
          <w:spacing w:val="-3"/>
        </w:rPr>
        <w:t xml:space="preserve">of </w:t>
      </w:r>
      <w:r>
        <w:t xml:space="preserve">the sets was confirmed using multivariate analyses finding a nonsignificant main effect of </w:t>
      </w:r>
      <w:r>
        <w:rPr>
          <w:spacing w:val="-3"/>
        </w:rPr>
        <w:t xml:space="preserve">set, </w:t>
      </w:r>
      <w:r>
        <w:t xml:space="preserve">Wilk’s criterion, </w:t>
      </w:r>
      <w:r>
        <w:rPr>
          <w:i/>
        </w:rPr>
        <w:t>F</w:t>
      </w:r>
      <w:r>
        <w:t xml:space="preserve">(2,557) = 0.14, </w:t>
      </w:r>
      <w:r>
        <w:rPr>
          <w:i/>
        </w:rPr>
        <w:t xml:space="preserve">p </w:t>
      </w:r>
      <w:r>
        <w:t>=</w:t>
      </w:r>
      <w:r>
        <w:rPr>
          <w:spacing w:val="-30"/>
        </w:rPr>
        <w:t xml:space="preserve"> </w:t>
      </w:r>
      <w:r>
        <w:t>.87.</w:t>
      </w:r>
    </w:p>
    <w:p w14:paraId="0FD0DED6" w14:textId="77777777" w:rsidR="00C75312" w:rsidRDefault="00C75312">
      <w:pPr>
        <w:spacing w:line="480" w:lineRule="auto"/>
        <w:jc w:val="both"/>
        <w:sectPr w:rsidR="00C75312">
          <w:pgSz w:w="11900" w:h="16840"/>
          <w:pgMar w:top="1140" w:right="0" w:bottom="280" w:left="1300" w:header="720" w:footer="0" w:gutter="0"/>
          <w:cols w:space="720"/>
        </w:sectPr>
      </w:pPr>
    </w:p>
    <w:p w14:paraId="5B0178DB" w14:textId="77777777" w:rsidR="00C75312" w:rsidRDefault="00BB293A">
      <w:pPr>
        <w:pStyle w:val="BodyText"/>
        <w:spacing w:before="107" w:line="480" w:lineRule="auto"/>
        <w:ind w:left="140" w:right="1434" w:firstLine="720"/>
        <w:jc w:val="both"/>
      </w:pPr>
      <w:r>
        <w:lastRenderedPageBreak/>
        <w:t xml:space="preserve">For the embedded </w:t>
      </w:r>
      <w:r>
        <w:rPr>
          <w:i/>
        </w:rPr>
        <w:t>PM task</w:t>
      </w:r>
      <w:r>
        <w:t xml:space="preserve">, participants were instructed to press a pre-specified keyboard key in 2-minute intervals (PM target </w:t>
      </w:r>
      <w:r>
        <w:rPr>
          <w:spacing w:val="-3"/>
        </w:rPr>
        <w:t xml:space="preserve">times </w:t>
      </w:r>
      <w:r>
        <w:t xml:space="preserve">at minutes 2, 4, </w:t>
      </w:r>
      <w:r>
        <w:rPr>
          <w:spacing w:val="-3"/>
        </w:rPr>
        <w:t xml:space="preserve">6, </w:t>
      </w:r>
      <w:r>
        <w:t>8, and 10) to carry out the prospective memory instruction. The use of 2-minute intervals is a standard procedure which</w:t>
      </w:r>
      <w:r>
        <w:rPr>
          <w:spacing w:val="-12"/>
        </w:rPr>
        <w:t xml:space="preserve"> </w:t>
      </w:r>
      <w:r>
        <w:t>is</w:t>
      </w:r>
      <w:r>
        <w:rPr>
          <w:spacing w:val="-13"/>
        </w:rPr>
        <w:t xml:space="preserve"> </w:t>
      </w:r>
      <w:r>
        <w:t>widely</w:t>
      </w:r>
      <w:r>
        <w:rPr>
          <w:spacing w:val="-11"/>
        </w:rPr>
        <w:t xml:space="preserve"> </w:t>
      </w:r>
      <w:r>
        <w:t>accepted</w:t>
      </w:r>
      <w:r>
        <w:rPr>
          <w:spacing w:val="-11"/>
        </w:rPr>
        <w:t xml:space="preserve"> </w:t>
      </w:r>
      <w:r>
        <w:t>and</w:t>
      </w:r>
      <w:r>
        <w:rPr>
          <w:spacing w:val="-11"/>
        </w:rPr>
        <w:t xml:space="preserve"> </w:t>
      </w:r>
      <w:r>
        <w:t>used</w:t>
      </w:r>
      <w:r>
        <w:rPr>
          <w:spacing w:val="-11"/>
        </w:rPr>
        <w:t xml:space="preserve"> </w:t>
      </w:r>
      <w:r>
        <w:t>in</w:t>
      </w:r>
      <w:r>
        <w:rPr>
          <w:spacing w:val="-11"/>
        </w:rPr>
        <w:t xml:space="preserve"> </w:t>
      </w:r>
      <w:r>
        <w:t>previous</w:t>
      </w:r>
      <w:r>
        <w:rPr>
          <w:spacing w:val="-13"/>
        </w:rPr>
        <w:t xml:space="preserve"> </w:t>
      </w:r>
      <w:r>
        <w:t>research</w:t>
      </w:r>
      <w:r>
        <w:rPr>
          <w:spacing w:val="-11"/>
        </w:rPr>
        <w:t xml:space="preserve"> </w:t>
      </w:r>
      <w:r>
        <w:t>that</w:t>
      </w:r>
      <w:r>
        <w:rPr>
          <w:spacing w:val="-10"/>
        </w:rPr>
        <w:t xml:space="preserve"> </w:t>
      </w:r>
      <w:r>
        <w:t>explored</w:t>
      </w:r>
      <w:r>
        <w:rPr>
          <w:spacing w:val="-11"/>
        </w:rPr>
        <w:t xml:space="preserve"> </w:t>
      </w:r>
      <w:r>
        <w:t>time-based</w:t>
      </w:r>
      <w:r>
        <w:rPr>
          <w:spacing w:val="-12"/>
        </w:rPr>
        <w:t xml:space="preserve"> </w:t>
      </w:r>
      <w:r>
        <w:t>PM</w:t>
      </w:r>
      <w:r>
        <w:rPr>
          <w:spacing w:val="-13"/>
        </w:rPr>
        <w:t xml:space="preserve"> </w:t>
      </w:r>
      <w:r>
        <w:t xml:space="preserve">(Einstein, Smith, McDaniel, &amp; Shaw, 1997; </w:t>
      </w:r>
      <w:proofErr w:type="spellStart"/>
      <w:r>
        <w:t>Kliegel</w:t>
      </w:r>
      <w:proofErr w:type="spellEnd"/>
      <w:r>
        <w:t xml:space="preserve"> et al., 2001; Mackinlay et al., 2009). As</w:t>
      </w:r>
      <w:r>
        <w:rPr>
          <w:spacing w:val="-34"/>
        </w:rPr>
        <w:t xml:space="preserve"> </w:t>
      </w:r>
      <w:r>
        <w:t>time-based PM</w:t>
      </w:r>
      <w:r>
        <w:rPr>
          <w:spacing w:val="7"/>
        </w:rPr>
        <w:t xml:space="preserve"> </w:t>
      </w:r>
      <w:r>
        <w:t>impairments</w:t>
      </w:r>
      <w:r>
        <w:rPr>
          <w:spacing w:val="7"/>
        </w:rPr>
        <w:t xml:space="preserve"> </w:t>
      </w:r>
      <w:r>
        <w:t>in</w:t>
      </w:r>
      <w:r>
        <w:rPr>
          <w:spacing w:val="10"/>
        </w:rPr>
        <w:t xml:space="preserve"> </w:t>
      </w:r>
      <w:r>
        <w:t>ASD</w:t>
      </w:r>
      <w:r>
        <w:rPr>
          <w:spacing w:val="9"/>
        </w:rPr>
        <w:t xml:space="preserve"> </w:t>
      </w:r>
      <w:r>
        <w:t>have</w:t>
      </w:r>
      <w:r>
        <w:rPr>
          <w:spacing w:val="10"/>
        </w:rPr>
        <w:t xml:space="preserve"> </w:t>
      </w:r>
      <w:r>
        <w:t>clearly</w:t>
      </w:r>
      <w:r>
        <w:rPr>
          <w:spacing w:val="10"/>
        </w:rPr>
        <w:t xml:space="preserve"> </w:t>
      </w:r>
      <w:r>
        <w:t>been</w:t>
      </w:r>
      <w:r>
        <w:rPr>
          <w:spacing w:val="10"/>
        </w:rPr>
        <w:t xml:space="preserve"> </w:t>
      </w:r>
      <w:r>
        <w:t>shown</w:t>
      </w:r>
      <w:r>
        <w:rPr>
          <w:spacing w:val="5"/>
        </w:rPr>
        <w:t xml:space="preserve"> </w:t>
      </w:r>
      <w:r>
        <w:t>using</w:t>
      </w:r>
      <w:r>
        <w:rPr>
          <w:spacing w:val="10"/>
        </w:rPr>
        <w:t xml:space="preserve"> </w:t>
      </w:r>
      <w:r>
        <w:t>this</w:t>
      </w:r>
      <w:r>
        <w:rPr>
          <w:spacing w:val="8"/>
        </w:rPr>
        <w:t xml:space="preserve"> </w:t>
      </w:r>
      <w:r>
        <w:t>interval</w:t>
      </w:r>
      <w:r>
        <w:rPr>
          <w:spacing w:val="10"/>
        </w:rPr>
        <w:t xml:space="preserve"> </w:t>
      </w:r>
      <w:r>
        <w:t>length</w:t>
      </w:r>
      <w:r>
        <w:rPr>
          <w:spacing w:val="5"/>
        </w:rPr>
        <w:t xml:space="preserve"> </w:t>
      </w:r>
      <w:r>
        <w:t>(</w:t>
      </w:r>
      <w:proofErr w:type="spellStart"/>
      <w:r>
        <w:t>Alt</w:t>
      </w:r>
      <w:r>
        <w:t>gassen</w:t>
      </w:r>
      <w:proofErr w:type="spellEnd"/>
      <w:r>
        <w:rPr>
          <w:spacing w:val="10"/>
        </w:rPr>
        <w:t xml:space="preserve"> </w:t>
      </w:r>
      <w:r>
        <w:t>et</w:t>
      </w:r>
      <w:r>
        <w:rPr>
          <w:spacing w:val="10"/>
        </w:rPr>
        <w:t xml:space="preserve"> </w:t>
      </w:r>
      <w:r>
        <w:t>al.</w:t>
      </w:r>
    </w:p>
    <w:p w14:paraId="62863D7A" w14:textId="77777777" w:rsidR="00C75312" w:rsidRDefault="00BB293A">
      <w:pPr>
        <w:pStyle w:val="BodyText"/>
        <w:spacing w:line="480" w:lineRule="auto"/>
        <w:ind w:left="140" w:right="1436"/>
        <w:jc w:val="both"/>
      </w:pPr>
      <w:r>
        <w:t>,2009; Williams et al., 2013; Williams et al., 2014), this study employed the same interval length</w:t>
      </w:r>
      <w:r>
        <w:rPr>
          <w:spacing w:val="-7"/>
        </w:rPr>
        <w:t xml:space="preserve"> </w:t>
      </w:r>
      <w:r>
        <w:t>to</w:t>
      </w:r>
      <w:r>
        <w:rPr>
          <w:spacing w:val="-10"/>
        </w:rPr>
        <w:t xml:space="preserve"> </w:t>
      </w:r>
      <w:r>
        <w:t>explore</w:t>
      </w:r>
      <w:r>
        <w:rPr>
          <w:spacing w:val="-7"/>
        </w:rPr>
        <w:t xml:space="preserve"> </w:t>
      </w:r>
      <w:r>
        <w:t>whether</w:t>
      </w:r>
      <w:r>
        <w:rPr>
          <w:spacing w:val="-9"/>
        </w:rPr>
        <w:t xml:space="preserve"> </w:t>
      </w:r>
      <w:r>
        <w:t>the</w:t>
      </w:r>
      <w:r>
        <w:rPr>
          <w:spacing w:val="-12"/>
        </w:rPr>
        <w:t xml:space="preserve"> </w:t>
      </w:r>
      <w:r>
        <w:t>relative</w:t>
      </w:r>
      <w:r>
        <w:rPr>
          <w:spacing w:val="-12"/>
        </w:rPr>
        <w:t xml:space="preserve"> </w:t>
      </w:r>
      <w:r>
        <w:t>importance</w:t>
      </w:r>
      <w:r>
        <w:rPr>
          <w:spacing w:val="-11"/>
        </w:rPr>
        <w:t xml:space="preserve"> </w:t>
      </w:r>
      <w:r>
        <w:t>manipulation</w:t>
      </w:r>
      <w:r>
        <w:rPr>
          <w:spacing w:val="-6"/>
        </w:rPr>
        <w:t xml:space="preserve"> </w:t>
      </w:r>
      <w:r>
        <w:t>would</w:t>
      </w:r>
      <w:r>
        <w:rPr>
          <w:spacing w:val="-11"/>
        </w:rPr>
        <w:t xml:space="preserve"> </w:t>
      </w:r>
      <w:r>
        <w:t>improve</w:t>
      </w:r>
      <w:r>
        <w:rPr>
          <w:spacing w:val="-12"/>
        </w:rPr>
        <w:t xml:space="preserve"> </w:t>
      </w:r>
      <w:r>
        <w:t>time-based</w:t>
      </w:r>
      <w:r>
        <w:rPr>
          <w:spacing w:val="-6"/>
        </w:rPr>
        <w:t xml:space="preserve"> </w:t>
      </w:r>
      <w:r>
        <w:t>PM abilities in ASD. To keep track of the time, they could bring up a digital clock on the screen lasting for 1.5 seconds before disappearing by pressing a pre-specified keyboard</w:t>
      </w:r>
      <w:r>
        <w:rPr>
          <w:spacing w:val="1"/>
        </w:rPr>
        <w:t xml:space="preserve"> </w:t>
      </w:r>
      <w:r>
        <w:t>key.</w:t>
      </w:r>
    </w:p>
    <w:p w14:paraId="52F15BF1" w14:textId="77777777" w:rsidR="00C75312" w:rsidRDefault="00BB293A">
      <w:pPr>
        <w:pStyle w:val="BodyText"/>
        <w:spacing w:before="120" w:line="480" w:lineRule="auto"/>
        <w:ind w:left="140" w:right="1432" w:firstLine="720"/>
        <w:jc w:val="both"/>
        <w:rPr>
          <w:rFonts w:ascii="Cambria" w:hAnsi="Cambria"/>
        </w:rPr>
      </w:pPr>
      <w:r>
        <w:t>The scoring followed the procedure employed by Williams et al. (2014), which this experiment was based on. A score of one was awarded for each PM hit. A PM hit was</w:t>
      </w:r>
      <w:r>
        <w:rPr>
          <w:spacing w:val="-35"/>
        </w:rPr>
        <w:t xml:space="preserve"> </w:t>
      </w:r>
      <w:r>
        <w:t>defined as</w:t>
      </w:r>
      <w:r>
        <w:rPr>
          <w:spacing w:val="6"/>
        </w:rPr>
        <w:t xml:space="preserve"> </w:t>
      </w:r>
      <w:r>
        <w:t>pressing</w:t>
      </w:r>
      <w:r>
        <w:rPr>
          <w:spacing w:val="9"/>
        </w:rPr>
        <w:t xml:space="preserve"> </w:t>
      </w:r>
      <w:r>
        <w:t>the</w:t>
      </w:r>
      <w:r>
        <w:rPr>
          <w:spacing w:val="3"/>
        </w:rPr>
        <w:t xml:space="preserve"> </w:t>
      </w:r>
      <w:r>
        <w:t>pre-specified</w:t>
      </w:r>
      <w:r>
        <w:rPr>
          <w:spacing w:val="9"/>
        </w:rPr>
        <w:t xml:space="preserve"> </w:t>
      </w:r>
      <w:r>
        <w:t>key</w:t>
      </w:r>
      <w:r>
        <w:rPr>
          <w:spacing w:val="9"/>
        </w:rPr>
        <w:t xml:space="preserve"> </w:t>
      </w:r>
      <w:r>
        <w:t>within</w:t>
      </w:r>
      <w:r>
        <w:rPr>
          <w:spacing w:val="4"/>
        </w:rPr>
        <w:t xml:space="preserve"> </w:t>
      </w:r>
      <w:r>
        <w:t>a</w:t>
      </w:r>
      <w:r>
        <w:rPr>
          <w:spacing w:val="9"/>
        </w:rPr>
        <w:t xml:space="preserve"> </w:t>
      </w:r>
      <w:r>
        <w:t>15</w:t>
      </w:r>
      <w:r>
        <w:rPr>
          <w:spacing w:val="4"/>
        </w:rPr>
        <w:t xml:space="preserve"> </w:t>
      </w:r>
      <w:r>
        <w:t>second</w:t>
      </w:r>
      <w:r>
        <w:rPr>
          <w:spacing w:val="9"/>
        </w:rPr>
        <w:t xml:space="preserve"> </w:t>
      </w:r>
      <w:r>
        <w:t>time</w:t>
      </w:r>
      <w:r>
        <w:rPr>
          <w:spacing w:val="3"/>
        </w:rPr>
        <w:t xml:space="preserve"> </w:t>
      </w:r>
      <w:r>
        <w:t>window</w:t>
      </w:r>
      <w:r>
        <w:rPr>
          <w:spacing w:val="3"/>
        </w:rPr>
        <w:t xml:space="preserve"> </w:t>
      </w:r>
      <w:r>
        <w:t>around</w:t>
      </w:r>
      <w:r>
        <w:rPr>
          <w:spacing w:val="5"/>
        </w:rPr>
        <w:t xml:space="preserve"> </w:t>
      </w:r>
      <w:r>
        <w:t>each</w:t>
      </w:r>
      <w:r>
        <w:rPr>
          <w:spacing w:val="4"/>
        </w:rPr>
        <w:t xml:space="preserve"> </w:t>
      </w:r>
      <w:r>
        <w:t>target</w:t>
      </w:r>
      <w:r>
        <w:rPr>
          <w:spacing w:val="4"/>
        </w:rPr>
        <w:t xml:space="preserve"> </w:t>
      </w:r>
      <w:r>
        <w:t>time</w:t>
      </w:r>
      <w:r>
        <w:rPr>
          <w:spacing w:val="4"/>
        </w:rPr>
        <w:t xml:space="preserve"> </w:t>
      </w:r>
      <w:r>
        <w:t>(</w:t>
      </w:r>
      <w:r>
        <w:rPr>
          <w:rFonts w:ascii="Cambria" w:hAnsi="Cambria"/>
        </w:rPr>
        <w:t>±</w:t>
      </w:r>
    </w:p>
    <w:p w14:paraId="1061189A" w14:textId="77777777" w:rsidR="00C75312" w:rsidRDefault="00BB293A">
      <w:pPr>
        <w:pStyle w:val="BodyText"/>
        <w:spacing w:line="480" w:lineRule="auto"/>
        <w:ind w:left="140" w:right="1433"/>
        <w:jc w:val="both"/>
      </w:pPr>
      <w:r>
        <w:t xml:space="preserve">7.5 seconds, see Figure 8). This scoring criterion ensured that a participant would have had enough time to respond to both the ongoing and PM task on any trial </w:t>
      </w:r>
      <w:r>
        <w:rPr>
          <w:spacing w:val="-3"/>
        </w:rPr>
        <w:t xml:space="preserve">if </w:t>
      </w:r>
      <w:r>
        <w:t>the PM target time</w:t>
      </w:r>
      <w:r>
        <w:rPr>
          <w:spacing w:val="-38"/>
        </w:rPr>
        <w:t xml:space="preserve"> </w:t>
      </w:r>
      <w:r>
        <w:t>fell in the middle of a trial (see Williams et al. 2014). A proportion score (</w:t>
      </w:r>
      <w:r>
        <w:rPr>
          <w:i/>
        </w:rPr>
        <w:t>PM proportion hit</w:t>
      </w:r>
      <w:r>
        <w:t xml:space="preserve">) </w:t>
      </w:r>
      <w:r>
        <w:rPr>
          <w:i/>
        </w:rPr>
        <w:t xml:space="preserve">was </w:t>
      </w:r>
      <w:r>
        <w:t xml:space="preserve">calculated as the number </w:t>
      </w:r>
      <w:r>
        <w:rPr>
          <w:spacing w:val="-3"/>
        </w:rPr>
        <w:t xml:space="preserve">of </w:t>
      </w:r>
      <w:r>
        <w:t xml:space="preserve">PM hits out of five PM trials. Additionally, </w:t>
      </w:r>
      <w:r>
        <w:rPr>
          <w:i/>
        </w:rPr>
        <w:t xml:space="preserve">PM target accuracy </w:t>
      </w:r>
      <w:r>
        <w:t xml:space="preserve">was calculated as the mean of the absolute difference between the time </w:t>
      </w:r>
      <w:r>
        <w:rPr>
          <w:spacing w:val="-3"/>
        </w:rPr>
        <w:t xml:space="preserve">of </w:t>
      </w:r>
      <w:r>
        <w:t>remembering the PM task (i.e., pressing the pre-specified key) and the target time across all PM hit trials. For example, a PM hit at 2 minutes and 5 seconds (125 seconds) would result in a negative PM target accuracy for that trial of minus 5 seconds. When averaging across all PM hit trials, the absolute</w:t>
      </w:r>
      <w:r>
        <w:rPr>
          <w:spacing w:val="-15"/>
        </w:rPr>
        <w:t xml:space="preserve"> </w:t>
      </w:r>
      <w:r>
        <w:t>value</w:t>
      </w:r>
      <w:r>
        <w:rPr>
          <w:spacing w:val="-15"/>
        </w:rPr>
        <w:t xml:space="preserve"> </w:t>
      </w:r>
      <w:r>
        <w:t>is</w:t>
      </w:r>
      <w:r>
        <w:rPr>
          <w:spacing w:val="-16"/>
        </w:rPr>
        <w:t xml:space="preserve"> </w:t>
      </w:r>
      <w:r>
        <w:t>used;</w:t>
      </w:r>
      <w:r>
        <w:rPr>
          <w:spacing w:val="-14"/>
        </w:rPr>
        <w:t xml:space="preserve"> </w:t>
      </w:r>
      <w:r>
        <w:t>e.g.,</w:t>
      </w:r>
      <w:r>
        <w:rPr>
          <w:spacing w:val="-12"/>
        </w:rPr>
        <w:t xml:space="preserve"> </w:t>
      </w:r>
      <w:r>
        <w:t>|120s</w:t>
      </w:r>
      <w:r>
        <w:rPr>
          <w:spacing w:val="-17"/>
        </w:rPr>
        <w:t xml:space="preserve"> </w:t>
      </w:r>
      <w:r>
        <w:t>–</w:t>
      </w:r>
      <w:r>
        <w:rPr>
          <w:spacing w:val="-13"/>
        </w:rPr>
        <w:t xml:space="preserve"> </w:t>
      </w:r>
      <w:r>
        <w:t>125s|</w:t>
      </w:r>
      <w:r>
        <w:rPr>
          <w:spacing w:val="-15"/>
        </w:rPr>
        <w:t xml:space="preserve"> </w:t>
      </w:r>
      <w:r>
        <w:t>=</w:t>
      </w:r>
      <w:r>
        <w:rPr>
          <w:spacing w:val="-15"/>
        </w:rPr>
        <w:t xml:space="preserve"> </w:t>
      </w:r>
      <w:r>
        <w:t>5s</w:t>
      </w:r>
      <w:r>
        <w:rPr>
          <w:spacing w:val="-16"/>
        </w:rPr>
        <w:t xml:space="preserve"> </w:t>
      </w:r>
      <w:r>
        <w:t>for</w:t>
      </w:r>
      <w:r>
        <w:rPr>
          <w:spacing w:val="-13"/>
        </w:rPr>
        <w:t xml:space="preserve"> </w:t>
      </w:r>
      <w:r>
        <w:t>each</w:t>
      </w:r>
      <w:r>
        <w:rPr>
          <w:spacing w:val="-14"/>
        </w:rPr>
        <w:t xml:space="preserve"> </w:t>
      </w:r>
      <w:r>
        <w:t>trial</w:t>
      </w:r>
      <w:r>
        <w:rPr>
          <w:spacing w:val="-14"/>
        </w:rPr>
        <w:t xml:space="preserve"> </w:t>
      </w:r>
      <w:r>
        <w:t>because</w:t>
      </w:r>
      <w:r>
        <w:rPr>
          <w:spacing w:val="-14"/>
        </w:rPr>
        <w:t xml:space="preserve"> </w:t>
      </w:r>
      <w:r>
        <w:t>otherwise</w:t>
      </w:r>
      <w:r>
        <w:rPr>
          <w:spacing w:val="-15"/>
        </w:rPr>
        <w:t xml:space="preserve"> </w:t>
      </w:r>
      <w:r>
        <w:t>one</w:t>
      </w:r>
      <w:r>
        <w:rPr>
          <w:spacing w:val="-15"/>
        </w:rPr>
        <w:t xml:space="preserve"> </w:t>
      </w:r>
      <w:r>
        <w:t>would</w:t>
      </w:r>
      <w:r>
        <w:rPr>
          <w:spacing w:val="-13"/>
        </w:rPr>
        <w:t xml:space="preserve"> </w:t>
      </w:r>
      <w:r>
        <w:t xml:space="preserve">distort the mean by averaging across positive and negative values. A value </w:t>
      </w:r>
      <w:r>
        <w:rPr>
          <w:spacing w:val="-3"/>
        </w:rPr>
        <w:t xml:space="preserve">of </w:t>
      </w:r>
      <w:r>
        <w:t xml:space="preserve">zero would indicate perfect accuracy (i.e., </w:t>
      </w:r>
      <w:r>
        <w:t xml:space="preserve">pressing exactly on the target time), and hence the bigger the value the further from target time the PM press happened (max 7.5 seconds, see Figure 8 for an illustration).  For the analysis </w:t>
      </w:r>
      <w:r>
        <w:rPr>
          <w:spacing w:val="-3"/>
        </w:rPr>
        <w:t xml:space="preserve">of </w:t>
      </w:r>
      <w:r>
        <w:t xml:space="preserve">time-monitoring </w:t>
      </w:r>
      <w:proofErr w:type="spellStart"/>
      <w:r>
        <w:t>behaviour</w:t>
      </w:r>
      <w:proofErr w:type="spellEnd"/>
      <w:r>
        <w:t>, the five 2-minute periods prior</w:t>
      </w:r>
      <w:r>
        <w:rPr>
          <w:spacing w:val="-41"/>
        </w:rPr>
        <w:t xml:space="preserve"> </w:t>
      </w:r>
      <w:r>
        <w:t>to</w:t>
      </w:r>
    </w:p>
    <w:p w14:paraId="77F97C92" w14:textId="77777777" w:rsidR="00C75312" w:rsidRDefault="00C75312">
      <w:pPr>
        <w:spacing w:line="480" w:lineRule="auto"/>
        <w:jc w:val="both"/>
        <w:sectPr w:rsidR="00C75312">
          <w:pgSz w:w="11900" w:h="16840"/>
          <w:pgMar w:top="1140" w:right="0" w:bottom="280" w:left="1300" w:header="720" w:footer="0" w:gutter="0"/>
          <w:cols w:space="720"/>
        </w:sectPr>
      </w:pPr>
    </w:p>
    <w:p w14:paraId="392CE8D2" w14:textId="77777777" w:rsidR="00C75312" w:rsidRDefault="00BB293A">
      <w:pPr>
        <w:pStyle w:val="BodyText"/>
        <w:spacing w:before="107" w:line="480" w:lineRule="auto"/>
        <w:ind w:left="140" w:right="1436"/>
        <w:jc w:val="both"/>
      </w:pPr>
      <w:r>
        <w:lastRenderedPageBreak/>
        <w:t>each target times were each broken down into 30-second segments and the mean number of time</w:t>
      </w:r>
      <w:r>
        <w:rPr>
          <w:spacing w:val="-12"/>
        </w:rPr>
        <w:t xml:space="preserve"> </w:t>
      </w:r>
      <w:r>
        <w:t>checks</w:t>
      </w:r>
      <w:r>
        <w:rPr>
          <w:spacing w:val="-12"/>
        </w:rPr>
        <w:t xml:space="preserve"> </w:t>
      </w:r>
      <w:r>
        <w:t>in</w:t>
      </w:r>
      <w:r>
        <w:rPr>
          <w:spacing w:val="-10"/>
        </w:rPr>
        <w:t xml:space="preserve"> </w:t>
      </w:r>
      <w:r>
        <w:t>each</w:t>
      </w:r>
      <w:r>
        <w:rPr>
          <w:spacing w:val="-10"/>
        </w:rPr>
        <w:t xml:space="preserve"> </w:t>
      </w:r>
      <w:r>
        <w:t>time</w:t>
      </w:r>
      <w:r>
        <w:rPr>
          <w:spacing w:val="-11"/>
        </w:rPr>
        <w:t xml:space="preserve"> </w:t>
      </w:r>
      <w:r>
        <w:t>interval</w:t>
      </w:r>
      <w:r>
        <w:rPr>
          <w:spacing w:val="-9"/>
        </w:rPr>
        <w:t xml:space="preserve"> </w:t>
      </w:r>
      <w:r>
        <w:t>(0-30,</w:t>
      </w:r>
      <w:r>
        <w:rPr>
          <w:spacing w:val="-8"/>
        </w:rPr>
        <w:t xml:space="preserve"> </w:t>
      </w:r>
      <w:r>
        <w:t>31-60,</w:t>
      </w:r>
      <w:r>
        <w:rPr>
          <w:spacing w:val="-7"/>
        </w:rPr>
        <w:t xml:space="preserve"> </w:t>
      </w:r>
      <w:r>
        <w:t>61-90,</w:t>
      </w:r>
      <w:r>
        <w:rPr>
          <w:spacing w:val="-7"/>
        </w:rPr>
        <w:t xml:space="preserve"> </w:t>
      </w:r>
      <w:r>
        <w:t>91-120</w:t>
      </w:r>
      <w:r>
        <w:rPr>
          <w:spacing w:val="-10"/>
        </w:rPr>
        <w:t xml:space="preserve"> </w:t>
      </w:r>
      <w:r>
        <w:t>seconds)</w:t>
      </w:r>
      <w:r>
        <w:rPr>
          <w:spacing w:val="-9"/>
        </w:rPr>
        <w:t xml:space="preserve"> </w:t>
      </w:r>
      <w:r>
        <w:t>across</w:t>
      </w:r>
      <w:r>
        <w:rPr>
          <w:spacing w:val="-12"/>
        </w:rPr>
        <w:t xml:space="preserve"> </w:t>
      </w:r>
      <w:r>
        <w:t>all</w:t>
      </w:r>
      <w:r>
        <w:rPr>
          <w:spacing w:val="-9"/>
        </w:rPr>
        <w:t xml:space="preserve"> </w:t>
      </w:r>
      <w:r>
        <w:t>five</w:t>
      </w:r>
      <w:r>
        <w:rPr>
          <w:spacing w:val="-11"/>
        </w:rPr>
        <w:t xml:space="preserve"> </w:t>
      </w:r>
      <w:r>
        <w:t>PM</w:t>
      </w:r>
      <w:r>
        <w:rPr>
          <w:spacing w:val="-12"/>
        </w:rPr>
        <w:t xml:space="preserve"> </w:t>
      </w:r>
      <w:r>
        <w:t xml:space="preserve">trials was calculated, as is standard in studies of time-based PM (see e.g., </w:t>
      </w:r>
      <w:proofErr w:type="spellStart"/>
      <w:r>
        <w:t>Kliegel</w:t>
      </w:r>
      <w:proofErr w:type="spellEnd"/>
      <w:r>
        <w:t xml:space="preserve"> et al., 2001; Mackinlay et al.,</w:t>
      </w:r>
      <w:r>
        <w:rPr>
          <w:spacing w:val="3"/>
        </w:rPr>
        <w:t xml:space="preserve"> </w:t>
      </w:r>
      <w:r>
        <w:t>2009).</w:t>
      </w:r>
    </w:p>
    <w:p w14:paraId="0AEC9CD4" w14:textId="77777777" w:rsidR="00C75312" w:rsidRDefault="00BB293A">
      <w:pPr>
        <w:pStyle w:val="BodyText"/>
        <w:rPr>
          <w:sz w:val="23"/>
        </w:rPr>
      </w:pPr>
      <w:r>
        <w:rPr>
          <w:noProof/>
        </w:rPr>
        <w:drawing>
          <wp:anchor distT="0" distB="0" distL="0" distR="0" simplePos="0" relativeHeight="74" behindDoc="0" locked="0" layoutInCell="1" allowOverlap="1" wp14:anchorId="74713AE0" wp14:editId="36EC8CCD">
            <wp:simplePos x="0" y="0"/>
            <wp:positionH relativeFrom="page">
              <wp:posOffset>983150</wp:posOffset>
            </wp:positionH>
            <wp:positionV relativeFrom="paragraph">
              <wp:posOffset>192719</wp:posOffset>
            </wp:positionV>
            <wp:extent cx="4926366" cy="1317498"/>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4" cstate="print"/>
                    <a:stretch>
                      <a:fillRect/>
                    </a:stretch>
                  </pic:blipFill>
                  <pic:spPr>
                    <a:xfrm>
                      <a:off x="0" y="0"/>
                      <a:ext cx="4926366" cy="1317498"/>
                    </a:xfrm>
                    <a:prstGeom prst="rect">
                      <a:avLst/>
                    </a:prstGeom>
                  </pic:spPr>
                </pic:pic>
              </a:graphicData>
            </a:graphic>
          </wp:anchor>
        </w:drawing>
      </w:r>
    </w:p>
    <w:p w14:paraId="32493101" w14:textId="77777777" w:rsidR="00C75312" w:rsidRDefault="00C75312">
      <w:pPr>
        <w:pStyle w:val="BodyText"/>
        <w:spacing w:before="11"/>
        <w:rPr>
          <w:sz w:val="38"/>
        </w:rPr>
      </w:pPr>
    </w:p>
    <w:p w14:paraId="3CE9D1D9" w14:textId="77777777" w:rsidR="00C75312" w:rsidRDefault="00BB293A">
      <w:pPr>
        <w:ind w:left="140" w:right="1432"/>
        <w:jc w:val="both"/>
        <w:rPr>
          <w:i/>
          <w:sz w:val="20"/>
        </w:rPr>
      </w:pPr>
      <w:r>
        <w:rPr>
          <w:i/>
          <w:sz w:val="20"/>
        </w:rPr>
        <w:t>Figure 8. Overview and example timeline on how a PM hit was scored and how PM target accuracy was calculated</w:t>
      </w:r>
    </w:p>
    <w:p w14:paraId="71244D8B" w14:textId="77777777" w:rsidR="00C75312" w:rsidRDefault="00C75312">
      <w:pPr>
        <w:pStyle w:val="BodyText"/>
        <w:spacing w:before="3"/>
        <w:rPr>
          <w:i/>
          <w:sz w:val="17"/>
        </w:rPr>
      </w:pPr>
    </w:p>
    <w:p w14:paraId="18BFB3ED" w14:textId="77777777" w:rsidR="00C75312" w:rsidRDefault="00BB293A">
      <w:pPr>
        <w:pStyle w:val="BodyText"/>
        <w:spacing w:line="480" w:lineRule="auto"/>
        <w:ind w:left="140" w:right="1433" w:firstLine="720"/>
        <w:jc w:val="both"/>
      </w:pPr>
      <w:r>
        <w:t xml:space="preserve">To assess correlates of change in time-based PM performance from one condition to the other, </w:t>
      </w:r>
      <w:r>
        <w:rPr>
          <w:i/>
        </w:rPr>
        <w:t xml:space="preserve">difference scores </w:t>
      </w:r>
      <w:r>
        <w:t>were computed for each of the dependent variables (proportion hit scores, target accuracy, and mean number of time checks in the critical fourth interval prior to target time) by subtracting performance in the PM low condition from performance in the PM high condition. Positive difference scores for proportion accuracy and mean number of time checks indicate increased performance in the high importance condition (i.e., higher number of hits/more time checks in the PM high condition). Negat</w:t>
      </w:r>
      <w:r>
        <w:t>ive difference scores for target accuracy indicate that participants responded closer to target time in the PM high importance condition.</w:t>
      </w:r>
    </w:p>
    <w:p w14:paraId="0D664A44" w14:textId="77777777" w:rsidR="00C75312" w:rsidRDefault="00BB293A">
      <w:pPr>
        <w:pStyle w:val="BodyText"/>
        <w:spacing w:before="120" w:line="480" w:lineRule="auto"/>
        <w:ind w:left="140" w:right="1433" w:firstLine="720"/>
        <w:jc w:val="both"/>
      </w:pPr>
      <w:r>
        <w:t>Retrospective memory for task instructions was checked after each condition, specifically participants had to correctly recall which of the two tasks the more important one was. All participants successfully retrieved the PM instruction.</w:t>
      </w:r>
    </w:p>
    <w:p w14:paraId="283BCAE7" w14:textId="77777777" w:rsidR="00C75312" w:rsidRDefault="00BB293A">
      <w:pPr>
        <w:pStyle w:val="Heading1"/>
        <w:spacing w:before="121"/>
        <w:jc w:val="both"/>
      </w:pPr>
      <w:r>
        <w:t>Statistical analysis</w:t>
      </w:r>
    </w:p>
    <w:p w14:paraId="18E3BC3D" w14:textId="77777777" w:rsidR="00C75312" w:rsidRDefault="00C75312">
      <w:pPr>
        <w:pStyle w:val="BodyText"/>
        <w:spacing w:before="11"/>
        <w:rPr>
          <w:b/>
          <w:sz w:val="23"/>
        </w:rPr>
      </w:pPr>
    </w:p>
    <w:p w14:paraId="73B92C1A" w14:textId="77777777" w:rsidR="00C75312" w:rsidRDefault="00BB293A">
      <w:pPr>
        <w:pStyle w:val="BodyText"/>
        <w:spacing w:line="480" w:lineRule="auto"/>
        <w:ind w:left="140" w:right="1433" w:firstLine="720"/>
        <w:jc w:val="both"/>
      </w:pPr>
      <w:r>
        <w:t>An alpha level of .05 was used to determine statistical significance. Greenhouse- Geisser corrections were used where the assumption of sphericity was violated. Where</w:t>
      </w:r>
    </w:p>
    <w:p w14:paraId="21DDC746" w14:textId="77777777" w:rsidR="00C75312" w:rsidRDefault="00C75312">
      <w:pPr>
        <w:spacing w:line="480" w:lineRule="auto"/>
        <w:jc w:val="both"/>
        <w:sectPr w:rsidR="00C75312">
          <w:pgSz w:w="11900" w:h="16840"/>
          <w:pgMar w:top="1140" w:right="0" w:bottom="280" w:left="1300" w:header="720" w:footer="0" w:gutter="0"/>
          <w:cols w:space="720"/>
        </w:sectPr>
      </w:pPr>
    </w:p>
    <w:p w14:paraId="54329C93" w14:textId="77777777" w:rsidR="00C75312" w:rsidRDefault="00BB293A">
      <w:pPr>
        <w:pStyle w:val="BodyText"/>
        <w:spacing w:before="84" w:line="487" w:lineRule="auto"/>
        <w:ind w:left="140" w:right="1437"/>
        <w:jc w:val="both"/>
      </w:pPr>
      <w:r>
        <w:lastRenderedPageBreak/>
        <w:pict w14:anchorId="2BE25DD4">
          <v:shape id="_x0000_s2696" type="#_x0000_t202" style="position:absolute;left:0;text-align:left;margin-left:282pt;margin-top:11.2pt;width:5.3pt;height:9.85pt;z-index:-260567040;mso-position-horizontal-relative:page" filled="f" stroked="f">
            <v:textbox inset="0,0,0,0">
              <w:txbxContent>
                <w:p w14:paraId="239D0AA9"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 xml:space="preserve">ANOVAs were used, partial eta squared </w:t>
      </w:r>
      <w:r>
        <w:rPr>
          <w:spacing w:val="5"/>
        </w:rPr>
        <w:t>(</w:t>
      </w:r>
      <w:r>
        <w:rPr>
          <w:rFonts w:ascii="Cambria Math" w:hAnsi="Cambria Math"/>
          <w:spacing w:val="5"/>
        </w:rPr>
        <w:t>!</w:t>
      </w:r>
      <w:r>
        <w:rPr>
          <w:rFonts w:ascii="Cambria Math" w:hAnsi="Cambria Math"/>
          <w:spacing w:val="5"/>
          <w:position w:val="9"/>
          <w:sz w:val="17"/>
        </w:rPr>
        <w:t>#</w:t>
      </w:r>
      <w:r>
        <w:rPr>
          <w:rFonts w:ascii="Cambria" w:hAnsi="Cambria"/>
          <w:spacing w:val="5"/>
        </w:rPr>
        <w:t xml:space="preserve">) </w:t>
      </w:r>
      <w:r>
        <w:t xml:space="preserve">is reported as a measure of effect size (≥ .01 = small effect, ≥ .06 = moderate effect, ≥. 14 = large effect; Cohen, 1988). Where </w:t>
      </w:r>
      <w:r>
        <w:rPr>
          <w:i/>
        </w:rPr>
        <w:t>t</w:t>
      </w:r>
      <w:r>
        <w:t>-tests were used,</w:t>
      </w:r>
      <w:r>
        <w:rPr>
          <w:spacing w:val="-7"/>
        </w:rPr>
        <w:t xml:space="preserve"> </w:t>
      </w:r>
      <w:r>
        <w:t>Cohen’s</w:t>
      </w:r>
      <w:r>
        <w:rPr>
          <w:spacing w:val="-11"/>
        </w:rPr>
        <w:t xml:space="preserve"> </w:t>
      </w:r>
      <w:r>
        <w:rPr>
          <w:i/>
        </w:rPr>
        <w:t>d</w:t>
      </w:r>
      <w:r>
        <w:rPr>
          <w:i/>
          <w:spacing w:val="-13"/>
        </w:rPr>
        <w:t xml:space="preserve"> </w:t>
      </w:r>
      <w:r>
        <w:t>is</w:t>
      </w:r>
      <w:r>
        <w:rPr>
          <w:spacing w:val="-11"/>
        </w:rPr>
        <w:t xml:space="preserve"> </w:t>
      </w:r>
      <w:r>
        <w:t>reported</w:t>
      </w:r>
      <w:r>
        <w:rPr>
          <w:spacing w:val="-18"/>
        </w:rPr>
        <w:t xml:space="preserve"> </w:t>
      </w:r>
      <w:r>
        <w:t>as</w:t>
      </w:r>
      <w:r>
        <w:rPr>
          <w:spacing w:val="-11"/>
        </w:rPr>
        <w:t xml:space="preserve"> </w:t>
      </w:r>
      <w:r>
        <w:t>a</w:t>
      </w:r>
      <w:r>
        <w:rPr>
          <w:spacing w:val="-14"/>
        </w:rPr>
        <w:t xml:space="preserve"> </w:t>
      </w:r>
      <w:r>
        <w:t>measure</w:t>
      </w:r>
      <w:r>
        <w:rPr>
          <w:spacing w:val="-10"/>
        </w:rPr>
        <w:t xml:space="preserve"> </w:t>
      </w:r>
      <w:r>
        <w:t>of</w:t>
      </w:r>
      <w:r>
        <w:rPr>
          <w:spacing w:val="-13"/>
        </w:rPr>
        <w:t xml:space="preserve"> </w:t>
      </w:r>
      <w:r>
        <w:t>effect</w:t>
      </w:r>
      <w:r>
        <w:rPr>
          <w:spacing w:val="-8"/>
        </w:rPr>
        <w:t xml:space="preserve"> </w:t>
      </w:r>
      <w:r>
        <w:rPr>
          <w:spacing w:val="-3"/>
        </w:rPr>
        <w:t>size</w:t>
      </w:r>
      <w:r>
        <w:rPr>
          <w:spacing w:val="-10"/>
        </w:rPr>
        <w:t xml:space="preserve"> </w:t>
      </w:r>
      <w:r>
        <w:t>(≥.0.20</w:t>
      </w:r>
      <w:r>
        <w:rPr>
          <w:spacing w:val="-13"/>
        </w:rPr>
        <w:t xml:space="preserve"> </w:t>
      </w:r>
      <w:r>
        <w:t>=</w:t>
      </w:r>
      <w:r>
        <w:rPr>
          <w:spacing w:val="-14"/>
        </w:rPr>
        <w:t xml:space="preserve"> </w:t>
      </w:r>
      <w:r>
        <w:t>small</w:t>
      </w:r>
      <w:r>
        <w:rPr>
          <w:spacing w:val="-8"/>
        </w:rPr>
        <w:t xml:space="preserve"> </w:t>
      </w:r>
      <w:r>
        <w:t>effect,</w:t>
      </w:r>
      <w:r>
        <w:rPr>
          <w:spacing w:val="-7"/>
        </w:rPr>
        <w:t xml:space="preserve"> </w:t>
      </w:r>
      <w:r>
        <w:t>≥</w:t>
      </w:r>
      <w:r>
        <w:rPr>
          <w:spacing w:val="-16"/>
        </w:rPr>
        <w:t xml:space="preserve"> </w:t>
      </w:r>
      <w:r>
        <w:t>0.50</w:t>
      </w:r>
      <w:r>
        <w:rPr>
          <w:spacing w:val="-13"/>
        </w:rPr>
        <w:t xml:space="preserve"> </w:t>
      </w:r>
      <w:r>
        <w:t>=</w:t>
      </w:r>
      <w:r>
        <w:rPr>
          <w:spacing w:val="-14"/>
        </w:rPr>
        <w:t xml:space="preserve"> </w:t>
      </w:r>
      <w:r>
        <w:t>moderate effect; ≥ 0.80 = large effect; Cohen,</w:t>
      </w:r>
      <w:r>
        <w:rPr>
          <w:spacing w:val="2"/>
        </w:rPr>
        <w:t xml:space="preserve"> </w:t>
      </w:r>
      <w:r>
        <w:t>1988).</w:t>
      </w:r>
    </w:p>
    <w:p w14:paraId="34AD8C91" w14:textId="77777777" w:rsidR="00C75312" w:rsidRDefault="00BB293A">
      <w:pPr>
        <w:pStyle w:val="BodyText"/>
        <w:spacing w:before="113" w:line="477" w:lineRule="auto"/>
        <w:ind w:left="140" w:right="1435" w:firstLine="720"/>
        <w:jc w:val="both"/>
      </w:pPr>
      <w:r>
        <w:rPr>
          <w:position w:val="2"/>
        </w:rPr>
        <w:t>Bayes factors (BF</w:t>
      </w:r>
      <w:r>
        <w:rPr>
          <w:position w:val="2"/>
          <w:vertAlign w:val="subscript"/>
        </w:rPr>
        <w:t>10</w:t>
      </w:r>
      <w:r>
        <w:rPr>
          <w:position w:val="2"/>
        </w:rPr>
        <w:t>) in support of the alternative (H</w:t>
      </w:r>
      <w:r>
        <w:rPr>
          <w:position w:val="2"/>
          <w:vertAlign w:val="subscript"/>
        </w:rPr>
        <w:t>1</w:t>
      </w:r>
      <w:r>
        <w:rPr>
          <w:position w:val="2"/>
        </w:rPr>
        <w:t>) over the null hypothesis (H</w:t>
      </w:r>
      <w:r>
        <w:rPr>
          <w:position w:val="2"/>
          <w:vertAlign w:val="subscript"/>
        </w:rPr>
        <w:t>0</w:t>
      </w:r>
      <w:r>
        <w:rPr>
          <w:position w:val="2"/>
        </w:rPr>
        <w:t xml:space="preserve">) </w:t>
      </w:r>
      <w:r>
        <w:t>were computed for all relevant effects by submitting the data to Bayesian repeated measures mixed ANOVA. Additionally, Bayesian correlation analyses were performed. For the correlations reported in Table 15 two-tailed tests were used. For the partial correlations, one- tailed tests were used. JASP does not provide Bayesian partial correlations per se. However, partial correlations represent the correlations of the residuals after regressin</w:t>
      </w:r>
      <w:r>
        <w:t>g the to be controlled</w:t>
      </w:r>
      <w:r>
        <w:rPr>
          <w:spacing w:val="-11"/>
        </w:rPr>
        <w:t xml:space="preserve"> </w:t>
      </w:r>
      <w:r>
        <w:t>variable</w:t>
      </w:r>
      <w:r>
        <w:rPr>
          <w:spacing w:val="-15"/>
        </w:rPr>
        <w:t xml:space="preserve"> </w:t>
      </w:r>
      <w:r>
        <w:t>onto</w:t>
      </w:r>
      <w:r>
        <w:rPr>
          <w:spacing w:val="-11"/>
        </w:rPr>
        <w:t xml:space="preserve"> </w:t>
      </w:r>
      <w:r>
        <w:t>the</w:t>
      </w:r>
      <w:r>
        <w:rPr>
          <w:spacing w:val="-15"/>
        </w:rPr>
        <w:t xml:space="preserve"> </w:t>
      </w:r>
      <w:r>
        <w:t>variables</w:t>
      </w:r>
      <w:r>
        <w:rPr>
          <w:spacing w:val="-12"/>
        </w:rPr>
        <w:t xml:space="preserve"> </w:t>
      </w:r>
      <w:r>
        <w:t>of</w:t>
      </w:r>
      <w:r>
        <w:rPr>
          <w:spacing w:val="-13"/>
        </w:rPr>
        <w:t xml:space="preserve"> </w:t>
      </w:r>
      <w:r>
        <w:t>interest.</w:t>
      </w:r>
      <w:r>
        <w:rPr>
          <w:spacing w:val="33"/>
        </w:rPr>
        <w:t xml:space="preserve"> </w:t>
      </w:r>
      <w:r>
        <w:t>Thus,</w:t>
      </w:r>
      <w:r>
        <w:rPr>
          <w:spacing w:val="-7"/>
        </w:rPr>
        <w:t xml:space="preserve"> </w:t>
      </w:r>
      <w:r>
        <w:t>the</w:t>
      </w:r>
      <w:r>
        <w:rPr>
          <w:spacing w:val="-16"/>
        </w:rPr>
        <w:t xml:space="preserve"> </w:t>
      </w:r>
      <w:r>
        <w:t>respective</w:t>
      </w:r>
      <w:r>
        <w:rPr>
          <w:spacing w:val="-11"/>
        </w:rPr>
        <w:t xml:space="preserve"> </w:t>
      </w:r>
      <w:r>
        <w:t>regression</w:t>
      </w:r>
      <w:r>
        <w:rPr>
          <w:spacing w:val="-10"/>
        </w:rPr>
        <w:t xml:space="preserve"> </w:t>
      </w:r>
      <w:r>
        <w:t>analyses</w:t>
      </w:r>
      <w:r>
        <w:rPr>
          <w:spacing w:val="-13"/>
        </w:rPr>
        <w:t xml:space="preserve"> </w:t>
      </w:r>
      <w:r>
        <w:t xml:space="preserve">were conducted saving the residuals and subsequently performed Bayesian correlation analyses on the residuals. Bayes factors were interpreted according to Lee and </w:t>
      </w:r>
      <w:proofErr w:type="spellStart"/>
      <w:r>
        <w:t>Wagenmakers</w:t>
      </w:r>
      <w:proofErr w:type="spellEnd"/>
      <w:r>
        <w:t xml:space="preserve"> (2013) classification (see Chapter</w:t>
      </w:r>
      <w:r>
        <w:rPr>
          <w:spacing w:val="6"/>
        </w:rPr>
        <w:t xml:space="preserve"> </w:t>
      </w:r>
      <w:r>
        <w:t>2).</w:t>
      </w:r>
    </w:p>
    <w:p w14:paraId="00F6765D" w14:textId="77777777" w:rsidR="00C75312" w:rsidRDefault="00C75312">
      <w:pPr>
        <w:pStyle w:val="BodyText"/>
        <w:spacing w:before="7"/>
        <w:rPr>
          <w:sz w:val="21"/>
        </w:rPr>
      </w:pPr>
    </w:p>
    <w:p w14:paraId="0A277F8B" w14:textId="77777777" w:rsidR="00C75312" w:rsidRDefault="00BB293A">
      <w:pPr>
        <w:pStyle w:val="Heading1"/>
        <w:ind w:left="25" w:right="1331"/>
        <w:jc w:val="center"/>
      </w:pPr>
      <w:bookmarkStart w:id="19" w:name="_TOC_250014"/>
      <w:bookmarkEnd w:id="19"/>
      <w:r>
        <w:t>Results</w:t>
      </w:r>
    </w:p>
    <w:p w14:paraId="28549BFD" w14:textId="77777777" w:rsidR="00C75312" w:rsidRDefault="00C75312">
      <w:pPr>
        <w:pStyle w:val="BodyText"/>
        <w:spacing w:before="4"/>
        <w:rPr>
          <w:b/>
          <w:sz w:val="27"/>
        </w:rPr>
      </w:pPr>
    </w:p>
    <w:p w14:paraId="50F1097F" w14:textId="77777777" w:rsidR="00C75312" w:rsidRDefault="00BB293A">
      <w:pPr>
        <w:ind w:left="140"/>
        <w:jc w:val="both"/>
        <w:rPr>
          <w:b/>
          <w:sz w:val="24"/>
        </w:rPr>
      </w:pPr>
      <w:r>
        <w:rPr>
          <w:b/>
          <w:sz w:val="24"/>
        </w:rPr>
        <w:t>Sample description</w:t>
      </w:r>
    </w:p>
    <w:p w14:paraId="4A062165" w14:textId="77777777" w:rsidR="00C75312" w:rsidRDefault="00C75312">
      <w:pPr>
        <w:pStyle w:val="BodyText"/>
        <w:spacing w:before="5"/>
        <w:rPr>
          <w:b/>
        </w:rPr>
      </w:pPr>
    </w:p>
    <w:p w14:paraId="683BF02A" w14:textId="77777777" w:rsidR="00C75312" w:rsidRDefault="00BB293A">
      <w:pPr>
        <w:pStyle w:val="BodyText"/>
        <w:spacing w:line="480" w:lineRule="auto"/>
        <w:ind w:left="140" w:right="1433" w:firstLine="720"/>
        <w:jc w:val="both"/>
      </w:pPr>
      <w:r>
        <w:t xml:space="preserve">Means and standard deviations for the self-report and </w:t>
      </w:r>
      <w:proofErr w:type="spellStart"/>
      <w:r>
        <w:t>behavioural</w:t>
      </w:r>
      <w:proofErr w:type="spellEnd"/>
      <w:r>
        <w:t xml:space="preserve"> measures of mindreading and executive functions are displayed in Table 13. Individuals with ASD did not show diminished mindreading performance in the Animations task. On the self-report measures, the ASD group reported significantly more executive function and memory problems relative to the NT group, with large associated effect sizes. Furthermore, the ASD group shower poorer cognitive flexibility on the Wisconsin Card Sorting Task indexed by a greater number of perseverative errors, but no si</w:t>
      </w:r>
      <w:r>
        <w:t>gnificant diminution of inhibitory control on the Stroop task.</w:t>
      </w:r>
    </w:p>
    <w:p w14:paraId="5E79583E" w14:textId="77777777" w:rsidR="00C75312" w:rsidRDefault="00C75312">
      <w:pPr>
        <w:spacing w:line="480" w:lineRule="auto"/>
        <w:jc w:val="both"/>
        <w:sectPr w:rsidR="00C75312">
          <w:pgSz w:w="11900" w:h="16840"/>
          <w:pgMar w:top="1140" w:right="0" w:bottom="280" w:left="1300" w:header="720" w:footer="0" w:gutter="0"/>
          <w:cols w:space="720"/>
        </w:sectPr>
      </w:pPr>
    </w:p>
    <w:p w14:paraId="703B2C52" w14:textId="77777777" w:rsidR="00C75312" w:rsidRDefault="00BB293A">
      <w:pPr>
        <w:spacing w:before="106"/>
        <w:ind w:left="140" w:right="1547"/>
        <w:rPr>
          <w:i/>
          <w:sz w:val="20"/>
        </w:rPr>
      </w:pPr>
      <w:r>
        <w:rPr>
          <w:i/>
          <w:sz w:val="20"/>
        </w:rPr>
        <w:lastRenderedPageBreak/>
        <w:t xml:space="preserve">Table 13. Sample characteristics for </w:t>
      </w:r>
      <w:proofErr w:type="spellStart"/>
      <w:r>
        <w:rPr>
          <w:i/>
          <w:sz w:val="20"/>
        </w:rPr>
        <w:t>behavioural</w:t>
      </w:r>
      <w:proofErr w:type="spellEnd"/>
      <w:r>
        <w:rPr>
          <w:i/>
          <w:sz w:val="20"/>
        </w:rPr>
        <w:t xml:space="preserve"> and self-report measures of mind reading, PM, and executive functions</w:t>
      </w:r>
    </w:p>
    <w:p w14:paraId="292031EA" w14:textId="77777777" w:rsidR="00C75312" w:rsidRDefault="00BB293A">
      <w:pPr>
        <w:pStyle w:val="BodyText"/>
        <w:spacing w:before="7"/>
        <w:rPr>
          <w:i/>
          <w:sz w:val="13"/>
        </w:rPr>
      </w:pPr>
      <w:r>
        <w:pict w14:anchorId="26366130">
          <v:group id="_x0000_s2684" style="position:absolute;margin-left:1in;margin-top:9.85pt;width:451pt;height:.75pt;z-index:-251580416;mso-wrap-distance-left:0;mso-wrap-distance-right:0;mso-position-horizontal-relative:page" coordorigin="1440,197" coordsize="9020,15">
            <v:line id="_x0000_s2695" style="position:absolute" from="1440,204" to="3494,204" strokeweight=".72pt"/>
            <v:rect id="_x0000_s2694" style="position:absolute;left:3494;top:197;width:15;height:15" fillcolor="black" stroked="f"/>
            <v:line id="_x0000_s2693" style="position:absolute" from="3509,204" to="7291,204" strokeweight=".72pt"/>
            <v:rect id="_x0000_s2692" style="position:absolute;left:7291;top:197;width:15;height:15" fillcolor="black" stroked="f"/>
            <v:line id="_x0000_s2691" style="position:absolute" from="7306,204" to="8040,204" strokeweight=".72pt"/>
            <v:rect id="_x0000_s2690" style="position:absolute;left:8040;top:197;width:15;height:15" fillcolor="black" stroked="f"/>
            <v:line id="_x0000_s2689" style="position:absolute" from="8054,204" to="8789,204" strokeweight=".72pt"/>
            <v:rect id="_x0000_s2688" style="position:absolute;left:8788;top:197;width:15;height:15" fillcolor="black" stroked="f"/>
            <v:line id="_x0000_s2687" style="position:absolute" from="8803,204" to="9538,204" strokeweight=".72pt"/>
            <v:rect id="_x0000_s2686" style="position:absolute;left:9537;top:197;width:15;height:15" fillcolor="black" stroked="f"/>
            <v:line id="_x0000_s2685" style="position:absolute" from="9552,204" to="10459,204" strokeweight=".72pt"/>
            <w10:wrap type="topAndBottom" anchorx="page"/>
          </v:group>
        </w:pict>
      </w:r>
    </w:p>
    <w:p w14:paraId="532795AE" w14:textId="77777777" w:rsidR="00C75312" w:rsidRDefault="00BB293A">
      <w:pPr>
        <w:spacing w:before="62"/>
        <w:ind w:left="3293"/>
        <w:rPr>
          <w:b/>
          <w:sz w:val="20"/>
        </w:rPr>
      </w:pPr>
      <w:r>
        <w:rPr>
          <w:b/>
          <w:sz w:val="20"/>
        </w:rPr>
        <w:t>Group means (SD)</w:t>
      </w:r>
    </w:p>
    <w:p w14:paraId="30A60C7A" w14:textId="77777777" w:rsidR="00C75312" w:rsidRDefault="00C75312">
      <w:pPr>
        <w:pStyle w:val="BodyText"/>
        <w:spacing w:before="9"/>
        <w:rPr>
          <w:b/>
          <w:sz w:val="9"/>
        </w:rPr>
      </w:pPr>
    </w:p>
    <w:tbl>
      <w:tblPr>
        <w:tblW w:w="0" w:type="auto"/>
        <w:tblInd w:w="140" w:type="dxa"/>
        <w:tblLayout w:type="fixed"/>
        <w:tblCellMar>
          <w:left w:w="0" w:type="dxa"/>
          <w:right w:w="0" w:type="dxa"/>
        </w:tblCellMar>
        <w:tblLook w:val="01E0" w:firstRow="1" w:lastRow="1" w:firstColumn="1" w:lastColumn="1" w:noHBand="0" w:noVBand="0"/>
      </w:tblPr>
      <w:tblGrid>
        <w:gridCol w:w="2062"/>
        <w:gridCol w:w="1901"/>
        <w:gridCol w:w="1896"/>
        <w:gridCol w:w="804"/>
        <w:gridCol w:w="629"/>
        <w:gridCol w:w="763"/>
        <w:gridCol w:w="972"/>
      </w:tblGrid>
      <w:tr w:rsidR="00C75312" w14:paraId="1ED35941" w14:textId="77777777">
        <w:trPr>
          <w:trHeight w:val="412"/>
        </w:trPr>
        <w:tc>
          <w:tcPr>
            <w:tcW w:w="2062" w:type="dxa"/>
            <w:tcBorders>
              <w:bottom w:val="single" w:sz="6" w:space="0" w:color="000000"/>
            </w:tcBorders>
          </w:tcPr>
          <w:p w14:paraId="6D397D1C" w14:textId="77777777" w:rsidR="00C75312" w:rsidRDefault="00C75312">
            <w:pPr>
              <w:pStyle w:val="TableParagraph"/>
              <w:rPr>
                <w:sz w:val="20"/>
              </w:rPr>
            </w:pPr>
          </w:p>
        </w:tc>
        <w:tc>
          <w:tcPr>
            <w:tcW w:w="1901" w:type="dxa"/>
            <w:tcBorders>
              <w:top w:val="single" w:sz="6" w:space="0" w:color="000000"/>
              <w:bottom w:val="single" w:sz="6" w:space="0" w:color="000000"/>
            </w:tcBorders>
          </w:tcPr>
          <w:p w14:paraId="51817E60" w14:textId="77777777" w:rsidR="00C75312" w:rsidRDefault="00BB293A">
            <w:pPr>
              <w:pStyle w:val="TableParagraph"/>
              <w:spacing w:before="77"/>
              <w:ind w:left="729" w:right="731"/>
              <w:jc w:val="center"/>
              <w:rPr>
                <w:b/>
                <w:sz w:val="20"/>
              </w:rPr>
            </w:pPr>
            <w:r>
              <w:rPr>
                <w:b/>
                <w:sz w:val="20"/>
              </w:rPr>
              <w:t>ASD</w:t>
            </w:r>
          </w:p>
        </w:tc>
        <w:tc>
          <w:tcPr>
            <w:tcW w:w="1896" w:type="dxa"/>
            <w:tcBorders>
              <w:top w:val="single" w:sz="6" w:space="0" w:color="000000"/>
              <w:bottom w:val="single" w:sz="6" w:space="0" w:color="000000"/>
            </w:tcBorders>
          </w:tcPr>
          <w:p w14:paraId="6FDA1598" w14:textId="77777777" w:rsidR="00C75312" w:rsidRDefault="00BB293A">
            <w:pPr>
              <w:pStyle w:val="TableParagraph"/>
              <w:spacing w:before="77"/>
              <w:ind w:left="335" w:right="333"/>
              <w:jc w:val="center"/>
              <w:rPr>
                <w:b/>
                <w:sz w:val="20"/>
              </w:rPr>
            </w:pPr>
            <w:r>
              <w:rPr>
                <w:b/>
                <w:sz w:val="20"/>
              </w:rPr>
              <w:t>Neurotypical</w:t>
            </w:r>
          </w:p>
        </w:tc>
        <w:tc>
          <w:tcPr>
            <w:tcW w:w="804" w:type="dxa"/>
            <w:tcBorders>
              <w:bottom w:val="single" w:sz="6" w:space="0" w:color="000000"/>
            </w:tcBorders>
          </w:tcPr>
          <w:p w14:paraId="1C7B5791" w14:textId="77777777" w:rsidR="00C75312" w:rsidRDefault="00BB293A">
            <w:pPr>
              <w:pStyle w:val="TableParagraph"/>
              <w:spacing w:before="77"/>
              <w:ind w:right="56"/>
              <w:jc w:val="center"/>
              <w:rPr>
                <w:b/>
                <w:i/>
                <w:sz w:val="20"/>
              </w:rPr>
            </w:pPr>
            <w:r>
              <w:rPr>
                <w:b/>
                <w:i/>
                <w:sz w:val="20"/>
              </w:rPr>
              <w:t>T</w:t>
            </w:r>
          </w:p>
        </w:tc>
        <w:tc>
          <w:tcPr>
            <w:tcW w:w="629" w:type="dxa"/>
            <w:tcBorders>
              <w:bottom w:val="single" w:sz="6" w:space="0" w:color="000000"/>
            </w:tcBorders>
          </w:tcPr>
          <w:p w14:paraId="42DB0628" w14:textId="77777777" w:rsidR="00C75312" w:rsidRDefault="00BB293A">
            <w:pPr>
              <w:pStyle w:val="TableParagraph"/>
              <w:spacing w:before="77"/>
              <w:ind w:left="193" w:right="190"/>
              <w:jc w:val="center"/>
              <w:rPr>
                <w:b/>
                <w:i/>
                <w:sz w:val="20"/>
              </w:rPr>
            </w:pPr>
            <w:proofErr w:type="spellStart"/>
            <w:r>
              <w:rPr>
                <w:b/>
                <w:i/>
                <w:sz w:val="20"/>
              </w:rPr>
              <w:t>df</w:t>
            </w:r>
            <w:proofErr w:type="spellEnd"/>
          </w:p>
        </w:tc>
        <w:tc>
          <w:tcPr>
            <w:tcW w:w="763" w:type="dxa"/>
            <w:tcBorders>
              <w:bottom w:val="single" w:sz="6" w:space="0" w:color="000000"/>
            </w:tcBorders>
          </w:tcPr>
          <w:p w14:paraId="6787F403" w14:textId="77777777" w:rsidR="00C75312" w:rsidRDefault="00BB293A">
            <w:pPr>
              <w:pStyle w:val="TableParagraph"/>
              <w:spacing w:before="77"/>
              <w:ind w:left="109"/>
              <w:jc w:val="center"/>
              <w:rPr>
                <w:b/>
                <w:i/>
                <w:sz w:val="20"/>
              </w:rPr>
            </w:pPr>
            <w:r>
              <w:rPr>
                <w:b/>
                <w:i/>
                <w:sz w:val="20"/>
              </w:rPr>
              <w:t>p</w:t>
            </w:r>
          </w:p>
        </w:tc>
        <w:tc>
          <w:tcPr>
            <w:tcW w:w="972" w:type="dxa"/>
            <w:tcBorders>
              <w:bottom w:val="single" w:sz="6" w:space="0" w:color="000000"/>
            </w:tcBorders>
          </w:tcPr>
          <w:p w14:paraId="65A8FBDE" w14:textId="77777777" w:rsidR="00C75312" w:rsidRDefault="00BB293A">
            <w:pPr>
              <w:pStyle w:val="TableParagraph"/>
              <w:spacing w:before="77"/>
              <w:ind w:left="70" w:right="21"/>
              <w:jc w:val="center"/>
              <w:rPr>
                <w:b/>
                <w:i/>
                <w:sz w:val="20"/>
              </w:rPr>
            </w:pPr>
            <w:r>
              <w:rPr>
                <w:b/>
                <w:sz w:val="20"/>
              </w:rPr>
              <w:t xml:space="preserve">Cohen's </w:t>
            </w:r>
            <w:r>
              <w:rPr>
                <w:b/>
                <w:i/>
                <w:sz w:val="20"/>
              </w:rPr>
              <w:t>d</w:t>
            </w:r>
          </w:p>
        </w:tc>
      </w:tr>
      <w:tr w:rsidR="00C75312" w14:paraId="255EBDAB" w14:textId="77777777">
        <w:trPr>
          <w:trHeight w:val="586"/>
        </w:trPr>
        <w:tc>
          <w:tcPr>
            <w:tcW w:w="2062" w:type="dxa"/>
            <w:tcBorders>
              <w:top w:val="single" w:sz="6" w:space="0" w:color="000000"/>
            </w:tcBorders>
          </w:tcPr>
          <w:p w14:paraId="2D13D1C8" w14:textId="77777777" w:rsidR="00C75312" w:rsidRDefault="00BB293A">
            <w:pPr>
              <w:pStyle w:val="TableParagraph"/>
              <w:spacing w:before="38" w:line="261" w:lineRule="auto"/>
              <w:ind w:left="21" w:right="604"/>
              <w:rPr>
                <w:i/>
                <w:sz w:val="20"/>
              </w:rPr>
            </w:pPr>
            <w:r>
              <w:rPr>
                <w:i/>
                <w:sz w:val="20"/>
              </w:rPr>
              <w:t>Mindreading (Animations task)</w:t>
            </w:r>
          </w:p>
        </w:tc>
        <w:tc>
          <w:tcPr>
            <w:tcW w:w="1901" w:type="dxa"/>
            <w:tcBorders>
              <w:top w:val="single" w:sz="6" w:space="0" w:color="000000"/>
            </w:tcBorders>
          </w:tcPr>
          <w:p w14:paraId="6C639DDA" w14:textId="77777777" w:rsidR="00C75312" w:rsidRDefault="00BB293A">
            <w:pPr>
              <w:pStyle w:val="TableParagraph"/>
              <w:spacing w:before="163"/>
              <w:ind w:left="508"/>
              <w:rPr>
                <w:sz w:val="20"/>
              </w:rPr>
            </w:pPr>
            <w:r>
              <w:rPr>
                <w:sz w:val="20"/>
              </w:rPr>
              <w:t>4.64 (1.82)</w:t>
            </w:r>
          </w:p>
        </w:tc>
        <w:tc>
          <w:tcPr>
            <w:tcW w:w="1896" w:type="dxa"/>
            <w:tcBorders>
              <w:top w:val="single" w:sz="6" w:space="0" w:color="000000"/>
            </w:tcBorders>
          </w:tcPr>
          <w:p w14:paraId="44AB96E0" w14:textId="77777777" w:rsidR="00C75312" w:rsidRDefault="00BB293A">
            <w:pPr>
              <w:pStyle w:val="TableParagraph"/>
              <w:spacing w:before="163"/>
              <w:ind w:left="335" w:right="336"/>
              <w:jc w:val="center"/>
              <w:rPr>
                <w:sz w:val="20"/>
              </w:rPr>
            </w:pPr>
            <w:r>
              <w:rPr>
                <w:sz w:val="20"/>
              </w:rPr>
              <w:t>5.30 (1.82)</w:t>
            </w:r>
          </w:p>
        </w:tc>
        <w:tc>
          <w:tcPr>
            <w:tcW w:w="804" w:type="dxa"/>
            <w:tcBorders>
              <w:top w:val="single" w:sz="6" w:space="0" w:color="000000"/>
            </w:tcBorders>
          </w:tcPr>
          <w:p w14:paraId="05C7F1C2" w14:textId="77777777" w:rsidR="00C75312" w:rsidRDefault="00BB293A">
            <w:pPr>
              <w:pStyle w:val="TableParagraph"/>
              <w:spacing w:before="163"/>
              <w:ind w:left="146" w:right="200"/>
              <w:jc w:val="center"/>
              <w:rPr>
                <w:sz w:val="20"/>
              </w:rPr>
            </w:pPr>
            <w:r>
              <w:rPr>
                <w:sz w:val="20"/>
              </w:rPr>
              <w:t>1.26</w:t>
            </w:r>
          </w:p>
        </w:tc>
        <w:tc>
          <w:tcPr>
            <w:tcW w:w="629" w:type="dxa"/>
            <w:tcBorders>
              <w:top w:val="single" w:sz="6" w:space="0" w:color="000000"/>
            </w:tcBorders>
          </w:tcPr>
          <w:p w14:paraId="629265E8" w14:textId="77777777" w:rsidR="00C75312" w:rsidRDefault="00BB293A">
            <w:pPr>
              <w:pStyle w:val="TableParagraph"/>
              <w:spacing w:before="163"/>
              <w:ind w:left="198" w:right="190"/>
              <w:jc w:val="center"/>
              <w:rPr>
                <w:sz w:val="20"/>
              </w:rPr>
            </w:pPr>
            <w:r>
              <w:rPr>
                <w:sz w:val="20"/>
              </w:rPr>
              <w:t>46</w:t>
            </w:r>
          </w:p>
        </w:tc>
        <w:tc>
          <w:tcPr>
            <w:tcW w:w="763" w:type="dxa"/>
            <w:tcBorders>
              <w:top w:val="single" w:sz="6" w:space="0" w:color="000000"/>
            </w:tcBorders>
          </w:tcPr>
          <w:p w14:paraId="255C6B98" w14:textId="77777777" w:rsidR="00C75312" w:rsidRDefault="00BB293A">
            <w:pPr>
              <w:pStyle w:val="TableParagraph"/>
              <w:spacing w:before="163"/>
              <w:ind w:left="313"/>
              <w:rPr>
                <w:sz w:val="20"/>
              </w:rPr>
            </w:pPr>
            <w:r>
              <w:rPr>
                <w:sz w:val="20"/>
              </w:rPr>
              <w:t>.21</w:t>
            </w:r>
          </w:p>
        </w:tc>
        <w:tc>
          <w:tcPr>
            <w:tcW w:w="972" w:type="dxa"/>
            <w:tcBorders>
              <w:top w:val="single" w:sz="6" w:space="0" w:color="000000"/>
            </w:tcBorders>
          </w:tcPr>
          <w:p w14:paraId="659878CA" w14:textId="77777777" w:rsidR="00C75312" w:rsidRDefault="00BB293A">
            <w:pPr>
              <w:pStyle w:val="TableParagraph"/>
              <w:spacing w:before="163"/>
              <w:ind w:left="70" w:right="21"/>
              <w:jc w:val="center"/>
              <w:rPr>
                <w:sz w:val="20"/>
              </w:rPr>
            </w:pPr>
            <w:r>
              <w:rPr>
                <w:sz w:val="20"/>
              </w:rPr>
              <w:t>-0.36</w:t>
            </w:r>
          </w:p>
        </w:tc>
      </w:tr>
      <w:tr w:rsidR="00C75312" w14:paraId="2F7BF8A0" w14:textId="77777777">
        <w:trPr>
          <w:trHeight w:val="607"/>
        </w:trPr>
        <w:tc>
          <w:tcPr>
            <w:tcW w:w="2062" w:type="dxa"/>
          </w:tcPr>
          <w:p w14:paraId="3E9F0C42" w14:textId="77777777" w:rsidR="00C75312" w:rsidRDefault="00BB293A">
            <w:pPr>
              <w:pStyle w:val="TableParagraph"/>
              <w:spacing w:before="61" w:line="261" w:lineRule="auto"/>
              <w:ind w:left="21" w:right="493"/>
              <w:rPr>
                <w:i/>
                <w:sz w:val="20"/>
              </w:rPr>
            </w:pPr>
            <w:r>
              <w:rPr>
                <w:i/>
                <w:sz w:val="20"/>
              </w:rPr>
              <w:t>PRMQ prospective memory scale</w:t>
            </w:r>
          </w:p>
        </w:tc>
        <w:tc>
          <w:tcPr>
            <w:tcW w:w="1901" w:type="dxa"/>
          </w:tcPr>
          <w:p w14:paraId="76A61039" w14:textId="77777777" w:rsidR="00C75312" w:rsidRDefault="00BB293A">
            <w:pPr>
              <w:pStyle w:val="TableParagraph"/>
              <w:spacing w:before="186"/>
              <w:ind w:right="401"/>
              <w:jc w:val="right"/>
              <w:rPr>
                <w:sz w:val="20"/>
              </w:rPr>
            </w:pPr>
            <w:r>
              <w:rPr>
                <w:sz w:val="20"/>
              </w:rPr>
              <w:t>40.60 (12.43)</w:t>
            </w:r>
          </w:p>
        </w:tc>
        <w:tc>
          <w:tcPr>
            <w:tcW w:w="1896" w:type="dxa"/>
          </w:tcPr>
          <w:p w14:paraId="5BC94926" w14:textId="77777777" w:rsidR="00C75312" w:rsidRDefault="00BB293A">
            <w:pPr>
              <w:pStyle w:val="TableParagraph"/>
              <w:spacing w:before="186"/>
              <w:ind w:left="335" w:right="336"/>
              <w:jc w:val="center"/>
              <w:rPr>
                <w:sz w:val="20"/>
              </w:rPr>
            </w:pPr>
            <w:r>
              <w:rPr>
                <w:sz w:val="20"/>
              </w:rPr>
              <w:t>50.96 (10.39)</w:t>
            </w:r>
          </w:p>
        </w:tc>
        <w:tc>
          <w:tcPr>
            <w:tcW w:w="804" w:type="dxa"/>
          </w:tcPr>
          <w:p w14:paraId="54082D1E" w14:textId="77777777" w:rsidR="00C75312" w:rsidRDefault="00BB293A">
            <w:pPr>
              <w:pStyle w:val="TableParagraph"/>
              <w:spacing w:before="186"/>
              <w:ind w:left="146" w:right="200"/>
              <w:jc w:val="center"/>
              <w:rPr>
                <w:sz w:val="20"/>
              </w:rPr>
            </w:pPr>
            <w:r>
              <w:rPr>
                <w:sz w:val="20"/>
              </w:rPr>
              <w:t>3.12</w:t>
            </w:r>
          </w:p>
        </w:tc>
        <w:tc>
          <w:tcPr>
            <w:tcW w:w="629" w:type="dxa"/>
          </w:tcPr>
          <w:p w14:paraId="58B7AA78" w14:textId="77777777" w:rsidR="00C75312" w:rsidRDefault="00BB293A">
            <w:pPr>
              <w:pStyle w:val="TableParagraph"/>
              <w:spacing w:before="186"/>
              <w:ind w:left="198" w:right="190"/>
              <w:jc w:val="center"/>
              <w:rPr>
                <w:sz w:val="20"/>
              </w:rPr>
            </w:pPr>
            <w:r>
              <w:rPr>
                <w:sz w:val="20"/>
              </w:rPr>
              <w:t>46</w:t>
            </w:r>
          </w:p>
        </w:tc>
        <w:tc>
          <w:tcPr>
            <w:tcW w:w="763" w:type="dxa"/>
          </w:tcPr>
          <w:p w14:paraId="19139DE1" w14:textId="77777777" w:rsidR="00C75312" w:rsidRDefault="00BB293A">
            <w:pPr>
              <w:pStyle w:val="TableParagraph"/>
              <w:spacing w:before="186"/>
              <w:ind w:left="260"/>
              <w:rPr>
                <w:sz w:val="20"/>
              </w:rPr>
            </w:pPr>
            <w:r>
              <w:rPr>
                <w:sz w:val="20"/>
              </w:rPr>
              <w:t>.003</w:t>
            </w:r>
          </w:p>
        </w:tc>
        <w:tc>
          <w:tcPr>
            <w:tcW w:w="972" w:type="dxa"/>
          </w:tcPr>
          <w:p w14:paraId="209C83E0" w14:textId="77777777" w:rsidR="00C75312" w:rsidRDefault="00BB293A">
            <w:pPr>
              <w:pStyle w:val="TableParagraph"/>
              <w:spacing w:before="186"/>
              <w:ind w:left="70" w:right="21"/>
              <w:jc w:val="center"/>
              <w:rPr>
                <w:sz w:val="20"/>
              </w:rPr>
            </w:pPr>
            <w:r>
              <w:rPr>
                <w:sz w:val="20"/>
              </w:rPr>
              <w:t>-1.14</w:t>
            </w:r>
          </w:p>
        </w:tc>
      </w:tr>
      <w:tr w:rsidR="00C75312" w14:paraId="2C92AAE5" w14:textId="77777777">
        <w:trPr>
          <w:trHeight w:val="561"/>
        </w:trPr>
        <w:tc>
          <w:tcPr>
            <w:tcW w:w="2062" w:type="dxa"/>
          </w:tcPr>
          <w:p w14:paraId="41FDDA35" w14:textId="77777777" w:rsidR="00C75312" w:rsidRDefault="00BB293A">
            <w:pPr>
              <w:pStyle w:val="TableParagraph"/>
              <w:spacing w:before="39" w:line="250" w:lineRule="atLeast"/>
              <w:ind w:left="21" w:right="371"/>
              <w:rPr>
                <w:i/>
                <w:sz w:val="20"/>
              </w:rPr>
            </w:pPr>
            <w:r>
              <w:rPr>
                <w:i/>
                <w:sz w:val="20"/>
              </w:rPr>
              <w:t>PRMQ retrospective memory scale</w:t>
            </w:r>
          </w:p>
        </w:tc>
        <w:tc>
          <w:tcPr>
            <w:tcW w:w="1901" w:type="dxa"/>
          </w:tcPr>
          <w:p w14:paraId="42A8F30D" w14:textId="77777777" w:rsidR="00C75312" w:rsidRDefault="00BB293A">
            <w:pPr>
              <w:pStyle w:val="TableParagraph"/>
              <w:spacing w:before="183"/>
              <w:ind w:right="454"/>
              <w:jc w:val="right"/>
              <w:rPr>
                <w:sz w:val="20"/>
              </w:rPr>
            </w:pPr>
            <w:r>
              <w:rPr>
                <w:sz w:val="20"/>
              </w:rPr>
              <w:t>45.56 (9.16)</w:t>
            </w:r>
          </w:p>
        </w:tc>
        <w:tc>
          <w:tcPr>
            <w:tcW w:w="1896" w:type="dxa"/>
          </w:tcPr>
          <w:p w14:paraId="668124B8" w14:textId="77777777" w:rsidR="00C75312" w:rsidRDefault="00BB293A">
            <w:pPr>
              <w:pStyle w:val="TableParagraph"/>
              <w:spacing w:before="183"/>
              <w:ind w:left="335" w:right="332"/>
              <w:jc w:val="center"/>
              <w:rPr>
                <w:sz w:val="20"/>
              </w:rPr>
            </w:pPr>
            <w:r>
              <w:rPr>
                <w:sz w:val="20"/>
              </w:rPr>
              <w:t>53.61 (8.85)</w:t>
            </w:r>
          </w:p>
        </w:tc>
        <w:tc>
          <w:tcPr>
            <w:tcW w:w="804" w:type="dxa"/>
          </w:tcPr>
          <w:p w14:paraId="036A8F5F" w14:textId="77777777" w:rsidR="00C75312" w:rsidRDefault="00BB293A">
            <w:pPr>
              <w:pStyle w:val="TableParagraph"/>
              <w:spacing w:before="183"/>
              <w:ind w:left="146" w:right="200"/>
              <w:jc w:val="center"/>
              <w:rPr>
                <w:sz w:val="20"/>
              </w:rPr>
            </w:pPr>
            <w:r>
              <w:rPr>
                <w:sz w:val="20"/>
              </w:rPr>
              <w:t>3.09</w:t>
            </w:r>
          </w:p>
        </w:tc>
        <w:tc>
          <w:tcPr>
            <w:tcW w:w="629" w:type="dxa"/>
          </w:tcPr>
          <w:p w14:paraId="2A0AF1E6" w14:textId="77777777" w:rsidR="00C75312" w:rsidRDefault="00BB293A">
            <w:pPr>
              <w:pStyle w:val="TableParagraph"/>
              <w:spacing w:before="183"/>
              <w:ind w:left="198" w:right="190"/>
              <w:jc w:val="center"/>
              <w:rPr>
                <w:sz w:val="20"/>
              </w:rPr>
            </w:pPr>
            <w:r>
              <w:rPr>
                <w:sz w:val="20"/>
              </w:rPr>
              <w:t>46</w:t>
            </w:r>
          </w:p>
        </w:tc>
        <w:tc>
          <w:tcPr>
            <w:tcW w:w="763" w:type="dxa"/>
          </w:tcPr>
          <w:p w14:paraId="00EEDBDA" w14:textId="77777777" w:rsidR="00C75312" w:rsidRDefault="00BB293A">
            <w:pPr>
              <w:pStyle w:val="TableParagraph"/>
              <w:spacing w:before="183"/>
              <w:ind w:left="260"/>
              <w:rPr>
                <w:sz w:val="20"/>
              </w:rPr>
            </w:pPr>
            <w:r>
              <w:rPr>
                <w:sz w:val="20"/>
              </w:rPr>
              <w:t>.003</w:t>
            </w:r>
          </w:p>
        </w:tc>
        <w:tc>
          <w:tcPr>
            <w:tcW w:w="972" w:type="dxa"/>
          </w:tcPr>
          <w:p w14:paraId="6674DEC2" w14:textId="77777777" w:rsidR="00C75312" w:rsidRDefault="00BB293A">
            <w:pPr>
              <w:pStyle w:val="TableParagraph"/>
              <w:spacing w:before="183"/>
              <w:ind w:left="70" w:right="21"/>
              <w:jc w:val="center"/>
              <w:rPr>
                <w:sz w:val="20"/>
              </w:rPr>
            </w:pPr>
            <w:r>
              <w:rPr>
                <w:sz w:val="20"/>
              </w:rPr>
              <w:t>-1.11</w:t>
            </w:r>
          </w:p>
        </w:tc>
      </w:tr>
      <w:tr w:rsidR="00C75312" w14:paraId="5081692E" w14:textId="77777777">
        <w:trPr>
          <w:trHeight w:val="472"/>
        </w:trPr>
        <w:tc>
          <w:tcPr>
            <w:tcW w:w="2062" w:type="dxa"/>
          </w:tcPr>
          <w:p w14:paraId="11B2E025" w14:textId="77777777" w:rsidR="00C75312" w:rsidRDefault="00BB293A">
            <w:pPr>
              <w:pStyle w:val="TableParagraph"/>
              <w:spacing w:before="102"/>
              <w:ind w:left="21"/>
              <w:rPr>
                <w:i/>
                <w:sz w:val="20"/>
              </w:rPr>
            </w:pPr>
            <w:r>
              <w:rPr>
                <w:i/>
                <w:sz w:val="20"/>
              </w:rPr>
              <w:t>BRIEF Inhibit</w:t>
            </w:r>
          </w:p>
        </w:tc>
        <w:tc>
          <w:tcPr>
            <w:tcW w:w="1901" w:type="dxa"/>
          </w:tcPr>
          <w:p w14:paraId="164DB3D3" w14:textId="77777777" w:rsidR="00C75312" w:rsidRDefault="00BB293A">
            <w:pPr>
              <w:pStyle w:val="TableParagraph"/>
              <w:spacing w:before="140"/>
              <w:ind w:right="401"/>
              <w:jc w:val="right"/>
              <w:rPr>
                <w:sz w:val="20"/>
              </w:rPr>
            </w:pPr>
            <w:r>
              <w:rPr>
                <w:sz w:val="20"/>
              </w:rPr>
              <w:t>63.40 (12.47)</w:t>
            </w:r>
          </w:p>
        </w:tc>
        <w:tc>
          <w:tcPr>
            <w:tcW w:w="1896" w:type="dxa"/>
          </w:tcPr>
          <w:p w14:paraId="3DF86AF6" w14:textId="77777777" w:rsidR="00C75312" w:rsidRDefault="00BB293A">
            <w:pPr>
              <w:pStyle w:val="TableParagraph"/>
              <w:spacing w:before="140"/>
              <w:ind w:left="335" w:right="332"/>
              <w:jc w:val="center"/>
              <w:rPr>
                <w:sz w:val="20"/>
              </w:rPr>
            </w:pPr>
            <w:r>
              <w:rPr>
                <w:sz w:val="20"/>
              </w:rPr>
              <w:t>51.82 (9.81)</w:t>
            </w:r>
          </w:p>
        </w:tc>
        <w:tc>
          <w:tcPr>
            <w:tcW w:w="804" w:type="dxa"/>
          </w:tcPr>
          <w:p w14:paraId="7E2C39E1" w14:textId="77777777" w:rsidR="00C75312" w:rsidRDefault="00BB293A">
            <w:pPr>
              <w:pStyle w:val="TableParagraph"/>
              <w:spacing w:before="140"/>
              <w:ind w:left="146" w:right="200"/>
              <w:jc w:val="center"/>
              <w:rPr>
                <w:sz w:val="20"/>
              </w:rPr>
            </w:pPr>
            <w:r>
              <w:rPr>
                <w:sz w:val="20"/>
              </w:rPr>
              <w:t>-3.50</w:t>
            </w:r>
          </w:p>
        </w:tc>
        <w:tc>
          <w:tcPr>
            <w:tcW w:w="629" w:type="dxa"/>
          </w:tcPr>
          <w:p w14:paraId="01B556C4" w14:textId="77777777" w:rsidR="00C75312" w:rsidRDefault="00BB293A">
            <w:pPr>
              <w:pStyle w:val="TableParagraph"/>
              <w:spacing w:before="140"/>
              <w:ind w:left="198" w:right="190"/>
              <w:jc w:val="center"/>
              <w:rPr>
                <w:sz w:val="20"/>
              </w:rPr>
            </w:pPr>
            <w:r>
              <w:rPr>
                <w:sz w:val="20"/>
              </w:rPr>
              <w:t>45</w:t>
            </w:r>
          </w:p>
        </w:tc>
        <w:tc>
          <w:tcPr>
            <w:tcW w:w="763" w:type="dxa"/>
          </w:tcPr>
          <w:p w14:paraId="24CE5194" w14:textId="77777777" w:rsidR="00C75312" w:rsidRDefault="00BB293A">
            <w:pPr>
              <w:pStyle w:val="TableParagraph"/>
              <w:spacing w:before="140"/>
              <w:ind w:left="260"/>
              <w:rPr>
                <w:sz w:val="20"/>
              </w:rPr>
            </w:pPr>
            <w:r>
              <w:rPr>
                <w:sz w:val="20"/>
              </w:rPr>
              <w:t>.001</w:t>
            </w:r>
          </w:p>
        </w:tc>
        <w:tc>
          <w:tcPr>
            <w:tcW w:w="972" w:type="dxa"/>
          </w:tcPr>
          <w:p w14:paraId="1A1C7356" w14:textId="77777777" w:rsidR="00C75312" w:rsidRDefault="00BB293A">
            <w:pPr>
              <w:pStyle w:val="TableParagraph"/>
              <w:spacing w:before="140"/>
              <w:ind w:left="70" w:right="21"/>
              <w:jc w:val="center"/>
              <w:rPr>
                <w:sz w:val="20"/>
              </w:rPr>
            </w:pPr>
            <w:r>
              <w:rPr>
                <w:sz w:val="20"/>
              </w:rPr>
              <w:t>1.17</w:t>
            </w:r>
          </w:p>
        </w:tc>
      </w:tr>
      <w:tr w:rsidR="00C75312" w14:paraId="299823BB" w14:textId="77777777">
        <w:trPr>
          <w:trHeight w:val="470"/>
        </w:trPr>
        <w:tc>
          <w:tcPr>
            <w:tcW w:w="2062" w:type="dxa"/>
          </w:tcPr>
          <w:p w14:paraId="0FACF9BB" w14:textId="77777777" w:rsidR="00C75312" w:rsidRDefault="00BB293A">
            <w:pPr>
              <w:pStyle w:val="TableParagraph"/>
              <w:spacing w:before="56"/>
              <w:ind w:left="21"/>
              <w:rPr>
                <w:i/>
                <w:sz w:val="20"/>
              </w:rPr>
            </w:pPr>
            <w:r>
              <w:rPr>
                <w:i/>
                <w:sz w:val="20"/>
              </w:rPr>
              <w:t>BRIEF Shift</w:t>
            </w:r>
          </w:p>
        </w:tc>
        <w:tc>
          <w:tcPr>
            <w:tcW w:w="1901" w:type="dxa"/>
          </w:tcPr>
          <w:p w14:paraId="79F5439C" w14:textId="77777777" w:rsidR="00C75312" w:rsidRDefault="00BB293A">
            <w:pPr>
              <w:pStyle w:val="TableParagraph"/>
              <w:spacing w:before="95"/>
              <w:ind w:right="401"/>
              <w:jc w:val="right"/>
              <w:rPr>
                <w:sz w:val="20"/>
              </w:rPr>
            </w:pPr>
            <w:r>
              <w:rPr>
                <w:sz w:val="20"/>
              </w:rPr>
              <w:t>72.04 (13.82)</w:t>
            </w:r>
          </w:p>
        </w:tc>
        <w:tc>
          <w:tcPr>
            <w:tcW w:w="1896" w:type="dxa"/>
          </w:tcPr>
          <w:p w14:paraId="512FBF37" w14:textId="77777777" w:rsidR="00C75312" w:rsidRDefault="00BB293A">
            <w:pPr>
              <w:pStyle w:val="TableParagraph"/>
              <w:spacing w:before="95"/>
              <w:ind w:left="335" w:right="332"/>
              <w:jc w:val="center"/>
              <w:rPr>
                <w:sz w:val="20"/>
              </w:rPr>
            </w:pPr>
            <w:r>
              <w:rPr>
                <w:sz w:val="20"/>
              </w:rPr>
              <w:t>50.59 (8.16)</w:t>
            </w:r>
          </w:p>
        </w:tc>
        <w:tc>
          <w:tcPr>
            <w:tcW w:w="804" w:type="dxa"/>
          </w:tcPr>
          <w:p w14:paraId="2FC79173" w14:textId="77777777" w:rsidR="00C75312" w:rsidRDefault="00BB293A">
            <w:pPr>
              <w:pStyle w:val="TableParagraph"/>
              <w:spacing w:before="95"/>
              <w:ind w:left="146" w:right="200"/>
              <w:jc w:val="center"/>
              <w:rPr>
                <w:sz w:val="20"/>
              </w:rPr>
            </w:pPr>
            <w:r>
              <w:rPr>
                <w:sz w:val="20"/>
              </w:rPr>
              <w:t>-6.37</w:t>
            </w:r>
          </w:p>
        </w:tc>
        <w:tc>
          <w:tcPr>
            <w:tcW w:w="629" w:type="dxa"/>
          </w:tcPr>
          <w:p w14:paraId="1623B4E8" w14:textId="77777777" w:rsidR="00C75312" w:rsidRDefault="00BB293A">
            <w:pPr>
              <w:pStyle w:val="TableParagraph"/>
              <w:spacing w:before="95"/>
              <w:ind w:left="198" w:right="190"/>
              <w:jc w:val="center"/>
              <w:rPr>
                <w:sz w:val="20"/>
              </w:rPr>
            </w:pPr>
            <w:r>
              <w:rPr>
                <w:sz w:val="20"/>
              </w:rPr>
              <w:t>45</w:t>
            </w:r>
          </w:p>
        </w:tc>
        <w:tc>
          <w:tcPr>
            <w:tcW w:w="763" w:type="dxa"/>
          </w:tcPr>
          <w:p w14:paraId="72DFF0BC" w14:textId="77777777" w:rsidR="00C75312" w:rsidRDefault="00BB293A">
            <w:pPr>
              <w:pStyle w:val="TableParagraph"/>
              <w:spacing w:before="95"/>
              <w:ind w:left="207"/>
              <w:rPr>
                <w:sz w:val="20"/>
              </w:rPr>
            </w:pPr>
            <w:r>
              <w:rPr>
                <w:sz w:val="20"/>
              </w:rPr>
              <w:t>&lt;.001</w:t>
            </w:r>
          </w:p>
        </w:tc>
        <w:tc>
          <w:tcPr>
            <w:tcW w:w="972" w:type="dxa"/>
          </w:tcPr>
          <w:p w14:paraId="14234EF1" w14:textId="77777777" w:rsidR="00C75312" w:rsidRDefault="00BB293A">
            <w:pPr>
              <w:pStyle w:val="TableParagraph"/>
              <w:spacing w:before="95"/>
              <w:ind w:left="70" w:right="21"/>
              <w:jc w:val="center"/>
              <w:rPr>
                <w:sz w:val="20"/>
              </w:rPr>
            </w:pPr>
            <w:r>
              <w:rPr>
                <w:sz w:val="20"/>
              </w:rPr>
              <w:t>2.07</w:t>
            </w:r>
          </w:p>
        </w:tc>
      </w:tr>
      <w:tr w:rsidR="00C75312" w14:paraId="3572C8AB" w14:textId="77777777">
        <w:trPr>
          <w:trHeight w:val="516"/>
        </w:trPr>
        <w:tc>
          <w:tcPr>
            <w:tcW w:w="2062" w:type="dxa"/>
          </w:tcPr>
          <w:p w14:paraId="4C9F8EE8" w14:textId="77777777" w:rsidR="00C75312" w:rsidRDefault="00BB293A">
            <w:pPr>
              <w:pStyle w:val="TableParagraph"/>
              <w:spacing w:line="250" w:lineRule="exact"/>
              <w:ind w:left="21" w:right="382"/>
              <w:rPr>
                <w:i/>
                <w:sz w:val="20"/>
              </w:rPr>
            </w:pPr>
            <w:r>
              <w:rPr>
                <w:i/>
                <w:sz w:val="20"/>
              </w:rPr>
              <w:t>WCST perseverative errors</w:t>
            </w:r>
          </w:p>
        </w:tc>
        <w:tc>
          <w:tcPr>
            <w:tcW w:w="1901" w:type="dxa"/>
          </w:tcPr>
          <w:p w14:paraId="203A292F" w14:textId="77777777" w:rsidR="00C75312" w:rsidRDefault="00BB293A">
            <w:pPr>
              <w:pStyle w:val="TableParagraph"/>
              <w:spacing w:before="138"/>
              <w:ind w:right="401"/>
              <w:jc w:val="right"/>
              <w:rPr>
                <w:sz w:val="20"/>
              </w:rPr>
            </w:pPr>
            <w:r>
              <w:rPr>
                <w:sz w:val="20"/>
              </w:rPr>
              <w:t>13.52 (10.98)</w:t>
            </w:r>
          </w:p>
        </w:tc>
        <w:tc>
          <w:tcPr>
            <w:tcW w:w="1896" w:type="dxa"/>
          </w:tcPr>
          <w:p w14:paraId="724AADD0" w14:textId="77777777" w:rsidR="00C75312" w:rsidRDefault="00BB293A">
            <w:pPr>
              <w:pStyle w:val="TableParagraph"/>
              <w:spacing w:before="138"/>
              <w:ind w:left="335" w:right="336"/>
              <w:jc w:val="center"/>
              <w:rPr>
                <w:sz w:val="20"/>
              </w:rPr>
            </w:pPr>
            <w:r>
              <w:rPr>
                <w:sz w:val="20"/>
              </w:rPr>
              <w:t>5.62 (4.40)</w:t>
            </w:r>
          </w:p>
        </w:tc>
        <w:tc>
          <w:tcPr>
            <w:tcW w:w="804" w:type="dxa"/>
          </w:tcPr>
          <w:p w14:paraId="35FAF82E" w14:textId="77777777" w:rsidR="00C75312" w:rsidRDefault="00BB293A">
            <w:pPr>
              <w:pStyle w:val="TableParagraph"/>
              <w:spacing w:before="138"/>
              <w:ind w:left="146" w:right="200"/>
              <w:jc w:val="center"/>
              <w:rPr>
                <w:sz w:val="20"/>
              </w:rPr>
            </w:pPr>
            <w:r>
              <w:rPr>
                <w:sz w:val="20"/>
              </w:rPr>
              <w:t>3.06</w:t>
            </w:r>
          </w:p>
        </w:tc>
        <w:tc>
          <w:tcPr>
            <w:tcW w:w="629" w:type="dxa"/>
          </w:tcPr>
          <w:p w14:paraId="780FBAAC" w14:textId="77777777" w:rsidR="00C75312" w:rsidRDefault="00BB293A">
            <w:pPr>
              <w:pStyle w:val="TableParagraph"/>
              <w:spacing w:before="138"/>
              <w:ind w:left="198" w:right="190"/>
              <w:jc w:val="center"/>
              <w:rPr>
                <w:sz w:val="20"/>
              </w:rPr>
            </w:pPr>
            <w:r>
              <w:rPr>
                <w:sz w:val="20"/>
              </w:rPr>
              <w:t>40</w:t>
            </w:r>
          </w:p>
        </w:tc>
        <w:tc>
          <w:tcPr>
            <w:tcW w:w="763" w:type="dxa"/>
          </w:tcPr>
          <w:p w14:paraId="0E796102" w14:textId="77777777" w:rsidR="00C75312" w:rsidRDefault="00BB293A">
            <w:pPr>
              <w:pStyle w:val="TableParagraph"/>
              <w:spacing w:before="138"/>
              <w:ind w:left="260"/>
              <w:rPr>
                <w:sz w:val="20"/>
              </w:rPr>
            </w:pPr>
            <w:r>
              <w:rPr>
                <w:sz w:val="20"/>
              </w:rPr>
              <w:t>.004</w:t>
            </w:r>
          </w:p>
        </w:tc>
        <w:tc>
          <w:tcPr>
            <w:tcW w:w="972" w:type="dxa"/>
          </w:tcPr>
          <w:p w14:paraId="618B3B67" w14:textId="77777777" w:rsidR="00C75312" w:rsidRDefault="00BB293A">
            <w:pPr>
              <w:pStyle w:val="TableParagraph"/>
              <w:spacing w:before="138"/>
              <w:ind w:left="70" w:right="21"/>
              <w:jc w:val="center"/>
              <w:rPr>
                <w:sz w:val="20"/>
              </w:rPr>
            </w:pPr>
            <w:r>
              <w:rPr>
                <w:sz w:val="20"/>
              </w:rPr>
              <w:t>0.87</w:t>
            </w:r>
          </w:p>
        </w:tc>
      </w:tr>
      <w:tr w:rsidR="00C75312" w14:paraId="2959558D" w14:textId="77777777">
        <w:trPr>
          <w:trHeight w:val="480"/>
        </w:trPr>
        <w:tc>
          <w:tcPr>
            <w:tcW w:w="2062" w:type="dxa"/>
            <w:tcBorders>
              <w:bottom w:val="single" w:sz="4" w:space="0" w:color="000000"/>
            </w:tcBorders>
          </w:tcPr>
          <w:p w14:paraId="0F891154" w14:textId="77777777" w:rsidR="00C75312" w:rsidRDefault="00BB293A">
            <w:pPr>
              <w:pStyle w:val="TableParagraph"/>
              <w:spacing w:before="140"/>
              <w:ind w:left="21"/>
              <w:rPr>
                <w:i/>
                <w:sz w:val="20"/>
              </w:rPr>
            </w:pPr>
            <w:r>
              <w:rPr>
                <w:i/>
                <w:sz w:val="20"/>
              </w:rPr>
              <w:t>Stroop inhibitory control</w:t>
            </w:r>
          </w:p>
        </w:tc>
        <w:tc>
          <w:tcPr>
            <w:tcW w:w="1901" w:type="dxa"/>
            <w:tcBorders>
              <w:bottom w:val="single" w:sz="4" w:space="0" w:color="000000"/>
            </w:tcBorders>
          </w:tcPr>
          <w:p w14:paraId="186A88C1" w14:textId="77777777" w:rsidR="00C75312" w:rsidRDefault="00BB293A">
            <w:pPr>
              <w:pStyle w:val="TableParagraph"/>
              <w:spacing w:before="140"/>
              <w:ind w:right="353"/>
              <w:jc w:val="right"/>
              <w:rPr>
                <w:sz w:val="20"/>
              </w:rPr>
            </w:pPr>
            <w:r>
              <w:rPr>
                <w:sz w:val="20"/>
              </w:rPr>
              <w:t>105.71 (88.14)</w:t>
            </w:r>
          </w:p>
        </w:tc>
        <w:tc>
          <w:tcPr>
            <w:tcW w:w="1896" w:type="dxa"/>
            <w:tcBorders>
              <w:bottom w:val="single" w:sz="4" w:space="0" w:color="000000"/>
            </w:tcBorders>
          </w:tcPr>
          <w:p w14:paraId="4A0D014B" w14:textId="77777777" w:rsidR="00C75312" w:rsidRDefault="00BB293A">
            <w:pPr>
              <w:pStyle w:val="TableParagraph"/>
              <w:spacing w:before="140"/>
              <w:ind w:left="335" w:right="336"/>
              <w:jc w:val="center"/>
              <w:rPr>
                <w:sz w:val="20"/>
              </w:rPr>
            </w:pPr>
            <w:r>
              <w:rPr>
                <w:sz w:val="20"/>
              </w:rPr>
              <w:t>84.66 (134.47)</w:t>
            </w:r>
          </w:p>
        </w:tc>
        <w:tc>
          <w:tcPr>
            <w:tcW w:w="804" w:type="dxa"/>
            <w:tcBorders>
              <w:bottom w:val="single" w:sz="4" w:space="0" w:color="000000"/>
            </w:tcBorders>
          </w:tcPr>
          <w:p w14:paraId="6FF78863" w14:textId="77777777" w:rsidR="00C75312" w:rsidRDefault="00BB293A">
            <w:pPr>
              <w:pStyle w:val="TableParagraph"/>
              <w:spacing w:before="140"/>
              <w:ind w:left="146" w:right="200"/>
              <w:jc w:val="center"/>
              <w:rPr>
                <w:sz w:val="20"/>
              </w:rPr>
            </w:pPr>
            <w:r>
              <w:rPr>
                <w:sz w:val="20"/>
              </w:rPr>
              <w:t>0.60</w:t>
            </w:r>
          </w:p>
        </w:tc>
        <w:tc>
          <w:tcPr>
            <w:tcW w:w="629" w:type="dxa"/>
            <w:tcBorders>
              <w:bottom w:val="single" w:sz="4" w:space="0" w:color="000000"/>
            </w:tcBorders>
          </w:tcPr>
          <w:p w14:paraId="06383E9F" w14:textId="77777777" w:rsidR="00C75312" w:rsidRDefault="00BB293A">
            <w:pPr>
              <w:pStyle w:val="TableParagraph"/>
              <w:spacing w:before="140"/>
              <w:ind w:left="198" w:right="190"/>
              <w:jc w:val="center"/>
              <w:rPr>
                <w:sz w:val="20"/>
              </w:rPr>
            </w:pPr>
            <w:r>
              <w:rPr>
                <w:sz w:val="20"/>
              </w:rPr>
              <w:t>39</w:t>
            </w:r>
          </w:p>
        </w:tc>
        <w:tc>
          <w:tcPr>
            <w:tcW w:w="763" w:type="dxa"/>
            <w:tcBorders>
              <w:bottom w:val="single" w:sz="4" w:space="0" w:color="000000"/>
            </w:tcBorders>
          </w:tcPr>
          <w:p w14:paraId="36C70898" w14:textId="77777777" w:rsidR="00C75312" w:rsidRDefault="00BB293A">
            <w:pPr>
              <w:pStyle w:val="TableParagraph"/>
              <w:spacing w:before="140"/>
              <w:ind w:left="313"/>
              <w:rPr>
                <w:sz w:val="20"/>
              </w:rPr>
            </w:pPr>
            <w:r>
              <w:rPr>
                <w:sz w:val="20"/>
              </w:rPr>
              <w:t>.56</w:t>
            </w:r>
          </w:p>
        </w:tc>
        <w:tc>
          <w:tcPr>
            <w:tcW w:w="972" w:type="dxa"/>
            <w:tcBorders>
              <w:bottom w:val="single" w:sz="4" w:space="0" w:color="000000"/>
            </w:tcBorders>
          </w:tcPr>
          <w:p w14:paraId="0CA176DB" w14:textId="77777777" w:rsidR="00C75312" w:rsidRDefault="00BB293A">
            <w:pPr>
              <w:pStyle w:val="TableParagraph"/>
              <w:spacing w:before="140"/>
              <w:ind w:left="70" w:right="21"/>
              <w:jc w:val="center"/>
              <w:rPr>
                <w:sz w:val="20"/>
              </w:rPr>
            </w:pPr>
            <w:r>
              <w:rPr>
                <w:sz w:val="20"/>
              </w:rPr>
              <w:t>0.13</w:t>
            </w:r>
          </w:p>
        </w:tc>
      </w:tr>
    </w:tbl>
    <w:p w14:paraId="6333B938" w14:textId="77777777" w:rsidR="00C75312" w:rsidRDefault="00BB293A">
      <w:pPr>
        <w:ind w:left="140" w:right="1435"/>
        <w:jc w:val="both"/>
        <w:rPr>
          <w:i/>
          <w:sz w:val="20"/>
        </w:rPr>
      </w:pPr>
      <w:r>
        <w:rPr>
          <w:i/>
          <w:sz w:val="20"/>
        </w:rPr>
        <w:t>Notes. There was some missing data for executive function measures. Only 22 NT participants completed the BRIEF-A, 21 participants in each group completed the WCST, and finally, 21 ASD participants and 20 NT participants completed the Stroop task. Participants in the experimental groups remained matched for baseline characteristics for all correlational analyses. Sample characteristics for the remaining scales of the BRIEF-A can be found in Appendix 1, Table A1.</w:t>
      </w:r>
    </w:p>
    <w:p w14:paraId="52557F9F" w14:textId="77777777" w:rsidR="00C75312" w:rsidRDefault="00C75312">
      <w:pPr>
        <w:pStyle w:val="BodyText"/>
        <w:spacing w:before="3"/>
        <w:rPr>
          <w:i/>
          <w:sz w:val="17"/>
        </w:rPr>
      </w:pPr>
    </w:p>
    <w:p w14:paraId="350DCE47" w14:textId="77777777" w:rsidR="00C75312" w:rsidRDefault="00BB293A">
      <w:pPr>
        <w:ind w:left="140"/>
        <w:jc w:val="both"/>
        <w:rPr>
          <w:i/>
          <w:sz w:val="20"/>
        </w:rPr>
      </w:pPr>
      <w:r>
        <w:rPr>
          <w:i/>
          <w:sz w:val="20"/>
        </w:rPr>
        <w:t>Table 14. Ongoing and PM performance scores by group and condition</w:t>
      </w:r>
    </w:p>
    <w:p w14:paraId="6DAF59A0" w14:textId="77777777" w:rsidR="00C75312" w:rsidRDefault="00BB293A">
      <w:pPr>
        <w:pStyle w:val="BodyText"/>
        <w:spacing w:before="8"/>
        <w:rPr>
          <w:i/>
          <w:sz w:val="13"/>
        </w:rPr>
      </w:pPr>
      <w:r>
        <w:pict w14:anchorId="0F3B39BE">
          <v:group id="_x0000_s2676" style="position:absolute;margin-left:1in;margin-top:9.85pt;width:432.25pt;height:.5pt;z-index:-251579392;mso-wrap-distance-left:0;mso-wrap-distance-right:0;mso-position-horizontal-relative:page" coordorigin="1440,197" coordsize="8645,10">
            <v:line id="_x0000_s2683" style="position:absolute" from="1440,202" to="3427,202" strokeweight=".48pt"/>
            <v:rect id="_x0000_s2682" style="position:absolute;left:3427;top:197;width:10;height:10" fillcolor="black" stroked="f"/>
            <v:line id="_x0000_s2681" style="position:absolute" from="3437,202" to="5693,202" strokeweight=".48pt"/>
            <v:rect id="_x0000_s2680" style="position:absolute;left:5692;top:197;width:10;height:10" fillcolor="black" stroked="f"/>
            <v:line id="_x0000_s2679" style="position:absolute" from="5702,202" to="8813,202" strokeweight=".48pt"/>
            <v:rect id="_x0000_s2678" style="position:absolute;left:8812;top:197;width:10;height:10" fillcolor="black" stroked="f"/>
            <v:line id="_x0000_s2677" style="position:absolute" from="8822,202" to="10085,202" strokeweight=".48pt"/>
            <w10:wrap type="topAndBottom" anchorx="page"/>
          </v:group>
        </w:pict>
      </w:r>
    </w:p>
    <w:p w14:paraId="7B0E352D" w14:textId="77777777" w:rsidR="00C75312" w:rsidRDefault="00BB293A">
      <w:pPr>
        <w:spacing w:before="48"/>
        <w:ind w:left="2762" w:right="1457"/>
        <w:jc w:val="center"/>
        <w:rPr>
          <w:b/>
          <w:sz w:val="20"/>
        </w:rPr>
      </w:pPr>
      <w:r>
        <w:rPr>
          <w:b/>
          <w:sz w:val="20"/>
        </w:rPr>
        <w:t>Group means (SD)</w:t>
      </w:r>
    </w:p>
    <w:p w14:paraId="6B1AE878" w14:textId="77777777" w:rsidR="00C75312" w:rsidRDefault="00C75312">
      <w:pPr>
        <w:pStyle w:val="BodyText"/>
        <w:spacing w:before="4"/>
        <w:rPr>
          <w:b/>
          <w:sz w:val="8"/>
        </w:rPr>
      </w:pPr>
    </w:p>
    <w:tbl>
      <w:tblPr>
        <w:tblW w:w="0" w:type="auto"/>
        <w:tblInd w:w="140" w:type="dxa"/>
        <w:tblLayout w:type="fixed"/>
        <w:tblCellMar>
          <w:left w:w="0" w:type="dxa"/>
          <w:right w:w="0" w:type="dxa"/>
        </w:tblCellMar>
        <w:tblLook w:val="01E0" w:firstRow="1" w:lastRow="1" w:firstColumn="1" w:lastColumn="1" w:noHBand="0" w:noVBand="0"/>
      </w:tblPr>
      <w:tblGrid>
        <w:gridCol w:w="1830"/>
        <w:gridCol w:w="2429"/>
        <w:gridCol w:w="1519"/>
        <w:gridCol w:w="1601"/>
        <w:gridCol w:w="1272"/>
      </w:tblGrid>
      <w:tr w:rsidR="00C75312" w14:paraId="29DA7427" w14:textId="77777777">
        <w:trPr>
          <w:trHeight w:val="398"/>
        </w:trPr>
        <w:tc>
          <w:tcPr>
            <w:tcW w:w="1830" w:type="dxa"/>
            <w:tcBorders>
              <w:bottom w:val="single" w:sz="4" w:space="0" w:color="000000"/>
            </w:tcBorders>
          </w:tcPr>
          <w:p w14:paraId="02553DCE" w14:textId="77777777" w:rsidR="00C75312" w:rsidRDefault="00BB293A">
            <w:pPr>
              <w:pStyle w:val="TableParagraph"/>
              <w:spacing w:before="72"/>
              <w:ind w:left="7"/>
              <w:rPr>
                <w:b/>
                <w:sz w:val="20"/>
              </w:rPr>
            </w:pPr>
            <w:r>
              <w:rPr>
                <w:b/>
                <w:sz w:val="20"/>
              </w:rPr>
              <w:t>Condition</w:t>
            </w:r>
          </w:p>
        </w:tc>
        <w:tc>
          <w:tcPr>
            <w:tcW w:w="2429" w:type="dxa"/>
            <w:tcBorders>
              <w:bottom w:val="single" w:sz="4" w:space="0" w:color="000000"/>
            </w:tcBorders>
          </w:tcPr>
          <w:p w14:paraId="1B30C534" w14:textId="77777777" w:rsidR="00C75312" w:rsidRDefault="00C75312">
            <w:pPr>
              <w:pStyle w:val="TableParagraph"/>
              <w:rPr>
                <w:sz w:val="20"/>
              </w:rPr>
            </w:pPr>
          </w:p>
        </w:tc>
        <w:tc>
          <w:tcPr>
            <w:tcW w:w="1519" w:type="dxa"/>
            <w:tcBorders>
              <w:top w:val="single" w:sz="4" w:space="0" w:color="000000"/>
              <w:bottom w:val="single" w:sz="4" w:space="0" w:color="000000"/>
            </w:tcBorders>
          </w:tcPr>
          <w:p w14:paraId="390A2CAB" w14:textId="77777777" w:rsidR="00C75312" w:rsidRDefault="00BB293A">
            <w:pPr>
              <w:pStyle w:val="TableParagraph"/>
              <w:spacing w:before="72"/>
              <w:ind w:left="138" w:right="232"/>
              <w:jc w:val="center"/>
              <w:rPr>
                <w:b/>
                <w:sz w:val="20"/>
              </w:rPr>
            </w:pPr>
            <w:r>
              <w:rPr>
                <w:b/>
                <w:sz w:val="20"/>
              </w:rPr>
              <w:t>ASD (</w:t>
            </w:r>
            <w:r>
              <w:rPr>
                <w:b/>
                <w:i/>
                <w:sz w:val="20"/>
              </w:rPr>
              <w:t xml:space="preserve">n </w:t>
            </w:r>
            <w:r>
              <w:rPr>
                <w:b/>
                <w:sz w:val="20"/>
              </w:rPr>
              <w:t>= 25)</w:t>
            </w:r>
          </w:p>
        </w:tc>
        <w:tc>
          <w:tcPr>
            <w:tcW w:w="1601" w:type="dxa"/>
            <w:tcBorders>
              <w:top w:val="single" w:sz="4" w:space="0" w:color="000000"/>
              <w:bottom w:val="single" w:sz="4" w:space="0" w:color="000000"/>
            </w:tcBorders>
          </w:tcPr>
          <w:p w14:paraId="56605F41" w14:textId="77777777" w:rsidR="00C75312" w:rsidRDefault="00BB293A">
            <w:pPr>
              <w:pStyle w:val="TableParagraph"/>
              <w:spacing w:before="72"/>
              <w:ind w:left="235" w:right="338"/>
              <w:jc w:val="center"/>
              <w:rPr>
                <w:b/>
                <w:sz w:val="20"/>
              </w:rPr>
            </w:pPr>
            <w:r>
              <w:rPr>
                <w:b/>
                <w:sz w:val="20"/>
              </w:rPr>
              <w:t>NT (</w:t>
            </w:r>
            <w:r>
              <w:rPr>
                <w:b/>
                <w:i/>
                <w:sz w:val="20"/>
              </w:rPr>
              <w:t xml:space="preserve">n </w:t>
            </w:r>
            <w:r>
              <w:rPr>
                <w:b/>
                <w:sz w:val="20"/>
              </w:rPr>
              <w:t>= 23)</w:t>
            </w:r>
          </w:p>
        </w:tc>
        <w:tc>
          <w:tcPr>
            <w:tcW w:w="1272" w:type="dxa"/>
            <w:tcBorders>
              <w:bottom w:val="single" w:sz="4" w:space="0" w:color="000000"/>
            </w:tcBorders>
          </w:tcPr>
          <w:p w14:paraId="4A333739" w14:textId="77777777" w:rsidR="00C75312" w:rsidRDefault="00BB293A">
            <w:pPr>
              <w:pStyle w:val="TableParagraph"/>
              <w:spacing w:before="72"/>
              <w:ind w:left="193" w:right="187"/>
              <w:jc w:val="center"/>
              <w:rPr>
                <w:b/>
                <w:i/>
                <w:sz w:val="20"/>
              </w:rPr>
            </w:pPr>
            <w:r>
              <w:rPr>
                <w:b/>
                <w:sz w:val="20"/>
              </w:rPr>
              <w:t xml:space="preserve">Cohen’s </w:t>
            </w:r>
            <w:r>
              <w:rPr>
                <w:b/>
                <w:i/>
                <w:sz w:val="20"/>
              </w:rPr>
              <w:t>d</w:t>
            </w:r>
          </w:p>
        </w:tc>
      </w:tr>
      <w:tr w:rsidR="00C75312" w14:paraId="1ACE8765" w14:textId="77777777">
        <w:trPr>
          <w:trHeight w:val="390"/>
        </w:trPr>
        <w:tc>
          <w:tcPr>
            <w:tcW w:w="1830" w:type="dxa"/>
            <w:tcBorders>
              <w:top w:val="single" w:sz="4" w:space="0" w:color="000000"/>
            </w:tcBorders>
          </w:tcPr>
          <w:p w14:paraId="3CA6CBF8" w14:textId="77777777" w:rsidR="00C75312" w:rsidRDefault="00BB293A">
            <w:pPr>
              <w:pStyle w:val="TableParagraph"/>
              <w:spacing w:before="72"/>
              <w:ind w:left="7"/>
              <w:rPr>
                <w:i/>
                <w:sz w:val="20"/>
              </w:rPr>
            </w:pPr>
            <w:r>
              <w:rPr>
                <w:i/>
                <w:sz w:val="20"/>
              </w:rPr>
              <w:t>PM low importance</w:t>
            </w:r>
          </w:p>
        </w:tc>
        <w:tc>
          <w:tcPr>
            <w:tcW w:w="2429" w:type="dxa"/>
            <w:tcBorders>
              <w:top w:val="single" w:sz="4" w:space="0" w:color="000000"/>
            </w:tcBorders>
          </w:tcPr>
          <w:p w14:paraId="65EBADBA" w14:textId="77777777" w:rsidR="00C75312" w:rsidRDefault="00BB293A">
            <w:pPr>
              <w:pStyle w:val="TableParagraph"/>
              <w:spacing w:before="72"/>
              <w:ind w:left="164"/>
              <w:rPr>
                <w:sz w:val="20"/>
              </w:rPr>
            </w:pPr>
            <w:r>
              <w:rPr>
                <w:sz w:val="20"/>
              </w:rPr>
              <w:t>Ongoing proportion hits</w:t>
            </w:r>
          </w:p>
        </w:tc>
        <w:tc>
          <w:tcPr>
            <w:tcW w:w="1519" w:type="dxa"/>
            <w:tcBorders>
              <w:top w:val="single" w:sz="4" w:space="0" w:color="000000"/>
            </w:tcBorders>
          </w:tcPr>
          <w:p w14:paraId="1D74A119" w14:textId="77777777" w:rsidR="00C75312" w:rsidRDefault="00BB293A">
            <w:pPr>
              <w:pStyle w:val="TableParagraph"/>
              <w:spacing w:before="72"/>
              <w:ind w:left="138" w:right="232"/>
              <w:jc w:val="center"/>
              <w:rPr>
                <w:sz w:val="20"/>
              </w:rPr>
            </w:pPr>
            <w:r>
              <w:rPr>
                <w:sz w:val="20"/>
              </w:rPr>
              <w:t>.65 (0.15)</w:t>
            </w:r>
          </w:p>
        </w:tc>
        <w:tc>
          <w:tcPr>
            <w:tcW w:w="1601" w:type="dxa"/>
            <w:tcBorders>
              <w:top w:val="single" w:sz="4" w:space="0" w:color="000000"/>
            </w:tcBorders>
          </w:tcPr>
          <w:p w14:paraId="1E54FE79" w14:textId="77777777" w:rsidR="00C75312" w:rsidRDefault="00BB293A">
            <w:pPr>
              <w:pStyle w:val="TableParagraph"/>
              <w:spacing w:before="72"/>
              <w:ind w:left="235" w:right="338"/>
              <w:jc w:val="center"/>
              <w:rPr>
                <w:sz w:val="20"/>
              </w:rPr>
            </w:pPr>
            <w:r>
              <w:rPr>
                <w:sz w:val="20"/>
              </w:rPr>
              <w:t>.78 (0.10)</w:t>
            </w:r>
          </w:p>
        </w:tc>
        <w:tc>
          <w:tcPr>
            <w:tcW w:w="1272" w:type="dxa"/>
            <w:tcBorders>
              <w:top w:val="single" w:sz="4" w:space="0" w:color="000000"/>
            </w:tcBorders>
          </w:tcPr>
          <w:p w14:paraId="3DB318E3" w14:textId="77777777" w:rsidR="00C75312" w:rsidRDefault="00BB293A">
            <w:pPr>
              <w:pStyle w:val="TableParagraph"/>
              <w:spacing w:before="72"/>
              <w:ind w:left="193" w:right="187"/>
              <w:jc w:val="center"/>
              <w:rPr>
                <w:sz w:val="20"/>
              </w:rPr>
            </w:pPr>
            <w:r>
              <w:rPr>
                <w:sz w:val="20"/>
              </w:rPr>
              <w:t>-1.02</w:t>
            </w:r>
          </w:p>
        </w:tc>
      </w:tr>
      <w:tr w:rsidR="00C75312" w14:paraId="6A532221" w14:textId="77777777">
        <w:trPr>
          <w:trHeight w:val="398"/>
        </w:trPr>
        <w:tc>
          <w:tcPr>
            <w:tcW w:w="1830" w:type="dxa"/>
          </w:tcPr>
          <w:p w14:paraId="002CF9BF" w14:textId="77777777" w:rsidR="00C75312" w:rsidRDefault="00C75312">
            <w:pPr>
              <w:pStyle w:val="TableParagraph"/>
              <w:rPr>
                <w:sz w:val="20"/>
              </w:rPr>
            </w:pPr>
          </w:p>
        </w:tc>
        <w:tc>
          <w:tcPr>
            <w:tcW w:w="2429" w:type="dxa"/>
          </w:tcPr>
          <w:p w14:paraId="5875D5DF" w14:textId="77777777" w:rsidR="00C75312" w:rsidRDefault="00BB293A">
            <w:pPr>
              <w:pStyle w:val="TableParagraph"/>
              <w:spacing w:before="80"/>
              <w:ind w:left="164"/>
              <w:rPr>
                <w:sz w:val="20"/>
              </w:rPr>
            </w:pPr>
            <w:r>
              <w:rPr>
                <w:sz w:val="20"/>
              </w:rPr>
              <w:t>PM proportion hits</w:t>
            </w:r>
          </w:p>
        </w:tc>
        <w:tc>
          <w:tcPr>
            <w:tcW w:w="1519" w:type="dxa"/>
          </w:tcPr>
          <w:p w14:paraId="3B9AC2C6" w14:textId="77777777" w:rsidR="00C75312" w:rsidRDefault="00BB293A">
            <w:pPr>
              <w:pStyle w:val="TableParagraph"/>
              <w:spacing w:before="80"/>
              <w:ind w:left="138" w:right="232"/>
              <w:jc w:val="center"/>
              <w:rPr>
                <w:sz w:val="20"/>
              </w:rPr>
            </w:pPr>
            <w:r>
              <w:rPr>
                <w:sz w:val="20"/>
              </w:rPr>
              <w:t>.69 (0.34)</w:t>
            </w:r>
          </w:p>
        </w:tc>
        <w:tc>
          <w:tcPr>
            <w:tcW w:w="1601" w:type="dxa"/>
          </w:tcPr>
          <w:p w14:paraId="3B2F0A56" w14:textId="77777777" w:rsidR="00C75312" w:rsidRDefault="00BB293A">
            <w:pPr>
              <w:pStyle w:val="TableParagraph"/>
              <w:spacing w:before="80"/>
              <w:ind w:left="235" w:right="338"/>
              <w:jc w:val="center"/>
              <w:rPr>
                <w:sz w:val="20"/>
              </w:rPr>
            </w:pPr>
            <w:r>
              <w:rPr>
                <w:sz w:val="20"/>
              </w:rPr>
              <w:t>.95 (0.09)</w:t>
            </w:r>
          </w:p>
        </w:tc>
        <w:tc>
          <w:tcPr>
            <w:tcW w:w="1272" w:type="dxa"/>
          </w:tcPr>
          <w:p w14:paraId="16AC4802" w14:textId="77777777" w:rsidR="00C75312" w:rsidRDefault="00BB293A">
            <w:pPr>
              <w:pStyle w:val="TableParagraph"/>
              <w:spacing w:before="80"/>
              <w:ind w:left="193" w:right="187"/>
              <w:jc w:val="center"/>
              <w:rPr>
                <w:sz w:val="20"/>
              </w:rPr>
            </w:pPr>
            <w:r>
              <w:rPr>
                <w:sz w:val="20"/>
              </w:rPr>
              <w:t>-1.05</w:t>
            </w:r>
          </w:p>
        </w:tc>
      </w:tr>
      <w:tr w:rsidR="00C75312" w14:paraId="000F68D1" w14:textId="77777777">
        <w:trPr>
          <w:trHeight w:val="396"/>
        </w:trPr>
        <w:tc>
          <w:tcPr>
            <w:tcW w:w="1830" w:type="dxa"/>
          </w:tcPr>
          <w:p w14:paraId="12514F0A" w14:textId="77777777" w:rsidR="00C75312" w:rsidRDefault="00C75312">
            <w:pPr>
              <w:pStyle w:val="TableParagraph"/>
              <w:rPr>
                <w:sz w:val="20"/>
              </w:rPr>
            </w:pPr>
          </w:p>
        </w:tc>
        <w:tc>
          <w:tcPr>
            <w:tcW w:w="2429" w:type="dxa"/>
          </w:tcPr>
          <w:p w14:paraId="5452008F" w14:textId="77777777" w:rsidR="00C75312" w:rsidRDefault="00BB293A">
            <w:pPr>
              <w:pStyle w:val="TableParagraph"/>
              <w:spacing w:before="80"/>
              <w:ind w:left="164"/>
              <w:rPr>
                <w:sz w:val="20"/>
              </w:rPr>
            </w:pPr>
            <w:r>
              <w:rPr>
                <w:sz w:val="20"/>
              </w:rPr>
              <w:t>PM target accuracy</w:t>
            </w:r>
          </w:p>
        </w:tc>
        <w:tc>
          <w:tcPr>
            <w:tcW w:w="1519" w:type="dxa"/>
          </w:tcPr>
          <w:p w14:paraId="68EC4431" w14:textId="77777777" w:rsidR="00C75312" w:rsidRDefault="00BB293A">
            <w:pPr>
              <w:pStyle w:val="TableParagraph"/>
              <w:spacing w:before="80"/>
              <w:ind w:left="133" w:right="232"/>
              <w:jc w:val="center"/>
              <w:rPr>
                <w:sz w:val="20"/>
              </w:rPr>
            </w:pPr>
            <w:r>
              <w:rPr>
                <w:sz w:val="20"/>
              </w:rPr>
              <w:t>2.24 (1.60)</w:t>
            </w:r>
          </w:p>
        </w:tc>
        <w:tc>
          <w:tcPr>
            <w:tcW w:w="1601" w:type="dxa"/>
          </w:tcPr>
          <w:p w14:paraId="4B00E843" w14:textId="77777777" w:rsidR="00C75312" w:rsidRDefault="00BB293A">
            <w:pPr>
              <w:pStyle w:val="TableParagraph"/>
              <w:spacing w:before="80"/>
              <w:ind w:left="235" w:right="334"/>
              <w:jc w:val="center"/>
              <w:rPr>
                <w:sz w:val="20"/>
              </w:rPr>
            </w:pPr>
            <w:r>
              <w:rPr>
                <w:sz w:val="20"/>
              </w:rPr>
              <w:t>1.37 (1.05)</w:t>
            </w:r>
          </w:p>
        </w:tc>
        <w:tc>
          <w:tcPr>
            <w:tcW w:w="1272" w:type="dxa"/>
          </w:tcPr>
          <w:p w14:paraId="7CDB31B8" w14:textId="77777777" w:rsidR="00C75312" w:rsidRDefault="00BB293A">
            <w:pPr>
              <w:pStyle w:val="TableParagraph"/>
              <w:spacing w:before="80"/>
              <w:ind w:left="193" w:right="187"/>
              <w:jc w:val="center"/>
              <w:rPr>
                <w:sz w:val="20"/>
              </w:rPr>
            </w:pPr>
            <w:r>
              <w:rPr>
                <w:sz w:val="20"/>
              </w:rPr>
              <w:t>0.64</w:t>
            </w:r>
          </w:p>
        </w:tc>
      </w:tr>
      <w:tr w:rsidR="00C75312" w14:paraId="3A560065" w14:textId="77777777">
        <w:trPr>
          <w:trHeight w:val="392"/>
        </w:trPr>
        <w:tc>
          <w:tcPr>
            <w:tcW w:w="1830" w:type="dxa"/>
          </w:tcPr>
          <w:p w14:paraId="6A34CEE6" w14:textId="77777777" w:rsidR="00C75312" w:rsidRDefault="00C75312">
            <w:pPr>
              <w:pStyle w:val="TableParagraph"/>
              <w:rPr>
                <w:sz w:val="20"/>
              </w:rPr>
            </w:pPr>
          </w:p>
        </w:tc>
        <w:tc>
          <w:tcPr>
            <w:tcW w:w="2429" w:type="dxa"/>
          </w:tcPr>
          <w:p w14:paraId="06F23782" w14:textId="77777777" w:rsidR="00C75312" w:rsidRDefault="00BB293A">
            <w:pPr>
              <w:pStyle w:val="TableParagraph"/>
              <w:spacing w:before="78"/>
              <w:ind w:left="164"/>
              <w:rPr>
                <w:sz w:val="20"/>
              </w:rPr>
            </w:pPr>
            <w:r>
              <w:rPr>
                <w:sz w:val="20"/>
              </w:rPr>
              <w:t># PM inaccurate</w:t>
            </w:r>
          </w:p>
        </w:tc>
        <w:tc>
          <w:tcPr>
            <w:tcW w:w="1519" w:type="dxa"/>
          </w:tcPr>
          <w:p w14:paraId="15483133" w14:textId="77777777" w:rsidR="00C75312" w:rsidRDefault="00BB293A">
            <w:pPr>
              <w:pStyle w:val="TableParagraph"/>
              <w:spacing w:before="78"/>
              <w:ind w:left="133" w:right="232"/>
              <w:jc w:val="center"/>
              <w:rPr>
                <w:sz w:val="20"/>
              </w:rPr>
            </w:pPr>
            <w:r>
              <w:rPr>
                <w:sz w:val="20"/>
              </w:rPr>
              <w:t>1.04 (1.21)</w:t>
            </w:r>
          </w:p>
        </w:tc>
        <w:tc>
          <w:tcPr>
            <w:tcW w:w="1601" w:type="dxa"/>
          </w:tcPr>
          <w:p w14:paraId="0D942322" w14:textId="77777777" w:rsidR="00C75312" w:rsidRDefault="00BB293A">
            <w:pPr>
              <w:pStyle w:val="TableParagraph"/>
              <w:spacing w:before="78"/>
              <w:ind w:left="235" w:right="334"/>
              <w:jc w:val="center"/>
              <w:rPr>
                <w:sz w:val="20"/>
              </w:rPr>
            </w:pPr>
            <w:r>
              <w:rPr>
                <w:sz w:val="20"/>
              </w:rPr>
              <w:t>0.43 (0.90)</w:t>
            </w:r>
          </w:p>
        </w:tc>
        <w:tc>
          <w:tcPr>
            <w:tcW w:w="1272" w:type="dxa"/>
          </w:tcPr>
          <w:p w14:paraId="07148C46" w14:textId="77777777" w:rsidR="00C75312" w:rsidRDefault="00BB293A">
            <w:pPr>
              <w:pStyle w:val="TableParagraph"/>
              <w:spacing w:before="78"/>
              <w:ind w:left="193" w:right="187"/>
              <w:jc w:val="center"/>
              <w:rPr>
                <w:sz w:val="20"/>
              </w:rPr>
            </w:pPr>
            <w:r>
              <w:rPr>
                <w:sz w:val="20"/>
              </w:rPr>
              <w:t>-0.57</w:t>
            </w:r>
          </w:p>
        </w:tc>
      </w:tr>
      <w:tr w:rsidR="00C75312" w14:paraId="12B5711C" w14:textId="77777777">
        <w:trPr>
          <w:trHeight w:val="402"/>
        </w:trPr>
        <w:tc>
          <w:tcPr>
            <w:tcW w:w="1830" w:type="dxa"/>
          </w:tcPr>
          <w:p w14:paraId="1059E78E" w14:textId="77777777" w:rsidR="00C75312" w:rsidRDefault="00C75312">
            <w:pPr>
              <w:pStyle w:val="TableParagraph"/>
              <w:rPr>
                <w:sz w:val="20"/>
              </w:rPr>
            </w:pPr>
          </w:p>
        </w:tc>
        <w:tc>
          <w:tcPr>
            <w:tcW w:w="2429" w:type="dxa"/>
          </w:tcPr>
          <w:p w14:paraId="6414E34A" w14:textId="77777777" w:rsidR="00C75312" w:rsidRDefault="00BB293A">
            <w:pPr>
              <w:pStyle w:val="TableParagraph"/>
              <w:spacing w:before="79"/>
              <w:ind w:left="164"/>
              <w:rPr>
                <w:sz w:val="20"/>
              </w:rPr>
            </w:pPr>
            <w:r>
              <w:rPr>
                <w:sz w:val="20"/>
              </w:rPr>
              <w:t>Time checks 4</w:t>
            </w:r>
            <w:proofErr w:type="spellStart"/>
            <w:r>
              <w:rPr>
                <w:position w:val="7"/>
                <w:sz w:val="13"/>
              </w:rPr>
              <w:t>th</w:t>
            </w:r>
            <w:proofErr w:type="spellEnd"/>
            <w:r>
              <w:rPr>
                <w:position w:val="7"/>
                <w:sz w:val="13"/>
              </w:rPr>
              <w:t xml:space="preserve"> </w:t>
            </w:r>
            <w:r>
              <w:rPr>
                <w:sz w:val="20"/>
              </w:rPr>
              <w:t>interval</w:t>
            </w:r>
          </w:p>
        </w:tc>
        <w:tc>
          <w:tcPr>
            <w:tcW w:w="1519" w:type="dxa"/>
          </w:tcPr>
          <w:p w14:paraId="10606A46" w14:textId="77777777" w:rsidR="00C75312" w:rsidRDefault="00BB293A">
            <w:pPr>
              <w:pStyle w:val="TableParagraph"/>
              <w:spacing w:before="84"/>
              <w:ind w:left="133" w:right="232"/>
              <w:jc w:val="center"/>
              <w:rPr>
                <w:sz w:val="20"/>
              </w:rPr>
            </w:pPr>
            <w:r>
              <w:rPr>
                <w:sz w:val="20"/>
              </w:rPr>
              <w:t>1.70 (0.92)</w:t>
            </w:r>
          </w:p>
        </w:tc>
        <w:tc>
          <w:tcPr>
            <w:tcW w:w="1601" w:type="dxa"/>
          </w:tcPr>
          <w:p w14:paraId="5DD9B17B" w14:textId="77777777" w:rsidR="00C75312" w:rsidRDefault="00BB293A">
            <w:pPr>
              <w:pStyle w:val="TableParagraph"/>
              <w:spacing w:before="84"/>
              <w:ind w:left="235" w:right="334"/>
              <w:jc w:val="center"/>
              <w:rPr>
                <w:sz w:val="20"/>
              </w:rPr>
            </w:pPr>
            <w:r>
              <w:rPr>
                <w:sz w:val="20"/>
              </w:rPr>
              <w:t>2.17 (1.27)</w:t>
            </w:r>
          </w:p>
        </w:tc>
        <w:tc>
          <w:tcPr>
            <w:tcW w:w="1272" w:type="dxa"/>
          </w:tcPr>
          <w:p w14:paraId="037AA26A" w14:textId="77777777" w:rsidR="00C75312" w:rsidRDefault="00BB293A">
            <w:pPr>
              <w:pStyle w:val="TableParagraph"/>
              <w:spacing w:before="84"/>
              <w:ind w:left="193" w:right="187"/>
              <w:jc w:val="center"/>
              <w:rPr>
                <w:sz w:val="20"/>
              </w:rPr>
            </w:pPr>
            <w:r>
              <w:rPr>
                <w:sz w:val="20"/>
              </w:rPr>
              <w:t>0.42</w:t>
            </w:r>
          </w:p>
        </w:tc>
      </w:tr>
      <w:tr w:rsidR="00C75312" w14:paraId="1EAAFA2D" w14:textId="77777777">
        <w:trPr>
          <w:trHeight w:val="398"/>
        </w:trPr>
        <w:tc>
          <w:tcPr>
            <w:tcW w:w="1830" w:type="dxa"/>
          </w:tcPr>
          <w:p w14:paraId="55C10647" w14:textId="77777777" w:rsidR="00C75312" w:rsidRDefault="00BB293A">
            <w:pPr>
              <w:pStyle w:val="TableParagraph"/>
              <w:spacing w:before="80"/>
              <w:ind w:left="7"/>
              <w:rPr>
                <w:i/>
                <w:sz w:val="20"/>
              </w:rPr>
            </w:pPr>
            <w:r>
              <w:rPr>
                <w:i/>
                <w:sz w:val="20"/>
              </w:rPr>
              <w:t>PM high importance</w:t>
            </w:r>
          </w:p>
        </w:tc>
        <w:tc>
          <w:tcPr>
            <w:tcW w:w="2429" w:type="dxa"/>
          </w:tcPr>
          <w:p w14:paraId="691ABA17" w14:textId="77777777" w:rsidR="00C75312" w:rsidRDefault="00BB293A">
            <w:pPr>
              <w:pStyle w:val="TableParagraph"/>
              <w:spacing w:before="80"/>
              <w:ind w:left="164"/>
              <w:rPr>
                <w:sz w:val="20"/>
              </w:rPr>
            </w:pPr>
            <w:r>
              <w:rPr>
                <w:sz w:val="20"/>
              </w:rPr>
              <w:t>Ongoing proportion hits</w:t>
            </w:r>
          </w:p>
        </w:tc>
        <w:tc>
          <w:tcPr>
            <w:tcW w:w="1519" w:type="dxa"/>
          </w:tcPr>
          <w:p w14:paraId="4161FE90" w14:textId="77777777" w:rsidR="00C75312" w:rsidRDefault="00BB293A">
            <w:pPr>
              <w:pStyle w:val="TableParagraph"/>
              <w:spacing w:before="80"/>
              <w:ind w:left="138" w:right="232"/>
              <w:jc w:val="center"/>
              <w:rPr>
                <w:sz w:val="20"/>
              </w:rPr>
            </w:pPr>
            <w:r>
              <w:rPr>
                <w:sz w:val="20"/>
              </w:rPr>
              <w:t>.63 (0.12)</w:t>
            </w:r>
          </w:p>
        </w:tc>
        <w:tc>
          <w:tcPr>
            <w:tcW w:w="1601" w:type="dxa"/>
          </w:tcPr>
          <w:p w14:paraId="676FBDF7" w14:textId="77777777" w:rsidR="00C75312" w:rsidRDefault="00BB293A">
            <w:pPr>
              <w:pStyle w:val="TableParagraph"/>
              <w:spacing w:before="80"/>
              <w:ind w:left="235" w:right="338"/>
              <w:jc w:val="center"/>
              <w:rPr>
                <w:sz w:val="20"/>
              </w:rPr>
            </w:pPr>
            <w:r>
              <w:rPr>
                <w:sz w:val="20"/>
              </w:rPr>
              <w:t>.74 (0.13)</w:t>
            </w:r>
          </w:p>
        </w:tc>
        <w:tc>
          <w:tcPr>
            <w:tcW w:w="1272" w:type="dxa"/>
          </w:tcPr>
          <w:p w14:paraId="44D79CE6" w14:textId="77777777" w:rsidR="00C75312" w:rsidRDefault="00BB293A">
            <w:pPr>
              <w:pStyle w:val="TableParagraph"/>
              <w:spacing w:before="80"/>
              <w:ind w:left="193" w:right="187"/>
              <w:jc w:val="center"/>
              <w:rPr>
                <w:sz w:val="20"/>
              </w:rPr>
            </w:pPr>
            <w:r>
              <w:rPr>
                <w:sz w:val="20"/>
              </w:rPr>
              <w:t>-0.88</w:t>
            </w:r>
          </w:p>
        </w:tc>
      </w:tr>
      <w:tr w:rsidR="00C75312" w14:paraId="0D649078" w14:textId="77777777">
        <w:trPr>
          <w:trHeight w:val="398"/>
        </w:trPr>
        <w:tc>
          <w:tcPr>
            <w:tcW w:w="1830" w:type="dxa"/>
          </w:tcPr>
          <w:p w14:paraId="204C42ED" w14:textId="77777777" w:rsidR="00C75312" w:rsidRDefault="00C75312">
            <w:pPr>
              <w:pStyle w:val="TableParagraph"/>
              <w:rPr>
                <w:sz w:val="20"/>
              </w:rPr>
            </w:pPr>
          </w:p>
        </w:tc>
        <w:tc>
          <w:tcPr>
            <w:tcW w:w="2429" w:type="dxa"/>
          </w:tcPr>
          <w:p w14:paraId="28B048E1" w14:textId="77777777" w:rsidR="00C75312" w:rsidRDefault="00BB293A">
            <w:pPr>
              <w:pStyle w:val="TableParagraph"/>
              <w:spacing w:before="80"/>
              <w:ind w:left="164"/>
              <w:rPr>
                <w:sz w:val="20"/>
              </w:rPr>
            </w:pPr>
            <w:r>
              <w:rPr>
                <w:sz w:val="20"/>
              </w:rPr>
              <w:t>PM proportion hits</w:t>
            </w:r>
          </w:p>
        </w:tc>
        <w:tc>
          <w:tcPr>
            <w:tcW w:w="1519" w:type="dxa"/>
          </w:tcPr>
          <w:p w14:paraId="0DE89DDB" w14:textId="77777777" w:rsidR="00C75312" w:rsidRDefault="00BB293A">
            <w:pPr>
              <w:pStyle w:val="TableParagraph"/>
              <w:spacing w:before="80"/>
              <w:ind w:left="138" w:right="232"/>
              <w:jc w:val="center"/>
              <w:rPr>
                <w:sz w:val="20"/>
              </w:rPr>
            </w:pPr>
            <w:r>
              <w:rPr>
                <w:sz w:val="20"/>
              </w:rPr>
              <w:t>.91 (0.21)</w:t>
            </w:r>
          </w:p>
        </w:tc>
        <w:tc>
          <w:tcPr>
            <w:tcW w:w="1601" w:type="dxa"/>
          </w:tcPr>
          <w:p w14:paraId="2FFCA44A" w14:textId="77777777" w:rsidR="00C75312" w:rsidRDefault="00BB293A">
            <w:pPr>
              <w:pStyle w:val="TableParagraph"/>
              <w:spacing w:before="80"/>
              <w:ind w:left="235" w:right="338"/>
              <w:jc w:val="center"/>
              <w:rPr>
                <w:sz w:val="20"/>
              </w:rPr>
            </w:pPr>
            <w:r>
              <w:rPr>
                <w:sz w:val="20"/>
              </w:rPr>
              <w:t>.99 (0.04)</w:t>
            </w:r>
          </w:p>
        </w:tc>
        <w:tc>
          <w:tcPr>
            <w:tcW w:w="1272" w:type="dxa"/>
          </w:tcPr>
          <w:p w14:paraId="0A377A89" w14:textId="77777777" w:rsidR="00C75312" w:rsidRDefault="00BB293A">
            <w:pPr>
              <w:pStyle w:val="TableParagraph"/>
              <w:spacing w:before="80"/>
              <w:ind w:left="193" w:right="187"/>
              <w:jc w:val="center"/>
              <w:rPr>
                <w:sz w:val="20"/>
              </w:rPr>
            </w:pPr>
            <w:r>
              <w:rPr>
                <w:sz w:val="20"/>
              </w:rPr>
              <w:t>-0.53</w:t>
            </w:r>
          </w:p>
        </w:tc>
      </w:tr>
      <w:tr w:rsidR="00C75312" w14:paraId="6F9F4A09" w14:textId="77777777">
        <w:trPr>
          <w:trHeight w:val="398"/>
        </w:trPr>
        <w:tc>
          <w:tcPr>
            <w:tcW w:w="1830" w:type="dxa"/>
          </w:tcPr>
          <w:p w14:paraId="660715FF" w14:textId="77777777" w:rsidR="00C75312" w:rsidRDefault="00C75312">
            <w:pPr>
              <w:pStyle w:val="TableParagraph"/>
              <w:rPr>
                <w:sz w:val="20"/>
              </w:rPr>
            </w:pPr>
          </w:p>
        </w:tc>
        <w:tc>
          <w:tcPr>
            <w:tcW w:w="2429" w:type="dxa"/>
          </w:tcPr>
          <w:p w14:paraId="38E3BFA3" w14:textId="77777777" w:rsidR="00C75312" w:rsidRDefault="00BB293A">
            <w:pPr>
              <w:pStyle w:val="TableParagraph"/>
              <w:spacing w:before="80"/>
              <w:ind w:left="164"/>
              <w:rPr>
                <w:sz w:val="20"/>
              </w:rPr>
            </w:pPr>
            <w:r>
              <w:rPr>
                <w:sz w:val="20"/>
              </w:rPr>
              <w:t>PM target accuracy</w:t>
            </w:r>
          </w:p>
        </w:tc>
        <w:tc>
          <w:tcPr>
            <w:tcW w:w="1519" w:type="dxa"/>
          </w:tcPr>
          <w:p w14:paraId="143BAE8D" w14:textId="77777777" w:rsidR="00C75312" w:rsidRDefault="00BB293A">
            <w:pPr>
              <w:pStyle w:val="TableParagraph"/>
              <w:spacing w:before="80"/>
              <w:ind w:left="133" w:right="232"/>
              <w:jc w:val="center"/>
              <w:rPr>
                <w:sz w:val="20"/>
              </w:rPr>
            </w:pPr>
            <w:r>
              <w:rPr>
                <w:sz w:val="20"/>
              </w:rPr>
              <w:t>1.66 (1.00)</w:t>
            </w:r>
          </w:p>
        </w:tc>
        <w:tc>
          <w:tcPr>
            <w:tcW w:w="1601" w:type="dxa"/>
          </w:tcPr>
          <w:p w14:paraId="50A424FF" w14:textId="77777777" w:rsidR="00C75312" w:rsidRDefault="00BB293A">
            <w:pPr>
              <w:pStyle w:val="TableParagraph"/>
              <w:spacing w:before="80"/>
              <w:ind w:left="235" w:right="334"/>
              <w:jc w:val="center"/>
              <w:rPr>
                <w:sz w:val="20"/>
              </w:rPr>
            </w:pPr>
            <w:r>
              <w:rPr>
                <w:sz w:val="20"/>
              </w:rPr>
              <w:t>1.02 (0.85)</w:t>
            </w:r>
          </w:p>
        </w:tc>
        <w:tc>
          <w:tcPr>
            <w:tcW w:w="1272" w:type="dxa"/>
          </w:tcPr>
          <w:p w14:paraId="442C394E" w14:textId="77777777" w:rsidR="00C75312" w:rsidRDefault="00BB293A">
            <w:pPr>
              <w:pStyle w:val="TableParagraph"/>
              <w:spacing w:before="80"/>
              <w:ind w:left="193" w:right="187"/>
              <w:jc w:val="center"/>
              <w:rPr>
                <w:sz w:val="20"/>
              </w:rPr>
            </w:pPr>
            <w:r>
              <w:rPr>
                <w:sz w:val="20"/>
              </w:rPr>
              <w:t>0.69</w:t>
            </w:r>
          </w:p>
        </w:tc>
      </w:tr>
      <w:tr w:rsidR="00C75312" w14:paraId="617A5146" w14:textId="77777777">
        <w:trPr>
          <w:trHeight w:val="396"/>
        </w:trPr>
        <w:tc>
          <w:tcPr>
            <w:tcW w:w="1830" w:type="dxa"/>
          </w:tcPr>
          <w:p w14:paraId="4CE84044" w14:textId="77777777" w:rsidR="00C75312" w:rsidRDefault="00C75312">
            <w:pPr>
              <w:pStyle w:val="TableParagraph"/>
              <w:rPr>
                <w:sz w:val="20"/>
              </w:rPr>
            </w:pPr>
          </w:p>
        </w:tc>
        <w:tc>
          <w:tcPr>
            <w:tcW w:w="2429" w:type="dxa"/>
          </w:tcPr>
          <w:p w14:paraId="04F65A6E" w14:textId="77777777" w:rsidR="00C75312" w:rsidRDefault="00BB293A">
            <w:pPr>
              <w:pStyle w:val="TableParagraph"/>
              <w:spacing w:before="80"/>
              <w:ind w:left="164"/>
              <w:rPr>
                <w:sz w:val="20"/>
              </w:rPr>
            </w:pPr>
            <w:r>
              <w:rPr>
                <w:sz w:val="20"/>
              </w:rPr>
              <w:t># PM inaccurate</w:t>
            </w:r>
          </w:p>
        </w:tc>
        <w:tc>
          <w:tcPr>
            <w:tcW w:w="1519" w:type="dxa"/>
          </w:tcPr>
          <w:p w14:paraId="79F7ECBF" w14:textId="77777777" w:rsidR="00C75312" w:rsidRDefault="00BB293A">
            <w:pPr>
              <w:pStyle w:val="TableParagraph"/>
              <w:spacing w:before="80"/>
              <w:ind w:left="133" w:right="232"/>
              <w:jc w:val="center"/>
              <w:rPr>
                <w:sz w:val="20"/>
              </w:rPr>
            </w:pPr>
            <w:r>
              <w:rPr>
                <w:sz w:val="20"/>
              </w:rPr>
              <w:t>1.48 (4.05)</w:t>
            </w:r>
          </w:p>
        </w:tc>
        <w:tc>
          <w:tcPr>
            <w:tcW w:w="1601" w:type="dxa"/>
          </w:tcPr>
          <w:p w14:paraId="374263D5" w14:textId="77777777" w:rsidR="00C75312" w:rsidRDefault="00BB293A">
            <w:pPr>
              <w:pStyle w:val="TableParagraph"/>
              <w:spacing w:before="80"/>
              <w:ind w:left="235" w:right="334"/>
              <w:jc w:val="center"/>
              <w:rPr>
                <w:sz w:val="20"/>
              </w:rPr>
            </w:pPr>
            <w:r>
              <w:rPr>
                <w:sz w:val="20"/>
              </w:rPr>
              <w:t>0.04 (0.21)</w:t>
            </w:r>
          </w:p>
        </w:tc>
        <w:tc>
          <w:tcPr>
            <w:tcW w:w="1272" w:type="dxa"/>
          </w:tcPr>
          <w:p w14:paraId="08FCB361" w14:textId="77777777" w:rsidR="00C75312" w:rsidRDefault="00BB293A">
            <w:pPr>
              <w:pStyle w:val="TableParagraph"/>
              <w:spacing w:before="80"/>
              <w:ind w:left="193" w:right="187"/>
              <w:jc w:val="center"/>
              <w:rPr>
                <w:sz w:val="20"/>
              </w:rPr>
            </w:pPr>
            <w:r>
              <w:rPr>
                <w:sz w:val="20"/>
              </w:rPr>
              <w:t>-0.50</w:t>
            </w:r>
          </w:p>
        </w:tc>
      </w:tr>
      <w:tr w:rsidR="00C75312" w14:paraId="0F873114" w14:textId="77777777">
        <w:trPr>
          <w:trHeight w:val="412"/>
        </w:trPr>
        <w:tc>
          <w:tcPr>
            <w:tcW w:w="1830" w:type="dxa"/>
            <w:tcBorders>
              <w:bottom w:val="single" w:sz="4" w:space="0" w:color="000000"/>
            </w:tcBorders>
          </w:tcPr>
          <w:p w14:paraId="2C8CDDBF" w14:textId="77777777" w:rsidR="00C75312" w:rsidRDefault="00C75312">
            <w:pPr>
              <w:pStyle w:val="TableParagraph"/>
              <w:rPr>
                <w:sz w:val="20"/>
              </w:rPr>
            </w:pPr>
          </w:p>
        </w:tc>
        <w:tc>
          <w:tcPr>
            <w:tcW w:w="2429" w:type="dxa"/>
            <w:tcBorders>
              <w:bottom w:val="single" w:sz="4" w:space="0" w:color="000000"/>
            </w:tcBorders>
          </w:tcPr>
          <w:p w14:paraId="3323B0C5" w14:textId="77777777" w:rsidR="00C75312" w:rsidRDefault="00BB293A">
            <w:pPr>
              <w:pStyle w:val="TableParagraph"/>
              <w:spacing w:before="82"/>
              <w:ind w:left="164"/>
              <w:rPr>
                <w:sz w:val="20"/>
              </w:rPr>
            </w:pPr>
            <w:r>
              <w:rPr>
                <w:sz w:val="20"/>
              </w:rPr>
              <w:t>Time checks 4</w:t>
            </w:r>
            <w:proofErr w:type="spellStart"/>
            <w:r>
              <w:rPr>
                <w:position w:val="7"/>
                <w:sz w:val="13"/>
              </w:rPr>
              <w:t>th</w:t>
            </w:r>
            <w:proofErr w:type="spellEnd"/>
            <w:r>
              <w:rPr>
                <w:position w:val="7"/>
                <w:sz w:val="13"/>
              </w:rPr>
              <w:t xml:space="preserve"> </w:t>
            </w:r>
            <w:r>
              <w:rPr>
                <w:sz w:val="20"/>
              </w:rPr>
              <w:t>interval</w:t>
            </w:r>
          </w:p>
        </w:tc>
        <w:tc>
          <w:tcPr>
            <w:tcW w:w="1519" w:type="dxa"/>
            <w:tcBorders>
              <w:bottom w:val="single" w:sz="4" w:space="0" w:color="000000"/>
            </w:tcBorders>
          </w:tcPr>
          <w:p w14:paraId="7B413ADF" w14:textId="77777777" w:rsidR="00C75312" w:rsidRDefault="00BB293A">
            <w:pPr>
              <w:pStyle w:val="TableParagraph"/>
              <w:spacing w:before="87"/>
              <w:ind w:left="133" w:right="232"/>
              <w:jc w:val="center"/>
              <w:rPr>
                <w:sz w:val="20"/>
              </w:rPr>
            </w:pPr>
            <w:r>
              <w:rPr>
                <w:sz w:val="20"/>
              </w:rPr>
              <w:t>2.26 (1.02)</w:t>
            </w:r>
          </w:p>
        </w:tc>
        <w:tc>
          <w:tcPr>
            <w:tcW w:w="1601" w:type="dxa"/>
            <w:tcBorders>
              <w:bottom w:val="single" w:sz="4" w:space="0" w:color="000000"/>
            </w:tcBorders>
          </w:tcPr>
          <w:p w14:paraId="107C7DE4" w14:textId="77777777" w:rsidR="00C75312" w:rsidRDefault="00BB293A">
            <w:pPr>
              <w:pStyle w:val="TableParagraph"/>
              <w:spacing w:before="87"/>
              <w:ind w:left="235" w:right="334"/>
              <w:jc w:val="center"/>
              <w:rPr>
                <w:sz w:val="20"/>
              </w:rPr>
            </w:pPr>
            <w:r>
              <w:rPr>
                <w:sz w:val="20"/>
              </w:rPr>
              <w:t>3.21 (1.67)</w:t>
            </w:r>
          </w:p>
        </w:tc>
        <w:tc>
          <w:tcPr>
            <w:tcW w:w="1272" w:type="dxa"/>
            <w:tcBorders>
              <w:bottom w:val="single" w:sz="4" w:space="0" w:color="000000"/>
            </w:tcBorders>
          </w:tcPr>
          <w:p w14:paraId="12F6577E" w14:textId="77777777" w:rsidR="00C75312" w:rsidRDefault="00BB293A">
            <w:pPr>
              <w:pStyle w:val="TableParagraph"/>
              <w:spacing w:before="87"/>
              <w:ind w:left="193" w:right="187"/>
              <w:jc w:val="center"/>
              <w:rPr>
                <w:sz w:val="20"/>
              </w:rPr>
            </w:pPr>
            <w:r>
              <w:rPr>
                <w:sz w:val="20"/>
              </w:rPr>
              <w:t>0.69</w:t>
            </w:r>
          </w:p>
        </w:tc>
      </w:tr>
      <w:tr w:rsidR="00C75312" w14:paraId="719750CF" w14:textId="77777777">
        <w:trPr>
          <w:trHeight w:val="555"/>
        </w:trPr>
        <w:tc>
          <w:tcPr>
            <w:tcW w:w="1830" w:type="dxa"/>
            <w:tcBorders>
              <w:top w:val="single" w:sz="4" w:space="0" w:color="000000"/>
            </w:tcBorders>
          </w:tcPr>
          <w:p w14:paraId="50727780" w14:textId="77777777" w:rsidR="00C75312" w:rsidRDefault="00C75312">
            <w:pPr>
              <w:pStyle w:val="TableParagraph"/>
              <w:spacing w:before="3"/>
              <w:rPr>
                <w:b/>
                <w:sz w:val="24"/>
              </w:rPr>
            </w:pPr>
          </w:p>
          <w:p w14:paraId="525F3BEC" w14:textId="77777777" w:rsidR="00C75312" w:rsidRDefault="00BB293A">
            <w:pPr>
              <w:pStyle w:val="TableParagraph"/>
              <w:spacing w:line="256" w:lineRule="exact"/>
              <w:ind w:left="7"/>
              <w:rPr>
                <w:b/>
                <w:sz w:val="24"/>
              </w:rPr>
            </w:pPr>
            <w:r>
              <w:rPr>
                <w:b/>
                <w:sz w:val="24"/>
              </w:rPr>
              <w:t>Ongoing task</w:t>
            </w:r>
          </w:p>
        </w:tc>
        <w:tc>
          <w:tcPr>
            <w:tcW w:w="2429" w:type="dxa"/>
            <w:tcBorders>
              <w:top w:val="single" w:sz="4" w:space="0" w:color="000000"/>
            </w:tcBorders>
          </w:tcPr>
          <w:p w14:paraId="2A8A9F15" w14:textId="77777777" w:rsidR="00C75312" w:rsidRDefault="00C75312">
            <w:pPr>
              <w:pStyle w:val="TableParagraph"/>
              <w:rPr>
                <w:sz w:val="20"/>
              </w:rPr>
            </w:pPr>
          </w:p>
        </w:tc>
        <w:tc>
          <w:tcPr>
            <w:tcW w:w="1519" w:type="dxa"/>
            <w:tcBorders>
              <w:top w:val="single" w:sz="4" w:space="0" w:color="000000"/>
            </w:tcBorders>
          </w:tcPr>
          <w:p w14:paraId="2305B402" w14:textId="77777777" w:rsidR="00C75312" w:rsidRDefault="00C75312">
            <w:pPr>
              <w:pStyle w:val="TableParagraph"/>
              <w:rPr>
                <w:sz w:val="20"/>
              </w:rPr>
            </w:pPr>
          </w:p>
        </w:tc>
        <w:tc>
          <w:tcPr>
            <w:tcW w:w="1601" w:type="dxa"/>
            <w:tcBorders>
              <w:top w:val="single" w:sz="4" w:space="0" w:color="000000"/>
            </w:tcBorders>
          </w:tcPr>
          <w:p w14:paraId="2CD7803A" w14:textId="77777777" w:rsidR="00C75312" w:rsidRDefault="00C75312">
            <w:pPr>
              <w:pStyle w:val="TableParagraph"/>
              <w:rPr>
                <w:sz w:val="20"/>
              </w:rPr>
            </w:pPr>
          </w:p>
        </w:tc>
        <w:tc>
          <w:tcPr>
            <w:tcW w:w="1272" w:type="dxa"/>
            <w:tcBorders>
              <w:top w:val="single" w:sz="4" w:space="0" w:color="000000"/>
            </w:tcBorders>
          </w:tcPr>
          <w:p w14:paraId="625F0031" w14:textId="77777777" w:rsidR="00C75312" w:rsidRDefault="00C75312">
            <w:pPr>
              <w:pStyle w:val="TableParagraph"/>
              <w:rPr>
                <w:sz w:val="20"/>
              </w:rPr>
            </w:pPr>
          </w:p>
        </w:tc>
      </w:tr>
    </w:tbl>
    <w:p w14:paraId="5503FC73" w14:textId="77777777" w:rsidR="00C75312" w:rsidRDefault="00C75312">
      <w:pPr>
        <w:pStyle w:val="BodyText"/>
        <w:rPr>
          <w:b/>
        </w:rPr>
      </w:pPr>
    </w:p>
    <w:p w14:paraId="14F8AD4F" w14:textId="77777777" w:rsidR="00C75312" w:rsidRDefault="00BB293A">
      <w:pPr>
        <w:pStyle w:val="BodyText"/>
        <w:spacing w:line="480" w:lineRule="auto"/>
        <w:ind w:left="140" w:right="1436" w:firstLine="720"/>
        <w:jc w:val="both"/>
      </w:pPr>
      <w:r>
        <w:pict w14:anchorId="6E22F68D">
          <v:shape id="_x0000_s2675" type="#_x0000_t202" style="position:absolute;left:0;text-align:left;margin-left:420.25pt;margin-top:61.05pt;width:5.3pt;height:9.85pt;z-index:-260563968;mso-position-horizontal-relative:page" filled="f" stroked="f">
            <v:textbox inset="0,0,0,0">
              <w:txbxContent>
                <w:p w14:paraId="7A493C67"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Ongoing</w:t>
      </w:r>
      <w:r>
        <w:rPr>
          <w:spacing w:val="-37"/>
          <w:w w:val="105"/>
        </w:rPr>
        <w:t xml:space="preserve"> </w:t>
      </w:r>
      <w:r>
        <w:rPr>
          <w:w w:val="105"/>
        </w:rPr>
        <w:t>task</w:t>
      </w:r>
      <w:r>
        <w:rPr>
          <w:spacing w:val="-37"/>
          <w:w w:val="105"/>
        </w:rPr>
        <w:t xml:space="preserve"> </w:t>
      </w:r>
      <w:r>
        <w:rPr>
          <w:w w:val="105"/>
        </w:rPr>
        <w:t>performance</w:t>
      </w:r>
      <w:r>
        <w:rPr>
          <w:spacing w:val="-37"/>
          <w:w w:val="105"/>
        </w:rPr>
        <w:t xml:space="preserve"> </w:t>
      </w:r>
      <w:r>
        <w:rPr>
          <w:w w:val="105"/>
        </w:rPr>
        <w:t>(see</w:t>
      </w:r>
      <w:r>
        <w:rPr>
          <w:spacing w:val="-37"/>
          <w:w w:val="105"/>
        </w:rPr>
        <w:t xml:space="preserve"> </w:t>
      </w:r>
      <w:r>
        <w:rPr>
          <w:w w:val="105"/>
        </w:rPr>
        <w:t>Table</w:t>
      </w:r>
      <w:r>
        <w:rPr>
          <w:spacing w:val="-37"/>
          <w:w w:val="105"/>
        </w:rPr>
        <w:t xml:space="preserve"> </w:t>
      </w:r>
      <w:r>
        <w:rPr>
          <w:w w:val="105"/>
        </w:rPr>
        <w:t>14)</w:t>
      </w:r>
      <w:r>
        <w:rPr>
          <w:spacing w:val="-36"/>
          <w:w w:val="105"/>
        </w:rPr>
        <w:t xml:space="preserve"> </w:t>
      </w:r>
      <w:r>
        <w:rPr>
          <w:w w:val="105"/>
        </w:rPr>
        <w:t>was</w:t>
      </w:r>
      <w:r>
        <w:rPr>
          <w:spacing w:val="-37"/>
          <w:w w:val="105"/>
        </w:rPr>
        <w:t xml:space="preserve"> </w:t>
      </w:r>
      <w:r>
        <w:rPr>
          <w:w w:val="105"/>
        </w:rPr>
        <w:t>subjected</w:t>
      </w:r>
      <w:r>
        <w:rPr>
          <w:spacing w:val="-37"/>
          <w:w w:val="105"/>
        </w:rPr>
        <w:t xml:space="preserve"> </w:t>
      </w:r>
      <w:r>
        <w:rPr>
          <w:w w:val="105"/>
        </w:rPr>
        <w:t>to</w:t>
      </w:r>
      <w:r>
        <w:rPr>
          <w:spacing w:val="-37"/>
          <w:w w:val="105"/>
        </w:rPr>
        <w:t xml:space="preserve"> </w:t>
      </w:r>
      <w:r>
        <w:rPr>
          <w:w w:val="105"/>
        </w:rPr>
        <w:t>a</w:t>
      </w:r>
      <w:r>
        <w:rPr>
          <w:spacing w:val="-37"/>
          <w:w w:val="105"/>
        </w:rPr>
        <w:t xml:space="preserve"> </w:t>
      </w:r>
      <w:r>
        <w:rPr>
          <w:w w:val="105"/>
        </w:rPr>
        <w:t>2</w:t>
      </w:r>
      <w:r>
        <w:rPr>
          <w:spacing w:val="-36"/>
          <w:w w:val="105"/>
        </w:rPr>
        <w:t xml:space="preserve"> </w:t>
      </w:r>
      <w:r>
        <w:rPr>
          <w:w w:val="105"/>
        </w:rPr>
        <w:t>×</w:t>
      </w:r>
      <w:r>
        <w:rPr>
          <w:spacing w:val="-38"/>
          <w:w w:val="105"/>
        </w:rPr>
        <w:t xml:space="preserve"> </w:t>
      </w:r>
      <w:r>
        <w:rPr>
          <w:w w:val="105"/>
        </w:rPr>
        <w:t>2</w:t>
      </w:r>
      <w:r>
        <w:rPr>
          <w:spacing w:val="-36"/>
          <w:w w:val="105"/>
        </w:rPr>
        <w:t xml:space="preserve"> </w:t>
      </w:r>
      <w:r>
        <w:rPr>
          <w:spacing w:val="-3"/>
          <w:w w:val="105"/>
        </w:rPr>
        <w:t>mixed</w:t>
      </w:r>
      <w:r>
        <w:rPr>
          <w:spacing w:val="-37"/>
          <w:w w:val="105"/>
        </w:rPr>
        <w:t xml:space="preserve"> </w:t>
      </w:r>
      <w:r>
        <w:rPr>
          <w:w w:val="105"/>
        </w:rPr>
        <w:t>ANOVA</w:t>
      </w:r>
      <w:r>
        <w:rPr>
          <w:spacing w:val="-36"/>
          <w:w w:val="105"/>
        </w:rPr>
        <w:t xml:space="preserve"> </w:t>
      </w:r>
      <w:r>
        <w:rPr>
          <w:w w:val="105"/>
        </w:rPr>
        <w:t xml:space="preserve">with Group (ASD/NT) as between-subject factor and Condition (PM low/high importance) as </w:t>
      </w:r>
      <w:r>
        <w:rPr>
          <w:spacing w:val="-1"/>
          <w:position w:val="2"/>
        </w:rPr>
        <w:t>w</w:t>
      </w:r>
      <w:r>
        <w:rPr>
          <w:position w:val="2"/>
        </w:rPr>
        <w:t>ithin</w:t>
      </w:r>
      <w:r>
        <w:rPr>
          <w:spacing w:val="-4"/>
          <w:position w:val="2"/>
        </w:rPr>
        <w:t>-</w:t>
      </w:r>
      <w:r>
        <w:rPr>
          <w:spacing w:val="-3"/>
          <w:position w:val="2"/>
        </w:rPr>
        <w:t>s</w:t>
      </w:r>
      <w:r>
        <w:rPr>
          <w:position w:val="2"/>
        </w:rPr>
        <w:t>ubj</w:t>
      </w:r>
      <w:r>
        <w:rPr>
          <w:spacing w:val="-1"/>
          <w:position w:val="2"/>
        </w:rPr>
        <w:t>ec</w:t>
      </w:r>
      <w:r>
        <w:rPr>
          <w:position w:val="2"/>
        </w:rPr>
        <w:t>t</w:t>
      </w:r>
      <w:r>
        <w:rPr>
          <w:spacing w:val="-2"/>
          <w:position w:val="2"/>
        </w:rPr>
        <w:t xml:space="preserve"> </w:t>
      </w:r>
      <w:r>
        <w:rPr>
          <w:spacing w:val="1"/>
          <w:position w:val="2"/>
        </w:rPr>
        <w:t>f</w:t>
      </w:r>
      <w:r>
        <w:rPr>
          <w:spacing w:val="-1"/>
          <w:position w:val="2"/>
        </w:rPr>
        <w:t>ac</w:t>
      </w:r>
      <w:r>
        <w:rPr>
          <w:position w:val="2"/>
        </w:rPr>
        <w:t>to</w:t>
      </w:r>
      <w:r>
        <w:rPr>
          <w:spacing w:val="1"/>
          <w:position w:val="2"/>
        </w:rPr>
        <w:t>r</w:t>
      </w:r>
      <w:r>
        <w:rPr>
          <w:position w:val="2"/>
        </w:rPr>
        <w:t xml:space="preserve">. </w:t>
      </w:r>
      <w:r>
        <w:rPr>
          <w:spacing w:val="-12"/>
          <w:position w:val="2"/>
        </w:rPr>
        <w:t xml:space="preserve"> </w:t>
      </w:r>
      <w:r>
        <w:rPr>
          <w:spacing w:val="-3"/>
          <w:position w:val="2"/>
        </w:rPr>
        <w:t>M</w:t>
      </w:r>
      <w:r>
        <w:rPr>
          <w:spacing w:val="-1"/>
          <w:position w:val="2"/>
        </w:rPr>
        <w:t>a</w:t>
      </w:r>
      <w:r>
        <w:rPr>
          <w:position w:val="2"/>
        </w:rPr>
        <w:t>in</w:t>
      </w:r>
      <w:r>
        <w:rPr>
          <w:spacing w:val="-3"/>
          <w:position w:val="2"/>
        </w:rPr>
        <w:t xml:space="preserve"> </w:t>
      </w:r>
      <w:r>
        <w:rPr>
          <w:spacing w:val="-1"/>
          <w:position w:val="2"/>
        </w:rPr>
        <w:t>e</w:t>
      </w:r>
      <w:r>
        <w:rPr>
          <w:spacing w:val="-4"/>
          <w:position w:val="2"/>
        </w:rPr>
        <w:t>f</w:t>
      </w:r>
      <w:r>
        <w:rPr>
          <w:spacing w:val="1"/>
          <w:position w:val="2"/>
        </w:rPr>
        <w:t>f</w:t>
      </w:r>
      <w:r>
        <w:rPr>
          <w:spacing w:val="-1"/>
          <w:position w:val="2"/>
        </w:rPr>
        <w:t>ec</w:t>
      </w:r>
      <w:r>
        <w:rPr>
          <w:position w:val="2"/>
        </w:rPr>
        <w:t>ts</w:t>
      </w:r>
      <w:r>
        <w:rPr>
          <w:spacing w:val="-5"/>
          <w:position w:val="2"/>
        </w:rPr>
        <w:t xml:space="preserve"> </w:t>
      </w:r>
      <w:r>
        <w:rPr>
          <w:position w:val="2"/>
        </w:rPr>
        <w:t>of</w:t>
      </w:r>
      <w:r>
        <w:rPr>
          <w:spacing w:val="-6"/>
          <w:position w:val="2"/>
        </w:rPr>
        <w:t xml:space="preserve"> </w:t>
      </w:r>
      <w:r>
        <w:rPr>
          <w:spacing w:val="-5"/>
          <w:position w:val="2"/>
        </w:rPr>
        <w:t>g</w:t>
      </w:r>
      <w:r>
        <w:rPr>
          <w:spacing w:val="1"/>
          <w:position w:val="2"/>
        </w:rPr>
        <w:t>r</w:t>
      </w:r>
      <w:r>
        <w:rPr>
          <w:position w:val="2"/>
        </w:rPr>
        <w:t>oup,</w:t>
      </w:r>
      <w:r>
        <w:rPr>
          <w:spacing w:val="-10"/>
          <w:position w:val="2"/>
        </w:rPr>
        <w:t xml:space="preserve"> </w:t>
      </w:r>
      <w:r>
        <w:rPr>
          <w:i/>
          <w:spacing w:val="2"/>
          <w:position w:val="2"/>
        </w:rPr>
        <w:t>F</w:t>
      </w:r>
      <w:r>
        <w:rPr>
          <w:spacing w:val="1"/>
          <w:position w:val="2"/>
        </w:rPr>
        <w:t>(</w:t>
      </w:r>
      <w:r>
        <w:rPr>
          <w:spacing w:val="-5"/>
          <w:position w:val="2"/>
        </w:rPr>
        <w:t>1</w:t>
      </w:r>
      <w:r>
        <w:rPr>
          <w:spacing w:val="2"/>
          <w:position w:val="2"/>
        </w:rPr>
        <w:t>,</w:t>
      </w:r>
      <w:r>
        <w:rPr>
          <w:spacing w:val="-5"/>
          <w:position w:val="2"/>
        </w:rPr>
        <w:t>4</w:t>
      </w:r>
      <w:r>
        <w:rPr>
          <w:position w:val="2"/>
        </w:rPr>
        <w:t>6)</w:t>
      </w:r>
      <w:r>
        <w:rPr>
          <w:spacing w:val="-1"/>
          <w:position w:val="2"/>
        </w:rPr>
        <w:t xml:space="preserve"> </w:t>
      </w:r>
      <w:r>
        <w:rPr>
          <w:position w:val="2"/>
        </w:rPr>
        <w:t>=</w:t>
      </w:r>
      <w:r>
        <w:rPr>
          <w:spacing w:val="-9"/>
          <w:position w:val="2"/>
        </w:rPr>
        <w:t xml:space="preserve"> </w:t>
      </w:r>
      <w:r>
        <w:rPr>
          <w:position w:val="2"/>
        </w:rPr>
        <w:t>1</w:t>
      </w:r>
      <w:r>
        <w:rPr>
          <w:spacing w:val="-5"/>
          <w:position w:val="2"/>
        </w:rPr>
        <w:t>2</w:t>
      </w:r>
      <w:r>
        <w:rPr>
          <w:spacing w:val="2"/>
          <w:position w:val="2"/>
        </w:rPr>
        <w:t>.</w:t>
      </w:r>
      <w:r>
        <w:rPr>
          <w:position w:val="2"/>
        </w:rPr>
        <w:t>63,</w:t>
      </w:r>
      <w:r>
        <w:rPr>
          <w:spacing w:val="-5"/>
          <w:position w:val="2"/>
        </w:rPr>
        <w:t xml:space="preserve"> </w:t>
      </w:r>
      <w:r>
        <w:rPr>
          <w:i/>
          <w:position w:val="2"/>
        </w:rPr>
        <w:t>p</w:t>
      </w:r>
      <w:r>
        <w:rPr>
          <w:i/>
          <w:spacing w:val="-8"/>
          <w:position w:val="2"/>
        </w:rPr>
        <w:t xml:space="preserve"> </w:t>
      </w:r>
      <w:r>
        <w:rPr>
          <w:position w:val="2"/>
        </w:rPr>
        <w:t>=</w:t>
      </w:r>
      <w:r>
        <w:rPr>
          <w:spacing w:val="-9"/>
          <w:position w:val="2"/>
        </w:rPr>
        <w:t xml:space="preserve"> </w:t>
      </w:r>
      <w:r>
        <w:rPr>
          <w:spacing w:val="2"/>
          <w:position w:val="2"/>
        </w:rPr>
        <w:t>.</w:t>
      </w:r>
      <w:r>
        <w:rPr>
          <w:position w:val="2"/>
        </w:rPr>
        <w:t>00</w:t>
      </w:r>
      <w:r>
        <w:rPr>
          <w:spacing w:val="-5"/>
          <w:position w:val="2"/>
        </w:rPr>
        <w:t>1</w:t>
      </w:r>
      <w:r>
        <w:rPr>
          <w:position w:val="2"/>
        </w:rPr>
        <w:t>,</w:t>
      </w:r>
      <w:r>
        <w:rPr>
          <w:spacing w:val="-10"/>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spacing w:val="22"/>
          <w:position w:val="2"/>
        </w:rPr>
        <w:t xml:space="preserve"> </w:t>
      </w:r>
      <w:r>
        <w:rPr>
          <w:position w:val="2"/>
        </w:rPr>
        <w:t>=</w:t>
      </w:r>
      <w:r>
        <w:rPr>
          <w:spacing w:val="-9"/>
          <w:position w:val="2"/>
        </w:rPr>
        <w:t xml:space="preserve"> </w:t>
      </w:r>
      <w:r>
        <w:rPr>
          <w:spacing w:val="2"/>
          <w:position w:val="2"/>
        </w:rPr>
        <w:t>.</w:t>
      </w:r>
      <w:r>
        <w:rPr>
          <w:position w:val="2"/>
        </w:rPr>
        <w:t>2</w:t>
      </w:r>
      <w:r>
        <w:rPr>
          <w:spacing w:val="-5"/>
          <w:position w:val="2"/>
        </w:rPr>
        <w:t>2</w:t>
      </w:r>
      <w:r>
        <w:rPr>
          <w:position w:val="2"/>
        </w:rPr>
        <w:t>,</w:t>
      </w:r>
      <w:r>
        <w:rPr>
          <w:spacing w:val="-5"/>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24"/>
          <w:position w:val="2"/>
        </w:rPr>
        <w:t xml:space="preserve"> </w:t>
      </w:r>
      <w:r>
        <w:rPr>
          <w:position w:val="2"/>
        </w:rPr>
        <w:t>=</w:t>
      </w:r>
      <w:r>
        <w:rPr>
          <w:spacing w:val="-9"/>
          <w:position w:val="2"/>
        </w:rPr>
        <w:t xml:space="preserve"> </w:t>
      </w:r>
      <w:r>
        <w:rPr>
          <w:position w:val="2"/>
        </w:rPr>
        <w:t>33</w:t>
      </w:r>
      <w:r>
        <w:rPr>
          <w:spacing w:val="2"/>
          <w:position w:val="2"/>
        </w:rPr>
        <w:t>.</w:t>
      </w:r>
      <w:r>
        <w:rPr>
          <w:position w:val="2"/>
        </w:rPr>
        <w:t>3</w:t>
      </w:r>
      <w:r>
        <w:rPr>
          <w:spacing w:val="-5"/>
          <w:position w:val="2"/>
        </w:rPr>
        <w:t>3</w:t>
      </w:r>
      <w:r>
        <w:rPr>
          <w:position w:val="2"/>
        </w:rPr>
        <w:t>,</w:t>
      </w:r>
    </w:p>
    <w:p w14:paraId="231D67E6" w14:textId="77777777" w:rsidR="00C75312" w:rsidRDefault="00C75312">
      <w:pPr>
        <w:spacing w:line="480" w:lineRule="auto"/>
        <w:jc w:val="both"/>
        <w:sectPr w:rsidR="00C75312">
          <w:pgSz w:w="11900" w:h="16840"/>
          <w:pgMar w:top="1140" w:right="0" w:bottom="280" w:left="1300" w:header="720" w:footer="0" w:gutter="0"/>
          <w:cols w:space="720"/>
        </w:sectPr>
      </w:pPr>
    </w:p>
    <w:p w14:paraId="3A279EDF" w14:textId="77777777" w:rsidR="00C75312" w:rsidRDefault="00BB293A">
      <w:pPr>
        <w:pStyle w:val="BodyText"/>
        <w:spacing w:before="107" w:line="480" w:lineRule="auto"/>
        <w:ind w:left="140" w:right="1434"/>
        <w:jc w:val="both"/>
      </w:pPr>
      <w:r>
        <w:lastRenderedPageBreak/>
        <w:pict w14:anchorId="4E5978D5">
          <v:shape id="_x0000_s2674" type="#_x0000_t202" style="position:absolute;left:0;text-align:left;margin-left:264.95pt;margin-top:11.2pt;width:5.3pt;height:9.85pt;z-index:-260561920;mso-position-horizontal-relative:page" filled="f" stroked="f">
            <v:textbox inset="0,0,0,0">
              <w:txbxContent>
                <w:p w14:paraId="0665CD03"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97D55B9">
          <v:shape id="_x0000_s2673" type="#_x0000_t202" style="position:absolute;left:0;text-align:left;margin-left:238.3pt;margin-top:95.95pt;width:5.3pt;height:9.85pt;z-index:-260560896;mso-position-horizontal-relative:page" filled="f" stroked="f">
            <v:textbox inset="0,0,0,0">
              <w:txbxContent>
                <w:p w14:paraId="037B335C"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spacing w:val="-1"/>
          <w:position w:val="2"/>
        </w:rPr>
        <w:t>a</w:t>
      </w:r>
      <w:r>
        <w:rPr>
          <w:position w:val="2"/>
        </w:rPr>
        <w:t>nd</w:t>
      </w:r>
      <w:r>
        <w:rPr>
          <w:spacing w:val="2"/>
          <w:position w:val="2"/>
        </w:rPr>
        <w:t xml:space="preserve"> </w:t>
      </w:r>
      <w:r>
        <w:rPr>
          <w:spacing w:val="-1"/>
          <w:position w:val="2"/>
        </w:rPr>
        <w:t>c</w:t>
      </w:r>
      <w:r>
        <w:rPr>
          <w:position w:val="2"/>
        </w:rPr>
        <w:t>ondition,</w:t>
      </w:r>
      <w:r>
        <w:rPr>
          <w:spacing w:val="-5"/>
          <w:position w:val="2"/>
        </w:rPr>
        <w:t xml:space="preserve"> </w:t>
      </w:r>
      <w:r>
        <w:rPr>
          <w:i/>
          <w:spacing w:val="2"/>
          <w:position w:val="2"/>
        </w:rPr>
        <w:t>F</w:t>
      </w:r>
      <w:r>
        <w:rPr>
          <w:spacing w:val="1"/>
          <w:position w:val="2"/>
        </w:rPr>
        <w:t>(</w:t>
      </w:r>
      <w:r>
        <w:rPr>
          <w:position w:val="2"/>
        </w:rPr>
        <w:t>1</w:t>
      </w:r>
      <w:r>
        <w:rPr>
          <w:spacing w:val="2"/>
          <w:position w:val="2"/>
        </w:rPr>
        <w:t>,</w:t>
      </w:r>
      <w:r>
        <w:rPr>
          <w:position w:val="2"/>
        </w:rPr>
        <w:t>4</w:t>
      </w:r>
      <w:r>
        <w:rPr>
          <w:spacing w:val="-5"/>
          <w:position w:val="2"/>
        </w:rPr>
        <w:t>6</w:t>
      </w:r>
      <w:r>
        <w:rPr>
          <w:position w:val="2"/>
        </w:rPr>
        <w:t>)</w:t>
      </w:r>
      <w:r>
        <w:rPr>
          <w:spacing w:val="-1"/>
          <w:position w:val="2"/>
        </w:rPr>
        <w:t xml:space="preserve"> </w:t>
      </w:r>
      <w:r>
        <w:rPr>
          <w:position w:val="2"/>
        </w:rPr>
        <w:t>=</w:t>
      </w:r>
      <w:r>
        <w:rPr>
          <w:spacing w:val="1"/>
          <w:position w:val="2"/>
        </w:rPr>
        <w:t xml:space="preserve"> </w:t>
      </w:r>
      <w:r>
        <w:rPr>
          <w:spacing w:val="-5"/>
          <w:position w:val="2"/>
        </w:rPr>
        <w:t>5</w:t>
      </w:r>
      <w:r>
        <w:rPr>
          <w:spacing w:val="2"/>
          <w:position w:val="2"/>
        </w:rPr>
        <w:t>.</w:t>
      </w:r>
      <w:r>
        <w:rPr>
          <w:position w:val="2"/>
        </w:rPr>
        <w:t xml:space="preserve">30, </w:t>
      </w:r>
      <w:r>
        <w:rPr>
          <w:i/>
          <w:position w:val="2"/>
        </w:rPr>
        <w:t>p</w:t>
      </w:r>
      <w:r>
        <w:rPr>
          <w:i/>
          <w:spacing w:val="-3"/>
          <w:position w:val="2"/>
        </w:rPr>
        <w:t xml:space="preserve"> </w:t>
      </w:r>
      <w:r>
        <w:rPr>
          <w:position w:val="2"/>
        </w:rPr>
        <w:t>=</w:t>
      </w:r>
      <w:r>
        <w:rPr>
          <w:spacing w:val="-4"/>
          <w:position w:val="2"/>
        </w:rPr>
        <w:t xml:space="preserve"> </w:t>
      </w:r>
      <w:r>
        <w:rPr>
          <w:spacing w:val="2"/>
          <w:position w:val="2"/>
        </w:rPr>
        <w:t>.</w:t>
      </w:r>
      <w:r>
        <w:rPr>
          <w:position w:val="2"/>
        </w:rPr>
        <w:t>0</w:t>
      </w:r>
      <w:r>
        <w:rPr>
          <w:spacing w:val="-5"/>
          <w:position w:val="2"/>
        </w:rPr>
        <w:t>3</w:t>
      </w:r>
      <w:r>
        <w:rPr>
          <w:position w:val="2"/>
        </w:rPr>
        <w:t>,</w:t>
      </w:r>
      <w:r>
        <w:rPr>
          <w:spacing w:val="-5"/>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16"/>
          <w:position w:val="2"/>
        </w:rPr>
        <w:t xml:space="preserve"> </w:t>
      </w:r>
      <w:r>
        <w:rPr>
          <w:position w:val="2"/>
        </w:rPr>
        <w:t>=</w:t>
      </w:r>
      <w:r>
        <w:rPr>
          <w:spacing w:val="-4"/>
          <w:position w:val="2"/>
        </w:rPr>
        <w:t xml:space="preserve"> </w:t>
      </w:r>
      <w:r>
        <w:rPr>
          <w:spacing w:val="2"/>
          <w:position w:val="2"/>
        </w:rPr>
        <w:t>.</w:t>
      </w:r>
      <w:r>
        <w:rPr>
          <w:position w:val="2"/>
        </w:rPr>
        <w:t>1</w:t>
      </w:r>
      <w:r>
        <w:rPr>
          <w:spacing w:val="-5"/>
          <w:position w:val="2"/>
        </w:rPr>
        <w:t>0</w:t>
      </w:r>
      <w:r>
        <w:rPr>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20"/>
          <w:position w:val="2"/>
        </w:rPr>
        <w:t xml:space="preserve"> </w:t>
      </w:r>
      <w:r>
        <w:rPr>
          <w:position w:val="2"/>
        </w:rPr>
        <w:t>=</w:t>
      </w:r>
      <w:r>
        <w:rPr>
          <w:spacing w:val="1"/>
          <w:position w:val="2"/>
        </w:rPr>
        <w:t xml:space="preserve"> </w:t>
      </w:r>
      <w:r>
        <w:rPr>
          <w:position w:val="2"/>
        </w:rPr>
        <w:t>1</w:t>
      </w:r>
      <w:r>
        <w:rPr>
          <w:spacing w:val="2"/>
          <w:position w:val="2"/>
        </w:rPr>
        <w:t>.</w:t>
      </w:r>
      <w:r>
        <w:rPr>
          <w:position w:val="2"/>
        </w:rPr>
        <w:t>9</w:t>
      </w:r>
      <w:r>
        <w:rPr>
          <w:spacing w:val="-5"/>
          <w:position w:val="2"/>
        </w:rPr>
        <w:t>4</w:t>
      </w:r>
      <w:r>
        <w:rPr>
          <w:position w:val="2"/>
        </w:rPr>
        <w:t xml:space="preserve">, </w:t>
      </w:r>
      <w:r>
        <w:rPr>
          <w:spacing w:val="-1"/>
          <w:position w:val="2"/>
        </w:rPr>
        <w:t>we</w:t>
      </w:r>
      <w:r>
        <w:rPr>
          <w:spacing w:val="1"/>
          <w:position w:val="2"/>
        </w:rPr>
        <w:t>r</w:t>
      </w:r>
      <w:r>
        <w:rPr>
          <w:position w:val="2"/>
        </w:rPr>
        <w:t>e</w:t>
      </w:r>
      <w:r>
        <w:rPr>
          <w:spacing w:val="1"/>
          <w:position w:val="2"/>
        </w:rPr>
        <w:t xml:space="preserve"> </w:t>
      </w:r>
      <w:r>
        <w:rPr>
          <w:spacing w:val="-3"/>
          <w:position w:val="2"/>
        </w:rPr>
        <w:t>s</w:t>
      </w:r>
      <w:r>
        <w:rPr>
          <w:position w:val="2"/>
        </w:rPr>
        <w:t>ign</w:t>
      </w:r>
      <w:r>
        <w:rPr>
          <w:spacing w:val="-5"/>
          <w:position w:val="2"/>
        </w:rPr>
        <w:t>i</w:t>
      </w:r>
      <w:r>
        <w:rPr>
          <w:spacing w:val="1"/>
          <w:position w:val="2"/>
        </w:rPr>
        <w:t>f</w:t>
      </w:r>
      <w:r>
        <w:rPr>
          <w:position w:val="2"/>
        </w:rPr>
        <w:t>i</w:t>
      </w:r>
      <w:r>
        <w:rPr>
          <w:spacing w:val="-1"/>
          <w:position w:val="2"/>
        </w:rPr>
        <w:t>ca</w:t>
      </w:r>
      <w:r>
        <w:rPr>
          <w:position w:val="2"/>
        </w:rPr>
        <w:t xml:space="preserve">nt. </w:t>
      </w:r>
      <w:r>
        <w:rPr>
          <w:spacing w:val="-3"/>
          <w:position w:val="2"/>
        </w:rPr>
        <w:t xml:space="preserve"> </w:t>
      </w:r>
      <w:r>
        <w:rPr>
          <w:spacing w:val="2"/>
          <w:position w:val="2"/>
        </w:rPr>
        <w:t>T</w:t>
      </w:r>
      <w:r>
        <w:rPr>
          <w:position w:val="2"/>
        </w:rPr>
        <w:t>he</w:t>
      </w:r>
      <w:r>
        <w:rPr>
          <w:spacing w:val="-4"/>
          <w:position w:val="2"/>
        </w:rPr>
        <w:t xml:space="preserve"> </w:t>
      </w:r>
      <w:r>
        <w:rPr>
          <w:spacing w:val="-1"/>
          <w:position w:val="2"/>
        </w:rPr>
        <w:t>N</w:t>
      </w:r>
      <w:r>
        <w:rPr>
          <w:position w:val="2"/>
        </w:rPr>
        <w:t>T</w:t>
      </w:r>
      <w:r>
        <w:rPr>
          <w:spacing w:val="-1"/>
          <w:position w:val="2"/>
        </w:rPr>
        <w:t xml:space="preserve"> </w:t>
      </w:r>
      <w:r>
        <w:rPr>
          <w:position w:val="2"/>
        </w:rPr>
        <w:t>g</w:t>
      </w:r>
      <w:r>
        <w:rPr>
          <w:spacing w:val="1"/>
          <w:position w:val="2"/>
        </w:rPr>
        <w:t>r</w:t>
      </w:r>
      <w:r>
        <w:rPr>
          <w:position w:val="2"/>
        </w:rPr>
        <w:t xml:space="preserve">oup </w:t>
      </w:r>
      <w:r>
        <w:rPr>
          <w:w w:val="105"/>
        </w:rPr>
        <w:t>performed</w:t>
      </w:r>
      <w:r>
        <w:rPr>
          <w:spacing w:val="-14"/>
          <w:w w:val="105"/>
        </w:rPr>
        <w:t xml:space="preserve"> </w:t>
      </w:r>
      <w:r>
        <w:rPr>
          <w:w w:val="105"/>
        </w:rPr>
        <w:t>better</w:t>
      </w:r>
      <w:r>
        <w:rPr>
          <w:spacing w:val="-11"/>
          <w:w w:val="105"/>
        </w:rPr>
        <w:t xml:space="preserve"> </w:t>
      </w:r>
      <w:r>
        <w:rPr>
          <w:w w:val="105"/>
        </w:rPr>
        <w:t>overall</w:t>
      </w:r>
      <w:r>
        <w:rPr>
          <w:spacing w:val="-16"/>
          <w:w w:val="105"/>
        </w:rPr>
        <w:t xml:space="preserve"> </w:t>
      </w:r>
      <w:r>
        <w:rPr>
          <w:w w:val="105"/>
        </w:rPr>
        <w:t>in</w:t>
      </w:r>
      <w:r>
        <w:rPr>
          <w:spacing w:val="-13"/>
          <w:w w:val="105"/>
        </w:rPr>
        <w:t xml:space="preserve"> </w:t>
      </w:r>
      <w:r>
        <w:rPr>
          <w:w w:val="105"/>
        </w:rPr>
        <w:t>comparison</w:t>
      </w:r>
      <w:r>
        <w:rPr>
          <w:spacing w:val="-13"/>
          <w:w w:val="105"/>
        </w:rPr>
        <w:t xml:space="preserve"> </w:t>
      </w:r>
      <w:r>
        <w:rPr>
          <w:w w:val="105"/>
        </w:rPr>
        <w:t>to</w:t>
      </w:r>
      <w:r>
        <w:rPr>
          <w:spacing w:val="-13"/>
          <w:w w:val="105"/>
        </w:rPr>
        <w:t xml:space="preserve"> </w:t>
      </w:r>
      <w:r>
        <w:rPr>
          <w:w w:val="105"/>
        </w:rPr>
        <w:t>the</w:t>
      </w:r>
      <w:r>
        <w:rPr>
          <w:spacing w:val="-14"/>
          <w:w w:val="105"/>
        </w:rPr>
        <w:t xml:space="preserve"> </w:t>
      </w:r>
      <w:r>
        <w:rPr>
          <w:w w:val="105"/>
        </w:rPr>
        <w:t>ASD</w:t>
      </w:r>
      <w:r>
        <w:rPr>
          <w:spacing w:val="-13"/>
          <w:w w:val="105"/>
        </w:rPr>
        <w:t xml:space="preserve"> </w:t>
      </w:r>
      <w:r>
        <w:rPr>
          <w:w w:val="105"/>
        </w:rPr>
        <w:t>group</w:t>
      </w:r>
      <w:r>
        <w:rPr>
          <w:w w:val="105"/>
          <w:position w:val="8"/>
          <w:sz w:val="16"/>
        </w:rPr>
        <w:t>12</w:t>
      </w:r>
      <w:r>
        <w:rPr>
          <w:w w:val="105"/>
        </w:rPr>
        <w:t>,</w:t>
      </w:r>
      <w:r>
        <w:rPr>
          <w:spacing w:val="-11"/>
          <w:w w:val="105"/>
        </w:rPr>
        <w:t xml:space="preserve"> </w:t>
      </w:r>
      <w:r>
        <w:rPr>
          <w:w w:val="105"/>
        </w:rPr>
        <w:t>and</w:t>
      </w:r>
      <w:r>
        <w:rPr>
          <w:spacing w:val="-13"/>
          <w:w w:val="105"/>
        </w:rPr>
        <w:t xml:space="preserve"> </w:t>
      </w:r>
      <w:r>
        <w:rPr>
          <w:w w:val="105"/>
        </w:rPr>
        <w:t>both</w:t>
      </w:r>
      <w:r>
        <w:rPr>
          <w:spacing w:val="-13"/>
          <w:w w:val="105"/>
        </w:rPr>
        <w:t xml:space="preserve"> </w:t>
      </w:r>
      <w:r>
        <w:rPr>
          <w:w w:val="105"/>
        </w:rPr>
        <w:t>groups</w:t>
      </w:r>
      <w:r>
        <w:rPr>
          <w:spacing w:val="-15"/>
          <w:w w:val="105"/>
        </w:rPr>
        <w:t xml:space="preserve"> </w:t>
      </w:r>
      <w:r>
        <w:rPr>
          <w:w w:val="105"/>
        </w:rPr>
        <w:t>showed</w:t>
      </w:r>
      <w:r>
        <w:rPr>
          <w:spacing w:val="-13"/>
          <w:w w:val="105"/>
        </w:rPr>
        <w:t xml:space="preserve"> </w:t>
      </w:r>
      <w:r>
        <w:rPr>
          <w:w w:val="105"/>
        </w:rPr>
        <w:t>better ongoing</w:t>
      </w:r>
      <w:r>
        <w:rPr>
          <w:spacing w:val="-22"/>
          <w:w w:val="105"/>
        </w:rPr>
        <w:t xml:space="preserve"> </w:t>
      </w:r>
      <w:r>
        <w:rPr>
          <w:w w:val="105"/>
        </w:rPr>
        <w:t>performance</w:t>
      </w:r>
      <w:r>
        <w:rPr>
          <w:spacing w:val="-22"/>
          <w:w w:val="105"/>
        </w:rPr>
        <w:t xml:space="preserve"> </w:t>
      </w:r>
      <w:r>
        <w:rPr>
          <w:w w:val="105"/>
        </w:rPr>
        <w:t>in</w:t>
      </w:r>
      <w:r>
        <w:rPr>
          <w:spacing w:val="-22"/>
          <w:w w:val="105"/>
        </w:rPr>
        <w:t xml:space="preserve"> </w:t>
      </w:r>
      <w:r>
        <w:rPr>
          <w:w w:val="105"/>
        </w:rPr>
        <w:t>the</w:t>
      </w:r>
      <w:r>
        <w:rPr>
          <w:spacing w:val="-25"/>
          <w:w w:val="105"/>
        </w:rPr>
        <w:t xml:space="preserve"> </w:t>
      </w:r>
      <w:r>
        <w:rPr>
          <w:i/>
          <w:w w:val="105"/>
        </w:rPr>
        <w:t>PM</w:t>
      </w:r>
      <w:r>
        <w:rPr>
          <w:i/>
          <w:spacing w:val="-23"/>
          <w:w w:val="105"/>
        </w:rPr>
        <w:t xml:space="preserve"> </w:t>
      </w:r>
      <w:r>
        <w:rPr>
          <w:i/>
          <w:w w:val="105"/>
        </w:rPr>
        <w:t>low</w:t>
      </w:r>
      <w:r>
        <w:rPr>
          <w:i/>
          <w:spacing w:val="-22"/>
          <w:w w:val="105"/>
        </w:rPr>
        <w:t xml:space="preserve"> </w:t>
      </w:r>
      <w:r>
        <w:rPr>
          <w:i/>
          <w:w w:val="105"/>
        </w:rPr>
        <w:t>importance</w:t>
      </w:r>
      <w:r>
        <w:rPr>
          <w:i/>
          <w:spacing w:val="-22"/>
          <w:w w:val="105"/>
        </w:rPr>
        <w:t xml:space="preserve"> </w:t>
      </w:r>
      <w:r>
        <w:rPr>
          <w:i/>
          <w:w w:val="105"/>
        </w:rPr>
        <w:t>condition</w:t>
      </w:r>
      <w:r>
        <w:rPr>
          <w:w w:val="105"/>
        </w:rPr>
        <w:t>.</w:t>
      </w:r>
      <w:r>
        <w:rPr>
          <w:spacing w:val="21"/>
          <w:w w:val="105"/>
        </w:rPr>
        <w:t xml:space="preserve"> </w:t>
      </w:r>
      <w:r>
        <w:rPr>
          <w:w w:val="105"/>
        </w:rPr>
        <w:t>No</w:t>
      </w:r>
      <w:r>
        <w:rPr>
          <w:spacing w:val="-21"/>
          <w:w w:val="105"/>
        </w:rPr>
        <w:t xml:space="preserve"> </w:t>
      </w:r>
      <w:r>
        <w:rPr>
          <w:w w:val="105"/>
        </w:rPr>
        <w:t>significant</w:t>
      </w:r>
      <w:r>
        <w:rPr>
          <w:spacing w:val="-22"/>
          <w:w w:val="105"/>
        </w:rPr>
        <w:t xml:space="preserve"> </w:t>
      </w:r>
      <w:r>
        <w:rPr>
          <w:w w:val="105"/>
        </w:rPr>
        <w:t>interaction</w:t>
      </w:r>
      <w:r>
        <w:rPr>
          <w:spacing w:val="-21"/>
          <w:w w:val="105"/>
        </w:rPr>
        <w:t xml:space="preserve"> </w:t>
      </w:r>
      <w:r>
        <w:rPr>
          <w:w w:val="105"/>
        </w:rPr>
        <w:t xml:space="preserve">effect </w:t>
      </w:r>
      <w:r>
        <w:rPr>
          <w:spacing w:val="-1"/>
          <w:position w:val="2"/>
        </w:rPr>
        <w:t>e</w:t>
      </w:r>
      <w:r>
        <w:rPr>
          <w:position w:val="2"/>
        </w:rPr>
        <w:t>m</w:t>
      </w:r>
      <w:r>
        <w:rPr>
          <w:spacing w:val="-1"/>
          <w:position w:val="2"/>
        </w:rPr>
        <w:t>e</w:t>
      </w:r>
      <w:r>
        <w:rPr>
          <w:spacing w:val="1"/>
          <w:position w:val="2"/>
        </w:rPr>
        <w:t>r</w:t>
      </w:r>
      <w:r>
        <w:rPr>
          <w:position w:val="2"/>
        </w:rPr>
        <w:t>g</w:t>
      </w:r>
      <w:r>
        <w:rPr>
          <w:spacing w:val="-1"/>
          <w:position w:val="2"/>
        </w:rPr>
        <w:t>e</w:t>
      </w:r>
      <w:r>
        <w:rPr>
          <w:position w:val="2"/>
        </w:rPr>
        <w:t>d</w:t>
      </w:r>
      <w:r>
        <w:rPr>
          <w:spacing w:val="2"/>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46)</w:t>
      </w:r>
      <w:r>
        <w:rPr>
          <w:spacing w:val="-1"/>
          <w:position w:val="2"/>
        </w:rPr>
        <w:t xml:space="preserve"> </w:t>
      </w:r>
      <w:r>
        <w:rPr>
          <w:position w:val="2"/>
        </w:rPr>
        <w:t>=</w:t>
      </w:r>
      <w:r>
        <w:rPr>
          <w:spacing w:val="1"/>
          <w:position w:val="2"/>
        </w:rPr>
        <w:t xml:space="preserve"> </w:t>
      </w:r>
      <w:r>
        <w:rPr>
          <w:position w:val="2"/>
        </w:rPr>
        <w:t>0</w:t>
      </w:r>
      <w:r>
        <w:rPr>
          <w:spacing w:val="2"/>
          <w:position w:val="2"/>
        </w:rPr>
        <w:t>.</w:t>
      </w:r>
      <w:r>
        <w:rPr>
          <w:position w:val="2"/>
        </w:rPr>
        <w:t>1</w:t>
      </w:r>
      <w:r>
        <w:rPr>
          <w:spacing w:val="-5"/>
          <w:position w:val="2"/>
        </w:rPr>
        <w:t>7</w:t>
      </w:r>
      <w:r>
        <w:rPr>
          <w:position w:val="2"/>
        </w:rPr>
        <w:t>,</w:t>
      </w:r>
      <w:r>
        <w:rPr>
          <w:spacing w:val="4"/>
          <w:position w:val="2"/>
        </w:rPr>
        <w:t xml:space="preserve"> </w:t>
      </w:r>
      <w:r>
        <w:rPr>
          <w:i/>
          <w:position w:val="2"/>
        </w:rPr>
        <w:t>p</w:t>
      </w:r>
      <w:r>
        <w:rPr>
          <w:i/>
          <w:spacing w:val="-3"/>
          <w:position w:val="2"/>
        </w:rPr>
        <w:t xml:space="preserve"> </w:t>
      </w:r>
      <w:r>
        <w:rPr>
          <w:position w:val="2"/>
        </w:rPr>
        <w:t>=</w:t>
      </w:r>
      <w:r>
        <w:rPr>
          <w:spacing w:val="-4"/>
          <w:position w:val="2"/>
        </w:rPr>
        <w:t xml:space="preserve"> </w:t>
      </w:r>
      <w:r>
        <w:rPr>
          <w:spacing w:val="2"/>
          <w:position w:val="2"/>
        </w:rPr>
        <w:t>.</w:t>
      </w:r>
      <w:r>
        <w:rPr>
          <w:position w:val="2"/>
        </w:rPr>
        <w:t>68,</w:t>
      </w:r>
      <w:r>
        <w:rPr>
          <w:spacing w:val="-5"/>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26"/>
          <w:position w:val="2"/>
        </w:rPr>
        <w:t xml:space="preserve"> </w:t>
      </w:r>
      <w:r>
        <w:rPr>
          <w:position w:val="2"/>
        </w:rPr>
        <w:t>=</w:t>
      </w:r>
      <w:r>
        <w:rPr>
          <w:spacing w:val="1"/>
          <w:position w:val="2"/>
        </w:rPr>
        <w:t xml:space="preserve"> </w:t>
      </w:r>
      <w:r>
        <w:rPr>
          <w:spacing w:val="2"/>
          <w:position w:val="2"/>
        </w:rPr>
        <w:t>.</w:t>
      </w:r>
      <w:r>
        <w:rPr>
          <w:position w:val="2"/>
        </w:rPr>
        <w:t xml:space="preserve">004,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20"/>
          <w:position w:val="2"/>
        </w:rPr>
        <w:t xml:space="preserve"> </w:t>
      </w:r>
      <w:r>
        <w:rPr>
          <w:position w:val="2"/>
        </w:rPr>
        <w:t>=</w:t>
      </w:r>
      <w:r>
        <w:rPr>
          <w:spacing w:val="1"/>
          <w:position w:val="2"/>
        </w:rPr>
        <w:t xml:space="preserve"> </w:t>
      </w:r>
      <w:r>
        <w:rPr>
          <w:spacing w:val="-5"/>
          <w:position w:val="2"/>
        </w:rPr>
        <w:t>0</w:t>
      </w:r>
      <w:r>
        <w:rPr>
          <w:spacing w:val="-3"/>
          <w:position w:val="2"/>
        </w:rPr>
        <w:t>.</w:t>
      </w:r>
      <w:r>
        <w:rPr>
          <w:position w:val="2"/>
        </w:rPr>
        <w:t xml:space="preserve">33. </w:t>
      </w:r>
      <w:r>
        <w:rPr>
          <w:spacing w:val="2"/>
          <w:position w:val="2"/>
        </w:rPr>
        <w:t xml:space="preserve"> T</w:t>
      </w:r>
      <w:r>
        <w:rPr>
          <w:position w:val="2"/>
        </w:rPr>
        <w:t>he</w:t>
      </w:r>
      <w:r>
        <w:rPr>
          <w:spacing w:val="1"/>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20"/>
          <w:position w:val="2"/>
        </w:rPr>
        <w:t xml:space="preserve"> </w:t>
      </w:r>
      <w:r>
        <w:rPr>
          <w:spacing w:val="1"/>
          <w:position w:val="2"/>
        </w:rPr>
        <w:t>f</w:t>
      </w:r>
      <w:r>
        <w:rPr>
          <w:position w:val="2"/>
        </w:rPr>
        <w:t>or</w:t>
      </w:r>
      <w:r>
        <w:rPr>
          <w:spacing w:val="-1"/>
          <w:position w:val="2"/>
        </w:rPr>
        <w:t xml:space="preserve"> </w:t>
      </w:r>
      <w:r>
        <w:rPr>
          <w:position w:val="2"/>
        </w:rPr>
        <w:t>the</w:t>
      </w:r>
      <w:r>
        <w:rPr>
          <w:spacing w:val="1"/>
          <w:position w:val="2"/>
        </w:rPr>
        <w:t xml:space="preserve"> </w:t>
      </w:r>
      <w:r>
        <w:rPr>
          <w:spacing w:val="-1"/>
          <w:position w:val="2"/>
        </w:rPr>
        <w:t>a</w:t>
      </w:r>
      <w:r>
        <w:rPr>
          <w:position w:val="2"/>
        </w:rPr>
        <w:t>dditive</w:t>
      </w:r>
      <w:r>
        <w:rPr>
          <w:spacing w:val="-4"/>
          <w:position w:val="2"/>
        </w:rPr>
        <w:t xml:space="preserve"> </w:t>
      </w:r>
      <w:r>
        <w:rPr>
          <w:position w:val="2"/>
        </w:rPr>
        <w:t>mod</w:t>
      </w:r>
      <w:r>
        <w:rPr>
          <w:spacing w:val="-1"/>
          <w:position w:val="2"/>
        </w:rPr>
        <w:t>e</w:t>
      </w:r>
      <w:r>
        <w:rPr>
          <w:position w:val="2"/>
        </w:rPr>
        <w:t>l</w:t>
      </w:r>
      <w:r>
        <w:rPr>
          <w:spacing w:val="2"/>
          <w:position w:val="2"/>
        </w:rPr>
        <w:t xml:space="preserve"> </w:t>
      </w:r>
      <w:r>
        <w:rPr>
          <w:spacing w:val="-1"/>
          <w:position w:val="2"/>
        </w:rPr>
        <w:t>wa</w:t>
      </w:r>
      <w:r>
        <w:rPr>
          <w:position w:val="2"/>
        </w:rPr>
        <w:t>s</w:t>
      </w:r>
    </w:p>
    <w:p w14:paraId="1D06B352" w14:textId="77777777" w:rsidR="00C75312" w:rsidRDefault="00BB293A">
      <w:pPr>
        <w:pStyle w:val="ListParagraph"/>
        <w:numPr>
          <w:ilvl w:val="1"/>
          <w:numId w:val="2"/>
        </w:numPr>
        <w:tabs>
          <w:tab w:val="left" w:pos="750"/>
        </w:tabs>
        <w:spacing w:before="15" w:line="480" w:lineRule="auto"/>
        <w:ind w:right="1439" w:firstLine="0"/>
        <w:jc w:val="both"/>
        <w:rPr>
          <w:sz w:val="24"/>
        </w:rPr>
      </w:pPr>
      <w:r>
        <w:rPr>
          <w:sz w:val="24"/>
        </w:rPr>
        <w:t>and for the full model 21.04. This means that the additive model provided the greatest evidence for the present</w:t>
      </w:r>
      <w:r>
        <w:rPr>
          <w:spacing w:val="2"/>
          <w:sz w:val="24"/>
        </w:rPr>
        <w:t xml:space="preserve"> </w:t>
      </w:r>
      <w:r>
        <w:rPr>
          <w:sz w:val="24"/>
        </w:rPr>
        <w:t>data.</w:t>
      </w:r>
    </w:p>
    <w:p w14:paraId="251A1041" w14:textId="77777777" w:rsidR="00C75312" w:rsidRDefault="00BB293A">
      <w:pPr>
        <w:pStyle w:val="Heading1"/>
        <w:spacing w:before="120"/>
        <w:jc w:val="both"/>
      </w:pPr>
      <w:r>
        <w:t>PM task</w:t>
      </w:r>
    </w:p>
    <w:p w14:paraId="73EE61AE" w14:textId="77777777" w:rsidR="00C75312" w:rsidRDefault="00C75312">
      <w:pPr>
        <w:pStyle w:val="BodyText"/>
        <w:rPr>
          <w:b/>
        </w:rPr>
      </w:pPr>
    </w:p>
    <w:p w14:paraId="1B2648C6" w14:textId="77777777" w:rsidR="00C75312" w:rsidRDefault="00BB293A">
      <w:pPr>
        <w:pStyle w:val="BodyText"/>
        <w:spacing w:line="480" w:lineRule="auto"/>
        <w:ind w:left="140" w:right="1433" w:firstLine="720"/>
        <w:jc w:val="both"/>
      </w:pPr>
      <w:r>
        <w:rPr>
          <w:b/>
        </w:rPr>
        <w:t>PM</w:t>
      </w:r>
      <w:r>
        <w:rPr>
          <w:b/>
          <w:spacing w:val="-15"/>
        </w:rPr>
        <w:t xml:space="preserve"> </w:t>
      </w:r>
      <w:r>
        <w:rPr>
          <w:b/>
        </w:rPr>
        <w:t>hits.</w:t>
      </w:r>
      <w:r>
        <w:rPr>
          <w:b/>
          <w:spacing w:val="31"/>
        </w:rPr>
        <w:t xml:space="preserve"> </w:t>
      </w:r>
      <w:r>
        <w:t>PM</w:t>
      </w:r>
      <w:r>
        <w:rPr>
          <w:spacing w:val="-16"/>
        </w:rPr>
        <w:t xml:space="preserve"> </w:t>
      </w:r>
      <w:r>
        <w:t>proportion</w:t>
      </w:r>
      <w:r>
        <w:rPr>
          <w:spacing w:val="-14"/>
        </w:rPr>
        <w:t xml:space="preserve"> </w:t>
      </w:r>
      <w:r>
        <w:t>hit</w:t>
      </w:r>
      <w:r>
        <w:rPr>
          <w:spacing w:val="-13"/>
        </w:rPr>
        <w:t xml:space="preserve"> </w:t>
      </w:r>
      <w:r>
        <w:t>scores</w:t>
      </w:r>
      <w:r>
        <w:rPr>
          <w:spacing w:val="-16"/>
        </w:rPr>
        <w:t xml:space="preserve"> </w:t>
      </w:r>
      <w:r>
        <w:t>were</w:t>
      </w:r>
      <w:r>
        <w:rPr>
          <w:spacing w:val="-14"/>
        </w:rPr>
        <w:t xml:space="preserve"> </w:t>
      </w:r>
      <w:r>
        <w:t>used</w:t>
      </w:r>
      <w:r>
        <w:rPr>
          <w:spacing w:val="-13"/>
        </w:rPr>
        <w:t xml:space="preserve"> </w:t>
      </w:r>
      <w:r>
        <w:t>as</w:t>
      </w:r>
      <w:r>
        <w:rPr>
          <w:spacing w:val="-17"/>
        </w:rPr>
        <w:t xml:space="preserve"> </w:t>
      </w:r>
      <w:r>
        <w:t>the</w:t>
      </w:r>
      <w:r>
        <w:rPr>
          <w:spacing w:val="-10"/>
        </w:rPr>
        <w:t xml:space="preserve"> </w:t>
      </w:r>
      <w:r>
        <w:t>dependent</w:t>
      </w:r>
      <w:r>
        <w:rPr>
          <w:spacing w:val="-13"/>
        </w:rPr>
        <w:t xml:space="preserve"> </w:t>
      </w:r>
      <w:r>
        <w:t>variable</w:t>
      </w:r>
      <w:r>
        <w:rPr>
          <w:spacing w:val="-14"/>
        </w:rPr>
        <w:t xml:space="preserve"> </w:t>
      </w:r>
      <w:r>
        <w:t>in</w:t>
      </w:r>
      <w:r>
        <w:rPr>
          <w:spacing w:val="-14"/>
        </w:rPr>
        <w:t xml:space="preserve"> </w:t>
      </w:r>
      <w:r>
        <w:t>a</w:t>
      </w:r>
      <w:r>
        <w:rPr>
          <w:spacing w:val="-14"/>
        </w:rPr>
        <w:t xml:space="preserve"> </w:t>
      </w:r>
      <w:r>
        <w:t>2</w:t>
      </w:r>
      <w:r>
        <w:rPr>
          <w:spacing w:val="-13"/>
        </w:rPr>
        <w:t xml:space="preserve"> </w:t>
      </w:r>
      <w:r>
        <w:t>×</w:t>
      </w:r>
      <w:r>
        <w:rPr>
          <w:spacing w:val="-14"/>
        </w:rPr>
        <w:t xml:space="preserve"> </w:t>
      </w:r>
      <w:r>
        <w:t>2</w:t>
      </w:r>
      <w:r>
        <w:rPr>
          <w:spacing w:val="-14"/>
        </w:rPr>
        <w:t xml:space="preserve"> </w:t>
      </w:r>
      <w:r>
        <w:t>mixed ANOVA with Group (ASD/NT) as between-subjects factor and Condition (PM low/high importance)</w:t>
      </w:r>
      <w:r>
        <w:rPr>
          <w:spacing w:val="6"/>
        </w:rPr>
        <w:t xml:space="preserve"> </w:t>
      </w:r>
      <w:r>
        <w:t>as</w:t>
      </w:r>
      <w:r>
        <w:rPr>
          <w:spacing w:val="4"/>
        </w:rPr>
        <w:t xml:space="preserve"> </w:t>
      </w:r>
      <w:r>
        <w:t>within-subject</w:t>
      </w:r>
      <w:r>
        <w:rPr>
          <w:spacing w:val="5"/>
        </w:rPr>
        <w:t xml:space="preserve"> </w:t>
      </w:r>
      <w:r>
        <w:t xml:space="preserve">factor. </w:t>
      </w:r>
      <w:r>
        <w:rPr>
          <w:spacing w:val="14"/>
        </w:rPr>
        <w:t xml:space="preserve"> </w:t>
      </w:r>
      <w:r>
        <w:t>There</w:t>
      </w:r>
      <w:r>
        <w:rPr>
          <w:spacing w:val="4"/>
        </w:rPr>
        <w:t xml:space="preserve"> </w:t>
      </w:r>
      <w:r>
        <w:t>was</w:t>
      </w:r>
      <w:r>
        <w:rPr>
          <w:spacing w:val="4"/>
        </w:rPr>
        <w:t xml:space="preserve"> </w:t>
      </w:r>
      <w:r>
        <w:t>a</w:t>
      </w:r>
      <w:r>
        <w:rPr>
          <w:spacing w:val="5"/>
        </w:rPr>
        <w:t xml:space="preserve"> </w:t>
      </w:r>
      <w:r>
        <w:t>main</w:t>
      </w:r>
      <w:r>
        <w:rPr>
          <w:spacing w:val="5"/>
        </w:rPr>
        <w:t xml:space="preserve"> </w:t>
      </w:r>
      <w:r>
        <w:t>effect</w:t>
      </w:r>
      <w:r>
        <w:rPr>
          <w:spacing w:val="6"/>
        </w:rPr>
        <w:t xml:space="preserve"> </w:t>
      </w:r>
      <w:r>
        <w:t>of</w:t>
      </w:r>
      <w:r>
        <w:rPr>
          <w:spacing w:val="6"/>
        </w:rPr>
        <w:t xml:space="preserve"> </w:t>
      </w:r>
      <w:r>
        <w:t>group,</w:t>
      </w:r>
      <w:r>
        <w:rPr>
          <w:spacing w:val="3"/>
        </w:rPr>
        <w:t xml:space="preserve"> </w:t>
      </w:r>
      <w:r>
        <w:rPr>
          <w:i/>
        </w:rPr>
        <w:t>F</w:t>
      </w:r>
      <w:r>
        <w:t>(1,46)</w:t>
      </w:r>
      <w:r>
        <w:rPr>
          <w:spacing w:val="7"/>
        </w:rPr>
        <w:t xml:space="preserve"> </w:t>
      </w:r>
      <w:r>
        <w:t>=</w:t>
      </w:r>
      <w:r>
        <w:rPr>
          <w:spacing w:val="4"/>
        </w:rPr>
        <w:t xml:space="preserve"> </w:t>
      </w:r>
      <w:r>
        <w:t>10.95,</w:t>
      </w:r>
      <w:r>
        <w:rPr>
          <w:spacing w:val="8"/>
        </w:rPr>
        <w:t xml:space="preserve"> </w:t>
      </w:r>
      <w:r>
        <w:rPr>
          <w:i/>
        </w:rPr>
        <w:t>p</w:t>
      </w:r>
      <w:r>
        <w:rPr>
          <w:i/>
          <w:spacing w:val="6"/>
        </w:rPr>
        <w:t xml:space="preserve"> </w:t>
      </w:r>
      <w:r>
        <w:t>=</w:t>
      </w:r>
    </w:p>
    <w:p w14:paraId="26C29173" w14:textId="77777777" w:rsidR="00C75312" w:rsidRDefault="00C75312">
      <w:pPr>
        <w:pStyle w:val="BodyText"/>
        <w:rPr>
          <w:sz w:val="20"/>
        </w:rPr>
      </w:pPr>
    </w:p>
    <w:p w14:paraId="1152A120" w14:textId="77777777" w:rsidR="00C75312" w:rsidRDefault="00C75312">
      <w:pPr>
        <w:pStyle w:val="BodyText"/>
        <w:rPr>
          <w:sz w:val="20"/>
        </w:rPr>
      </w:pPr>
    </w:p>
    <w:p w14:paraId="29FC12E1" w14:textId="77777777" w:rsidR="00C75312" w:rsidRDefault="00BB293A">
      <w:pPr>
        <w:pStyle w:val="BodyText"/>
        <w:spacing w:before="4"/>
        <w:rPr>
          <w:sz w:val="17"/>
        </w:rPr>
      </w:pPr>
      <w:r>
        <w:pict w14:anchorId="384E8BF3">
          <v:shape id="_x0000_s2672" style="position:absolute;margin-left:1in;margin-top:12.2pt;width:2in;height:.1pt;z-index:-251577344;mso-wrap-distance-left:0;mso-wrap-distance-right:0;mso-position-horizontal-relative:page" coordorigin="1440,244" coordsize="2880,0" path="m1440,244r2880,e" filled="f" strokeweight=".48pt">
            <v:path arrowok="t"/>
            <w10:wrap type="topAndBottom" anchorx="page"/>
          </v:shape>
        </w:pict>
      </w:r>
    </w:p>
    <w:p w14:paraId="466D1BCD" w14:textId="77777777" w:rsidR="00C75312" w:rsidRDefault="00BB293A">
      <w:pPr>
        <w:spacing w:before="62" w:line="480" w:lineRule="auto"/>
        <w:ind w:left="140" w:right="1434"/>
        <w:jc w:val="both"/>
        <w:rPr>
          <w:i/>
          <w:sz w:val="20"/>
        </w:rPr>
      </w:pPr>
      <w:r>
        <w:rPr>
          <w:position w:val="7"/>
          <w:sz w:val="13"/>
        </w:rPr>
        <w:t xml:space="preserve">12 </w:t>
      </w:r>
      <w:r>
        <w:rPr>
          <w:sz w:val="20"/>
        </w:rPr>
        <w:t>Due to the dual-task nature of PM tasks, attentional resources are divided between ongoing and PM task. As a result, between-group differences in ongoing task performance might reflect that fewer resources were available to perform the PM task. Thus, to interpret PM performance in the ASD group, it is important that their ongoing task performance is matched with the NT group (see Chapter 1 for a detailed discussion). Therefore, prior to the analysis of PM task performance, the group difference in proportion</w:t>
      </w:r>
      <w:r>
        <w:rPr>
          <w:sz w:val="20"/>
        </w:rPr>
        <w:t xml:space="preserve"> of hits </w:t>
      </w:r>
      <w:r>
        <w:rPr>
          <w:spacing w:val="-3"/>
          <w:sz w:val="20"/>
        </w:rPr>
        <w:t xml:space="preserve">on </w:t>
      </w:r>
      <w:r>
        <w:rPr>
          <w:sz w:val="20"/>
        </w:rPr>
        <w:t xml:space="preserve">the ongoing task was </w:t>
      </w:r>
      <w:proofErr w:type="spellStart"/>
      <w:r>
        <w:rPr>
          <w:sz w:val="20"/>
        </w:rPr>
        <w:t>analysed</w:t>
      </w:r>
      <w:proofErr w:type="spellEnd"/>
      <w:r>
        <w:rPr>
          <w:sz w:val="20"/>
        </w:rPr>
        <w:t>. For this purpose, ongoing task performance was collapsed across conditions and entered into an independent- samples t-test with group as the independent variable.  This analysis revealed that the ASD group (</w:t>
      </w:r>
      <w:r>
        <w:rPr>
          <w:i/>
          <w:sz w:val="20"/>
        </w:rPr>
        <w:t xml:space="preserve">M </w:t>
      </w:r>
      <w:r>
        <w:rPr>
          <w:sz w:val="20"/>
        </w:rPr>
        <w:t>= 0.64,</w:t>
      </w:r>
      <w:r>
        <w:rPr>
          <w:spacing w:val="7"/>
          <w:sz w:val="20"/>
        </w:rPr>
        <w:t xml:space="preserve"> </w:t>
      </w:r>
      <w:r>
        <w:rPr>
          <w:i/>
          <w:sz w:val="20"/>
        </w:rPr>
        <w:t>SD</w:t>
      </w:r>
    </w:p>
    <w:p w14:paraId="62D06E0C" w14:textId="77777777" w:rsidR="00C75312" w:rsidRDefault="00BB293A">
      <w:pPr>
        <w:spacing w:line="226" w:lineRule="exact"/>
        <w:ind w:left="140"/>
        <w:jc w:val="both"/>
        <w:rPr>
          <w:sz w:val="20"/>
        </w:rPr>
      </w:pPr>
      <w:r>
        <w:rPr>
          <w:sz w:val="20"/>
        </w:rPr>
        <w:t>=0.13)</w:t>
      </w:r>
      <w:r>
        <w:rPr>
          <w:spacing w:val="11"/>
          <w:sz w:val="20"/>
        </w:rPr>
        <w:t xml:space="preserve"> </w:t>
      </w:r>
      <w:r>
        <w:rPr>
          <w:sz w:val="20"/>
        </w:rPr>
        <w:t>performed</w:t>
      </w:r>
      <w:r>
        <w:rPr>
          <w:spacing w:val="11"/>
          <w:sz w:val="20"/>
        </w:rPr>
        <w:t xml:space="preserve"> </w:t>
      </w:r>
      <w:r>
        <w:rPr>
          <w:sz w:val="20"/>
        </w:rPr>
        <w:t>significantly</w:t>
      </w:r>
      <w:r>
        <w:rPr>
          <w:spacing w:val="12"/>
          <w:sz w:val="20"/>
        </w:rPr>
        <w:t xml:space="preserve"> </w:t>
      </w:r>
      <w:r>
        <w:rPr>
          <w:sz w:val="20"/>
        </w:rPr>
        <w:t>worse</w:t>
      </w:r>
      <w:r>
        <w:rPr>
          <w:spacing w:val="8"/>
          <w:sz w:val="20"/>
        </w:rPr>
        <w:t xml:space="preserve"> </w:t>
      </w:r>
      <w:r>
        <w:rPr>
          <w:sz w:val="20"/>
        </w:rPr>
        <w:t>than</w:t>
      </w:r>
      <w:r>
        <w:rPr>
          <w:spacing w:val="7"/>
          <w:sz w:val="20"/>
        </w:rPr>
        <w:t xml:space="preserve"> </w:t>
      </w:r>
      <w:r>
        <w:rPr>
          <w:sz w:val="20"/>
        </w:rPr>
        <w:t>the</w:t>
      </w:r>
      <w:r>
        <w:rPr>
          <w:spacing w:val="8"/>
          <w:sz w:val="20"/>
        </w:rPr>
        <w:t xml:space="preserve"> </w:t>
      </w:r>
      <w:r>
        <w:rPr>
          <w:sz w:val="20"/>
        </w:rPr>
        <w:t>control</w:t>
      </w:r>
      <w:r>
        <w:rPr>
          <w:spacing w:val="13"/>
          <w:sz w:val="20"/>
        </w:rPr>
        <w:t xml:space="preserve"> </w:t>
      </w:r>
      <w:r>
        <w:rPr>
          <w:sz w:val="20"/>
        </w:rPr>
        <w:t>group</w:t>
      </w:r>
      <w:r>
        <w:rPr>
          <w:spacing w:val="6"/>
          <w:sz w:val="20"/>
        </w:rPr>
        <w:t xml:space="preserve"> </w:t>
      </w:r>
      <w:r>
        <w:rPr>
          <w:sz w:val="20"/>
        </w:rPr>
        <w:t>(</w:t>
      </w:r>
      <w:r>
        <w:rPr>
          <w:i/>
          <w:sz w:val="20"/>
        </w:rPr>
        <w:t>M</w:t>
      </w:r>
      <w:r>
        <w:rPr>
          <w:i/>
          <w:spacing w:val="7"/>
          <w:sz w:val="20"/>
        </w:rPr>
        <w:t xml:space="preserve"> </w:t>
      </w:r>
      <w:r>
        <w:rPr>
          <w:sz w:val="20"/>
        </w:rPr>
        <w:t>=</w:t>
      </w:r>
      <w:r>
        <w:rPr>
          <w:spacing w:val="8"/>
          <w:sz w:val="20"/>
        </w:rPr>
        <w:t xml:space="preserve"> </w:t>
      </w:r>
      <w:r>
        <w:rPr>
          <w:sz w:val="20"/>
        </w:rPr>
        <w:t>0.76,</w:t>
      </w:r>
      <w:r>
        <w:rPr>
          <w:spacing w:val="10"/>
          <w:sz w:val="20"/>
        </w:rPr>
        <w:t xml:space="preserve"> </w:t>
      </w:r>
      <w:r>
        <w:rPr>
          <w:i/>
          <w:sz w:val="20"/>
        </w:rPr>
        <w:t>SD</w:t>
      </w:r>
      <w:r>
        <w:rPr>
          <w:i/>
          <w:spacing w:val="5"/>
          <w:sz w:val="20"/>
        </w:rPr>
        <w:t xml:space="preserve"> </w:t>
      </w:r>
      <w:r>
        <w:rPr>
          <w:sz w:val="20"/>
        </w:rPr>
        <w:t>=</w:t>
      </w:r>
      <w:r>
        <w:rPr>
          <w:spacing w:val="13"/>
          <w:sz w:val="20"/>
        </w:rPr>
        <w:t xml:space="preserve"> </w:t>
      </w:r>
      <w:r>
        <w:rPr>
          <w:sz w:val="20"/>
        </w:rPr>
        <w:t>0.11),</w:t>
      </w:r>
      <w:r>
        <w:rPr>
          <w:spacing w:val="9"/>
          <w:sz w:val="20"/>
        </w:rPr>
        <w:t xml:space="preserve"> </w:t>
      </w:r>
      <w:r>
        <w:rPr>
          <w:i/>
          <w:sz w:val="20"/>
        </w:rPr>
        <w:t>t</w:t>
      </w:r>
      <w:r>
        <w:rPr>
          <w:sz w:val="20"/>
        </w:rPr>
        <w:t>(46)</w:t>
      </w:r>
      <w:r>
        <w:rPr>
          <w:spacing w:val="7"/>
          <w:sz w:val="20"/>
        </w:rPr>
        <w:t xml:space="preserve"> </w:t>
      </w:r>
      <w:r>
        <w:rPr>
          <w:sz w:val="20"/>
        </w:rPr>
        <w:t>=</w:t>
      </w:r>
      <w:r>
        <w:rPr>
          <w:spacing w:val="8"/>
          <w:sz w:val="20"/>
        </w:rPr>
        <w:t xml:space="preserve"> </w:t>
      </w:r>
      <w:r>
        <w:rPr>
          <w:sz w:val="20"/>
        </w:rPr>
        <w:t>3.55,</w:t>
      </w:r>
      <w:r>
        <w:rPr>
          <w:spacing w:val="14"/>
          <w:sz w:val="20"/>
        </w:rPr>
        <w:t xml:space="preserve"> </w:t>
      </w:r>
      <w:r>
        <w:rPr>
          <w:i/>
          <w:sz w:val="20"/>
        </w:rPr>
        <w:t>p</w:t>
      </w:r>
      <w:r>
        <w:rPr>
          <w:i/>
          <w:spacing w:val="6"/>
          <w:sz w:val="20"/>
        </w:rPr>
        <w:t xml:space="preserve"> </w:t>
      </w:r>
      <w:r>
        <w:rPr>
          <w:sz w:val="20"/>
        </w:rPr>
        <w:t>=</w:t>
      </w:r>
      <w:r>
        <w:rPr>
          <w:spacing w:val="9"/>
          <w:sz w:val="20"/>
        </w:rPr>
        <w:t xml:space="preserve"> </w:t>
      </w:r>
      <w:r>
        <w:rPr>
          <w:sz w:val="20"/>
        </w:rPr>
        <w:t>.001,</w:t>
      </w:r>
      <w:r>
        <w:rPr>
          <w:spacing w:val="9"/>
          <w:sz w:val="20"/>
        </w:rPr>
        <w:t xml:space="preserve"> </w:t>
      </w:r>
      <w:r>
        <w:rPr>
          <w:i/>
          <w:sz w:val="20"/>
        </w:rPr>
        <w:t>d</w:t>
      </w:r>
      <w:r>
        <w:rPr>
          <w:i/>
          <w:spacing w:val="7"/>
          <w:sz w:val="20"/>
        </w:rPr>
        <w:t xml:space="preserve"> </w:t>
      </w:r>
      <w:r>
        <w:rPr>
          <w:sz w:val="20"/>
        </w:rPr>
        <w:t>=</w:t>
      </w:r>
    </w:p>
    <w:p w14:paraId="711AB5BF" w14:textId="77777777" w:rsidR="00C75312" w:rsidRDefault="00C75312">
      <w:pPr>
        <w:pStyle w:val="BodyText"/>
        <w:spacing w:before="1"/>
        <w:rPr>
          <w:sz w:val="20"/>
        </w:rPr>
      </w:pPr>
    </w:p>
    <w:p w14:paraId="28BB561A" w14:textId="77777777" w:rsidR="00C75312" w:rsidRDefault="00BB293A">
      <w:pPr>
        <w:spacing w:line="480" w:lineRule="auto"/>
        <w:ind w:left="140" w:right="1432"/>
        <w:jc w:val="both"/>
        <w:rPr>
          <w:sz w:val="20"/>
        </w:rPr>
      </w:pPr>
      <w:r>
        <w:rPr>
          <w:sz w:val="20"/>
        </w:rPr>
        <w:t xml:space="preserve">0.99. Since these group differences could have influenced PM performance in the different conditions, all analyses were repeated among a subsample that was </w:t>
      </w:r>
      <w:r>
        <w:rPr>
          <w:spacing w:val="-3"/>
          <w:sz w:val="20"/>
        </w:rPr>
        <w:t xml:space="preserve">matched </w:t>
      </w:r>
      <w:r>
        <w:rPr>
          <w:sz w:val="20"/>
        </w:rPr>
        <w:t xml:space="preserve">for ongoing task performance as well as baseline characteristics. In order to achieve this matching, the </w:t>
      </w:r>
      <w:r>
        <w:rPr>
          <w:spacing w:val="-4"/>
          <w:sz w:val="20"/>
        </w:rPr>
        <w:t xml:space="preserve">NT </w:t>
      </w:r>
      <w:r>
        <w:rPr>
          <w:sz w:val="20"/>
        </w:rPr>
        <w:t>participant with the highest ongoing task performance and the ASD participant with the lowest ongoing task performance were excluded sequentially. This process continued</w:t>
      </w:r>
      <w:r>
        <w:rPr>
          <w:spacing w:val="-9"/>
          <w:sz w:val="20"/>
        </w:rPr>
        <w:t xml:space="preserve"> </w:t>
      </w:r>
      <w:r>
        <w:rPr>
          <w:sz w:val="20"/>
        </w:rPr>
        <w:t>until</w:t>
      </w:r>
      <w:r>
        <w:rPr>
          <w:spacing w:val="-11"/>
          <w:sz w:val="20"/>
        </w:rPr>
        <w:t xml:space="preserve"> </w:t>
      </w:r>
      <w:r>
        <w:rPr>
          <w:sz w:val="20"/>
        </w:rPr>
        <w:t>the</w:t>
      </w:r>
      <w:r>
        <w:rPr>
          <w:spacing w:val="-11"/>
          <w:sz w:val="20"/>
        </w:rPr>
        <w:t xml:space="preserve"> </w:t>
      </w:r>
      <w:r>
        <w:rPr>
          <w:sz w:val="20"/>
        </w:rPr>
        <w:t>effect</w:t>
      </w:r>
      <w:r>
        <w:rPr>
          <w:spacing w:val="-8"/>
          <w:sz w:val="20"/>
        </w:rPr>
        <w:t xml:space="preserve"> </w:t>
      </w:r>
      <w:r>
        <w:rPr>
          <w:sz w:val="20"/>
        </w:rPr>
        <w:t>size</w:t>
      </w:r>
      <w:r>
        <w:rPr>
          <w:spacing w:val="-7"/>
          <w:sz w:val="20"/>
        </w:rPr>
        <w:t xml:space="preserve"> </w:t>
      </w:r>
      <w:r>
        <w:rPr>
          <w:sz w:val="20"/>
        </w:rPr>
        <w:t>for</w:t>
      </w:r>
      <w:r>
        <w:rPr>
          <w:spacing w:val="-13"/>
          <w:sz w:val="20"/>
        </w:rPr>
        <w:t xml:space="preserve"> </w:t>
      </w:r>
      <w:r>
        <w:rPr>
          <w:sz w:val="20"/>
        </w:rPr>
        <w:t>the</w:t>
      </w:r>
      <w:r>
        <w:rPr>
          <w:spacing w:val="-8"/>
          <w:sz w:val="20"/>
        </w:rPr>
        <w:t xml:space="preserve"> </w:t>
      </w:r>
      <w:r>
        <w:rPr>
          <w:sz w:val="20"/>
        </w:rPr>
        <w:t>between-group</w:t>
      </w:r>
      <w:r>
        <w:rPr>
          <w:spacing w:val="-8"/>
          <w:sz w:val="20"/>
        </w:rPr>
        <w:t xml:space="preserve"> </w:t>
      </w:r>
      <w:r>
        <w:rPr>
          <w:sz w:val="20"/>
        </w:rPr>
        <w:t>difference</w:t>
      </w:r>
      <w:r>
        <w:rPr>
          <w:spacing w:val="-7"/>
          <w:sz w:val="20"/>
        </w:rPr>
        <w:t xml:space="preserve"> </w:t>
      </w:r>
      <w:r>
        <w:rPr>
          <w:sz w:val="20"/>
        </w:rPr>
        <w:t>in</w:t>
      </w:r>
      <w:r>
        <w:rPr>
          <w:spacing w:val="-9"/>
          <w:sz w:val="20"/>
        </w:rPr>
        <w:t xml:space="preserve"> </w:t>
      </w:r>
      <w:r>
        <w:rPr>
          <w:sz w:val="20"/>
        </w:rPr>
        <w:t>ongoing</w:t>
      </w:r>
      <w:r>
        <w:rPr>
          <w:spacing w:val="-8"/>
          <w:sz w:val="20"/>
        </w:rPr>
        <w:t xml:space="preserve"> </w:t>
      </w:r>
      <w:r>
        <w:rPr>
          <w:sz w:val="20"/>
        </w:rPr>
        <w:t>task</w:t>
      </w:r>
      <w:r>
        <w:rPr>
          <w:spacing w:val="-8"/>
          <w:sz w:val="20"/>
        </w:rPr>
        <w:t xml:space="preserve"> </w:t>
      </w:r>
      <w:r>
        <w:rPr>
          <w:sz w:val="20"/>
        </w:rPr>
        <w:t>performance</w:t>
      </w:r>
      <w:r>
        <w:rPr>
          <w:spacing w:val="-8"/>
          <w:sz w:val="20"/>
        </w:rPr>
        <w:t xml:space="preserve"> </w:t>
      </w:r>
      <w:r>
        <w:rPr>
          <w:sz w:val="20"/>
        </w:rPr>
        <w:t>was</w:t>
      </w:r>
      <w:r>
        <w:rPr>
          <w:spacing w:val="-10"/>
          <w:sz w:val="20"/>
        </w:rPr>
        <w:t xml:space="preserve"> </w:t>
      </w:r>
      <w:r>
        <w:rPr>
          <w:sz w:val="20"/>
        </w:rPr>
        <w:t>small</w:t>
      </w:r>
      <w:r>
        <w:rPr>
          <w:spacing w:val="-7"/>
          <w:sz w:val="20"/>
        </w:rPr>
        <w:t xml:space="preserve"> </w:t>
      </w:r>
      <w:r>
        <w:rPr>
          <w:sz w:val="20"/>
        </w:rPr>
        <w:t>(</w:t>
      </w:r>
      <w:r>
        <w:rPr>
          <w:i/>
          <w:sz w:val="20"/>
        </w:rPr>
        <w:t>d</w:t>
      </w:r>
      <w:r>
        <w:rPr>
          <w:i/>
          <w:spacing w:val="-13"/>
          <w:sz w:val="20"/>
        </w:rPr>
        <w:t xml:space="preserve"> </w:t>
      </w:r>
      <w:r>
        <w:rPr>
          <w:sz w:val="20"/>
        </w:rPr>
        <w:t>&lt;</w:t>
      </w:r>
      <w:r>
        <w:rPr>
          <w:spacing w:val="-8"/>
          <w:sz w:val="20"/>
        </w:rPr>
        <w:t xml:space="preserve"> </w:t>
      </w:r>
      <w:r>
        <w:rPr>
          <w:sz w:val="20"/>
        </w:rPr>
        <w:t>0.50). This resulted in groups of 19 participants in each group who were matched for age and IQ (</w:t>
      </w:r>
      <w:r>
        <w:rPr>
          <w:i/>
          <w:sz w:val="20"/>
        </w:rPr>
        <w:t xml:space="preserve">d </w:t>
      </w:r>
      <w:r>
        <w:rPr>
          <w:sz w:val="20"/>
        </w:rPr>
        <w:t xml:space="preserve">≤ 0.53). Crucially, the results concerning PM performance were not substantially different in this subsample (matched for ongoing task performance) and in the full sample (unmatched for ongoing task performance. Therefore, the results from the full sample are reported here. The full details of the subsample analyses can </w:t>
      </w:r>
      <w:r>
        <w:rPr>
          <w:spacing w:val="-3"/>
          <w:sz w:val="20"/>
        </w:rPr>
        <w:t xml:space="preserve">be </w:t>
      </w:r>
      <w:r>
        <w:rPr>
          <w:sz w:val="20"/>
        </w:rPr>
        <w:t>found in Appendix</w:t>
      </w:r>
      <w:r>
        <w:rPr>
          <w:spacing w:val="-14"/>
          <w:sz w:val="20"/>
        </w:rPr>
        <w:t xml:space="preserve"> </w:t>
      </w:r>
      <w:r>
        <w:rPr>
          <w:spacing w:val="-3"/>
          <w:sz w:val="20"/>
        </w:rPr>
        <w:t>2.</w:t>
      </w:r>
    </w:p>
    <w:p w14:paraId="35E2E4B5" w14:textId="77777777" w:rsidR="00C75312" w:rsidRDefault="00C75312">
      <w:pPr>
        <w:spacing w:line="480" w:lineRule="auto"/>
        <w:jc w:val="both"/>
        <w:rPr>
          <w:sz w:val="20"/>
        </w:rPr>
        <w:sectPr w:rsidR="00C75312">
          <w:pgSz w:w="11900" w:h="16840"/>
          <w:pgMar w:top="1140" w:right="0" w:bottom="280" w:left="1300" w:header="720" w:footer="0" w:gutter="0"/>
          <w:cols w:space="720"/>
        </w:sectPr>
      </w:pPr>
    </w:p>
    <w:p w14:paraId="5C6CD59C" w14:textId="77777777" w:rsidR="00C75312" w:rsidRDefault="00BB293A">
      <w:pPr>
        <w:pStyle w:val="BodyText"/>
        <w:spacing w:before="107" w:line="480" w:lineRule="auto"/>
        <w:ind w:left="140" w:right="1434"/>
        <w:jc w:val="both"/>
        <w:rPr>
          <w:rFonts w:ascii="Cambria Math"/>
          <w:sz w:val="17"/>
        </w:rPr>
      </w:pPr>
      <w:r>
        <w:lastRenderedPageBreak/>
        <w:pict w14:anchorId="385BB8C7">
          <v:shape id="_x0000_s2671" type="#_x0000_t202" style="position:absolute;left:0;text-align:left;margin-left:104.9pt;margin-top:11.2pt;width:5.3pt;height:9.85pt;z-index:-260559872;mso-position-horizontal-relative:page" filled="f" stroked="f">
            <v:textbox inset="0,0,0,0">
              <w:txbxContent>
                <w:p w14:paraId="216CEB26"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31CC796B">
          <v:shape id="_x0000_s2670" type="#_x0000_t202" style="position:absolute;left:0;text-align:left;margin-left:357.85pt;margin-top:40.75pt;width:5.3pt;height:9.85pt;z-index:-260558848;mso-position-horizontal-relative:page" filled="f" stroked="f">
            <v:textbox inset="0,0,0,0">
              <w:txbxContent>
                <w:p w14:paraId="2B881025"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0C5AD085">
          <v:shape id="_x0000_s2669" type="#_x0000_t202" style="position:absolute;left:0;text-align:left;margin-left:516.95pt;margin-top:98.1pt;width:5.3pt;height:9.85pt;z-index:-260557824;mso-position-horizontal-relative:page" filled="f" stroked="f">
            <v:textbox inset="0,0,0,0">
              <w:txbxContent>
                <w:p w14:paraId="3B8312AF"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spacing w:val="2"/>
          <w:position w:val="2"/>
        </w:rPr>
        <w:t>.</w:t>
      </w:r>
      <w:r>
        <w:rPr>
          <w:position w:val="2"/>
        </w:rPr>
        <w:t>002,</w:t>
      </w:r>
      <w:r>
        <w:rPr>
          <w:spacing w:val="-10"/>
          <w:position w:val="2"/>
        </w:rPr>
        <w:t xml:space="preserve"> </w:t>
      </w:r>
      <w:r>
        <w:rPr>
          <w:rFonts w:ascii="Cambria Math"/>
          <w:spacing w:val="3"/>
          <w:w w:val="183"/>
          <w:position w:val="2"/>
        </w:rPr>
        <w:t>!</w:t>
      </w:r>
      <w:r>
        <w:rPr>
          <w:rFonts w:ascii="Cambria Math"/>
          <w:w w:val="85"/>
          <w:position w:val="2"/>
          <w:vertAlign w:val="superscript"/>
        </w:rPr>
        <w:t>#</w:t>
      </w:r>
      <w:r>
        <w:rPr>
          <w:rFonts w:ascii="Cambria Math"/>
          <w:spacing w:val="22"/>
          <w:position w:val="2"/>
        </w:rPr>
        <w:t xml:space="preserve"> </w:t>
      </w:r>
      <w:r>
        <w:rPr>
          <w:position w:val="2"/>
        </w:rPr>
        <w:t>=</w:t>
      </w:r>
      <w:r>
        <w:rPr>
          <w:spacing w:val="-9"/>
          <w:position w:val="2"/>
        </w:rPr>
        <w:t xml:space="preserve"> </w:t>
      </w:r>
      <w:r>
        <w:rPr>
          <w:spacing w:val="2"/>
          <w:position w:val="2"/>
        </w:rPr>
        <w:t>.</w:t>
      </w:r>
      <w:r>
        <w:rPr>
          <w:position w:val="2"/>
        </w:rPr>
        <w:t>19,</w:t>
      </w:r>
      <w:r>
        <w:rPr>
          <w:spacing w:val="-5"/>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position w:val="2"/>
        </w:rPr>
        <w:t xml:space="preserve"> </w:t>
      </w:r>
      <w:r>
        <w:rPr>
          <w:spacing w:val="-27"/>
          <w:position w:val="2"/>
        </w:rPr>
        <w:t xml:space="preserve"> </w:t>
      </w:r>
      <w:r>
        <w:rPr>
          <w:position w:val="2"/>
        </w:rPr>
        <w:t>=</w:t>
      </w:r>
      <w:r>
        <w:rPr>
          <w:spacing w:val="-9"/>
          <w:position w:val="2"/>
        </w:rPr>
        <w:t xml:space="preserve"> </w:t>
      </w:r>
      <w:r>
        <w:rPr>
          <w:position w:val="2"/>
        </w:rPr>
        <w:t>16</w:t>
      </w:r>
      <w:r>
        <w:rPr>
          <w:spacing w:val="2"/>
          <w:position w:val="2"/>
        </w:rPr>
        <w:t>.</w:t>
      </w:r>
      <w:r>
        <w:rPr>
          <w:position w:val="2"/>
        </w:rPr>
        <w:t>95</w:t>
      </w:r>
      <w:r>
        <w:rPr>
          <w:spacing w:val="-8"/>
          <w:position w:val="2"/>
        </w:rPr>
        <w:t xml:space="preserve"> </w:t>
      </w:r>
      <w:r>
        <w:rPr>
          <w:spacing w:val="-1"/>
          <w:position w:val="2"/>
        </w:rPr>
        <w:t>w</w:t>
      </w:r>
      <w:r>
        <w:rPr>
          <w:position w:val="2"/>
        </w:rPr>
        <w:t>ith</w:t>
      </w:r>
      <w:r>
        <w:rPr>
          <w:spacing w:val="-8"/>
          <w:position w:val="2"/>
        </w:rPr>
        <w:t xml:space="preserve"> </w:t>
      </w:r>
      <w:r>
        <w:rPr>
          <w:position w:val="2"/>
        </w:rPr>
        <w:t>the</w:t>
      </w:r>
      <w:r>
        <w:rPr>
          <w:spacing w:val="-9"/>
          <w:position w:val="2"/>
        </w:rPr>
        <w:t xml:space="preserve"> </w:t>
      </w:r>
      <w:r>
        <w:rPr>
          <w:spacing w:val="-1"/>
          <w:position w:val="2"/>
        </w:rPr>
        <w:t>A</w:t>
      </w:r>
      <w:r>
        <w:rPr>
          <w:position w:val="2"/>
        </w:rPr>
        <w:t>SD</w:t>
      </w:r>
      <w:r>
        <w:rPr>
          <w:spacing w:val="-8"/>
          <w:position w:val="2"/>
        </w:rPr>
        <w:t xml:space="preserve"> </w:t>
      </w:r>
      <w:r>
        <w:rPr>
          <w:position w:val="2"/>
        </w:rPr>
        <w:t>g</w:t>
      </w:r>
      <w:r>
        <w:rPr>
          <w:spacing w:val="1"/>
          <w:position w:val="2"/>
        </w:rPr>
        <w:t>r</w:t>
      </w:r>
      <w:r>
        <w:rPr>
          <w:position w:val="2"/>
        </w:rPr>
        <w:t>oup</w:t>
      </w:r>
      <w:r>
        <w:rPr>
          <w:spacing w:val="-8"/>
          <w:position w:val="2"/>
        </w:rPr>
        <w:t xml:space="preserve"> </w:t>
      </w:r>
      <w:r>
        <w:rPr>
          <w:position w:val="2"/>
        </w:rPr>
        <w:t>p</w:t>
      </w:r>
      <w:r>
        <w:rPr>
          <w:spacing w:val="-1"/>
          <w:position w:val="2"/>
        </w:rPr>
        <w:t>e</w:t>
      </w:r>
      <w:r>
        <w:rPr>
          <w:spacing w:val="-4"/>
          <w:position w:val="2"/>
        </w:rPr>
        <w:t>rf</w:t>
      </w:r>
      <w:r>
        <w:rPr>
          <w:position w:val="2"/>
        </w:rPr>
        <w:t>o</w:t>
      </w:r>
      <w:r>
        <w:rPr>
          <w:spacing w:val="1"/>
          <w:position w:val="2"/>
        </w:rPr>
        <w:t>r</w:t>
      </w:r>
      <w:r>
        <w:rPr>
          <w:position w:val="2"/>
        </w:rPr>
        <w:t>ming</w:t>
      </w:r>
      <w:r>
        <w:rPr>
          <w:spacing w:val="-3"/>
          <w:position w:val="2"/>
        </w:rPr>
        <w:t xml:space="preserve"> </w:t>
      </w:r>
      <w:r>
        <w:rPr>
          <w:spacing w:val="-1"/>
          <w:position w:val="2"/>
        </w:rPr>
        <w:t>w</w:t>
      </w:r>
      <w:r>
        <w:rPr>
          <w:spacing w:val="-5"/>
          <w:position w:val="2"/>
        </w:rPr>
        <w:t>o</w:t>
      </w:r>
      <w:r>
        <w:rPr>
          <w:spacing w:val="1"/>
          <w:position w:val="2"/>
        </w:rPr>
        <w:t>r</w:t>
      </w:r>
      <w:r>
        <w:rPr>
          <w:spacing w:val="-3"/>
          <w:position w:val="2"/>
        </w:rPr>
        <w:t>s</w:t>
      </w:r>
      <w:r>
        <w:rPr>
          <w:position w:val="2"/>
        </w:rPr>
        <w:t>e</w:t>
      </w:r>
      <w:r>
        <w:rPr>
          <w:spacing w:val="-4"/>
          <w:position w:val="2"/>
        </w:rPr>
        <w:t xml:space="preserve"> </w:t>
      </w:r>
      <w:r>
        <w:rPr>
          <w:position w:val="2"/>
        </w:rPr>
        <w:t>ov</w:t>
      </w:r>
      <w:r>
        <w:rPr>
          <w:spacing w:val="-1"/>
          <w:position w:val="2"/>
        </w:rPr>
        <w:t>e</w:t>
      </w:r>
      <w:r>
        <w:rPr>
          <w:spacing w:val="1"/>
          <w:position w:val="2"/>
        </w:rPr>
        <w:t>r</w:t>
      </w:r>
      <w:r>
        <w:rPr>
          <w:spacing w:val="-1"/>
          <w:position w:val="2"/>
        </w:rPr>
        <w:t>a</w:t>
      </w:r>
      <w:r>
        <w:rPr>
          <w:position w:val="2"/>
        </w:rPr>
        <w:t>ll</w:t>
      </w:r>
      <w:r>
        <w:rPr>
          <w:spacing w:val="-7"/>
          <w:position w:val="2"/>
        </w:rPr>
        <w:t xml:space="preserve"> </w:t>
      </w:r>
      <w:r>
        <w:rPr>
          <w:position w:val="2"/>
        </w:rPr>
        <w:t>th</w:t>
      </w:r>
      <w:r>
        <w:rPr>
          <w:spacing w:val="-1"/>
          <w:position w:val="2"/>
        </w:rPr>
        <w:t>a</w:t>
      </w:r>
      <w:r>
        <w:rPr>
          <w:position w:val="2"/>
        </w:rPr>
        <w:t>n</w:t>
      </w:r>
      <w:r>
        <w:rPr>
          <w:spacing w:val="-8"/>
          <w:position w:val="2"/>
        </w:rPr>
        <w:t xml:space="preserve"> </w:t>
      </w:r>
      <w:r>
        <w:rPr>
          <w:position w:val="2"/>
        </w:rPr>
        <w:t>the</w:t>
      </w:r>
      <w:r>
        <w:rPr>
          <w:spacing w:val="-9"/>
          <w:position w:val="2"/>
        </w:rPr>
        <w:t xml:space="preserve"> </w:t>
      </w:r>
      <w:r>
        <w:rPr>
          <w:spacing w:val="-1"/>
          <w:position w:val="2"/>
        </w:rPr>
        <w:t>N</w:t>
      </w:r>
      <w:r>
        <w:rPr>
          <w:position w:val="2"/>
        </w:rPr>
        <w:t>T</w:t>
      </w:r>
      <w:r>
        <w:rPr>
          <w:spacing w:val="-5"/>
          <w:position w:val="2"/>
        </w:rPr>
        <w:t xml:space="preserve"> </w:t>
      </w:r>
      <w:r>
        <w:rPr>
          <w:position w:val="2"/>
        </w:rPr>
        <w:t>g</w:t>
      </w:r>
      <w:r>
        <w:rPr>
          <w:spacing w:val="1"/>
          <w:position w:val="2"/>
        </w:rPr>
        <w:t>r</w:t>
      </w:r>
      <w:r>
        <w:rPr>
          <w:position w:val="2"/>
        </w:rPr>
        <w:t>ou</w:t>
      </w:r>
      <w:r>
        <w:rPr>
          <w:spacing w:val="-5"/>
          <w:position w:val="2"/>
        </w:rPr>
        <w:t>p</w:t>
      </w:r>
      <w:r>
        <w:rPr>
          <w:position w:val="2"/>
        </w:rPr>
        <w:t xml:space="preserve">, </w:t>
      </w:r>
      <w:r>
        <w:rPr>
          <w:spacing w:val="-1"/>
          <w:position w:val="2"/>
        </w:rPr>
        <w:t>a</w:t>
      </w:r>
      <w:r>
        <w:rPr>
          <w:position w:val="2"/>
        </w:rPr>
        <w:t>nd</w:t>
      </w:r>
      <w:r>
        <w:rPr>
          <w:spacing w:val="7"/>
          <w:position w:val="2"/>
        </w:rPr>
        <w:t xml:space="preserve"> </w:t>
      </w:r>
      <w:r>
        <w:rPr>
          <w:position w:val="2"/>
        </w:rPr>
        <w:t>a</w:t>
      </w:r>
      <w:r>
        <w:rPr>
          <w:spacing w:val="1"/>
          <w:position w:val="2"/>
        </w:rPr>
        <w:t xml:space="preserve"> </w:t>
      </w:r>
      <w:r>
        <w:rPr>
          <w:position w:val="2"/>
        </w:rPr>
        <w:t>m</w:t>
      </w:r>
      <w:r>
        <w:rPr>
          <w:spacing w:val="-1"/>
          <w:position w:val="2"/>
        </w:rPr>
        <w:t>a</w:t>
      </w:r>
      <w:r>
        <w:rPr>
          <w:position w:val="2"/>
        </w:rPr>
        <w:t>in</w:t>
      </w:r>
      <w:r>
        <w:rPr>
          <w:spacing w:val="2"/>
          <w:position w:val="2"/>
        </w:rPr>
        <w:t xml:space="preserve"> </w:t>
      </w:r>
      <w:r>
        <w:rPr>
          <w:spacing w:val="-1"/>
          <w:position w:val="2"/>
        </w:rPr>
        <w:t>e</w:t>
      </w:r>
      <w:r>
        <w:rPr>
          <w:spacing w:val="1"/>
          <w:position w:val="2"/>
        </w:rPr>
        <w:t>ff</w:t>
      </w:r>
      <w:r>
        <w:rPr>
          <w:spacing w:val="-1"/>
          <w:position w:val="2"/>
        </w:rPr>
        <w:t>ec</w:t>
      </w:r>
      <w:r>
        <w:rPr>
          <w:position w:val="2"/>
        </w:rPr>
        <w:t>t</w:t>
      </w:r>
      <w:r>
        <w:rPr>
          <w:spacing w:val="2"/>
          <w:position w:val="2"/>
        </w:rPr>
        <w:t xml:space="preserve"> </w:t>
      </w:r>
      <w:r>
        <w:rPr>
          <w:position w:val="2"/>
        </w:rPr>
        <w:t>of</w:t>
      </w:r>
      <w:r>
        <w:rPr>
          <w:spacing w:val="4"/>
          <w:position w:val="2"/>
        </w:rPr>
        <w:t xml:space="preserve"> </w:t>
      </w:r>
      <w:r>
        <w:rPr>
          <w:spacing w:val="-1"/>
          <w:position w:val="2"/>
        </w:rPr>
        <w:t>c</w:t>
      </w:r>
      <w:r>
        <w:rPr>
          <w:position w:val="2"/>
        </w:rPr>
        <w:t>onditio</w:t>
      </w:r>
      <w:r>
        <w:rPr>
          <w:spacing w:val="-5"/>
          <w:position w:val="2"/>
        </w:rPr>
        <w:t>n</w:t>
      </w:r>
      <w:r>
        <w:rPr>
          <w:position w:val="2"/>
        </w:rPr>
        <w:t>,</w:t>
      </w:r>
      <w:r>
        <w:rPr>
          <w:spacing w:val="4"/>
          <w:position w:val="2"/>
        </w:rPr>
        <w:t xml:space="preserve"> </w:t>
      </w:r>
      <w:r>
        <w:rPr>
          <w:i/>
          <w:spacing w:val="-3"/>
          <w:position w:val="2"/>
        </w:rPr>
        <w:t>F</w:t>
      </w:r>
      <w:r>
        <w:rPr>
          <w:spacing w:val="1"/>
          <w:position w:val="2"/>
        </w:rPr>
        <w:t>(</w:t>
      </w:r>
      <w:r>
        <w:rPr>
          <w:position w:val="2"/>
        </w:rPr>
        <w:t>1</w:t>
      </w:r>
      <w:r>
        <w:rPr>
          <w:spacing w:val="2"/>
          <w:position w:val="2"/>
        </w:rPr>
        <w:t>,</w:t>
      </w:r>
      <w:r>
        <w:rPr>
          <w:position w:val="2"/>
        </w:rPr>
        <w:t>46)</w:t>
      </w:r>
      <w:r>
        <w:rPr>
          <w:spacing w:val="4"/>
          <w:position w:val="2"/>
        </w:rPr>
        <w:t xml:space="preserve"> </w:t>
      </w:r>
      <w:r>
        <w:rPr>
          <w:position w:val="2"/>
        </w:rPr>
        <w:t>=</w:t>
      </w:r>
      <w:r>
        <w:rPr>
          <w:spacing w:val="1"/>
          <w:position w:val="2"/>
        </w:rPr>
        <w:t xml:space="preserve"> </w:t>
      </w:r>
      <w:r>
        <w:rPr>
          <w:position w:val="2"/>
        </w:rPr>
        <w:t>1</w:t>
      </w:r>
      <w:r>
        <w:rPr>
          <w:spacing w:val="-5"/>
          <w:position w:val="2"/>
        </w:rPr>
        <w:t>8</w:t>
      </w:r>
      <w:r>
        <w:rPr>
          <w:spacing w:val="2"/>
          <w:position w:val="2"/>
        </w:rPr>
        <w:t>.</w:t>
      </w:r>
      <w:r>
        <w:rPr>
          <w:position w:val="2"/>
        </w:rPr>
        <w:t>09,</w:t>
      </w:r>
      <w:r>
        <w:rPr>
          <w:spacing w:val="4"/>
          <w:position w:val="2"/>
        </w:rPr>
        <w:t xml:space="preserve"> </w:t>
      </w:r>
      <w:r>
        <w:rPr>
          <w:i/>
          <w:position w:val="2"/>
        </w:rPr>
        <w:t>p</w:t>
      </w:r>
      <w:r>
        <w:rPr>
          <w:i/>
          <w:spacing w:val="-3"/>
          <w:position w:val="2"/>
        </w:rPr>
        <w:t xml:space="preserve"> </w:t>
      </w:r>
      <w:r>
        <w:rPr>
          <w:position w:val="2"/>
        </w:rPr>
        <w:t>&lt;</w:t>
      </w:r>
      <w:r>
        <w:rPr>
          <w:spacing w:val="6"/>
          <w:position w:val="2"/>
        </w:rPr>
        <w:t xml:space="preserve"> </w:t>
      </w:r>
      <w:r>
        <w:rPr>
          <w:spacing w:val="2"/>
          <w:position w:val="2"/>
        </w:rPr>
        <w:t>.</w:t>
      </w:r>
      <w:r>
        <w:rPr>
          <w:position w:val="2"/>
        </w:rPr>
        <w:t>00</w:t>
      </w:r>
      <w:r>
        <w:rPr>
          <w:spacing w:val="-5"/>
          <w:position w:val="2"/>
        </w:rPr>
        <w:t>1</w:t>
      </w:r>
      <w:r>
        <w:rPr>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21"/>
          <w:position w:val="2"/>
        </w:rPr>
        <w:t xml:space="preserve"> </w:t>
      </w:r>
      <w:r>
        <w:rPr>
          <w:position w:val="2"/>
        </w:rPr>
        <w:t>=</w:t>
      </w:r>
      <w:r>
        <w:rPr>
          <w:spacing w:val="1"/>
          <w:position w:val="2"/>
        </w:rPr>
        <w:t xml:space="preserve"> </w:t>
      </w:r>
      <w:r>
        <w:rPr>
          <w:spacing w:val="2"/>
          <w:position w:val="2"/>
        </w:rPr>
        <w:t>.</w:t>
      </w:r>
      <w:r>
        <w:rPr>
          <w:position w:val="2"/>
        </w:rPr>
        <w:t>28,</w:t>
      </w:r>
      <w:r>
        <w:rPr>
          <w:spacing w:val="4"/>
          <w:position w:val="2"/>
        </w:rPr>
        <w:t xml:space="preserve"> </w:t>
      </w:r>
      <w:r>
        <w:rPr>
          <w:spacing w:val="-2"/>
          <w:position w:val="2"/>
        </w:rPr>
        <w:t>B</w:t>
      </w:r>
      <w:r>
        <w:rPr>
          <w:spacing w:val="-4"/>
          <w:position w:val="2"/>
        </w:rPr>
        <w:t>F</w:t>
      </w:r>
      <w:r>
        <w:rPr>
          <w:spacing w:val="2"/>
          <w:w w:val="97"/>
          <w:position w:val="2"/>
          <w:vertAlign w:val="subscript"/>
        </w:rPr>
        <w:t>1</w:t>
      </w:r>
      <w:r>
        <w:rPr>
          <w:w w:val="97"/>
          <w:position w:val="2"/>
          <w:vertAlign w:val="subscript"/>
        </w:rPr>
        <w:t>0</w:t>
      </w:r>
      <w:r>
        <w:rPr>
          <w:position w:val="2"/>
        </w:rPr>
        <w:t xml:space="preserve"> </w:t>
      </w:r>
      <w:r>
        <w:rPr>
          <w:spacing w:val="-12"/>
          <w:position w:val="2"/>
        </w:rPr>
        <w:t xml:space="preserve"> </w:t>
      </w:r>
      <w:r>
        <w:rPr>
          <w:position w:val="2"/>
        </w:rPr>
        <w:t>=</w:t>
      </w:r>
      <w:r>
        <w:rPr>
          <w:spacing w:val="1"/>
          <w:position w:val="2"/>
        </w:rPr>
        <w:t xml:space="preserve"> </w:t>
      </w:r>
      <w:r>
        <w:rPr>
          <w:position w:val="2"/>
        </w:rPr>
        <w:t>14</w:t>
      </w:r>
      <w:r>
        <w:rPr>
          <w:spacing w:val="-5"/>
          <w:position w:val="2"/>
        </w:rPr>
        <w:t>7</w:t>
      </w:r>
      <w:r>
        <w:rPr>
          <w:spacing w:val="2"/>
          <w:position w:val="2"/>
        </w:rPr>
        <w:t>.</w:t>
      </w:r>
      <w:r>
        <w:rPr>
          <w:position w:val="2"/>
        </w:rPr>
        <w:t>26,</w:t>
      </w:r>
      <w:r>
        <w:rPr>
          <w:spacing w:val="4"/>
          <w:position w:val="2"/>
        </w:rPr>
        <w:t xml:space="preserve"> </w:t>
      </w:r>
      <w:r>
        <w:rPr>
          <w:position w:val="2"/>
        </w:rPr>
        <w:t>indi</w:t>
      </w:r>
      <w:r>
        <w:rPr>
          <w:spacing w:val="-1"/>
          <w:position w:val="2"/>
        </w:rPr>
        <w:t>ca</w:t>
      </w:r>
      <w:r>
        <w:rPr>
          <w:position w:val="2"/>
        </w:rPr>
        <w:t xml:space="preserve">ting </w:t>
      </w:r>
      <w:r>
        <w:t>better PM performance in the PM high importance condition. More importantly, however, there</w:t>
      </w:r>
      <w:r>
        <w:rPr>
          <w:spacing w:val="11"/>
        </w:rPr>
        <w:t xml:space="preserve"> </w:t>
      </w:r>
      <w:r>
        <w:t>was</w:t>
      </w:r>
      <w:r>
        <w:rPr>
          <w:spacing w:val="9"/>
        </w:rPr>
        <w:t xml:space="preserve"> </w:t>
      </w:r>
      <w:r>
        <w:t>a</w:t>
      </w:r>
      <w:r>
        <w:rPr>
          <w:spacing w:val="11"/>
        </w:rPr>
        <w:t xml:space="preserve"> </w:t>
      </w:r>
      <w:r>
        <w:t>significant</w:t>
      </w:r>
      <w:r>
        <w:rPr>
          <w:spacing w:val="12"/>
        </w:rPr>
        <w:t xml:space="preserve"> </w:t>
      </w:r>
      <w:r>
        <w:t>interaction</w:t>
      </w:r>
      <w:r>
        <w:rPr>
          <w:spacing w:val="7"/>
        </w:rPr>
        <w:t xml:space="preserve"> </w:t>
      </w:r>
      <w:r>
        <w:t>between</w:t>
      </w:r>
      <w:r>
        <w:rPr>
          <w:spacing w:val="12"/>
        </w:rPr>
        <w:t xml:space="preserve"> </w:t>
      </w:r>
      <w:r>
        <w:t>group</w:t>
      </w:r>
      <w:r>
        <w:rPr>
          <w:spacing w:val="7"/>
        </w:rPr>
        <w:t xml:space="preserve"> </w:t>
      </w:r>
      <w:r>
        <w:t>and</w:t>
      </w:r>
      <w:r>
        <w:rPr>
          <w:spacing w:val="12"/>
        </w:rPr>
        <w:t xml:space="preserve"> </w:t>
      </w:r>
      <w:r>
        <w:t>condition,</w:t>
      </w:r>
      <w:r>
        <w:rPr>
          <w:spacing w:val="9"/>
        </w:rPr>
        <w:t xml:space="preserve"> </w:t>
      </w:r>
      <w:r>
        <w:rPr>
          <w:i/>
        </w:rPr>
        <w:t>F</w:t>
      </w:r>
      <w:r>
        <w:t>(1,46)</w:t>
      </w:r>
      <w:r>
        <w:rPr>
          <w:spacing w:val="13"/>
        </w:rPr>
        <w:t xml:space="preserve"> </w:t>
      </w:r>
      <w:r>
        <w:t>=</w:t>
      </w:r>
      <w:r>
        <w:rPr>
          <w:spacing w:val="6"/>
        </w:rPr>
        <w:t xml:space="preserve"> </w:t>
      </w:r>
      <w:r>
        <w:t>8.18,</w:t>
      </w:r>
      <w:r>
        <w:rPr>
          <w:spacing w:val="9"/>
        </w:rPr>
        <w:t xml:space="preserve"> </w:t>
      </w:r>
      <w:r>
        <w:rPr>
          <w:i/>
        </w:rPr>
        <w:t>p</w:t>
      </w:r>
      <w:r>
        <w:rPr>
          <w:i/>
          <w:spacing w:val="12"/>
        </w:rPr>
        <w:t xml:space="preserve"> </w:t>
      </w:r>
      <w:r>
        <w:t>=</w:t>
      </w:r>
      <w:r>
        <w:rPr>
          <w:spacing w:val="6"/>
        </w:rPr>
        <w:t xml:space="preserve"> </w:t>
      </w:r>
      <w:r>
        <w:t>.006,</w:t>
      </w:r>
      <w:r>
        <w:rPr>
          <w:spacing w:val="4"/>
        </w:rPr>
        <w:t xml:space="preserve"> </w:t>
      </w:r>
      <w:r>
        <w:rPr>
          <w:rFonts w:ascii="Cambria Math"/>
          <w:w w:val="110"/>
        </w:rPr>
        <w:t>!</w:t>
      </w:r>
      <w:r>
        <w:rPr>
          <w:rFonts w:ascii="Cambria Math"/>
          <w:w w:val="110"/>
          <w:position w:val="9"/>
          <w:sz w:val="17"/>
        </w:rPr>
        <w:t>#</w:t>
      </w:r>
    </w:p>
    <w:p w14:paraId="564BA40D" w14:textId="77777777" w:rsidR="00C75312" w:rsidRDefault="00BB293A">
      <w:pPr>
        <w:pStyle w:val="BodyText"/>
        <w:spacing w:before="23" w:line="470" w:lineRule="auto"/>
        <w:ind w:left="140" w:right="1433"/>
        <w:jc w:val="both"/>
      </w:pPr>
      <w:r>
        <w:pict w14:anchorId="12FE3F35">
          <v:shape id="_x0000_s2668" type="#_x0000_t202" style="position:absolute;left:0;text-align:left;margin-left:429.85pt;margin-top:117.45pt;width:5.3pt;height:9.85pt;z-index:-260556800;mso-position-horizontal-relative:page" filled="f" stroked="f">
            <v:textbox inset="0,0,0,0">
              <w:txbxContent>
                <w:p w14:paraId="322593BD"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position w:val="2"/>
        </w:rPr>
        <w:t>= .15, BF</w:t>
      </w:r>
      <w:r>
        <w:rPr>
          <w:position w:val="2"/>
          <w:vertAlign w:val="subscript"/>
        </w:rPr>
        <w:t>10</w:t>
      </w:r>
      <w:r>
        <w:rPr>
          <w:position w:val="2"/>
        </w:rPr>
        <w:t xml:space="preserve"> = 6.76 (see Figure 9a and 9b). The BF</w:t>
      </w:r>
      <w:r>
        <w:rPr>
          <w:position w:val="2"/>
          <w:vertAlign w:val="subscript"/>
        </w:rPr>
        <w:t>10</w:t>
      </w:r>
      <w:r>
        <w:rPr>
          <w:position w:val="2"/>
        </w:rPr>
        <w:t xml:space="preserve"> for the additive model was 2689.84 and </w:t>
      </w:r>
      <w:r>
        <w:t>for the full model 18188.69. This means that the full model provided the greatest evidence for the present data. Tests of simple effects comparing PM performance within groups revealed that only the ASD group significantly increased their PM proportion scores from the PM low to</w:t>
      </w:r>
      <w:r>
        <w:rPr>
          <w:spacing w:val="17"/>
        </w:rPr>
        <w:t xml:space="preserve"> </w:t>
      </w:r>
      <w:r>
        <w:t>the</w:t>
      </w:r>
      <w:r>
        <w:rPr>
          <w:spacing w:val="16"/>
        </w:rPr>
        <w:t xml:space="preserve"> </w:t>
      </w:r>
      <w:r>
        <w:t>PM</w:t>
      </w:r>
      <w:r>
        <w:rPr>
          <w:spacing w:val="16"/>
        </w:rPr>
        <w:t xml:space="preserve"> </w:t>
      </w:r>
      <w:r>
        <w:t>high</w:t>
      </w:r>
      <w:r>
        <w:rPr>
          <w:spacing w:val="13"/>
        </w:rPr>
        <w:t xml:space="preserve"> </w:t>
      </w:r>
      <w:r>
        <w:t>importance</w:t>
      </w:r>
      <w:r>
        <w:rPr>
          <w:spacing w:val="16"/>
        </w:rPr>
        <w:t xml:space="preserve"> </w:t>
      </w:r>
      <w:r>
        <w:t>condition</w:t>
      </w:r>
      <w:r>
        <w:rPr>
          <w:spacing w:val="14"/>
        </w:rPr>
        <w:t xml:space="preserve"> </w:t>
      </w:r>
      <w:r>
        <w:t>(ASD:</w:t>
      </w:r>
      <w:r>
        <w:rPr>
          <w:spacing w:val="13"/>
        </w:rPr>
        <w:t xml:space="preserve"> </w:t>
      </w:r>
      <w:r>
        <w:rPr>
          <w:i/>
        </w:rPr>
        <w:t>F</w:t>
      </w:r>
      <w:r>
        <w:t>(1,46)</w:t>
      </w:r>
      <w:r>
        <w:rPr>
          <w:spacing w:val="19"/>
        </w:rPr>
        <w:t xml:space="preserve"> </w:t>
      </w:r>
      <w:r>
        <w:t>=</w:t>
      </w:r>
      <w:r>
        <w:rPr>
          <w:spacing w:val="17"/>
        </w:rPr>
        <w:t xml:space="preserve"> </w:t>
      </w:r>
      <w:r>
        <w:t>26.40,</w:t>
      </w:r>
      <w:r>
        <w:rPr>
          <w:spacing w:val="15"/>
        </w:rPr>
        <w:t xml:space="preserve"> </w:t>
      </w:r>
      <w:r>
        <w:rPr>
          <w:i/>
        </w:rPr>
        <w:t>p</w:t>
      </w:r>
      <w:r>
        <w:rPr>
          <w:i/>
          <w:spacing w:val="18"/>
        </w:rPr>
        <w:t xml:space="preserve"> </w:t>
      </w:r>
      <w:r>
        <w:t>&lt;</w:t>
      </w:r>
      <w:r>
        <w:rPr>
          <w:spacing w:val="12"/>
        </w:rPr>
        <w:t xml:space="preserve"> </w:t>
      </w:r>
      <w:r>
        <w:t>.001,</w:t>
      </w:r>
      <w:r>
        <w:rPr>
          <w:spacing w:val="10"/>
        </w:rPr>
        <w:t xml:space="preserve"> </w:t>
      </w:r>
      <w:r>
        <w:rPr>
          <w:rFonts w:ascii="Cambria Math"/>
          <w:w w:val="110"/>
        </w:rPr>
        <w:t>!</w:t>
      </w:r>
      <w:r>
        <w:rPr>
          <w:rFonts w:ascii="Cambria Math"/>
          <w:w w:val="110"/>
          <w:position w:val="9"/>
          <w:sz w:val="17"/>
        </w:rPr>
        <w:t xml:space="preserve">#  </w:t>
      </w:r>
      <w:r>
        <w:rPr>
          <w:rFonts w:ascii="Cambria Math"/>
          <w:spacing w:val="22"/>
          <w:w w:val="110"/>
          <w:position w:val="9"/>
          <w:sz w:val="17"/>
        </w:rPr>
        <w:t xml:space="preserve"> </w:t>
      </w:r>
      <w:r>
        <w:t>=</w:t>
      </w:r>
      <w:r>
        <w:rPr>
          <w:spacing w:val="16"/>
        </w:rPr>
        <w:t xml:space="preserve"> </w:t>
      </w:r>
      <w:r>
        <w:t>.37,</w:t>
      </w:r>
      <w:r>
        <w:rPr>
          <w:spacing w:val="21"/>
        </w:rPr>
        <w:t xml:space="preserve"> </w:t>
      </w:r>
      <w:r>
        <w:rPr>
          <w:i/>
        </w:rPr>
        <w:t>d</w:t>
      </w:r>
      <w:r>
        <w:rPr>
          <w:i/>
          <w:spacing w:val="13"/>
        </w:rPr>
        <w:t xml:space="preserve"> </w:t>
      </w:r>
      <w:r>
        <w:t>=</w:t>
      </w:r>
      <w:r>
        <w:rPr>
          <w:spacing w:val="17"/>
        </w:rPr>
        <w:t xml:space="preserve"> </w:t>
      </w:r>
      <w:r>
        <w:t>-0.86;</w:t>
      </w:r>
    </w:p>
    <w:p w14:paraId="2EE17385" w14:textId="77777777" w:rsidR="00C75312" w:rsidRDefault="00BB293A">
      <w:pPr>
        <w:pStyle w:val="BodyText"/>
        <w:spacing w:before="46"/>
        <w:ind w:left="140"/>
        <w:jc w:val="both"/>
      </w:pPr>
      <w:r>
        <w:pict w14:anchorId="3ECB9345">
          <v:shape id="_x0000_s2667" type="#_x0000_t202" style="position:absolute;left:0;text-align:left;margin-left:287.5pt;margin-top:8.15pt;width:5.3pt;height:9.85pt;z-index:-260555776;mso-position-horizontal-relative:page" filled="f" stroked="f">
            <v:textbox inset="0,0,0,0">
              <w:txbxContent>
                <w:p w14:paraId="607BFD79"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spacing w:val="-2"/>
          <w:position w:val="2"/>
        </w:rPr>
        <w:t>B</w:t>
      </w:r>
      <w:r>
        <w:rPr>
          <w:position w:val="2"/>
        </w:rPr>
        <w:t>F</w:t>
      </w:r>
      <w:r>
        <w:rPr>
          <w:spacing w:val="2"/>
          <w:w w:val="97"/>
          <w:position w:val="2"/>
          <w:vertAlign w:val="subscript"/>
        </w:rPr>
        <w:t>1</w:t>
      </w:r>
      <w:r>
        <w:rPr>
          <w:w w:val="97"/>
          <w:position w:val="2"/>
          <w:vertAlign w:val="subscript"/>
        </w:rPr>
        <w:t>0</w:t>
      </w:r>
      <w:r>
        <w:rPr>
          <w:position w:val="2"/>
        </w:rPr>
        <w:t xml:space="preserve"> </w:t>
      </w:r>
      <w:r>
        <w:rPr>
          <w:spacing w:val="-8"/>
          <w:position w:val="2"/>
        </w:rPr>
        <w:t xml:space="preserve"> </w:t>
      </w:r>
      <w:r>
        <w:rPr>
          <w:position w:val="2"/>
        </w:rPr>
        <w:t>=</w:t>
      </w:r>
      <w:r>
        <w:rPr>
          <w:spacing w:val="6"/>
          <w:position w:val="2"/>
        </w:rPr>
        <w:t xml:space="preserve"> </w:t>
      </w:r>
      <w:r>
        <w:rPr>
          <w:position w:val="2"/>
        </w:rPr>
        <w:t>52</w:t>
      </w:r>
      <w:r>
        <w:rPr>
          <w:spacing w:val="2"/>
          <w:position w:val="2"/>
        </w:rPr>
        <w:t>.</w:t>
      </w:r>
      <w:r>
        <w:rPr>
          <w:position w:val="2"/>
        </w:rPr>
        <w:t>74;</w:t>
      </w:r>
      <w:r>
        <w:rPr>
          <w:spacing w:val="7"/>
          <w:position w:val="2"/>
        </w:rPr>
        <w:t xml:space="preserve"> </w:t>
      </w:r>
      <w:r>
        <w:rPr>
          <w:spacing w:val="-1"/>
          <w:position w:val="2"/>
        </w:rPr>
        <w:t>N</w:t>
      </w:r>
      <w:r>
        <w:rPr>
          <w:spacing w:val="2"/>
          <w:position w:val="2"/>
        </w:rPr>
        <w:t>T</w:t>
      </w:r>
      <w:r>
        <w:rPr>
          <w:position w:val="2"/>
        </w:rPr>
        <w:t>:</w:t>
      </w:r>
      <w:r>
        <w:rPr>
          <w:spacing w:val="3"/>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46)</w:t>
      </w:r>
      <w:r>
        <w:rPr>
          <w:spacing w:val="8"/>
          <w:position w:val="2"/>
        </w:rPr>
        <w:t xml:space="preserve"> </w:t>
      </w:r>
      <w:r>
        <w:rPr>
          <w:position w:val="2"/>
        </w:rPr>
        <w:t>=</w:t>
      </w:r>
      <w:r>
        <w:rPr>
          <w:spacing w:val="6"/>
          <w:position w:val="2"/>
        </w:rPr>
        <w:t xml:space="preserve"> </w:t>
      </w:r>
      <w:r>
        <w:rPr>
          <w:position w:val="2"/>
        </w:rPr>
        <w:t>0</w:t>
      </w:r>
      <w:r>
        <w:rPr>
          <w:spacing w:val="2"/>
          <w:position w:val="2"/>
        </w:rPr>
        <w:t>.</w:t>
      </w:r>
      <w:r>
        <w:rPr>
          <w:position w:val="2"/>
        </w:rPr>
        <w:t>9</w:t>
      </w:r>
      <w:r>
        <w:rPr>
          <w:spacing w:val="-5"/>
          <w:position w:val="2"/>
        </w:rPr>
        <w:t>3</w:t>
      </w:r>
      <w:r>
        <w:rPr>
          <w:position w:val="2"/>
        </w:rPr>
        <w:t>,</w:t>
      </w:r>
      <w:r>
        <w:rPr>
          <w:spacing w:val="9"/>
          <w:position w:val="2"/>
        </w:rPr>
        <w:t xml:space="preserve"> </w:t>
      </w:r>
      <w:r>
        <w:rPr>
          <w:i/>
          <w:position w:val="2"/>
        </w:rPr>
        <w:t>p</w:t>
      </w:r>
      <w:r>
        <w:rPr>
          <w:i/>
          <w:spacing w:val="7"/>
          <w:position w:val="2"/>
        </w:rPr>
        <w:t xml:space="preserve"> </w:t>
      </w:r>
      <w:r>
        <w:rPr>
          <w:spacing w:val="-1"/>
          <w:position w:val="2"/>
        </w:rPr>
        <w:t>=</w:t>
      </w:r>
      <w:r>
        <w:rPr>
          <w:spacing w:val="2"/>
          <w:position w:val="2"/>
        </w:rPr>
        <w:t>.</w:t>
      </w:r>
      <w:r>
        <w:rPr>
          <w:position w:val="2"/>
        </w:rPr>
        <w:t>3</w:t>
      </w:r>
      <w:r>
        <w:rPr>
          <w:spacing w:val="-5"/>
          <w:position w:val="2"/>
        </w:rPr>
        <w:t>4</w:t>
      </w:r>
      <w:r>
        <w:rPr>
          <w:position w:val="2"/>
        </w:rPr>
        <w:t>,</w:t>
      </w:r>
      <w:r>
        <w:rPr>
          <w:spacing w:val="4"/>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21"/>
          <w:position w:val="2"/>
        </w:rPr>
        <w:t xml:space="preserve"> </w:t>
      </w:r>
      <w:r>
        <w:rPr>
          <w:position w:val="2"/>
        </w:rPr>
        <w:t>=</w:t>
      </w:r>
      <w:r>
        <w:rPr>
          <w:spacing w:val="6"/>
          <w:position w:val="2"/>
        </w:rPr>
        <w:t xml:space="preserve"> </w:t>
      </w:r>
      <w:r>
        <w:rPr>
          <w:spacing w:val="2"/>
          <w:position w:val="2"/>
        </w:rPr>
        <w:t>.</w:t>
      </w:r>
      <w:r>
        <w:rPr>
          <w:position w:val="2"/>
        </w:rPr>
        <w:t>02,</w:t>
      </w:r>
      <w:r>
        <w:rPr>
          <w:spacing w:val="4"/>
          <w:position w:val="2"/>
        </w:rPr>
        <w:t xml:space="preserve"> </w:t>
      </w:r>
      <w:r>
        <w:rPr>
          <w:i/>
          <w:position w:val="2"/>
        </w:rPr>
        <w:t>d</w:t>
      </w:r>
      <w:r>
        <w:rPr>
          <w:i/>
          <w:spacing w:val="7"/>
          <w:position w:val="2"/>
        </w:rPr>
        <w:t xml:space="preserve"> </w:t>
      </w:r>
      <w:r>
        <w:rPr>
          <w:position w:val="2"/>
        </w:rPr>
        <w:t>=</w:t>
      </w:r>
      <w:r>
        <w:rPr>
          <w:spacing w:val="6"/>
          <w:position w:val="2"/>
        </w:rPr>
        <w:t xml:space="preserve"> </w:t>
      </w:r>
      <w:r>
        <w:rPr>
          <w:spacing w:val="-4"/>
          <w:position w:val="2"/>
        </w:rPr>
        <w:t>-</w:t>
      </w:r>
      <w:r>
        <w:rPr>
          <w:position w:val="2"/>
        </w:rPr>
        <w:t>0</w:t>
      </w:r>
      <w:r>
        <w:rPr>
          <w:spacing w:val="2"/>
          <w:position w:val="2"/>
        </w:rPr>
        <w:t>.</w:t>
      </w:r>
      <w:r>
        <w:rPr>
          <w:position w:val="2"/>
        </w:rPr>
        <w:t>44,</w:t>
      </w:r>
      <w:r>
        <w:rPr>
          <w:spacing w:val="9"/>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position w:val="2"/>
        </w:rPr>
        <w:t xml:space="preserve"> </w:t>
      </w:r>
      <w:r>
        <w:rPr>
          <w:spacing w:val="-8"/>
          <w:position w:val="2"/>
        </w:rPr>
        <w:t xml:space="preserve"> </w:t>
      </w:r>
      <w:r>
        <w:rPr>
          <w:position w:val="2"/>
        </w:rPr>
        <w:t>=</w:t>
      </w:r>
      <w:r>
        <w:rPr>
          <w:spacing w:val="6"/>
          <w:position w:val="2"/>
        </w:rPr>
        <w:t xml:space="preserve"> </w:t>
      </w:r>
      <w:r>
        <w:rPr>
          <w:position w:val="2"/>
        </w:rPr>
        <w:t>1</w:t>
      </w:r>
      <w:r>
        <w:rPr>
          <w:spacing w:val="2"/>
          <w:position w:val="2"/>
        </w:rPr>
        <w:t>.</w:t>
      </w:r>
      <w:r>
        <w:rPr>
          <w:position w:val="2"/>
        </w:rPr>
        <w:t>20</w:t>
      </w:r>
      <w:r>
        <w:rPr>
          <w:spacing w:val="-4"/>
          <w:position w:val="2"/>
        </w:rPr>
        <w:t>)</w:t>
      </w:r>
      <w:r>
        <w:rPr>
          <w:position w:val="2"/>
        </w:rPr>
        <w:t>.</w:t>
      </w:r>
      <w:r>
        <w:rPr>
          <w:spacing w:val="9"/>
          <w:position w:val="2"/>
        </w:rPr>
        <w:t xml:space="preserve"> </w:t>
      </w:r>
      <w:r>
        <w:rPr>
          <w:spacing w:val="2"/>
          <w:position w:val="2"/>
        </w:rPr>
        <w:t>T</w:t>
      </w:r>
      <w:r>
        <w:rPr>
          <w:spacing w:val="-1"/>
          <w:position w:val="2"/>
        </w:rPr>
        <w:t>e</w:t>
      </w:r>
      <w:r>
        <w:rPr>
          <w:spacing w:val="-3"/>
          <w:position w:val="2"/>
        </w:rPr>
        <w:t>s</w:t>
      </w:r>
      <w:r>
        <w:rPr>
          <w:position w:val="2"/>
        </w:rPr>
        <w:t>ts</w:t>
      </w:r>
      <w:r>
        <w:rPr>
          <w:spacing w:val="5"/>
          <w:position w:val="2"/>
        </w:rPr>
        <w:t xml:space="preserve"> </w:t>
      </w:r>
      <w:r>
        <w:rPr>
          <w:position w:val="2"/>
        </w:rPr>
        <w:t>of</w:t>
      </w:r>
      <w:r>
        <w:rPr>
          <w:spacing w:val="8"/>
          <w:position w:val="2"/>
        </w:rPr>
        <w:t xml:space="preserve"> </w:t>
      </w:r>
      <w:r>
        <w:rPr>
          <w:spacing w:val="-3"/>
          <w:position w:val="2"/>
        </w:rPr>
        <w:t>s</w:t>
      </w:r>
      <w:r>
        <w:rPr>
          <w:position w:val="2"/>
        </w:rPr>
        <w:t>imple</w:t>
      </w:r>
    </w:p>
    <w:p w14:paraId="1A198544" w14:textId="77777777" w:rsidR="00C75312" w:rsidRDefault="00C75312">
      <w:pPr>
        <w:pStyle w:val="BodyText"/>
        <w:spacing w:before="6"/>
        <w:rPr>
          <w:sz w:val="25"/>
        </w:rPr>
      </w:pPr>
    </w:p>
    <w:p w14:paraId="601A5446" w14:textId="77777777" w:rsidR="00C75312" w:rsidRDefault="00BB293A">
      <w:pPr>
        <w:pStyle w:val="BodyText"/>
        <w:spacing w:line="480" w:lineRule="auto"/>
        <w:ind w:left="140" w:right="1433"/>
        <w:jc w:val="both"/>
      </w:pPr>
      <w:r>
        <w:pict w14:anchorId="22DD8EB1">
          <v:shape id="_x0000_s2666" type="#_x0000_t202" style="position:absolute;left:0;text-align:left;margin-left:311.05pt;margin-top:61.05pt;width:5.3pt;height:9.85pt;z-index:-260554752;mso-position-horizontal-relative:page" filled="f" stroked="f">
            <v:textbox inset="0,0,0,0">
              <w:txbxContent>
                <w:p w14:paraId="1C6C9C4F"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28B7E0DD">
          <v:shape id="_x0000_s2665" type="#_x0000_t202" style="position:absolute;left:0;text-align:left;margin-left:224.4pt;margin-top:145.8pt;width:5.3pt;height:9.85pt;z-index:-260553728;mso-position-horizontal-relative:page" filled="f" stroked="f">
            <v:textbox inset="0,0,0,0">
              <w:txbxContent>
                <w:p w14:paraId="00391C7E"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effects</w:t>
      </w:r>
      <w:r>
        <w:rPr>
          <w:spacing w:val="-35"/>
          <w:w w:val="105"/>
        </w:rPr>
        <w:t xml:space="preserve"> </w:t>
      </w:r>
      <w:r>
        <w:rPr>
          <w:w w:val="105"/>
        </w:rPr>
        <w:t>of</w:t>
      </w:r>
      <w:r>
        <w:rPr>
          <w:spacing w:val="-32"/>
          <w:w w:val="105"/>
        </w:rPr>
        <w:t xml:space="preserve"> </w:t>
      </w:r>
      <w:r>
        <w:rPr>
          <w:w w:val="105"/>
        </w:rPr>
        <w:t>between</w:t>
      </w:r>
      <w:r>
        <w:rPr>
          <w:spacing w:val="-33"/>
          <w:w w:val="105"/>
        </w:rPr>
        <w:t xml:space="preserve"> </w:t>
      </w:r>
      <w:r>
        <w:rPr>
          <w:w w:val="105"/>
        </w:rPr>
        <w:t>group</w:t>
      </w:r>
      <w:r>
        <w:rPr>
          <w:spacing w:val="-33"/>
          <w:w w:val="105"/>
        </w:rPr>
        <w:t xml:space="preserve"> </w:t>
      </w:r>
      <w:r>
        <w:rPr>
          <w:w w:val="105"/>
        </w:rPr>
        <w:t>differences</w:t>
      </w:r>
      <w:r>
        <w:rPr>
          <w:spacing w:val="-34"/>
          <w:w w:val="105"/>
        </w:rPr>
        <w:t xml:space="preserve"> </w:t>
      </w:r>
      <w:r>
        <w:rPr>
          <w:w w:val="105"/>
        </w:rPr>
        <w:t>indicated</w:t>
      </w:r>
      <w:r>
        <w:rPr>
          <w:spacing w:val="-33"/>
          <w:w w:val="105"/>
        </w:rPr>
        <w:t xml:space="preserve"> </w:t>
      </w:r>
      <w:r>
        <w:rPr>
          <w:w w:val="105"/>
        </w:rPr>
        <w:t>that</w:t>
      </w:r>
      <w:r>
        <w:rPr>
          <w:spacing w:val="-33"/>
          <w:w w:val="105"/>
        </w:rPr>
        <w:t xml:space="preserve"> </w:t>
      </w:r>
      <w:r>
        <w:rPr>
          <w:w w:val="105"/>
        </w:rPr>
        <w:t>ASD</w:t>
      </w:r>
      <w:r>
        <w:rPr>
          <w:spacing w:val="-33"/>
          <w:w w:val="105"/>
        </w:rPr>
        <w:t xml:space="preserve"> </w:t>
      </w:r>
      <w:r>
        <w:rPr>
          <w:w w:val="105"/>
        </w:rPr>
        <w:t>participants</w:t>
      </w:r>
      <w:r>
        <w:rPr>
          <w:spacing w:val="-35"/>
          <w:w w:val="105"/>
        </w:rPr>
        <w:t xml:space="preserve"> </w:t>
      </w:r>
      <w:r>
        <w:rPr>
          <w:w w:val="105"/>
        </w:rPr>
        <w:t>performed</w:t>
      </w:r>
      <w:r>
        <w:rPr>
          <w:spacing w:val="-33"/>
          <w:w w:val="105"/>
        </w:rPr>
        <w:t xml:space="preserve"> </w:t>
      </w:r>
      <w:r>
        <w:rPr>
          <w:w w:val="105"/>
        </w:rPr>
        <w:t xml:space="preserve">significantly less well than comparison participants in the PM low importance condition, with a large </w:t>
      </w:r>
      <w:r>
        <w:rPr>
          <w:spacing w:val="-1"/>
          <w:position w:val="2"/>
        </w:rPr>
        <w:t>a</w:t>
      </w:r>
      <w:r>
        <w:rPr>
          <w:spacing w:val="-3"/>
          <w:position w:val="2"/>
        </w:rPr>
        <w:t>ss</w:t>
      </w:r>
      <w:r>
        <w:rPr>
          <w:position w:val="2"/>
        </w:rPr>
        <w:t>o</w:t>
      </w:r>
      <w:r>
        <w:rPr>
          <w:spacing w:val="-1"/>
          <w:position w:val="2"/>
        </w:rPr>
        <w:t>c</w:t>
      </w:r>
      <w:r>
        <w:rPr>
          <w:position w:val="2"/>
        </w:rPr>
        <w:t>i</w:t>
      </w:r>
      <w:r>
        <w:rPr>
          <w:spacing w:val="-1"/>
          <w:position w:val="2"/>
        </w:rPr>
        <w:t>a</w:t>
      </w:r>
      <w:r>
        <w:rPr>
          <w:position w:val="2"/>
        </w:rPr>
        <w:t>t</w:t>
      </w:r>
      <w:r>
        <w:rPr>
          <w:spacing w:val="-1"/>
          <w:position w:val="2"/>
        </w:rPr>
        <w:t>e</w:t>
      </w:r>
      <w:r>
        <w:rPr>
          <w:position w:val="2"/>
        </w:rPr>
        <w:t>d</w:t>
      </w:r>
      <w:r>
        <w:rPr>
          <w:spacing w:val="2"/>
          <w:position w:val="2"/>
        </w:rPr>
        <w:t xml:space="preserve"> </w:t>
      </w:r>
      <w:r>
        <w:rPr>
          <w:spacing w:val="-1"/>
          <w:position w:val="2"/>
        </w:rPr>
        <w:t>e</w:t>
      </w:r>
      <w:r>
        <w:rPr>
          <w:spacing w:val="1"/>
          <w:position w:val="2"/>
        </w:rPr>
        <w:t>ff</w:t>
      </w:r>
      <w:r>
        <w:rPr>
          <w:spacing w:val="-1"/>
          <w:position w:val="2"/>
        </w:rPr>
        <w:t>ec</w:t>
      </w:r>
      <w:r>
        <w:rPr>
          <w:position w:val="2"/>
        </w:rPr>
        <w:t>t</w:t>
      </w:r>
      <w:r>
        <w:rPr>
          <w:spacing w:val="2"/>
          <w:position w:val="2"/>
        </w:rPr>
        <w:t xml:space="preserve"> </w:t>
      </w:r>
      <w:r>
        <w:rPr>
          <w:spacing w:val="-3"/>
          <w:position w:val="2"/>
        </w:rPr>
        <w:t>s</w:t>
      </w:r>
      <w:r>
        <w:rPr>
          <w:position w:val="2"/>
        </w:rPr>
        <w:t>i</w:t>
      </w:r>
      <w:r>
        <w:rPr>
          <w:spacing w:val="3"/>
          <w:position w:val="2"/>
        </w:rPr>
        <w:t>z</w:t>
      </w:r>
      <w:r>
        <w:rPr>
          <w:spacing w:val="-1"/>
          <w:position w:val="2"/>
        </w:rPr>
        <w:t>e</w:t>
      </w:r>
      <w:r>
        <w:rPr>
          <w:position w:val="2"/>
        </w:rPr>
        <w:t>,</w:t>
      </w:r>
      <w:r>
        <w:rPr>
          <w:spacing w:val="4"/>
          <w:position w:val="2"/>
        </w:rPr>
        <w:t xml:space="preserve"> </w:t>
      </w:r>
      <w:r>
        <w:rPr>
          <w:i/>
          <w:spacing w:val="2"/>
          <w:position w:val="2"/>
        </w:rPr>
        <w:t>F</w:t>
      </w:r>
      <w:r>
        <w:rPr>
          <w:spacing w:val="1"/>
          <w:position w:val="2"/>
        </w:rPr>
        <w:t>(</w:t>
      </w:r>
      <w:r>
        <w:rPr>
          <w:position w:val="2"/>
        </w:rPr>
        <w:t>1</w:t>
      </w:r>
      <w:r>
        <w:rPr>
          <w:spacing w:val="2"/>
          <w:position w:val="2"/>
        </w:rPr>
        <w:t>,</w:t>
      </w:r>
      <w:r>
        <w:rPr>
          <w:position w:val="2"/>
        </w:rPr>
        <w:t>4</w:t>
      </w:r>
      <w:r>
        <w:rPr>
          <w:spacing w:val="-5"/>
          <w:position w:val="2"/>
        </w:rPr>
        <w:t>6</w:t>
      </w:r>
      <w:r>
        <w:rPr>
          <w:position w:val="2"/>
        </w:rPr>
        <w:t>)</w:t>
      </w:r>
      <w:r>
        <w:rPr>
          <w:spacing w:val="4"/>
          <w:position w:val="2"/>
        </w:rPr>
        <w:t xml:space="preserve"> </w:t>
      </w:r>
      <w:r>
        <w:rPr>
          <w:position w:val="2"/>
        </w:rPr>
        <w:t>=</w:t>
      </w:r>
      <w:r>
        <w:rPr>
          <w:spacing w:val="1"/>
          <w:position w:val="2"/>
        </w:rPr>
        <w:t xml:space="preserve"> </w:t>
      </w:r>
      <w:r>
        <w:rPr>
          <w:position w:val="2"/>
        </w:rPr>
        <w:t>1</w:t>
      </w:r>
      <w:r>
        <w:rPr>
          <w:spacing w:val="-5"/>
          <w:position w:val="2"/>
        </w:rPr>
        <w:t>2</w:t>
      </w:r>
      <w:r>
        <w:rPr>
          <w:spacing w:val="2"/>
          <w:position w:val="2"/>
        </w:rPr>
        <w:t>.</w:t>
      </w:r>
      <w:r>
        <w:rPr>
          <w:position w:val="2"/>
        </w:rPr>
        <w:t>81,</w:t>
      </w:r>
      <w:r>
        <w:rPr>
          <w:spacing w:val="4"/>
          <w:position w:val="2"/>
        </w:rPr>
        <w:t xml:space="preserve"> </w:t>
      </w:r>
      <w:r>
        <w:rPr>
          <w:i/>
          <w:position w:val="2"/>
        </w:rPr>
        <w:t>p</w:t>
      </w:r>
      <w:r>
        <w:rPr>
          <w:i/>
          <w:spacing w:val="2"/>
          <w:position w:val="2"/>
        </w:rPr>
        <w:t xml:space="preserve"> </w:t>
      </w:r>
      <w:r>
        <w:rPr>
          <w:position w:val="2"/>
        </w:rPr>
        <w:t>=</w:t>
      </w:r>
      <w:r>
        <w:rPr>
          <w:spacing w:val="-4"/>
          <w:position w:val="2"/>
        </w:rPr>
        <w:t xml:space="preserve"> </w:t>
      </w:r>
      <w:r>
        <w:rPr>
          <w:spacing w:val="2"/>
          <w:position w:val="2"/>
        </w:rPr>
        <w:t>.</w:t>
      </w:r>
      <w:r>
        <w:rPr>
          <w:position w:val="2"/>
        </w:rPr>
        <w:t>001</w:t>
      </w:r>
      <w:r>
        <w:rPr>
          <w:spacing w:val="-3"/>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26"/>
          <w:position w:val="2"/>
        </w:rPr>
        <w:t xml:space="preserve"> </w:t>
      </w:r>
      <w:r>
        <w:rPr>
          <w:position w:val="2"/>
        </w:rPr>
        <w:t>=</w:t>
      </w:r>
      <w:r>
        <w:rPr>
          <w:spacing w:val="1"/>
          <w:position w:val="2"/>
        </w:rPr>
        <w:t xml:space="preserve"> </w:t>
      </w:r>
      <w:r>
        <w:rPr>
          <w:spacing w:val="2"/>
          <w:position w:val="2"/>
        </w:rPr>
        <w:t>.</w:t>
      </w:r>
      <w:r>
        <w:rPr>
          <w:position w:val="2"/>
        </w:rPr>
        <w:t>22,</w:t>
      </w:r>
      <w:r>
        <w:rPr>
          <w:spacing w:val="4"/>
          <w:position w:val="2"/>
        </w:rPr>
        <w:t xml:space="preserve"> </w:t>
      </w:r>
      <w:r>
        <w:rPr>
          <w:i/>
          <w:position w:val="2"/>
        </w:rPr>
        <w:t>d</w:t>
      </w:r>
      <w:r>
        <w:rPr>
          <w:i/>
          <w:spacing w:val="-3"/>
          <w:position w:val="2"/>
        </w:rPr>
        <w:t xml:space="preserve"> </w:t>
      </w:r>
      <w:r>
        <w:rPr>
          <w:position w:val="2"/>
        </w:rPr>
        <w:t>=</w:t>
      </w:r>
      <w:r>
        <w:rPr>
          <w:spacing w:val="1"/>
          <w:position w:val="2"/>
        </w:rPr>
        <w:t xml:space="preserve"> </w:t>
      </w:r>
      <w:r>
        <w:rPr>
          <w:spacing w:val="-4"/>
          <w:position w:val="2"/>
        </w:rPr>
        <w:t>-</w:t>
      </w:r>
      <w:r>
        <w:rPr>
          <w:position w:val="2"/>
        </w:rPr>
        <w:t>1</w:t>
      </w:r>
      <w:r>
        <w:rPr>
          <w:spacing w:val="2"/>
          <w:position w:val="2"/>
        </w:rPr>
        <w:t>.</w:t>
      </w:r>
      <w:r>
        <w:rPr>
          <w:position w:val="2"/>
        </w:rPr>
        <w:t>05,</w:t>
      </w:r>
      <w:r>
        <w:rPr>
          <w:spacing w:val="4"/>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position w:val="2"/>
        </w:rPr>
        <w:t xml:space="preserve"> </w:t>
      </w:r>
      <w:r>
        <w:rPr>
          <w:spacing w:val="-17"/>
          <w:position w:val="2"/>
        </w:rPr>
        <w:t xml:space="preserve"> </w:t>
      </w:r>
      <w:r>
        <w:rPr>
          <w:position w:val="2"/>
        </w:rPr>
        <w:t>=</w:t>
      </w:r>
      <w:r>
        <w:rPr>
          <w:spacing w:val="1"/>
          <w:position w:val="2"/>
        </w:rPr>
        <w:t xml:space="preserve"> </w:t>
      </w:r>
      <w:r>
        <w:rPr>
          <w:position w:val="2"/>
        </w:rPr>
        <w:t>36</w:t>
      </w:r>
      <w:r>
        <w:rPr>
          <w:spacing w:val="2"/>
          <w:position w:val="2"/>
        </w:rPr>
        <w:t>.</w:t>
      </w:r>
      <w:r>
        <w:rPr>
          <w:position w:val="2"/>
        </w:rPr>
        <w:t xml:space="preserve">53. </w:t>
      </w:r>
      <w:r>
        <w:rPr>
          <w:spacing w:val="2"/>
          <w:position w:val="2"/>
        </w:rPr>
        <w:t xml:space="preserve"> </w:t>
      </w:r>
      <w:r>
        <w:rPr>
          <w:spacing w:val="1"/>
          <w:position w:val="2"/>
        </w:rPr>
        <w:t>I</w:t>
      </w:r>
      <w:r>
        <w:rPr>
          <w:position w:val="2"/>
        </w:rPr>
        <w:t>n</w:t>
      </w:r>
      <w:r>
        <w:rPr>
          <w:spacing w:val="2"/>
          <w:position w:val="2"/>
        </w:rPr>
        <w:t xml:space="preserve"> </w:t>
      </w:r>
      <w:r>
        <w:rPr>
          <w:position w:val="2"/>
        </w:rPr>
        <w:t>the</w:t>
      </w:r>
      <w:r>
        <w:rPr>
          <w:spacing w:val="-4"/>
          <w:position w:val="2"/>
        </w:rPr>
        <w:t xml:space="preserve"> </w:t>
      </w:r>
      <w:r>
        <w:rPr>
          <w:position w:val="2"/>
        </w:rPr>
        <w:t xml:space="preserve">PM </w:t>
      </w:r>
      <w:r>
        <w:rPr>
          <w:w w:val="105"/>
        </w:rPr>
        <w:t xml:space="preserve">high importance condition, the ASD group again performed less well that the NT group, </w:t>
      </w:r>
      <w:r>
        <w:t>although</w:t>
      </w:r>
      <w:r>
        <w:rPr>
          <w:spacing w:val="-16"/>
        </w:rPr>
        <w:t xml:space="preserve"> </w:t>
      </w:r>
      <w:r>
        <w:t>the</w:t>
      </w:r>
      <w:r>
        <w:rPr>
          <w:spacing w:val="-16"/>
        </w:rPr>
        <w:t xml:space="preserve"> </w:t>
      </w:r>
      <w:r>
        <w:t>difference</w:t>
      </w:r>
      <w:r>
        <w:rPr>
          <w:spacing w:val="-16"/>
        </w:rPr>
        <w:t xml:space="preserve"> </w:t>
      </w:r>
      <w:r>
        <w:t>only</w:t>
      </w:r>
      <w:r>
        <w:rPr>
          <w:spacing w:val="-20"/>
        </w:rPr>
        <w:t xml:space="preserve"> </w:t>
      </w:r>
      <w:r>
        <w:t>approached</w:t>
      </w:r>
      <w:r>
        <w:rPr>
          <w:spacing w:val="-15"/>
        </w:rPr>
        <w:t xml:space="preserve"> </w:t>
      </w:r>
      <w:r>
        <w:t>significance</w:t>
      </w:r>
      <w:r>
        <w:rPr>
          <w:spacing w:val="-16"/>
        </w:rPr>
        <w:t xml:space="preserve"> </w:t>
      </w:r>
      <w:r>
        <w:t>and</w:t>
      </w:r>
      <w:r>
        <w:rPr>
          <w:spacing w:val="-16"/>
        </w:rPr>
        <w:t xml:space="preserve"> </w:t>
      </w:r>
      <w:r>
        <w:t>was</w:t>
      </w:r>
      <w:r>
        <w:rPr>
          <w:spacing w:val="-18"/>
        </w:rPr>
        <w:t xml:space="preserve"> </w:t>
      </w:r>
      <w:r>
        <w:t>associated</w:t>
      </w:r>
      <w:r>
        <w:rPr>
          <w:spacing w:val="-15"/>
        </w:rPr>
        <w:t xml:space="preserve"> </w:t>
      </w:r>
      <w:r>
        <w:t>with</w:t>
      </w:r>
      <w:r>
        <w:rPr>
          <w:spacing w:val="-15"/>
        </w:rPr>
        <w:t xml:space="preserve"> </w:t>
      </w:r>
      <w:r>
        <w:t>a</w:t>
      </w:r>
      <w:r>
        <w:rPr>
          <w:spacing w:val="-16"/>
        </w:rPr>
        <w:t xml:space="preserve"> </w:t>
      </w:r>
      <w:r>
        <w:t>moderate</w:t>
      </w:r>
      <w:r>
        <w:rPr>
          <w:spacing w:val="-17"/>
        </w:rPr>
        <w:t xml:space="preserve"> </w:t>
      </w:r>
      <w:r>
        <w:t xml:space="preserve">effect </w:t>
      </w:r>
      <w:r>
        <w:rPr>
          <w:spacing w:val="-3"/>
          <w:position w:val="2"/>
        </w:rPr>
        <w:t>s</w:t>
      </w:r>
      <w:r>
        <w:rPr>
          <w:position w:val="2"/>
        </w:rPr>
        <w:t>i</w:t>
      </w:r>
      <w:r>
        <w:rPr>
          <w:spacing w:val="-1"/>
          <w:position w:val="2"/>
        </w:rPr>
        <w:t>ze</w:t>
      </w:r>
      <w:r>
        <w:rPr>
          <w:position w:val="2"/>
        </w:rPr>
        <w:t>,</w:t>
      </w:r>
      <w:r>
        <w:rPr>
          <w:spacing w:val="19"/>
          <w:position w:val="2"/>
        </w:rPr>
        <w:t xml:space="preserve"> </w:t>
      </w:r>
      <w:r>
        <w:rPr>
          <w:i/>
          <w:spacing w:val="2"/>
          <w:position w:val="2"/>
        </w:rPr>
        <w:t>F</w:t>
      </w:r>
      <w:r>
        <w:rPr>
          <w:spacing w:val="1"/>
          <w:position w:val="2"/>
        </w:rPr>
        <w:t>(</w:t>
      </w:r>
      <w:r>
        <w:rPr>
          <w:position w:val="2"/>
        </w:rPr>
        <w:t>1</w:t>
      </w:r>
      <w:r>
        <w:rPr>
          <w:spacing w:val="2"/>
          <w:position w:val="2"/>
        </w:rPr>
        <w:t>,</w:t>
      </w:r>
      <w:r>
        <w:rPr>
          <w:position w:val="2"/>
        </w:rPr>
        <w:t>4</w:t>
      </w:r>
      <w:r>
        <w:rPr>
          <w:spacing w:val="-5"/>
          <w:position w:val="2"/>
        </w:rPr>
        <w:t>6</w:t>
      </w:r>
      <w:r>
        <w:rPr>
          <w:position w:val="2"/>
        </w:rPr>
        <w:t>)</w:t>
      </w:r>
      <w:r>
        <w:rPr>
          <w:spacing w:val="18"/>
          <w:position w:val="2"/>
        </w:rPr>
        <w:t xml:space="preserve"> </w:t>
      </w:r>
      <w:r>
        <w:rPr>
          <w:position w:val="2"/>
        </w:rPr>
        <w:t>=</w:t>
      </w:r>
      <w:r>
        <w:rPr>
          <w:spacing w:val="15"/>
          <w:position w:val="2"/>
        </w:rPr>
        <w:t xml:space="preserve"> </w:t>
      </w:r>
      <w:r>
        <w:rPr>
          <w:position w:val="2"/>
        </w:rPr>
        <w:t>3</w:t>
      </w:r>
      <w:r>
        <w:rPr>
          <w:spacing w:val="2"/>
          <w:position w:val="2"/>
        </w:rPr>
        <w:t>.</w:t>
      </w:r>
      <w:r>
        <w:rPr>
          <w:position w:val="2"/>
        </w:rPr>
        <w:t>3</w:t>
      </w:r>
      <w:r>
        <w:rPr>
          <w:spacing w:val="-5"/>
          <w:position w:val="2"/>
        </w:rPr>
        <w:t>2</w:t>
      </w:r>
      <w:r>
        <w:rPr>
          <w:position w:val="2"/>
        </w:rPr>
        <w:t>,</w:t>
      </w:r>
      <w:r>
        <w:rPr>
          <w:spacing w:val="19"/>
          <w:position w:val="2"/>
        </w:rPr>
        <w:t xml:space="preserve"> </w:t>
      </w:r>
      <w:r>
        <w:rPr>
          <w:i/>
          <w:position w:val="2"/>
        </w:rPr>
        <w:t>p</w:t>
      </w:r>
      <w:r>
        <w:rPr>
          <w:i/>
          <w:spacing w:val="16"/>
          <w:position w:val="2"/>
        </w:rPr>
        <w:t xml:space="preserve"> </w:t>
      </w:r>
      <w:r>
        <w:rPr>
          <w:position w:val="2"/>
        </w:rPr>
        <w:t>=</w:t>
      </w:r>
      <w:r>
        <w:rPr>
          <w:spacing w:val="15"/>
          <w:position w:val="2"/>
        </w:rPr>
        <w:t xml:space="preserve"> </w:t>
      </w:r>
      <w:r>
        <w:rPr>
          <w:spacing w:val="2"/>
          <w:position w:val="2"/>
        </w:rPr>
        <w:t>.</w:t>
      </w:r>
      <w:r>
        <w:rPr>
          <w:position w:val="2"/>
        </w:rPr>
        <w:t>0</w:t>
      </w:r>
      <w:r>
        <w:rPr>
          <w:spacing w:val="-5"/>
          <w:position w:val="2"/>
        </w:rPr>
        <w:t>8</w:t>
      </w:r>
      <w:r>
        <w:rPr>
          <w:position w:val="2"/>
        </w:rPr>
        <w:t>,</w:t>
      </w:r>
      <w:r>
        <w:rPr>
          <w:spacing w:val="14"/>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11"/>
          <w:position w:val="2"/>
        </w:rPr>
        <w:t xml:space="preserve"> </w:t>
      </w:r>
      <w:r>
        <w:rPr>
          <w:position w:val="2"/>
        </w:rPr>
        <w:t>=</w:t>
      </w:r>
      <w:r>
        <w:rPr>
          <w:spacing w:val="15"/>
          <w:position w:val="2"/>
        </w:rPr>
        <w:t xml:space="preserve"> </w:t>
      </w:r>
      <w:r>
        <w:rPr>
          <w:spacing w:val="2"/>
          <w:position w:val="2"/>
        </w:rPr>
        <w:t>.</w:t>
      </w:r>
      <w:r>
        <w:rPr>
          <w:position w:val="2"/>
        </w:rPr>
        <w:t>07,</w:t>
      </w:r>
      <w:r>
        <w:rPr>
          <w:spacing w:val="19"/>
          <w:position w:val="2"/>
        </w:rPr>
        <w:t xml:space="preserve"> </w:t>
      </w:r>
      <w:r>
        <w:rPr>
          <w:i/>
          <w:position w:val="2"/>
        </w:rPr>
        <w:t>d</w:t>
      </w:r>
      <w:r>
        <w:rPr>
          <w:i/>
          <w:spacing w:val="16"/>
          <w:position w:val="2"/>
        </w:rPr>
        <w:t xml:space="preserve"> </w:t>
      </w:r>
      <w:r>
        <w:rPr>
          <w:position w:val="2"/>
        </w:rPr>
        <w:t>=</w:t>
      </w:r>
      <w:r>
        <w:rPr>
          <w:spacing w:val="15"/>
          <w:position w:val="2"/>
        </w:rPr>
        <w:t xml:space="preserve"> </w:t>
      </w:r>
      <w:r>
        <w:rPr>
          <w:spacing w:val="-4"/>
          <w:position w:val="2"/>
        </w:rPr>
        <w:t>-</w:t>
      </w:r>
      <w:r>
        <w:rPr>
          <w:position w:val="2"/>
        </w:rPr>
        <w:t>0</w:t>
      </w:r>
      <w:r>
        <w:rPr>
          <w:spacing w:val="2"/>
          <w:position w:val="2"/>
        </w:rPr>
        <w:t>.</w:t>
      </w:r>
      <w:r>
        <w:rPr>
          <w:position w:val="2"/>
        </w:rPr>
        <w:t>53,</w:t>
      </w:r>
      <w:r>
        <w:rPr>
          <w:spacing w:val="19"/>
          <w:position w:val="2"/>
        </w:rPr>
        <w:t xml:space="preserve"> </w:t>
      </w:r>
      <w:r>
        <w:rPr>
          <w:spacing w:val="-7"/>
          <w:position w:val="2"/>
        </w:rPr>
        <w:t>B</w:t>
      </w:r>
      <w:r>
        <w:rPr>
          <w:position w:val="2"/>
        </w:rPr>
        <w:t>F</w:t>
      </w:r>
      <w:r>
        <w:rPr>
          <w:spacing w:val="2"/>
          <w:w w:val="97"/>
          <w:position w:val="2"/>
          <w:vertAlign w:val="subscript"/>
        </w:rPr>
        <w:t>1</w:t>
      </w:r>
      <w:r>
        <w:rPr>
          <w:w w:val="97"/>
          <w:position w:val="2"/>
          <w:vertAlign w:val="subscript"/>
        </w:rPr>
        <w:t>0</w:t>
      </w:r>
      <w:r>
        <w:rPr>
          <w:position w:val="2"/>
        </w:rPr>
        <w:t xml:space="preserve"> </w:t>
      </w:r>
      <w:r>
        <w:rPr>
          <w:spacing w:val="7"/>
          <w:position w:val="2"/>
        </w:rPr>
        <w:t xml:space="preserve"> </w:t>
      </w:r>
      <w:r>
        <w:rPr>
          <w:position w:val="2"/>
        </w:rPr>
        <w:t>=</w:t>
      </w:r>
      <w:r>
        <w:rPr>
          <w:spacing w:val="15"/>
          <w:position w:val="2"/>
        </w:rPr>
        <w:t xml:space="preserve"> </w:t>
      </w:r>
      <w:r>
        <w:rPr>
          <w:position w:val="2"/>
        </w:rPr>
        <w:t>1</w:t>
      </w:r>
      <w:r>
        <w:rPr>
          <w:spacing w:val="2"/>
          <w:position w:val="2"/>
        </w:rPr>
        <w:t>.</w:t>
      </w:r>
      <w:r>
        <w:rPr>
          <w:position w:val="2"/>
        </w:rPr>
        <w:t>09</w:t>
      </w:r>
      <w:r>
        <w:rPr>
          <w:spacing w:val="16"/>
          <w:position w:val="2"/>
        </w:rPr>
        <w:t xml:space="preserve"> </w:t>
      </w:r>
      <w:r>
        <w:rPr>
          <w:spacing w:val="1"/>
          <w:position w:val="2"/>
        </w:rPr>
        <w:t>(</w:t>
      </w:r>
      <w:r>
        <w:rPr>
          <w:spacing w:val="-3"/>
          <w:position w:val="2"/>
        </w:rPr>
        <w:t>s</w:t>
      </w:r>
      <w:r>
        <w:rPr>
          <w:spacing w:val="-1"/>
          <w:position w:val="2"/>
        </w:rPr>
        <w:t>e</w:t>
      </w:r>
      <w:r>
        <w:rPr>
          <w:position w:val="2"/>
        </w:rPr>
        <w:t>e</w:t>
      </w:r>
      <w:r>
        <w:rPr>
          <w:spacing w:val="15"/>
          <w:position w:val="2"/>
        </w:rPr>
        <w:t xml:space="preserve"> </w:t>
      </w:r>
      <w:r>
        <w:rPr>
          <w:spacing w:val="2"/>
          <w:position w:val="2"/>
        </w:rPr>
        <w:t>T</w:t>
      </w:r>
      <w:r>
        <w:rPr>
          <w:spacing w:val="-1"/>
          <w:position w:val="2"/>
        </w:rPr>
        <w:t>a</w:t>
      </w:r>
      <w:r>
        <w:rPr>
          <w:position w:val="2"/>
        </w:rPr>
        <w:t>ble</w:t>
      </w:r>
      <w:r>
        <w:rPr>
          <w:spacing w:val="15"/>
          <w:position w:val="2"/>
        </w:rPr>
        <w:t xml:space="preserve"> </w:t>
      </w:r>
      <w:r>
        <w:rPr>
          <w:position w:val="2"/>
        </w:rPr>
        <w:t>14</w:t>
      </w:r>
      <w:r>
        <w:rPr>
          <w:spacing w:val="16"/>
          <w:position w:val="2"/>
        </w:rPr>
        <w:t xml:space="preserve"> </w:t>
      </w:r>
      <w:r>
        <w:rPr>
          <w:spacing w:val="1"/>
          <w:position w:val="2"/>
        </w:rPr>
        <w:t>f</w:t>
      </w:r>
      <w:r>
        <w:rPr>
          <w:spacing w:val="-5"/>
          <w:position w:val="2"/>
        </w:rPr>
        <w:t>o</w:t>
      </w:r>
      <w:r>
        <w:rPr>
          <w:position w:val="2"/>
        </w:rPr>
        <w:t>r</w:t>
      </w:r>
      <w:r>
        <w:rPr>
          <w:spacing w:val="18"/>
          <w:position w:val="2"/>
        </w:rPr>
        <w:t xml:space="preserve"> </w:t>
      </w:r>
      <w:r>
        <w:rPr>
          <w:position w:val="2"/>
        </w:rPr>
        <w:t>m</w:t>
      </w:r>
      <w:r>
        <w:rPr>
          <w:spacing w:val="-1"/>
          <w:position w:val="2"/>
        </w:rPr>
        <w:t>ea</w:t>
      </w:r>
      <w:r>
        <w:rPr>
          <w:position w:val="2"/>
        </w:rPr>
        <w:t>ns</w:t>
      </w:r>
      <w:r>
        <w:rPr>
          <w:spacing w:val="14"/>
          <w:position w:val="2"/>
        </w:rPr>
        <w:t xml:space="preserve"> </w:t>
      </w:r>
      <w:r>
        <w:rPr>
          <w:spacing w:val="-1"/>
          <w:position w:val="2"/>
        </w:rPr>
        <w:t>a</w:t>
      </w:r>
      <w:r>
        <w:rPr>
          <w:position w:val="2"/>
        </w:rPr>
        <w:t xml:space="preserve">nd </w:t>
      </w:r>
      <w:r>
        <w:rPr>
          <w:w w:val="105"/>
        </w:rPr>
        <w:t>standard</w:t>
      </w:r>
      <w:r>
        <w:rPr>
          <w:spacing w:val="-35"/>
          <w:w w:val="105"/>
        </w:rPr>
        <w:t xml:space="preserve"> </w:t>
      </w:r>
      <w:r>
        <w:rPr>
          <w:w w:val="105"/>
        </w:rPr>
        <w:t>deviations).</w:t>
      </w:r>
      <w:r>
        <w:rPr>
          <w:spacing w:val="-7"/>
          <w:w w:val="105"/>
        </w:rPr>
        <w:t xml:space="preserve"> </w:t>
      </w:r>
      <w:r>
        <w:rPr>
          <w:w w:val="105"/>
        </w:rPr>
        <w:t>However,</w:t>
      </w:r>
      <w:r>
        <w:rPr>
          <w:spacing w:val="-36"/>
          <w:w w:val="105"/>
        </w:rPr>
        <w:t xml:space="preserve"> </w:t>
      </w:r>
      <w:r>
        <w:rPr>
          <w:w w:val="105"/>
        </w:rPr>
        <w:t>the</w:t>
      </w:r>
      <w:r>
        <w:rPr>
          <w:spacing w:val="-35"/>
          <w:w w:val="105"/>
        </w:rPr>
        <w:t xml:space="preserve"> </w:t>
      </w:r>
      <w:r>
        <w:rPr>
          <w:w w:val="105"/>
        </w:rPr>
        <w:t>Bayes</w:t>
      </w:r>
      <w:r>
        <w:rPr>
          <w:spacing w:val="-35"/>
          <w:w w:val="105"/>
        </w:rPr>
        <w:t xml:space="preserve"> </w:t>
      </w:r>
      <w:r>
        <w:rPr>
          <w:w w:val="105"/>
        </w:rPr>
        <w:t>factor</w:t>
      </w:r>
      <w:r>
        <w:rPr>
          <w:spacing w:val="-34"/>
          <w:w w:val="105"/>
        </w:rPr>
        <w:t xml:space="preserve"> </w:t>
      </w:r>
      <w:r>
        <w:rPr>
          <w:spacing w:val="-4"/>
          <w:w w:val="105"/>
        </w:rPr>
        <w:t>did</w:t>
      </w:r>
      <w:r>
        <w:rPr>
          <w:spacing w:val="-34"/>
          <w:w w:val="105"/>
        </w:rPr>
        <w:t xml:space="preserve"> </w:t>
      </w:r>
      <w:r>
        <w:rPr>
          <w:w w:val="105"/>
        </w:rPr>
        <w:t>not</w:t>
      </w:r>
      <w:r>
        <w:rPr>
          <w:spacing w:val="-34"/>
          <w:w w:val="105"/>
        </w:rPr>
        <w:t xml:space="preserve"> </w:t>
      </w:r>
      <w:r>
        <w:rPr>
          <w:w w:val="105"/>
        </w:rPr>
        <w:t>support</w:t>
      </w:r>
      <w:r>
        <w:rPr>
          <w:spacing w:val="-37"/>
          <w:w w:val="105"/>
        </w:rPr>
        <w:t xml:space="preserve"> </w:t>
      </w:r>
      <w:r>
        <w:rPr>
          <w:w w:val="105"/>
        </w:rPr>
        <w:t>evidence</w:t>
      </w:r>
      <w:r>
        <w:rPr>
          <w:spacing w:val="-35"/>
          <w:w w:val="105"/>
        </w:rPr>
        <w:t xml:space="preserve"> </w:t>
      </w:r>
      <w:r>
        <w:rPr>
          <w:w w:val="105"/>
        </w:rPr>
        <w:t>for</w:t>
      </w:r>
      <w:r>
        <w:rPr>
          <w:spacing w:val="-33"/>
          <w:w w:val="105"/>
        </w:rPr>
        <w:t xml:space="preserve"> </w:t>
      </w:r>
      <w:r>
        <w:rPr>
          <w:w w:val="105"/>
        </w:rPr>
        <w:t>either</w:t>
      </w:r>
      <w:r>
        <w:rPr>
          <w:spacing w:val="-36"/>
          <w:w w:val="105"/>
        </w:rPr>
        <w:t xml:space="preserve"> </w:t>
      </w:r>
      <w:r>
        <w:rPr>
          <w:w w:val="105"/>
        </w:rPr>
        <w:t>the</w:t>
      </w:r>
      <w:r>
        <w:rPr>
          <w:spacing w:val="-35"/>
          <w:w w:val="105"/>
        </w:rPr>
        <w:t xml:space="preserve"> </w:t>
      </w:r>
      <w:r>
        <w:rPr>
          <w:w w:val="105"/>
        </w:rPr>
        <w:t>null</w:t>
      </w:r>
      <w:r>
        <w:rPr>
          <w:spacing w:val="-34"/>
          <w:w w:val="105"/>
        </w:rPr>
        <w:t xml:space="preserve"> </w:t>
      </w:r>
      <w:r>
        <w:rPr>
          <w:spacing w:val="-3"/>
          <w:w w:val="105"/>
        </w:rPr>
        <w:t xml:space="preserve">or </w:t>
      </w:r>
      <w:r>
        <w:rPr>
          <w:w w:val="105"/>
        </w:rPr>
        <w:t xml:space="preserve">alternative hypothesis and the NT group performed at ceiling in the PM high importance </w:t>
      </w:r>
      <w:r>
        <w:rPr>
          <w:w w:val="105"/>
          <w:position w:val="2"/>
        </w:rPr>
        <w:t>condition,</w:t>
      </w:r>
      <w:r>
        <w:rPr>
          <w:spacing w:val="-11"/>
          <w:w w:val="105"/>
          <w:position w:val="2"/>
        </w:rPr>
        <w:t xml:space="preserve"> </w:t>
      </w:r>
      <w:r>
        <w:rPr>
          <w:i/>
          <w:w w:val="105"/>
          <w:position w:val="2"/>
        </w:rPr>
        <w:t>t</w:t>
      </w:r>
      <w:r>
        <w:rPr>
          <w:w w:val="105"/>
          <w:position w:val="2"/>
        </w:rPr>
        <w:t>(22)</w:t>
      </w:r>
      <w:r>
        <w:rPr>
          <w:spacing w:val="-12"/>
          <w:w w:val="105"/>
          <w:position w:val="2"/>
        </w:rPr>
        <w:t xml:space="preserve"> </w:t>
      </w:r>
      <w:r>
        <w:rPr>
          <w:w w:val="105"/>
          <w:position w:val="2"/>
        </w:rPr>
        <w:t>=</w:t>
      </w:r>
      <w:r>
        <w:rPr>
          <w:spacing w:val="-14"/>
          <w:w w:val="105"/>
          <w:position w:val="2"/>
        </w:rPr>
        <w:t xml:space="preserve"> </w:t>
      </w:r>
      <w:r>
        <w:rPr>
          <w:w w:val="105"/>
          <w:position w:val="2"/>
        </w:rPr>
        <w:t>-1.00,</w:t>
      </w:r>
      <w:r>
        <w:rPr>
          <w:spacing w:val="-11"/>
          <w:w w:val="105"/>
          <w:position w:val="2"/>
        </w:rPr>
        <w:t xml:space="preserve"> </w:t>
      </w:r>
      <w:r>
        <w:rPr>
          <w:i/>
          <w:w w:val="105"/>
          <w:position w:val="2"/>
        </w:rPr>
        <w:t>p</w:t>
      </w:r>
      <w:r>
        <w:rPr>
          <w:i/>
          <w:spacing w:val="-15"/>
          <w:w w:val="105"/>
          <w:position w:val="2"/>
        </w:rPr>
        <w:t xml:space="preserve"> </w:t>
      </w:r>
      <w:r>
        <w:rPr>
          <w:w w:val="105"/>
          <w:position w:val="2"/>
        </w:rPr>
        <w:t>=</w:t>
      </w:r>
      <w:r>
        <w:rPr>
          <w:spacing w:val="-14"/>
          <w:w w:val="105"/>
          <w:position w:val="2"/>
        </w:rPr>
        <w:t xml:space="preserve"> </w:t>
      </w:r>
      <w:r>
        <w:rPr>
          <w:w w:val="105"/>
          <w:position w:val="2"/>
        </w:rPr>
        <w:t>.33,</w:t>
      </w:r>
      <w:r>
        <w:rPr>
          <w:spacing w:val="-11"/>
          <w:w w:val="105"/>
          <w:position w:val="2"/>
        </w:rPr>
        <w:t xml:space="preserve"> </w:t>
      </w:r>
      <w:r>
        <w:rPr>
          <w:w w:val="105"/>
          <w:position w:val="2"/>
        </w:rPr>
        <w:t>BF</w:t>
      </w:r>
      <w:r>
        <w:rPr>
          <w:w w:val="105"/>
          <w:position w:val="2"/>
          <w:vertAlign w:val="subscript"/>
        </w:rPr>
        <w:t>10</w:t>
      </w:r>
      <w:r>
        <w:rPr>
          <w:spacing w:val="21"/>
          <w:w w:val="105"/>
          <w:position w:val="2"/>
        </w:rPr>
        <w:t xml:space="preserve"> </w:t>
      </w:r>
      <w:r>
        <w:rPr>
          <w:w w:val="105"/>
          <w:position w:val="2"/>
        </w:rPr>
        <w:t>=</w:t>
      </w:r>
      <w:r>
        <w:rPr>
          <w:spacing w:val="-13"/>
          <w:w w:val="105"/>
          <w:position w:val="2"/>
        </w:rPr>
        <w:t xml:space="preserve"> </w:t>
      </w:r>
      <w:r>
        <w:rPr>
          <w:w w:val="105"/>
          <w:position w:val="2"/>
        </w:rPr>
        <w:t>0.34;</w:t>
      </w:r>
      <w:r>
        <w:rPr>
          <w:spacing w:val="-13"/>
          <w:w w:val="105"/>
          <w:position w:val="2"/>
        </w:rPr>
        <w:t xml:space="preserve"> </w:t>
      </w:r>
      <w:r>
        <w:rPr>
          <w:w w:val="105"/>
          <w:position w:val="2"/>
        </w:rPr>
        <w:t>thus</w:t>
      </w:r>
      <w:r>
        <w:rPr>
          <w:spacing w:val="-14"/>
          <w:w w:val="105"/>
          <w:position w:val="2"/>
        </w:rPr>
        <w:t xml:space="preserve"> </w:t>
      </w:r>
      <w:r>
        <w:rPr>
          <w:w w:val="105"/>
          <w:position w:val="2"/>
        </w:rPr>
        <w:t>cautious</w:t>
      </w:r>
      <w:r>
        <w:rPr>
          <w:spacing w:val="-14"/>
          <w:w w:val="105"/>
          <w:position w:val="2"/>
        </w:rPr>
        <w:t xml:space="preserve"> </w:t>
      </w:r>
      <w:r>
        <w:rPr>
          <w:w w:val="105"/>
          <w:position w:val="2"/>
        </w:rPr>
        <w:t>interpretation</w:t>
      </w:r>
      <w:r>
        <w:rPr>
          <w:spacing w:val="-13"/>
          <w:w w:val="105"/>
          <w:position w:val="2"/>
        </w:rPr>
        <w:t xml:space="preserve"> </w:t>
      </w:r>
      <w:r>
        <w:rPr>
          <w:w w:val="105"/>
          <w:position w:val="2"/>
        </w:rPr>
        <w:t>of</w:t>
      </w:r>
      <w:r>
        <w:rPr>
          <w:spacing w:val="-12"/>
          <w:w w:val="105"/>
          <w:position w:val="2"/>
        </w:rPr>
        <w:t xml:space="preserve"> </w:t>
      </w:r>
      <w:r>
        <w:rPr>
          <w:w w:val="105"/>
          <w:position w:val="2"/>
        </w:rPr>
        <w:t>the</w:t>
      </w:r>
      <w:r>
        <w:rPr>
          <w:spacing w:val="-13"/>
          <w:w w:val="105"/>
          <w:position w:val="2"/>
        </w:rPr>
        <w:t xml:space="preserve"> </w:t>
      </w:r>
      <w:r>
        <w:rPr>
          <w:w w:val="105"/>
          <w:position w:val="2"/>
        </w:rPr>
        <w:t xml:space="preserve">interaction </w:t>
      </w:r>
      <w:r>
        <w:rPr>
          <w:w w:val="105"/>
        </w:rPr>
        <w:t>effect is</w:t>
      </w:r>
      <w:r>
        <w:rPr>
          <w:spacing w:val="-6"/>
          <w:w w:val="105"/>
        </w:rPr>
        <w:t xml:space="preserve"> </w:t>
      </w:r>
      <w:r>
        <w:rPr>
          <w:w w:val="105"/>
        </w:rPr>
        <w:t>required.</w:t>
      </w:r>
    </w:p>
    <w:p w14:paraId="6D1FE1B6" w14:textId="77777777" w:rsidR="00C75312" w:rsidRDefault="00BB293A">
      <w:pPr>
        <w:pStyle w:val="BodyText"/>
        <w:spacing w:before="121" w:line="475" w:lineRule="auto"/>
        <w:ind w:left="140" w:right="1434" w:firstLine="720"/>
        <w:jc w:val="both"/>
      </w:pPr>
      <w:r>
        <w:pict w14:anchorId="313A397B">
          <v:shape id="_x0000_s2664" type="#_x0000_t202" style="position:absolute;left:0;text-align:left;margin-left:486pt;margin-top:122.3pt;width:5.3pt;height:9.85pt;z-index:-260552704;mso-position-horizontal-relative:page" filled="f" stroked="f">
            <v:textbox inset="0,0,0,0">
              <w:txbxContent>
                <w:p w14:paraId="5F4D7023"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b/>
        </w:rPr>
        <w:t xml:space="preserve">PM target accuracy. </w:t>
      </w:r>
      <w:r>
        <w:t xml:space="preserve">Among participants who had a minimum of one PM hit in each condition, PM target accuracy was </w:t>
      </w:r>
      <w:proofErr w:type="spellStart"/>
      <w:r>
        <w:t>analysed</w:t>
      </w:r>
      <w:proofErr w:type="spellEnd"/>
      <w:r>
        <w:t xml:space="preserve"> (ASD </w:t>
      </w:r>
      <w:r>
        <w:rPr>
          <w:i/>
        </w:rPr>
        <w:t xml:space="preserve">n </w:t>
      </w:r>
      <w:r>
        <w:t xml:space="preserve">= 23, NT </w:t>
      </w:r>
      <w:r>
        <w:rPr>
          <w:i/>
        </w:rPr>
        <w:t xml:space="preserve">n </w:t>
      </w:r>
      <w:r>
        <w:t>= 23). In a 2 × 2 mixed ANOVA, with group (ASD/NT) as between-subjects factor and condition (PM low/high importance)</w:t>
      </w:r>
      <w:r>
        <w:rPr>
          <w:spacing w:val="1"/>
        </w:rPr>
        <w:t xml:space="preserve"> </w:t>
      </w:r>
      <w:r>
        <w:t>as</w:t>
      </w:r>
      <w:r>
        <w:rPr>
          <w:spacing w:val="-7"/>
        </w:rPr>
        <w:t xml:space="preserve"> </w:t>
      </w:r>
      <w:r>
        <w:t>within-subject factor,</w:t>
      </w:r>
      <w:r>
        <w:rPr>
          <w:spacing w:val="-2"/>
        </w:rPr>
        <w:t xml:space="preserve"> </w:t>
      </w:r>
      <w:r>
        <w:t>a</w:t>
      </w:r>
      <w:r>
        <w:rPr>
          <w:spacing w:val="-6"/>
        </w:rPr>
        <w:t xml:space="preserve"> </w:t>
      </w:r>
      <w:r>
        <w:t>main</w:t>
      </w:r>
      <w:r>
        <w:rPr>
          <w:spacing w:val="-6"/>
        </w:rPr>
        <w:t xml:space="preserve"> </w:t>
      </w:r>
      <w:r>
        <w:t>effect</w:t>
      </w:r>
      <w:r>
        <w:rPr>
          <w:spacing w:val="-9"/>
        </w:rPr>
        <w:t xml:space="preserve"> </w:t>
      </w:r>
      <w:r>
        <w:t>of</w:t>
      </w:r>
      <w:r>
        <w:rPr>
          <w:spacing w:val="2"/>
        </w:rPr>
        <w:t xml:space="preserve"> </w:t>
      </w:r>
      <w:r>
        <w:t>group</w:t>
      </w:r>
      <w:r>
        <w:rPr>
          <w:spacing w:val="-5"/>
        </w:rPr>
        <w:t xml:space="preserve"> </w:t>
      </w:r>
      <w:r>
        <w:t>emerged</w:t>
      </w:r>
      <w:r>
        <w:rPr>
          <w:spacing w:val="-5"/>
        </w:rPr>
        <w:t xml:space="preserve"> </w:t>
      </w:r>
      <w:r>
        <w:t>indicating</w:t>
      </w:r>
      <w:r>
        <w:rPr>
          <w:spacing w:val="-5"/>
        </w:rPr>
        <w:t xml:space="preserve"> </w:t>
      </w:r>
      <w:r>
        <w:t>that</w:t>
      </w:r>
      <w:r>
        <w:rPr>
          <w:spacing w:val="-4"/>
        </w:rPr>
        <w:t xml:space="preserve"> </w:t>
      </w:r>
      <w:r>
        <w:t>NT</w:t>
      </w:r>
      <w:r>
        <w:rPr>
          <w:spacing w:val="-4"/>
        </w:rPr>
        <w:t xml:space="preserve"> </w:t>
      </w:r>
      <w:r>
        <w:t xml:space="preserve">group overall responded closer to target time than the ASD group, </w:t>
      </w:r>
      <w:r>
        <w:rPr>
          <w:i/>
        </w:rPr>
        <w:t>F</w:t>
      </w:r>
      <w:r>
        <w:t xml:space="preserve">(1,44) = 6.94, </w:t>
      </w:r>
      <w:r>
        <w:rPr>
          <w:i/>
        </w:rPr>
        <w:t xml:space="preserve">p </w:t>
      </w:r>
      <w:r>
        <w:t xml:space="preserve">= .01, </w:t>
      </w:r>
      <w:r>
        <w:rPr>
          <w:rFonts w:ascii="Cambria Math" w:hAnsi="Cambria Math"/>
          <w:w w:val="110"/>
        </w:rPr>
        <w:t>!</w:t>
      </w:r>
      <w:r>
        <w:rPr>
          <w:rFonts w:ascii="Cambria Math" w:hAnsi="Cambria Math"/>
          <w:w w:val="110"/>
          <w:position w:val="9"/>
          <w:sz w:val="17"/>
        </w:rPr>
        <w:t xml:space="preserve"># </w:t>
      </w:r>
      <w:r>
        <w:t>= .14,</w:t>
      </w:r>
    </w:p>
    <w:p w14:paraId="7B22EC9D" w14:textId="77777777" w:rsidR="00C75312" w:rsidRDefault="00C75312">
      <w:pPr>
        <w:spacing w:line="475" w:lineRule="auto"/>
        <w:jc w:val="both"/>
        <w:sectPr w:rsidR="00C75312">
          <w:pgSz w:w="11900" w:h="16840"/>
          <w:pgMar w:top="1140" w:right="0" w:bottom="280" w:left="1300" w:header="720" w:footer="0" w:gutter="0"/>
          <w:cols w:space="720"/>
        </w:sectPr>
      </w:pPr>
    </w:p>
    <w:p w14:paraId="05DC39A7" w14:textId="77777777" w:rsidR="00C75312" w:rsidRDefault="00BB293A">
      <w:pPr>
        <w:pStyle w:val="BodyText"/>
        <w:spacing w:before="106" w:line="477" w:lineRule="auto"/>
        <w:ind w:left="140" w:right="1431"/>
        <w:jc w:val="both"/>
      </w:pPr>
      <w:r>
        <w:lastRenderedPageBreak/>
        <w:pict w14:anchorId="21BBEA31">
          <v:shape id="_x0000_s2663" type="#_x0000_t202" style="position:absolute;left:0;text-align:left;margin-left:303.85pt;margin-top:66.4pt;width:5.3pt;height:9.85pt;z-index:-260534272;mso-position-horizontal-relative:page" filled="f" stroked="f">
            <v:textbox inset="0,0,0,0">
              <w:txbxContent>
                <w:p w14:paraId="34A42901"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411430B8">
          <v:shape id="_x0000_s2662" type="#_x0000_t202" style="position:absolute;left:0;text-align:left;margin-left:445.9pt;margin-top:95.9pt;width:5.3pt;height:9.85pt;z-index:-260533248;mso-position-horizontal-relative:page" filled="f" stroked="f">
            <v:textbox inset="0,0,0,0">
              <w:txbxContent>
                <w:p w14:paraId="76B55E93"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position w:val="2"/>
        </w:rPr>
        <w:t>BF</w:t>
      </w:r>
      <w:r>
        <w:rPr>
          <w:w w:val="105"/>
          <w:position w:val="2"/>
          <w:vertAlign w:val="subscript"/>
        </w:rPr>
        <w:t>10</w:t>
      </w:r>
      <w:r>
        <w:rPr>
          <w:spacing w:val="17"/>
          <w:w w:val="105"/>
          <w:position w:val="2"/>
        </w:rPr>
        <w:t xml:space="preserve"> </w:t>
      </w:r>
      <w:r>
        <w:rPr>
          <w:w w:val="105"/>
          <w:position w:val="2"/>
        </w:rPr>
        <w:t>=</w:t>
      </w:r>
      <w:r>
        <w:rPr>
          <w:spacing w:val="-15"/>
          <w:w w:val="105"/>
          <w:position w:val="2"/>
        </w:rPr>
        <w:t xml:space="preserve"> </w:t>
      </w:r>
      <w:r>
        <w:rPr>
          <w:w w:val="105"/>
          <w:position w:val="2"/>
        </w:rPr>
        <w:t>4.47.</w:t>
      </w:r>
      <w:r>
        <w:rPr>
          <w:spacing w:val="37"/>
          <w:w w:val="105"/>
          <w:position w:val="2"/>
        </w:rPr>
        <w:t xml:space="preserve"> </w:t>
      </w:r>
      <w:r>
        <w:rPr>
          <w:w w:val="105"/>
          <w:position w:val="2"/>
        </w:rPr>
        <w:t>Furthermore,</w:t>
      </w:r>
      <w:r>
        <w:rPr>
          <w:spacing w:val="-13"/>
          <w:w w:val="105"/>
          <w:position w:val="2"/>
        </w:rPr>
        <w:t xml:space="preserve"> </w:t>
      </w:r>
      <w:r>
        <w:rPr>
          <w:w w:val="105"/>
          <w:position w:val="2"/>
        </w:rPr>
        <w:t>a</w:t>
      </w:r>
      <w:r>
        <w:rPr>
          <w:spacing w:val="-15"/>
          <w:w w:val="105"/>
          <w:position w:val="2"/>
        </w:rPr>
        <w:t xml:space="preserve"> </w:t>
      </w:r>
      <w:r>
        <w:rPr>
          <w:w w:val="105"/>
          <w:position w:val="2"/>
        </w:rPr>
        <w:t>significant</w:t>
      </w:r>
      <w:r>
        <w:rPr>
          <w:spacing w:val="-14"/>
          <w:w w:val="105"/>
          <w:position w:val="2"/>
        </w:rPr>
        <w:t xml:space="preserve"> </w:t>
      </w:r>
      <w:r>
        <w:rPr>
          <w:w w:val="105"/>
          <w:position w:val="2"/>
        </w:rPr>
        <w:t>main</w:t>
      </w:r>
      <w:r>
        <w:rPr>
          <w:spacing w:val="-15"/>
          <w:w w:val="105"/>
          <w:position w:val="2"/>
        </w:rPr>
        <w:t xml:space="preserve"> </w:t>
      </w:r>
      <w:r>
        <w:rPr>
          <w:w w:val="105"/>
          <w:position w:val="2"/>
        </w:rPr>
        <w:t>effect</w:t>
      </w:r>
      <w:r>
        <w:rPr>
          <w:spacing w:val="-14"/>
          <w:w w:val="105"/>
          <w:position w:val="2"/>
        </w:rPr>
        <w:t xml:space="preserve"> </w:t>
      </w:r>
      <w:r>
        <w:rPr>
          <w:w w:val="105"/>
          <w:position w:val="2"/>
        </w:rPr>
        <w:t>of</w:t>
      </w:r>
      <w:r>
        <w:rPr>
          <w:spacing w:val="-13"/>
          <w:w w:val="105"/>
          <w:position w:val="2"/>
        </w:rPr>
        <w:t xml:space="preserve"> </w:t>
      </w:r>
      <w:r>
        <w:rPr>
          <w:w w:val="105"/>
          <w:position w:val="2"/>
        </w:rPr>
        <w:t>condition</w:t>
      </w:r>
      <w:r>
        <w:rPr>
          <w:spacing w:val="-15"/>
          <w:w w:val="105"/>
          <w:position w:val="2"/>
        </w:rPr>
        <w:t xml:space="preserve"> </w:t>
      </w:r>
      <w:r>
        <w:rPr>
          <w:w w:val="105"/>
          <w:position w:val="2"/>
        </w:rPr>
        <w:t>indicated</w:t>
      </w:r>
      <w:r>
        <w:rPr>
          <w:spacing w:val="-14"/>
          <w:w w:val="105"/>
          <w:position w:val="2"/>
        </w:rPr>
        <w:t xml:space="preserve"> </w:t>
      </w:r>
      <w:r>
        <w:rPr>
          <w:w w:val="105"/>
          <w:position w:val="2"/>
        </w:rPr>
        <w:t>that</w:t>
      </w:r>
      <w:r>
        <w:rPr>
          <w:spacing w:val="-14"/>
          <w:w w:val="105"/>
          <w:position w:val="2"/>
        </w:rPr>
        <w:t xml:space="preserve"> </w:t>
      </w:r>
      <w:r>
        <w:rPr>
          <w:w w:val="105"/>
          <w:position w:val="2"/>
        </w:rPr>
        <w:t>both</w:t>
      </w:r>
      <w:r>
        <w:rPr>
          <w:spacing w:val="-15"/>
          <w:w w:val="105"/>
          <w:position w:val="2"/>
        </w:rPr>
        <w:t xml:space="preserve"> </w:t>
      </w:r>
      <w:r>
        <w:rPr>
          <w:w w:val="105"/>
          <w:position w:val="2"/>
        </w:rPr>
        <w:t xml:space="preserve">groups </w:t>
      </w:r>
      <w:r>
        <w:rPr>
          <w:w w:val="105"/>
        </w:rPr>
        <w:t xml:space="preserve">responded closer to target time in the PM high importance condition than in the PM low </w:t>
      </w:r>
      <w:r>
        <w:rPr>
          <w:position w:val="2"/>
        </w:rPr>
        <w:t>impo</w:t>
      </w:r>
      <w:r>
        <w:rPr>
          <w:spacing w:val="1"/>
          <w:position w:val="2"/>
        </w:rPr>
        <w:t>r</w:t>
      </w:r>
      <w:r>
        <w:rPr>
          <w:position w:val="2"/>
        </w:rPr>
        <w:t>t</w:t>
      </w:r>
      <w:r>
        <w:rPr>
          <w:spacing w:val="-1"/>
          <w:position w:val="2"/>
        </w:rPr>
        <w:t>a</w:t>
      </w:r>
      <w:r>
        <w:rPr>
          <w:position w:val="2"/>
        </w:rPr>
        <w:t>n</w:t>
      </w:r>
      <w:r>
        <w:rPr>
          <w:spacing w:val="-1"/>
          <w:position w:val="2"/>
        </w:rPr>
        <w:t>c</w:t>
      </w:r>
      <w:r>
        <w:rPr>
          <w:position w:val="2"/>
        </w:rPr>
        <w:t>e</w:t>
      </w:r>
      <w:r>
        <w:rPr>
          <w:spacing w:val="6"/>
          <w:position w:val="2"/>
        </w:rPr>
        <w:t xml:space="preserve"> </w:t>
      </w:r>
      <w:r>
        <w:rPr>
          <w:spacing w:val="-1"/>
          <w:position w:val="2"/>
        </w:rPr>
        <w:t>c</w:t>
      </w:r>
      <w:r>
        <w:rPr>
          <w:position w:val="2"/>
        </w:rPr>
        <w:t>onditio</w:t>
      </w:r>
      <w:r>
        <w:rPr>
          <w:spacing w:val="-5"/>
          <w:position w:val="2"/>
        </w:rPr>
        <w:t>n</w:t>
      </w:r>
      <w:r>
        <w:rPr>
          <w:position w:val="2"/>
        </w:rPr>
        <w:t>,</w:t>
      </w:r>
      <w:r>
        <w:rPr>
          <w:spacing w:val="4"/>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44)</w:t>
      </w:r>
      <w:r>
        <w:rPr>
          <w:spacing w:val="4"/>
          <w:position w:val="2"/>
        </w:rPr>
        <w:t xml:space="preserve"> </w:t>
      </w:r>
      <w:r>
        <w:rPr>
          <w:position w:val="2"/>
        </w:rPr>
        <w:t>=</w:t>
      </w:r>
      <w:r>
        <w:rPr>
          <w:spacing w:val="6"/>
          <w:position w:val="2"/>
        </w:rPr>
        <w:t xml:space="preserve"> </w:t>
      </w:r>
      <w:r>
        <w:rPr>
          <w:spacing w:val="-5"/>
          <w:position w:val="2"/>
        </w:rPr>
        <w:t>6</w:t>
      </w:r>
      <w:r>
        <w:rPr>
          <w:spacing w:val="2"/>
          <w:position w:val="2"/>
        </w:rPr>
        <w:t>.</w:t>
      </w:r>
      <w:r>
        <w:rPr>
          <w:position w:val="2"/>
        </w:rPr>
        <w:t>36,</w:t>
      </w:r>
      <w:r>
        <w:rPr>
          <w:spacing w:val="4"/>
          <w:position w:val="2"/>
        </w:rPr>
        <w:t xml:space="preserve"> </w:t>
      </w:r>
      <w:r>
        <w:rPr>
          <w:i/>
          <w:position w:val="2"/>
        </w:rPr>
        <w:t>p</w:t>
      </w:r>
      <w:r>
        <w:rPr>
          <w:i/>
          <w:spacing w:val="2"/>
          <w:position w:val="2"/>
        </w:rPr>
        <w:t xml:space="preserve"> </w:t>
      </w:r>
      <w:r>
        <w:rPr>
          <w:position w:val="2"/>
        </w:rPr>
        <w:t>=</w:t>
      </w:r>
      <w:r>
        <w:rPr>
          <w:spacing w:val="1"/>
          <w:position w:val="2"/>
        </w:rPr>
        <w:t xml:space="preserve"> </w:t>
      </w:r>
      <w:r>
        <w:rPr>
          <w:spacing w:val="2"/>
          <w:position w:val="2"/>
        </w:rPr>
        <w:t>.</w:t>
      </w:r>
      <w:r>
        <w:rPr>
          <w:position w:val="2"/>
        </w:rPr>
        <w:t>0</w:t>
      </w:r>
      <w:r>
        <w:rPr>
          <w:spacing w:val="-5"/>
          <w:position w:val="2"/>
        </w:rPr>
        <w:t>2</w:t>
      </w:r>
      <w:r>
        <w:rPr>
          <w:position w:val="2"/>
        </w:rPr>
        <w:t>,</w:t>
      </w:r>
      <w:r>
        <w:rPr>
          <w:spacing w:val="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7"/>
          <w:position w:val="2"/>
        </w:rPr>
        <w:t xml:space="preserve"> </w:t>
      </w:r>
      <w:r>
        <w:rPr>
          <w:position w:val="2"/>
        </w:rPr>
        <w:t>=</w:t>
      </w:r>
      <w:r>
        <w:rPr>
          <w:spacing w:val="1"/>
          <w:position w:val="2"/>
        </w:rPr>
        <w:t xml:space="preserve"> </w:t>
      </w:r>
      <w:r>
        <w:rPr>
          <w:spacing w:val="-3"/>
          <w:position w:val="2"/>
        </w:rPr>
        <w:t>.</w:t>
      </w:r>
      <w:r>
        <w:rPr>
          <w:position w:val="2"/>
        </w:rPr>
        <w:t>13,</w:t>
      </w:r>
      <w:r>
        <w:rPr>
          <w:spacing w:val="9"/>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position w:val="2"/>
        </w:rPr>
        <w:t xml:space="preserve"> </w:t>
      </w:r>
      <w:r>
        <w:rPr>
          <w:spacing w:val="-12"/>
          <w:position w:val="2"/>
        </w:rPr>
        <w:t xml:space="preserve"> </w:t>
      </w:r>
      <w:r>
        <w:rPr>
          <w:position w:val="2"/>
        </w:rPr>
        <w:t>=</w:t>
      </w:r>
      <w:r>
        <w:rPr>
          <w:spacing w:val="6"/>
          <w:position w:val="2"/>
        </w:rPr>
        <w:t xml:space="preserve"> </w:t>
      </w:r>
      <w:r>
        <w:rPr>
          <w:spacing w:val="-5"/>
          <w:position w:val="2"/>
        </w:rPr>
        <w:t>3</w:t>
      </w:r>
      <w:r>
        <w:rPr>
          <w:spacing w:val="2"/>
          <w:position w:val="2"/>
        </w:rPr>
        <w:t>.</w:t>
      </w:r>
      <w:r>
        <w:rPr>
          <w:position w:val="2"/>
        </w:rPr>
        <w:t xml:space="preserve">35. </w:t>
      </w:r>
      <w:r>
        <w:rPr>
          <w:spacing w:val="7"/>
          <w:position w:val="2"/>
        </w:rPr>
        <w:t xml:space="preserve"> </w:t>
      </w:r>
      <w:r>
        <w:rPr>
          <w:spacing w:val="-1"/>
          <w:position w:val="2"/>
        </w:rPr>
        <w:t>H</w:t>
      </w:r>
      <w:r>
        <w:rPr>
          <w:position w:val="2"/>
        </w:rPr>
        <w:t>o</w:t>
      </w:r>
      <w:r>
        <w:rPr>
          <w:spacing w:val="-1"/>
          <w:position w:val="2"/>
        </w:rPr>
        <w:t>we</w:t>
      </w:r>
      <w:r>
        <w:rPr>
          <w:position w:val="2"/>
        </w:rPr>
        <w:t>v</w:t>
      </w:r>
      <w:r>
        <w:rPr>
          <w:spacing w:val="-1"/>
          <w:position w:val="2"/>
        </w:rPr>
        <w:t>e</w:t>
      </w:r>
      <w:r>
        <w:rPr>
          <w:spacing w:val="1"/>
          <w:position w:val="2"/>
        </w:rPr>
        <w:t>r</w:t>
      </w:r>
      <w:r>
        <w:rPr>
          <w:position w:val="2"/>
        </w:rPr>
        <w:t>,</w:t>
      </w:r>
      <w:r>
        <w:rPr>
          <w:spacing w:val="4"/>
          <w:position w:val="2"/>
        </w:rPr>
        <w:t xml:space="preserve"> </w:t>
      </w:r>
      <w:r>
        <w:rPr>
          <w:position w:val="2"/>
        </w:rPr>
        <w:t>the</w:t>
      </w:r>
      <w:r>
        <w:rPr>
          <w:spacing w:val="1"/>
          <w:position w:val="2"/>
        </w:rPr>
        <w:t xml:space="preserve"> </w:t>
      </w:r>
      <w:r>
        <w:rPr>
          <w:spacing w:val="-1"/>
          <w:position w:val="2"/>
        </w:rPr>
        <w:t>G</w:t>
      </w:r>
      <w:r>
        <w:rPr>
          <w:spacing w:val="1"/>
          <w:position w:val="2"/>
        </w:rPr>
        <w:t>r</w:t>
      </w:r>
      <w:r>
        <w:rPr>
          <w:position w:val="2"/>
        </w:rPr>
        <w:t>oup</w:t>
      </w:r>
      <w:r>
        <w:rPr>
          <w:spacing w:val="2"/>
          <w:position w:val="2"/>
        </w:rPr>
        <w:t xml:space="preserve"> </w:t>
      </w:r>
      <w:r>
        <w:rPr>
          <w:position w:val="2"/>
        </w:rPr>
        <w:t xml:space="preserve">× </w:t>
      </w:r>
      <w:r>
        <w:rPr>
          <w:spacing w:val="-2"/>
          <w:position w:val="2"/>
        </w:rPr>
        <w:t>C</w:t>
      </w:r>
      <w:r>
        <w:rPr>
          <w:position w:val="2"/>
        </w:rPr>
        <w:t>ondition</w:t>
      </w:r>
      <w:r>
        <w:rPr>
          <w:spacing w:val="7"/>
          <w:position w:val="2"/>
        </w:rPr>
        <w:t xml:space="preserve"> </w:t>
      </w:r>
      <w:r>
        <w:rPr>
          <w:position w:val="2"/>
        </w:rPr>
        <w:t>int</w:t>
      </w:r>
      <w:r>
        <w:rPr>
          <w:spacing w:val="-1"/>
          <w:position w:val="2"/>
        </w:rPr>
        <w:t>e</w:t>
      </w:r>
      <w:r>
        <w:rPr>
          <w:spacing w:val="1"/>
          <w:position w:val="2"/>
        </w:rPr>
        <w:t>r</w:t>
      </w:r>
      <w:r>
        <w:rPr>
          <w:spacing w:val="-1"/>
          <w:position w:val="2"/>
        </w:rPr>
        <w:t>ac</w:t>
      </w:r>
      <w:r>
        <w:rPr>
          <w:position w:val="2"/>
        </w:rPr>
        <w:t>tion</w:t>
      </w:r>
      <w:r>
        <w:rPr>
          <w:spacing w:val="2"/>
          <w:position w:val="2"/>
        </w:rPr>
        <w:t xml:space="preserve"> </w:t>
      </w:r>
      <w:r>
        <w:rPr>
          <w:position w:val="2"/>
        </w:rPr>
        <w:t>did</w:t>
      </w:r>
      <w:r>
        <w:rPr>
          <w:spacing w:val="2"/>
          <w:position w:val="2"/>
        </w:rPr>
        <w:t xml:space="preserve"> </w:t>
      </w:r>
      <w:r>
        <w:rPr>
          <w:position w:val="2"/>
        </w:rPr>
        <w:t>not</w:t>
      </w:r>
      <w:r>
        <w:rPr>
          <w:spacing w:val="2"/>
          <w:position w:val="2"/>
        </w:rPr>
        <w:t xml:space="preserve"> </w:t>
      </w:r>
      <w:r>
        <w:rPr>
          <w:spacing w:val="-1"/>
          <w:position w:val="2"/>
        </w:rPr>
        <w:t>a</w:t>
      </w:r>
      <w:r>
        <w:rPr>
          <w:position w:val="2"/>
        </w:rPr>
        <w:t>pp</w:t>
      </w:r>
      <w:r>
        <w:rPr>
          <w:spacing w:val="1"/>
          <w:position w:val="2"/>
        </w:rPr>
        <w:t>r</w:t>
      </w:r>
      <w:r>
        <w:rPr>
          <w:position w:val="2"/>
        </w:rPr>
        <w:t>o</w:t>
      </w:r>
      <w:r>
        <w:rPr>
          <w:spacing w:val="-1"/>
          <w:position w:val="2"/>
        </w:rPr>
        <w:t>ac</w:t>
      </w:r>
      <w:r>
        <w:rPr>
          <w:position w:val="2"/>
        </w:rPr>
        <w:t>h</w:t>
      </w:r>
      <w:r>
        <w:rPr>
          <w:spacing w:val="7"/>
          <w:position w:val="2"/>
        </w:rPr>
        <w:t xml:space="preserve"> </w:t>
      </w:r>
      <w:r>
        <w:rPr>
          <w:spacing w:val="-3"/>
          <w:position w:val="2"/>
        </w:rPr>
        <w:t>s</w:t>
      </w:r>
      <w:r>
        <w:rPr>
          <w:position w:val="2"/>
        </w:rPr>
        <w:t>ign</w:t>
      </w:r>
      <w:r>
        <w:rPr>
          <w:spacing w:val="-5"/>
          <w:position w:val="2"/>
        </w:rPr>
        <w:t>i</w:t>
      </w:r>
      <w:r>
        <w:rPr>
          <w:spacing w:val="1"/>
          <w:position w:val="2"/>
        </w:rPr>
        <w:t>f</w:t>
      </w:r>
      <w:r>
        <w:rPr>
          <w:position w:val="2"/>
        </w:rPr>
        <w:t>i</w:t>
      </w:r>
      <w:r>
        <w:rPr>
          <w:spacing w:val="-1"/>
          <w:position w:val="2"/>
        </w:rPr>
        <w:t>ca</w:t>
      </w:r>
      <w:r>
        <w:rPr>
          <w:position w:val="2"/>
        </w:rPr>
        <w:t>n</w:t>
      </w:r>
      <w:r>
        <w:rPr>
          <w:spacing w:val="-1"/>
          <w:position w:val="2"/>
        </w:rPr>
        <w:t>ce</w:t>
      </w:r>
      <w:r>
        <w:rPr>
          <w:position w:val="2"/>
        </w:rPr>
        <w:t>,</w:t>
      </w:r>
      <w:r>
        <w:rPr>
          <w:spacing w:val="4"/>
          <w:position w:val="2"/>
        </w:rPr>
        <w:t xml:space="preserve"> </w:t>
      </w:r>
      <w:r>
        <w:rPr>
          <w:i/>
          <w:spacing w:val="2"/>
          <w:position w:val="2"/>
        </w:rPr>
        <w:t>F</w:t>
      </w:r>
      <w:r>
        <w:rPr>
          <w:spacing w:val="1"/>
          <w:position w:val="2"/>
        </w:rPr>
        <w:t>(</w:t>
      </w:r>
      <w:r>
        <w:rPr>
          <w:position w:val="2"/>
        </w:rPr>
        <w:t>1</w:t>
      </w:r>
      <w:r>
        <w:rPr>
          <w:spacing w:val="2"/>
          <w:position w:val="2"/>
        </w:rPr>
        <w:t>,</w:t>
      </w:r>
      <w:r>
        <w:rPr>
          <w:position w:val="2"/>
        </w:rPr>
        <w:t>4</w:t>
      </w:r>
      <w:r>
        <w:rPr>
          <w:spacing w:val="-5"/>
          <w:position w:val="2"/>
        </w:rPr>
        <w:t>4</w:t>
      </w:r>
      <w:r>
        <w:rPr>
          <w:position w:val="2"/>
        </w:rPr>
        <w:t>)</w:t>
      </w:r>
      <w:r>
        <w:rPr>
          <w:spacing w:val="4"/>
          <w:position w:val="2"/>
        </w:rPr>
        <w:t xml:space="preserve"> </w:t>
      </w:r>
      <w:r>
        <w:rPr>
          <w:position w:val="2"/>
        </w:rPr>
        <w:t>=</w:t>
      </w:r>
      <w:r>
        <w:rPr>
          <w:spacing w:val="6"/>
          <w:position w:val="2"/>
        </w:rPr>
        <w:t xml:space="preserve"> </w:t>
      </w:r>
      <w:r>
        <w:rPr>
          <w:spacing w:val="-5"/>
          <w:position w:val="2"/>
        </w:rPr>
        <w:t>0</w:t>
      </w:r>
      <w:r>
        <w:rPr>
          <w:spacing w:val="2"/>
          <w:position w:val="2"/>
        </w:rPr>
        <w:t>.</w:t>
      </w:r>
      <w:r>
        <w:rPr>
          <w:position w:val="2"/>
        </w:rPr>
        <w:t>38</w:t>
      </w:r>
      <w:r>
        <w:rPr>
          <w:spacing w:val="2"/>
          <w:position w:val="2"/>
        </w:rPr>
        <w:t xml:space="preserve"> </w:t>
      </w:r>
      <w:r>
        <w:rPr>
          <w:i/>
          <w:position w:val="2"/>
        </w:rPr>
        <w:t>p</w:t>
      </w:r>
      <w:r>
        <w:rPr>
          <w:i/>
          <w:spacing w:val="2"/>
          <w:position w:val="2"/>
        </w:rPr>
        <w:t xml:space="preserve"> </w:t>
      </w:r>
      <w:r>
        <w:rPr>
          <w:position w:val="2"/>
        </w:rPr>
        <w:t>=</w:t>
      </w:r>
      <w:r>
        <w:rPr>
          <w:spacing w:val="1"/>
          <w:position w:val="2"/>
        </w:rPr>
        <w:t xml:space="preserve"> </w:t>
      </w:r>
      <w:r>
        <w:rPr>
          <w:spacing w:val="2"/>
          <w:position w:val="2"/>
        </w:rPr>
        <w:t>.</w:t>
      </w:r>
      <w:r>
        <w:rPr>
          <w:position w:val="2"/>
        </w:rPr>
        <w:t xml:space="preserve">54,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7"/>
          <w:position w:val="2"/>
        </w:rPr>
        <w:t xml:space="preserve"> </w:t>
      </w:r>
      <w:r>
        <w:rPr>
          <w:position w:val="2"/>
        </w:rPr>
        <w:t>=</w:t>
      </w:r>
      <w:r>
        <w:rPr>
          <w:spacing w:val="6"/>
          <w:position w:val="2"/>
        </w:rPr>
        <w:t xml:space="preserve"> </w:t>
      </w:r>
      <w:r>
        <w:rPr>
          <w:spacing w:val="2"/>
          <w:position w:val="2"/>
        </w:rPr>
        <w:t>.</w:t>
      </w:r>
      <w:r>
        <w:rPr>
          <w:position w:val="2"/>
        </w:rPr>
        <w:t>0</w:t>
      </w:r>
      <w:r>
        <w:rPr>
          <w:spacing w:val="-5"/>
          <w:position w:val="2"/>
        </w:rPr>
        <w:t>1</w:t>
      </w:r>
      <w:r>
        <w:rPr>
          <w:position w:val="2"/>
        </w:rPr>
        <w:t>,</w:t>
      </w:r>
      <w:r>
        <w:rPr>
          <w:spacing w:val="4"/>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position w:val="2"/>
        </w:rPr>
        <w:t xml:space="preserve"> </w:t>
      </w:r>
      <w:r>
        <w:rPr>
          <w:spacing w:val="-12"/>
          <w:position w:val="2"/>
        </w:rPr>
        <w:t xml:space="preserve"> </w:t>
      </w:r>
      <w:r>
        <w:rPr>
          <w:position w:val="2"/>
        </w:rPr>
        <w:t>=</w:t>
      </w:r>
    </w:p>
    <w:p w14:paraId="6C9C5D75" w14:textId="77777777" w:rsidR="00C75312" w:rsidRDefault="00BB293A">
      <w:pPr>
        <w:pStyle w:val="BodyText"/>
        <w:spacing w:before="11" w:line="472" w:lineRule="auto"/>
        <w:ind w:left="140" w:right="1433"/>
        <w:jc w:val="both"/>
      </w:pPr>
      <w:r>
        <w:rPr>
          <w:position w:val="2"/>
        </w:rPr>
        <w:t>0.33. The BF</w:t>
      </w:r>
      <w:r>
        <w:rPr>
          <w:position w:val="2"/>
          <w:vertAlign w:val="subscript"/>
        </w:rPr>
        <w:t>10</w:t>
      </w:r>
      <w:r>
        <w:rPr>
          <w:position w:val="2"/>
        </w:rPr>
        <w:t xml:space="preserve"> for the additive model was 14.25 and for the full model 4.72. This means</w:t>
      </w:r>
      <w:r>
        <w:rPr>
          <w:spacing w:val="-37"/>
          <w:position w:val="2"/>
        </w:rPr>
        <w:t xml:space="preserve"> </w:t>
      </w:r>
      <w:r>
        <w:rPr>
          <w:position w:val="2"/>
        </w:rPr>
        <w:t>that</w:t>
      </w:r>
      <w:r>
        <w:t xml:space="preserve"> the</w:t>
      </w:r>
      <w:r>
        <w:rPr>
          <w:spacing w:val="-7"/>
        </w:rPr>
        <w:t xml:space="preserve"> </w:t>
      </w:r>
      <w:r>
        <w:t>additive</w:t>
      </w:r>
      <w:r>
        <w:rPr>
          <w:spacing w:val="-11"/>
        </w:rPr>
        <w:t xml:space="preserve"> </w:t>
      </w:r>
      <w:r>
        <w:t>model</w:t>
      </w:r>
      <w:r>
        <w:rPr>
          <w:spacing w:val="-4"/>
        </w:rPr>
        <w:t xml:space="preserve"> </w:t>
      </w:r>
      <w:r>
        <w:t>provided</w:t>
      </w:r>
      <w:r>
        <w:rPr>
          <w:spacing w:val="-10"/>
        </w:rPr>
        <w:t xml:space="preserve"> </w:t>
      </w:r>
      <w:r>
        <w:t>the</w:t>
      </w:r>
      <w:r>
        <w:rPr>
          <w:spacing w:val="-7"/>
        </w:rPr>
        <w:t xml:space="preserve"> </w:t>
      </w:r>
      <w:r>
        <w:t>greatest</w:t>
      </w:r>
      <w:r>
        <w:rPr>
          <w:spacing w:val="-4"/>
        </w:rPr>
        <w:t xml:space="preserve"> </w:t>
      </w:r>
      <w:r>
        <w:t>evidence</w:t>
      </w:r>
      <w:r>
        <w:rPr>
          <w:spacing w:val="-6"/>
        </w:rPr>
        <w:t xml:space="preserve"> </w:t>
      </w:r>
      <w:r>
        <w:t>for</w:t>
      </w:r>
      <w:r>
        <w:rPr>
          <w:spacing w:val="-4"/>
        </w:rPr>
        <w:t xml:space="preserve"> </w:t>
      </w:r>
      <w:r>
        <w:t>the</w:t>
      </w:r>
      <w:r>
        <w:rPr>
          <w:spacing w:val="-11"/>
        </w:rPr>
        <w:t xml:space="preserve"> </w:t>
      </w:r>
      <w:r>
        <w:t>present</w:t>
      </w:r>
      <w:r>
        <w:rPr>
          <w:spacing w:val="-4"/>
        </w:rPr>
        <w:t xml:space="preserve"> </w:t>
      </w:r>
      <w:r>
        <w:t>data.</w:t>
      </w:r>
      <w:r>
        <w:rPr>
          <w:spacing w:val="43"/>
        </w:rPr>
        <w:t xml:space="preserve"> </w:t>
      </w:r>
      <w:r>
        <w:t>(see</w:t>
      </w:r>
      <w:r>
        <w:rPr>
          <w:spacing w:val="-6"/>
        </w:rPr>
        <w:t xml:space="preserve"> </w:t>
      </w:r>
      <w:r>
        <w:t>Figure</w:t>
      </w:r>
      <w:r>
        <w:rPr>
          <w:spacing w:val="-11"/>
        </w:rPr>
        <w:t xml:space="preserve"> </w:t>
      </w:r>
      <w:r>
        <w:t>9</w:t>
      </w:r>
      <w:r>
        <w:rPr>
          <w:spacing w:val="-10"/>
        </w:rPr>
        <w:t xml:space="preserve"> </w:t>
      </w:r>
      <w:r>
        <w:t>and</w:t>
      </w:r>
      <w:r>
        <w:rPr>
          <w:spacing w:val="-10"/>
        </w:rPr>
        <w:t xml:space="preserve"> </w:t>
      </w:r>
      <w:r>
        <w:t>Table 14).</w:t>
      </w:r>
    </w:p>
    <w:p w14:paraId="45BA4EA2" w14:textId="77777777" w:rsidR="00C75312" w:rsidRDefault="00C75312">
      <w:pPr>
        <w:pStyle w:val="BodyText"/>
        <w:rPr>
          <w:sz w:val="20"/>
        </w:rPr>
      </w:pPr>
    </w:p>
    <w:p w14:paraId="176783E1" w14:textId="77777777" w:rsidR="00C75312" w:rsidRDefault="00C75312">
      <w:pPr>
        <w:pStyle w:val="BodyText"/>
        <w:spacing w:before="10"/>
        <w:rPr>
          <w:sz w:val="17"/>
        </w:rPr>
      </w:pPr>
    </w:p>
    <w:p w14:paraId="793B1F35" w14:textId="77777777" w:rsidR="00C75312" w:rsidRDefault="00C75312">
      <w:pPr>
        <w:rPr>
          <w:sz w:val="17"/>
        </w:rPr>
        <w:sectPr w:rsidR="00C75312">
          <w:pgSz w:w="11900" w:h="16840"/>
          <w:pgMar w:top="1140" w:right="0" w:bottom="280" w:left="1300" w:header="720" w:footer="0" w:gutter="0"/>
          <w:cols w:space="720"/>
        </w:sectPr>
      </w:pPr>
    </w:p>
    <w:p w14:paraId="6C29379A" w14:textId="77777777" w:rsidR="00C75312" w:rsidRDefault="00BB293A">
      <w:pPr>
        <w:spacing w:before="96"/>
        <w:ind w:left="575"/>
        <w:rPr>
          <w:sz w:val="21"/>
        </w:rPr>
      </w:pPr>
      <w:r>
        <w:pict w14:anchorId="3E9DD14B">
          <v:shape id="_x0000_s2661" type="#_x0000_t202" style="position:absolute;left:0;text-align:left;margin-left:76.8pt;margin-top:17.6pt;width:15.3pt;height:125.35pt;z-index:251764736;mso-position-horizontal-relative:page" filled="f" stroked="f">
            <v:textbox style="layout-flow:vertical;mso-layout-flow-alt:bottom-to-top" inset="0,0,0,0">
              <w:txbxContent>
                <w:p w14:paraId="64FC98EA" w14:textId="77777777" w:rsidR="00C75312" w:rsidRDefault="00BB293A">
                  <w:pPr>
                    <w:spacing w:before="9"/>
                    <w:ind w:left="20"/>
                    <w:rPr>
                      <w:b/>
                      <w:sz w:val="24"/>
                    </w:rPr>
                  </w:pPr>
                  <w:r>
                    <w:rPr>
                      <w:b/>
                      <w:sz w:val="24"/>
                    </w:rPr>
                    <w:t>PM task proportion hits</w:t>
                  </w:r>
                </w:p>
              </w:txbxContent>
            </v:textbox>
            <w10:wrap anchorx="page"/>
          </v:shape>
        </w:pict>
      </w:r>
      <w:r>
        <w:rPr>
          <w:w w:val="105"/>
          <w:sz w:val="21"/>
        </w:rPr>
        <w:t>1.0</w:t>
      </w:r>
    </w:p>
    <w:p w14:paraId="0446F8D3" w14:textId="77777777" w:rsidR="00C75312" w:rsidRDefault="00C75312">
      <w:pPr>
        <w:pStyle w:val="BodyText"/>
        <w:spacing w:before="6"/>
        <w:rPr>
          <w:sz w:val="32"/>
        </w:rPr>
      </w:pPr>
    </w:p>
    <w:p w14:paraId="31C45D17" w14:textId="77777777" w:rsidR="00C75312" w:rsidRDefault="00BB293A">
      <w:pPr>
        <w:ind w:left="575"/>
        <w:rPr>
          <w:sz w:val="21"/>
        </w:rPr>
      </w:pPr>
      <w:r>
        <w:rPr>
          <w:w w:val="105"/>
          <w:sz w:val="21"/>
        </w:rPr>
        <w:t>0.8</w:t>
      </w:r>
    </w:p>
    <w:p w14:paraId="55341C29" w14:textId="77777777" w:rsidR="00C75312" w:rsidRDefault="00BB293A">
      <w:pPr>
        <w:spacing w:before="96"/>
        <w:ind w:left="575"/>
        <w:rPr>
          <w:sz w:val="21"/>
        </w:rPr>
      </w:pPr>
      <w:r>
        <w:br w:type="column"/>
      </w:r>
      <w:r>
        <w:rPr>
          <w:sz w:val="21"/>
        </w:rPr>
        <w:t>1.0</w:t>
      </w:r>
    </w:p>
    <w:p w14:paraId="4B2944CF" w14:textId="77777777" w:rsidR="00C75312" w:rsidRDefault="00C75312">
      <w:pPr>
        <w:pStyle w:val="BodyText"/>
        <w:spacing w:before="6"/>
        <w:rPr>
          <w:sz w:val="32"/>
        </w:rPr>
      </w:pPr>
    </w:p>
    <w:p w14:paraId="094192F8" w14:textId="77777777" w:rsidR="00C75312" w:rsidRDefault="00BB293A">
      <w:pPr>
        <w:ind w:left="575"/>
        <w:rPr>
          <w:sz w:val="21"/>
        </w:rPr>
      </w:pPr>
      <w:r>
        <w:pict w14:anchorId="47730AE7">
          <v:group id="_x0000_s2642" style="position:absolute;left:0;text-align:left;margin-left:333.15pt;margin-top:-40.55pt;width:171.7pt;height:172.2pt;z-index:251756544;mso-position-horizontal-relative:page" coordorigin="6663,-811" coordsize="3434,3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0" type="#_x0000_t75" style="position:absolute;left:6771;top:-65;width:174;height:382">
              <v:imagedata r:id="rId35" o:title=""/>
            </v:shape>
            <v:shape id="_x0000_s2659" style="position:absolute;left:2349;top:-3860;width:11428;height:11474" coordorigin="2349,-3859" coordsize="11428,11474" o:spt="100" adj="0,,0" path="m6697,2585r3389,m7827,2633r,-48m8956,2633r,-48m6697,-799r3389,m6697,2585r,-3384m6663,2585r34,m6663,1970r34,m6663,1355r34,m6663,739r34,m6663,124r34,m6663,-492r34,e" filled="f" strokeweight=".39539mm">
              <v:stroke joinstyle="round"/>
              <v:formulas/>
              <v:path arrowok="t" o:connecttype="segments"/>
            </v:shape>
            <v:rect id="_x0000_s2658" style="position:absolute;left:7375;top:468;width:452;height:2106" fillcolor="silver" stroked="f"/>
            <v:shape id="_x0000_s2657" style="position:absolute;left:4727;top:-3860;width:9050;height:11313" coordorigin="4727,-3859" coordsize="9050,11313" o:spt="100" adj="0,,0" path="m10086,2585r,-3384m7375,2574r,-2105l7827,469r,2105l7375,2574xm7827,2574r,-2105l7375,469r,2105m7601,469r,-154m7561,315r81,m7601,469r,153m7561,622r81,e" filled="f" strokeweight=".39539mm">
              <v:stroke joinstyle="round"/>
              <v:formulas/>
              <v:path arrowok="t" o:connecttype="segments"/>
            </v:shape>
            <v:rect id="_x0000_s2656" style="position:absolute;left:8504;top:-215;width:452;height:2789" fillcolor="silver" stroked="f"/>
            <v:shape id="_x0000_s2655" style="position:absolute;left:8497;top:-2223;width:1509;height:9639" coordorigin="8497,-2223" coordsize="1509,9639" o:spt="100" adj="0,,0" path="m8504,2574r452,l8956,-215r-452,l8504,2574xm8956,2574r,-2789l8504,-215r,2789m8730,-215r,-95m8690,-310r81,m8730,-215r,96m8690,-119r81,e" filled="f" strokeweight=".39539mm">
              <v:stroke joinstyle="round"/>
              <v:formulas/>
              <v:path arrowok="t" o:connecttype="segments"/>
            </v:shape>
            <v:rect id="_x0000_s2654" style="position:absolute;left:7827;top:-332;width:452;height:2906" fillcolor="#5f5f5f" stroked="f"/>
            <v:shape id="_x0000_s2653" style="position:absolute;left:6235;top:-2831;width:1507;height:10247" coordorigin="6236,-2830" coordsize="1507,10247" o:spt="100" adj="0,,0" path="m7827,2574r451,l8278,-331r-451,l7827,2574xm8278,2574r,-2905l7827,-331r,2905m8053,-331r,-161m8012,-492r81,m8053,-331r,160m8012,-171r81,e" filled="f" strokeweight=".39539mm">
              <v:stroke joinstyle="round"/>
              <v:formulas/>
              <v:path arrowok="t" o:connecttype="segments"/>
            </v:shape>
            <v:rect id="_x0000_s2652" style="position:absolute;left:8956;top:-464;width:452;height:3038" fillcolor="#5f5f5f" stroked="f"/>
            <v:shape id="_x0000_s2651" style="position:absolute;left:2463;top:-3067;width:11314;height:10520" coordorigin="2464,-3066" coordsize="11314,10520" o:spt="100" adj="0,,0" path="m8956,2574r452,l9408,-464r-452,l8956,2574xm9408,2574r,-3038l8956,-464r,3038m9182,-464r,-98m9142,-562r81,m9182,-464r,99m9142,-365r81,m6697,2585r3389,e" filled="f" strokeweight=".39539mm">
              <v:stroke joinstyle="round"/>
              <v:formulas/>
              <v:path arrowok="t" o:connecttype="segments"/>
            </v:shape>
            <v:line id="_x0000_s2650" style="position:absolute" from="7557,-549" to="8015,-549" strokecolor="#181717" strokeweight=".40753mm"/>
            <v:line id="_x0000_s2649" style="position:absolute" from="8689,-642" to="9147,-642" strokecolor="#181717" strokeweight=".40753mm"/>
            <v:line id="_x0000_s2648" style="position:absolute" from="7776,-700" to="8922,-700" strokecolor="#181717" strokeweight=".40753mm"/>
            <v:line id="_x0000_s2647" style="position:absolute" from="7788,-547" to="7788,-711" strokecolor="#181717" strokeweight=".40753mm"/>
            <v:line id="_x0000_s2646" style="position:absolute" from="8920,-646" to="8920,-711" strokecolor="#181717" strokeweight=".40753mm"/>
            <v:shape id="_x0000_s2645" type="#_x0000_t202" style="position:absolute;left:7602;top:-548;width:367;height:256" filled="f" stroked="f">
              <v:textbox inset="0,0,0,0">
                <w:txbxContent>
                  <w:p w14:paraId="4B631C63" w14:textId="77777777" w:rsidR="00C75312" w:rsidRDefault="00BB293A">
                    <w:pPr>
                      <w:spacing w:line="256" w:lineRule="exact"/>
                      <w:rPr>
                        <w:b/>
                        <w:sz w:val="23"/>
                      </w:rPr>
                    </w:pPr>
                    <w:r>
                      <w:rPr>
                        <w:b/>
                        <w:sz w:val="23"/>
                      </w:rPr>
                      <w:t>***</w:t>
                    </w:r>
                  </w:p>
                </w:txbxContent>
              </v:textbox>
            </v:shape>
            <v:shape id="_x0000_s2644" type="#_x0000_t202" style="position:absolute;left:8176;top:-721;width:910;height:256" filled="f" stroked="f">
              <v:textbox inset="0,0,0,0">
                <w:txbxContent>
                  <w:p w14:paraId="4EF3B38D" w14:textId="77777777" w:rsidR="00C75312" w:rsidRDefault="00BB293A">
                    <w:pPr>
                      <w:tabs>
                        <w:tab w:val="left" w:pos="664"/>
                      </w:tabs>
                      <w:spacing w:line="256" w:lineRule="exact"/>
                      <w:rPr>
                        <w:sz w:val="16"/>
                      </w:rPr>
                    </w:pPr>
                    <w:r>
                      <w:rPr>
                        <w:b/>
                        <w:sz w:val="23"/>
                      </w:rPr>
                      <w:t>***</w:t>
                    </w:r>
                    <w:r>
                      <w:rPr>
                        <w:b/>
                        <w:sz w:val="23"/>
                      </w:rPr>
                      <w:tab/>
                    </w:r>
                    <w:proofErr w:type="spellStart"/>
                    <w:r>
                      <w:rPr>
                        <w:sz w:val="16"/>
                      </w:rPr>
                      <w:t>n.s</w:t>
                    </w:r>
                    <w:proofErr w:type="spellEnd"/>
                    <w:r>
                      <w:rPr>
                        <w:sz w:val="16"/>
                      </w:rPr>
                      <w:t>.</w:t>
                    </w:r>
                  </w:p>
                </w:txbxContent>
              </v:textbox>
            </v:shape>
            <v:shape id="_x0000_s2643" type="#_x0000_t202" style="position:absolute;left:7069;top:-91;width:410;height:425" filled="f" stroked="f">
              <v:textbox inset="0,0,0,0">
                <w:txbxContent>
                  <w:p w14:paraId="7AD3E731" w14:textId="77777777" w:rsidR="00C75312" w:rsidRDefault="00BB293A">
                    <w:pPr>
                      <w:spacing w:line="254" w:lineRule="auto"/>
                      <w:ind w:right="9" w:firstLine="20"/>
                      <w:rPr>
                        <w:sz w:val="18"/>
                      </w:rPr>
                    </w:pPr>
                    <w:r>
                      <w:rPr>
                        <w:sz w:val="18"/>
                      </w:rPr>
                      <w:t xml:space="preserve">ASD </w:t>
                    </w:r>
                    <w:r>
                      <w:rPr>
                        <w:w w:val="105"/>
                        <w:sz w:val="18"/>
                      </w:rPr>
                      <w:t>NT</w:t>
                    </w:r>
                  </w:p>
                </w:txbxContent>
              </v:textbox>
            </v:shape>
            <w10:wrap anchorx="page"/>
          </v:group>
        </w:pict>
      </w:r>
      <w:r>
        <w:pict w14:anchorId="237625E6">
          <v:shape id="_x0000_s2641" type="#_x0000_t202" style="position:absolute;left:0;text-align:left;margin-left:296.95pt;margin-top:-17.85pt;width:15.25pt;height:125.7pt;z-index:-260535296;mso-position-horizontal-relative:page" filled="f" stroked="f">
            <v:textbox style="layout-flow:vertical;mso-layout-flow-alt:bottom-to-top" inset="0,0,0,0">
              <w:txbxContent>
                <w:p w14:paraId="30A3182A" w14:textId="77777777" w:rsidR="00C75312" w:rsidRDefault="00BB293A">
                  <w:pPr>
                    <w:spacing w:before="9"/>
                    <w:ind w:left="20"/>
                    <w:rPr>
                      <w:b/>
                      <w:sz w:val="24"/>
                    </w:rPr>
                  </w:pPr>
                  <w:r>
                    <w:rPr>
                      <w:b/>
                      <w:sz w:val="24"/>
                    </w:rPr>
                    <w:t>PM task proportion hits</w:t>
                  </w:r>
                </w:p>
              </w:txbxContent>
            </v:textbox>
            <w10:wrap anchorx="page"/>
          </v:shape>
        </w:pict>
      </w:r>
      <w:r>
        <w:rPr>
          <w:sz w:val="21"/>
        </w:rPr>
        <w:t>0.8</w:t>
      </w:r>
    </w:p>
    <w:p w14:paraId="33AFD86F" w14:textId="77777777" w:rsidR="00C75312" w:rsidRDefault="00C75312">
      <w:pPr>
        <w:rPr>
          <w:sz w:val="21"/>
        </w:rPr>
        <w:sectPr w:rsidR="00C75312">
          <w:type w:val="continuous"/>
          <w:pgSz w:w="11900" w:h="16840"/>
          <w:pgMar w:top="700" w:right="0" w:bottom="280" w:left="1300" w:header="720" w:footer="720" w:gutter="0"/>
          <w:cols w:num="2" w:space="720" w:equalWidth="0">
            <w:col w:w="886" w:space="3525"/>
            <w:col w:w="6189"/>
          </w:cols>
        </w:sectPr>
      </w:pPr>
    </w:p>
    <w:p w14:paraId="7C0EF7D5" w14:textId="77777777" w:rsidR="00C75312" w:rsidRDefault="00C75312">
      <w:pPr>
        <w:pStyle w:val="BodyText"/>
        <w:spacing w:before="3"/>
      </w:pPr>
    </w:p>
    <w:p w14:paraId="65469A97" w14:textId="77777777" w:rsidR="00C75312" w:rsidRDefault="00BB293A">
      <w:pPr>
        <w:tabs>
          <w:tab w:val="left" w:pos="4986"/>
        </w:tabs>
        <w:spacing w:before="96"/>
        <w:ind w:left="575"/>
        <w:rPr>
          <w:sz w:val="21"/>
        </w:rPr>
      </w:pPr>
      <w:r>
        <w:pict w14:anchorId="0698A434">
          <v:group id="_x0000_s2623" style="position:absolute;left:0;text-align:left;margin-left:112.65pt;margin-top:-66.55pt;width:172.05pt;height:172.25pt;z-index:-260549632;mso-position-horizontal-relative:page" coordorigin="2253,-1331" coordsize="3441,3445">
            <v:shape id="_x0000_s2640" style="position:absolute;left:2349;top:-3436;width:11428;height:11475" coordorigin="2349,-3436" coordsize="11428,11475" o:spt="100" adj="0,,0" path="m2287,2066r3396,m3419,2114r,-48m4551,2114r,-48m2287,-1319r3396,m2287,2066r,-3385m2253,2066r34,m2253,1450r34,m2253,835r34,m2253,220r34,m2253,-396r34,m2253,-1012r34,e" filled="f" strokeweight=".39581mm">
              <v:stroke joinstyle="round"/>
              <v:formulas/>
              <v:path arrowok="t" o:connecttype="segments"/>
            </v:shape>
            <v:rect id="_x0000_s2639" style="position:absolute;left:2966;top:-138;width:453;height:2193" fillcolor="silver" stroked="f"/>
            <v:shape id="_x0000_s2638" style="position:absolute;left:4727;top:-3436;width:9050;height:11314" coordorigin="4727,-3436" coordsize="9050,11314" o:spt="100" adj="0,,0" path="m5683,2066r,-3385m2967,2055r,-2192l3419,-137r,2192l2967,2055xm3419,2055r,-2192l2967,-137r,2192m3193,-137r,-163m3152,-300r82,m3193,-137r,163m3152,26r82,e" filled="f" strokeweight=".39581mm">
              <v:stroke joinstyle="round"/>
              <v:formulas/>
              <v:path arrowok="t" o:connecttype="segments"/>
            </v:shape>
            <v:rect id="_x0000_s2637" style="position:absolute;left:4098;top:-849;width:453;height:2904" fillcolor="silver" stroked="f"/>
            <v:shape id="_x0000_s2636" style="position:absolute;left:8497;top:-2408;width:1509;height:10248" coordorigin="8497,-2407" coordsize="1509,10248" o:spt="100" adj="0,,0" path="m4098,2055r453,l4551,-848r-453,l4098,2055xm4551,2055r,-2903l4098,-848r,2903m4324,-848r,-164m4284,-1012r81,m4324,-848r,163m4284,-685r81,e" filled="f" strokeweight=".39581mm">
              <v:stroke joinstyle="round"/>
              <v:formulas/>
              <v:path arrowok="t" o:connecttype="segments"/>
            </v:shape>
            <v:rect id="_x0000_s2635" style="position:absolute;left:3419;top:-744;width:453;height:2799" fillcolor="#5f5f5f" stroked="f"/>
            <v:shape id="_x0000_s2634" style="position:absolute;left:6235;top:-1913;width:1507;height:9754" coordorigin="6236,-1913" coordsize="1507,9754" o:spt="100" adj="0,,0" path="m3419,2055r453,l3872,-744r-453,l3419,2055xm3872,2055r,-2799l3419,-744r,2799m3645,-744r,-120m3605,-864r81,m3645,-744r,120m3605,-624r81,e" filled="f" strokeweight=".39581mm">
              <v:stroke joinstyle="round"/>
              <v:formulas/>
              <v:path arrowok="t" o:connecttype="segments"/>
            </v:shape>
            <v:rect id="_x0000_s2633" style="position:absolute;left:4550;top:-978;width:453;height:3033" fillcolor="#5f5f5f" stroked="f"/>
            <v:shape id="_x0000_s2632" style="position:absolute;left:2463;top:-2695;width:11314;height:10573" coordorigin="2464,-2695" coordsize="11314,10573" o:spt="100" adj="0,,0" path="m4551,2055r453,l5004,-978r-453,l4551,2055xm5004,2055r,-3033l4551,-978r,3033m4777,-978r,-120m4737,-1098r81,m4777,-978r,120m4737,-858r81,m2287,2066r3396,e" filled="f" strokeweight=".39581mm">
              <v:stroke joinstyle="round"/>
              <v:formulas/>
              <v:path arrowok="t" o:connecttype="segments"/>
            </v:shape>
            <v:line id="_x0000_s2631" style="position:absolute" from="3172,-1071" to="3630,-1071" strokecolor="#181717" strokeweight=".40642mm"/>
            <v:line id="_x0000_s2630" style="position:absolute" from="4301,-1174" to="4759,-1174" strokecolor="#181717" strokeweight=".40642mm"/>
            <v:line id="_x0000_s2629" style="position:absolute" from="3391,-1244" to="4534,-1244" strokecolor="#181717" strokeweight=".40642mm"/>
            <v:line id="_x0000_s2628" style="position:absolute" from="3391,-1080" to="3391,-1244" strokecolor="#181717" strokeweight=".40642mm"/>
            <v:line id="_x0000_s2627" style="position:absolute" from="4532,-1178" to="4532,-1244" strokecolor="#181717" strokeweight=".40642mm"/>
            <v:shape id="_x0000_s2626" type="#_x0000_t75" style="position:absolute;left:5153;top:-610;width:369;height:185">
              <v:imagedata r:id="rId36" o:title=""/>
            </v:shape>
            <v:shape id="_x0000_s2625" type="#_x0000_t202" style="position:absolute;left:3222;top:-1069;width:366;height:256" filled="f" stroked="f">
              <v:textbox inset="0,0,0,0">
                <w:txbxContent>
                  <w:p w14:paraId="477FCE51" w14:textId="77777777" w:rsidR="00C75312" w:rsidRDefault="00BB293A">
                    <w:pPr>
                      <w:spacing w:line="255" w:lineRule="exact"/>
                      <w:rPr>
                        <w:b/>
                        <w:sz w:val="23"/>
                      </w:rPr>
                    </w:pPr>
                    <w:r>
                      <w:rPr>
                        <w:b/>
                        <w:sz w:val="23"/>
                      </w:rPr>
                      <w:t>***</w:t>
                    </w:r>
                  </w:p>
                </w:txbxContent>
              </v:textbox>
            </v:shape>
            <v:shape id="_x0000_s2624" type="#_x0000_t202" style="position:absolute;left:3846;top:-1265;width:837;height:256" filled="f" stroked="f">
              <v:textbox inset="0,0,0,0">
                <w:txbxContent>
                  <w:p w14:paraId="598F24B8" w14:textId="77777777" w:rsidR="00C75312" w:rsidRDefault="00BB293A">
                    <w:pPr>
                      <w:tabs>
                        <w:tab w:val="left" w:pos="591"/>
                      </w:tabs>
                      <w:spacing w:line="255" w:lineRule="exact"/>
                      <w:rPr>
                        <w:sz w:val="16"/>
                      </w:rPr>
                    </w:pPr>
                    <w:r>
                      <w:rPr>
                        <w:b/>
                        <w:position w:val="1"/>
                        <w:sz w:val="23"/>
                      </w:rPr>
                      <w:t>**</w:t>
                    </w:r>
                    <w:r>
                      <w:rPr>
                        <w:b/>
                        <w:position w:val="1"/>
                        <w:sz w:val="23"/>
                      </w:rPr>
                      <w:tab/>
                    </w:r>
                    <w:proofErr w:type="spellStart"/>
                    <w:r>
                      <w:rPr>
                        <w:sz w:val="16"/>
                      </w:rPr>
                      <w:t>n.s</w:t>
                    </w:r>
                    <w:proofErr w:type="spellEnd"/>
                    <w:r>
                      <w:rPr>
                        <w:sz w:val="16"/>
                      </w:rPr>
                      <w:t>.</w:t>
                    </w:r>
                  </w:p>
                </w:txbxContent>
              </v:textbox>
            </v:shape>
            <w10:wrap anchorx="page"/>
          </v:group>
        </w:pict>
      </w:r>
      <w:r>
        <w:pict w14:anchorId="28E0027C">
          <v:shape id="_x0000_s2622" type="#_x0000_t202" style="position:absolute;left:0;text-align:left;margin-left:255.25pt;margin-top:-16.25pt;width:22.8pt;height:78.75pt;z-index:-260539392;mso-position-horizontal-relative:page" filled="f" stroked="f">
            <v:textbox style="layout-flow:vertical" inset="0,0,0,0">
              <w:txbxContent>
                <w:p w14:paraId="5487C33A" w14:textId="77777777" w:rsidR="00C75312" w:rsidRDefault="00BB293A">
                  <w:pPr>
                    <w:spacing w:before="19"/>
                    <w:ind w:left="20" w:right="-19"/>
                    <w:rPr>
                      <w:sz w:val="18"/>
                    </w:rPr>
                  </w:pPr>
                  <w:r>
                    <w:rPr>
                      <w:w w:val="105"/>
                      <w:sz w:val="18"/>
                    </w:rPr>
                    <w:t>PM low importance PM high importance</w:t>
                  </w:r>
                </w:p>
              </w:txbxContent>
            </v:textbox>
            <w10:wrap anchorx="page"/>
          </v:shape>
        </w:pict>
      </w:r>
      <w:r>
        <w:rPr>
          <w:w w:val="105"/>
          <w:sz w:val="21"/>
        </w:rPr>
        <w:t>0.6</w:t>
      </w:r>
      <w:r>
        <w:rPr>
          <w:w w:val="105"/>
          <w:sz w:val="21"/>
        </w:rPr>
        <w:tab/>
        <w:t>0.6</w:t>
      </w:r>
    </w:p>
    <w:p w14:paraId="60A58891" w14:textId="77777777" w:rsidR="00C75312" w:rsidRDefault="00C75312">
      <w:pPr>
        <w:pStyle w:val="BodyText"/>
        <w:spacing w:before="1"/>
      </w:pPr>
    </w:p>
    <w:p w14:paraId="49750A3A" w14:textId="77777777" w:rsidR="00C75312" w:rsidRDefault="00BB293A">
      <w:pPr>
        <w:tabs>
          <w:tab w:val="left" w:pos="4986"/>
        </w:tabs>
        <w:spacing w:before="97"/>
        <w:ind w:left="575"/>
        <w:rPr>
          <w:sz w:val="21"/>
        </w:rPr>
      </w:pPr>
      <w:r>
        <w:rPr>
          <w:w w:val="105"/>
          <w:sz w:val="21"/>
        </w:rPr>
        <w:t>0.4</w:t>
      </w:r>
      <w:r>
        <w:rPr>
          <w:w w:val="105"/>
          <w:sz w:val="21"/>
        </w:rPr>
        <w:tab/>
        <w:t>0.4</w:t>
      </w:r>
    </w:p>
    <w:p w14:paraId="2A162DF6" w14:textId="77777777" w:rsidR="00C75312" w:rsidRDefault="00C75312">
      <w:pPr>
        <w:pStyle w:val="BodyText"/>
        <w:spacing w:before="1"/>
      </w:pPr>
    </w:p>
    <w:p w14:paraId="2FEDF682" w14:textId="77777777" w:rsidR="00C75312" w:rsidRDefault="00C75312">
      <w:pPr>
        <w:sectPr w:rsidR="00C75312">
          <w:type w:val="continuous"/>
          <w:pgSz w:w="11900" w:h="16840"/>
          <w:pgMar w:top="700" w:right="0" w:bottom="280" w:left="1300" w:header="720" w:footer="720" w:gutter="0"/>
          <w:cols w:space="720"/>
        </w:sectPr>
      </w:pPr>
    </w:p>
    <w:p w14:paraId="57169F49" w14:textId="77777777" w:rsidR="00C75312" w:rsidRDefault="00BB293A">
      <w:pPr>
        <w:spacing w:before="96"/>
        <w:ind w:left="575"/>
        <w:rPr>
          <w:sz w:val="21"/>
        </w:rPr>
      </w:pPr>
      <w:r>
        <w:rPr>
          <w:w w:val="105"/>
          <w:sz w:val="21"/>
        </w:rPr>
        <w:t>0.2</w:t>
      </w:r>
    </w:p>
    <w:p w14:paraId="19E986FE" w14:textId="77777777" w:rsidR="00C75312" w:rsidRDefault="00C75312">
      <w:pPr>
        <w:pStyle w:val="BodyText"/>
        <w:spacing w:before="7"/>
        <w:rPr>
          <w:sz w:val="32"/>
        </w:rPr>
      </w:pPr>
    </w:p>
    <w:p w14:paraId="2EEC7F16" w14:textId="77777777" w:rsidR="00C75312" w:rsidRDefault="00BB293A">
      <w:pPr>
        <w:ind w:left="575"/>
        <w:rPr>
          <w:sz w:val="21"/>
        </w:rPr>
      </w:pPr>
      <w:r>
        <w:rPr>
          <w:w w:val="105"/>
          <w:sz w:val="21"/>
        </w:rPr>
        <w:t>0.0</w:t>
      </w:r>
    </w:p>
    <w:p w14:paraId="41D44D67" w14:textId="77777777" w:rsidR="00C75312" w:rsidRDefault="00BB293A">
      <w:pPr>
        <w:pStyle w:val="BodyText"/>
        <w:rPr>
          <w:sz w:val="20"/>
        </w:rPr>
      </w:pPr>
      <w:r>
        <w:br w:type="column"/>
      </w:r>
    </w:p>
    <w:p w14:paraId="08AA3D2A" w14:textId="77777777" w:rsidR="00C75312" w:rsidRDefault="00C75312">
      <w:pPr>
        <w:pStyle w:val="BodyText"/>
        <w:rPr>
          <w:sz w:val="20"/>
        </w:rPr>
      </w:pPr>
    </w:p>
    <w:p w14:paraId="05F93872" w14:textId="77777777" w:rsidR="00C75312" w:rsidRDefault="00C75312">
      <w:pPr>
        <w:pStyle w:val="BodyText"/>
        <w:rPr>
          <w:sz w:val="20"/>
        </w:rPr>
      </w:pPr>
    </w:p>
    <w:p w14:paraId="44F72C21" w14:textId="77777777" w:rsidR="00C75312" w:rsidRDefault="00C75312">
      <w:pPr>
        <w:pStyle w:val="BodyText"/>
        <w:spacing w:before="1"/>
        <w:rPr>
          <w:sz w:val="21"/>
        </w:rPr>
      </w:pPr>
    </w:p>
    <w:p w14:paraId="5964C91A" w14:textId="77777777" w:rsidR="00C75312" w:rsidRDefault="00BB293A">
      <w:pPr>
        <w:tabs>
          <w:tab w:val="left" w:pos="1767"/>
        </w:tabs>
        <w:ind w:left="575"/>
        <w:rPr>
          <w:sz w:val="18"/>
        </w:rPr>
      </w:pPr>
      <w:r>
        <w:rPr>
          <w:sz w:val="18"/>
        </w:rPr>
        <w:t>ASD</w:t>
      </w:r>
      <w:r>
        <w:rPr>
          <w:sz w:val="18"/>
        </w:rPr>
        <w:tab/>
        <w:t>NT</w:t>
      </w:r>
    </w:p>
    <w:p w14:paraId="0A83BF7E" w14:textId="77777777" w:rsidR="00C75312" w:rsidRDefault="00BB293A">
      <w:pPr>
        <w:spacing w:before="96"/>
        <w:jc w:val="right"/>
        <w:rPr>
          <w:sz w:val="21"/>
        </w:rPr>
      </w:pPr>
      <w:r>
        <w:br w:type="column"/>
      </w:r>
      <w:r>
        <w:rPr>
          <w:sz w:val="21"/>
        </w:rPr>
        <w:t>0.2</w:t>
      </w:r>
    </w:p>
    <w:p w14:paraId="7B55FE77" w14:textId="77777777" w:rsidR="00C75312" w:rsidRDefault="00C75312">
      <w:pPr>
        <w:pStyle w:val="BodyText"/>
        <w:spacing w:before="5"/>
        <w:rPr>
          <w:sz w:val="32"/>
        </w:rPr>
      </w:pPr>
    </w:p>
    <w:p w14:paraId="2D101630" w14:textId="77777777" w:rsidR="00C75312" w:rsidRDefault="00BB293A">
      <w:pPr>
        <w:spacing w:before="1"/>
        <w:jc w:val="right"/>
        <w:rPr>
          <w:sz w:val="21"/>
        </w:rPr>
      </w:pPr>
      <w:r>
        <w:rPr>
          <w:sz w:val="21"/>
        </w:rPr>
        <w:t>0.0</w:t>
      </w:r>
    </w:p>
    <w:p w14:paraId="5D300C1F" w14:textId="77777777" w:rsidR="00C75312" w:rsidRDefault="00BB293A">
      <w:pPr>
        <w:pStyle w:val="BodyText"/>
        <w:rPr>
          <w:sz w:val="20"/>
        </w:rPr>
      </w:pPr>
      <w:r>
        <w:br w:type="column"/>
      </w:r>
    </w:p>
    <w:p w14:paraId="174DF58E" w14:textId="77777777" w:rsidR="00C75312" w:rsidRDefault="00C75312">
      <w:pPr>
        <w:pStyle w:val="BodyText"/>
        <w:rPr>
          <w:sz w:val="20"/>
        </w:rPr>
      </w:pPr>
    </w:p>
    <w:p w14:paraId="24D1F878" w14:textId="77777777" w:rsidR="00C75312" w:rsidRDefault="00C75312">
      <w:pPr>
        <w:pStyle w:val="BodyText"/>
        <w:rPr>
          <w:sz w:val="20"/>
        </w:rPr>
      </w:pPr>
    </w:p>
    <w:p w14:paraId="2635C9B2" w14:textId="77777777" w:rsidR="00C75312" w:rsidRDefault="00C75312">
      <w:pPr>
        <w:pStyle w:val="BodyText"/>
        <w:spacing w:before="1"/>
        <w:rPr>
          <w:sz w:val="17"/>
        </w:rPr>
      </w:pPr>
    </w:p>
    <w:p w14:paraId="78876AAE" w14:textId="77777777" w:rsidR="00C75312" w:rsidRDefault="00BB293A">
      <w:pPr>
        <w:ind w:left="146"/>
        <w:rPr>
          <w:sz w:val="19"/>
        </w:rPr>
      </w:pPr>
      <w:r>
        <w:rPr>
          <w:sz w:val="19"/>
        </w:rPr>
        <w:t>PM low</w:t>
      </w:r>
      <w:r>
        <w:rPr>
          <w:spacing w:val="-35"/>
          <w:sz w:val="19"/>
        </w:rPr>
        <w:t xml:space="preserve"> </w:t>
      </w:r>
      <w:r>
        <w:rPr>
          <w:sz w:val="19"/>
        </w:rPr>
        <w:t>importance</w:t>
      </w:r>
    </w:p>
    <w:p w14:paraId="7E149E2D" w14:textId="77777777" w:rsidR="00C75312" w:rsidRDefault="00BB293A">
      <w:pPr>
        <w:pStyle w:val="BodyText"/>
        <w:rPr>
          <w:sz w:val="20"/>
        </w:rPr>
      </w:pPr>
      <w:r>
        <w:br w:type="column"/>
      </w:r>
    </w:p>
    <w:p w14:paraId="7805260C" w14:textId="77777777" w:rsidR="00C75312" w:rsidRDefault="00C75312">
      <w:pPr>
        <w:pStyle w:val="BodyText"/>
        <w:rPr>
          <w:sz w:val="20"/>
        </w:rPr>
      </w:pPr>
    </w:p>
    <w:p w14:paraId="78918461" w14:textId="77777777" w:rsidR="00C75312" w:rsidRDefault="00C75312">
      <w:pPr>
        <w:pStyle w:val="BodyText"/>
        <w:rPr>
          <w:sz w:val="20"/>
        </w:rPr>
      </w:pPr>
    </w:p>
    <w:p w14:paraId="01907E58" w14:textId="77777777" w:rsidR="00C75312" w:rsidRDefault="00C75312">
      <w:pPr>
        <w:pStyle w:val="BodyText"/>
        <w:spacing w:before="8"/>
        <w:rPr>
          <w:sz w:val="17"/>
        </w:rPr>
      </w:pPr>
    </w:p>
    <w:p w14:paraId="1F4BA83F" w14:textId="77777777" w:rsidR="00C75312" w:rsidRDefault="00BB293A">
      <w:pPr>
        <w:spacing w:before="1"/>
        <w:ind w:left="240"/>
        <w:rPr>
          <w:sz w:val="18"/>
        </w:rPr>
      </w:pPr>
      <w:r>
        <w:rPr>
          <w:w w:val="105"/>
          <w:sz w:val="18"/>
        </w:rPr>
        <w:t>PM high importance</w:t>
      </w:r>
    </w:p>
    <w:p w14:paraId="34824E28" w14:textId="77777777" w:rsidR="00C75312" w:rsidRDefault="00C75312">
      <w:pPr>
        <w:rPr>
          <w:sz w:val="18"/>
        </w:rPr>
        <w:sectPr w:rsidR="00C75312">
          <w:type w:val="continuous"/>
          <w:pgSz w:w="11900" w:h="16840"/>
          <w:pgMar w:top="700" w:right="0" w:bottom="280" w:left="1300" w:header="720" w:footer="720" w:gutter="0"/>
          <w:cols w:num="5" w:space="720" w:equalWidth="0">
            <w:col w:w="886" w:space="478"/>
            <w:col w:w="2049" w:space="998"/>
            <w:col w:w="845" w:space="39"/>
            <w:col w:w="1634" w:space="40"/>
            <w:col w:w="3631"/>
          </w:cols>
        </w:sectPr>
      </w:pPr>
    </w:p>
    <w:p w14:paraId="05FD2EA3" w14:textId="77777777" w:rsidR="00C75312" w:rsidRDefault="00BB293A">
      <w:pPr>
        <w:pStyle w:val="ListParagraph"/>
        <w:numPr>
          <w:ilvl w:val="2"/>
          <w:numId w:val="2"/>
        </w:numPr>
        <w:tabs>
          <w:tab w:val="left" w:pos="2344"/>
          <w:tab w:val="left" w:pos="2345"/>
          <w:tab w:val="left" w:pos="4973"/>
          <w:tab w:val="left" w:pos="6574"/>
        </w:tabs>
        <w:spacing w:before="38"/>
        <w:ind w:hanging="1798"/>
        <w:jc w:val="left"/>
        <w:rPr>
          <w:b/>
        </w:rPr>
      </w:pPr>
      <w:r>
        <w:rPr>
          <w:b/>
          <w:position w:val="4"/>
          <w:sz w:val="24"/>
        </w:rPr>
        <w:t>Group</w:t>
      </w:r>
      <w:r>
        <w:rPr>
          <w:b/>
          <w:position w:val="4"/>
          <w:sz w:val="24"/>
        </w:rPr>
        <w:tab/>
      </w:r>
      <w:r>
        <w:rPr>
          <w:position w:val="2"/>
        </w:rPr>
        <w:t>b)</w:t>
      </w:r>
      <w:r>
        <w:rPr>
          <w:position w:val="2"/>
        </w:rPr>
        <w:tab/>
      </w:r>
      <w:r>
        <w:rPr>
          <w:b/>
          <w:sz w:val="23"/>
        </w:rPr>
        <w:t>Condition</w:t>
      </w:r>
    </w:p>
    <w:p w14:paraId="5CF2D3BB" w14:textId="77777777" w:rsidR="00C75312" w:rsidRDefault="00C75312">
      <w:pPr>
        <w:pStyle w:val="BodyText"/>
        <w:rPr>
          <w:b/>
          <w:sz w:val="20"/>
        </w:rPr>
      </w:pPr>
    </w:p>
    <w:p w14:paraId="6AB18B14" w14:textId="77777777" w:rsidR="00C75312" w:rsidRDefault="00C75312">
      <w:pPr>
        <w:pStyle w:val="BodyText"/>
        <w:spacing w:before="7"/>
        <w:rPr>
          <w:b/>
          <w:sz w:val="19"/>
        </w:rPr>
      </w:pPr>
    </w:p>
    <w:p w14:paraId="38317434" w14:textId="77777777" w:rsidR="00C75312" w:rsidRDefault="00C75312">
      <w:pPr>
        <w:rPr>
          <w:sz w:val="19"/>
        </w:rPr>
        <w:sectPr w:rsidR="00C75312">
          <w:type w:val="continuous"/>
          <w:pgSz w:w="11900" w:h="16840"/>
          <w:pgMar w:top="700" w:right="0" w:bottom="280" w:left="1300" w:header="720" w:footer="720" w:gutter="0"/>
          <w:cols w:space="720"/>
        </w:sectPr>
      </w:pPr>
    </w:p>
    <w:p w14:paraId="5C43C4FB" w14:textId="77777777" w:rsidR="00C75312" w:rsidRDefault="00BB293A">
      <w:pPr>
        <w:spacing w:before="96"/>
        <w:jc w:val="right"/>
        <w:rPr>
          <w:sz w:val="21"/>
        </w:rPr>
      </w:pPr>
      <w:r>
        <w:pict w14:anchorId="34CC0D3D">
          <v:group id="_x0000_s2611" style="position:absolute;left:0;text-align:left;margin-left:80.85pt;margin-top:-.8pt;width:203.5pt;height:203.05pt;z-index:251759616;mso-position-horizontal-relative:page" coordorigin="1617,-16" coordsize="4070,4061">
            <v:shape id="_x0000_s2621" type="#_x0000_t75" style="position:absolute;left:1616;top:-16;width:4070;height:4016">
              <v:imagedata r:id="rId37" o:title=""/>
            </v:shape>
            <v:line id="_x0000_s2620" style="position:absolute" from="3421,472" to="4561,472" strokecolor="#181717" strokeweight=".40531mm"/>
            <v:line id="_x0000_s2619" style="position:absolute" from="4547,635" to="4547,472" strokecolor="#181717" strokeweight=".40531mm"/>
            <v:shape id="_x0000_s2618" type="#_x0000_t75" style="position:absolute;left:5132;top:931;width:380;height:173">
              <v:imagedata r:id="rId38" o:title=""/>
            </v:shape>
            <v:line id="_x0000_s2617" style="position:absolute" from="3191,587" to="3647,587" strokecolor="#181717" strokeweight=".40531mm"/>
            <v:line id="_x0000_s2616" style="position:absolute" from="3421,581" to="3421,461" strokecolor="#181717" strokeweight=".40531mm"/>
            <v:line id="_x0000_s2615" style="position:absolute" from="4317,690" to="4773,690" strokecolor="#181717" strokeweight=".40531mm"/>
            <v:line id="_x0000_s2614" style="position:absolute" from="4547,694" to="4547,564" strokecolor="#181717" strokeweight=".40531mm"/>
            <v:shape id="_x0000_s2613" type="#_x0000_t202" style="position:absolute;left:3873;top:290;width:250;height:255" filled="f" stroked="f">
              <v:textbox inset="0,0,0,0">
                <w:txbxContent>
                  <w:p w14:paraId="3CF0E397" w14:textId="77777777" w:rsidR="00C75312" w:rsidRDefault="00BB293A">
                    <w:pPr>
                      <w:spacing w:line="254" w:lineRule="exact"/>
                      <w:rPr>
                        <w:b/>
                        <w:sz w:val="23"/>
                      </w:rPr>
                    </w:pPr>
                    <w:r>
                      <w:rPr>
                        <w:b/>
                        <w:sz w:val="23"/>
                      </w:rPr>
                      <w:t>**</w:t>
                    </w:r>
                  </w:p>
                </w:txbxContent>
              </v:textbox>
            </v:shape>
            <v:shape id="_x0000_s2612" type="#_x0000_t202" style="position:absolute;left:1848;top:3800;width:188;height:245" filled="f" stroked="f">
              <v:textbox inset="0,0,0,0">
                <w:txbxContent>
                  <w:p w14:paraId="488F8EF5" w14:textId="77777777" w:rsidR="00C75312" w:rsidRDefault="00BB293A">
                    <w:pPr>
                      <w:spacing w:line="244" w:lineRule="exact"/>
                    </w:pPr>
                    <w:r>
                      <w:t>c)</w:t>
                    </w:r>
                  </w:p>
                </w:txbxContent>
              </v:textbox>
            </v:shape>
            <w10:wrap anchorx="page"/>
          </v:group>
        </w:pict>
      </w:r>
      <w:r>
        <w:pict w14:anchorId="1324ADDC">
          <v:shape id="_x0000_s2610" type="#_x0000_t202" style="position:absolute;left:0;text-align:left;margin-left:297.4pt;margin-top:.65pt;width:28.15pt;height:168.15pt;z-index:251765760;mso-position-horizontal-relative:page" filled="f" stroked="f">
            <v:textbox style="layout-flow:vertical;mso-layout-flow-alt:bottom-to-top" inset="0,0,0,0">
              <w:txbxContent>
                <w:p w14:paraId="3E154CC9" w14:textId="77777777" w:rsidR="00C75312" w:rsidRDefault="00BB293A">
                  <w:pPr>
                    <w:spacing w:before="17" w:line="237" w:lineRule="auto"/>
                    <w:ind w:left="537" w:right="-17" w:hanging="518"/>
                    <w:rPr>
                      <w:b/>
                      <w:sz w:val="23"/>
                    </w:rPr>
                  </w:pPr>
                  <w:r>
                    <w:rPr>
                      <w:b/>
                      <w:w w:val="105"/>
                      <w:sz w:val="23"/>
                    </w:rPr>
                    <w:t>Average number of clock checks made across PM trials</w:t>
                  </w:r>
                </w:p>
              </w:txbxContent>
            </v:textbox>
            <w10:wrap anchorx="page"/>
          </v:shape>
        </w:pict>
      </w:r>
      <w:r>
        <w:rPr>
          <w:spacing w:val="-1"/>
          <w:sz w:val="21"/>
        </w:rPr>
        <w:t>3.5</w:t>
      </w:r>
    </w:p>
    <w:p w14:paraId="2EE8C613" w14:textId="77777777" w:rsidR="00C75312" w:rsidRDefault="00BB293A">
      <w:pPr>
        <w:spacing w:before="212"/>
        <w:jc w:val="right"/>
        <w:rPr>
          <w:sz w:val="21"/>
        </w:rPr>
      </w:pPr>
      <w:r>
        <w:rPr>
          <w:spacing w:val="-1"/>
          <w:sz w:val="21"/>
        </w:rPr>
        <w:t>3.0</w:t>
      </w:r>
    </w:p>
    <w:p w14:paraId="3303882A" w14:textId="77777777" w:rsidR="00C75312" w:rsidRDefault="00BB293A">
      <w:pPr>
        <w:spacing w:before="212"/>
        <w:jc w:val="right"/>
        <w:rPr>
          <w:sz w:val="21"/>
        </w:rPr>
      </w:pPr>
      <w:r>
        <w:pict w14:anchorId="012E9C74">
          <v:shape id="_x0000_s2609" type="#_x0000_t202" style="position:absolute;left:0;text-align:left;margin-left:254.75pt;margin-top:20.7pt;width:22.75pt;height:78.55pt;z-index:251763712;mso-position-horizontal-relative:page" filled="f" stroked="f">
            <v:textbox style="layout-flow:vertical" inset="0,0,0,0">
              <w:txbxContent>
                <w:p w14:paraId="06E1886D" w14:textId="77777777" w:rsidR="00C75312" w:rsidRDefault="00BB293A">
                  <w:pPr>
                    <w:spacing w:before="18"/>
                    <w:ind w:left="20" w:right="12"/>
                    <w:rPr>
                      <w:sz w:val="18"/>
                    </w:rPr>
                  </w:pPr>
                  <w:r>
                    <w:rPr>
                      <w:w w:val="105"/>
                      <w:sz w:val="18"/>
                    </w:rPr>
                    <w:t>PM low importance PM high</w:t>
                  </w:r>
                  <w:r>
                    <w:rPr>
                      <w:spacing w:val="-35"/>
                      <w:w w:val="105"/>
                      <w:sz w:val="18"/>
                    </w:rPr>
                    <w:t xml:space="preserve"> </w:t>
                  </w:r>
                  <w:r>
                    <w:rPr>
                      <w:w w:val="105"/>
                      <w:sz w:val="18"/>
                    </w:rPr>
                    <w:t>importance</w:t>
                  </w:r>
                </w:p>
              </w:txbxContent>
            </v:textbox>
            <w10:wrap anchorx="page"/>
          </v:shape>
        </w:pict>
      </w:r>
      <w:r>
        <w:rPr>
          <w:spacing w:val="-1"/>
          <w:sz w:val="21"/>
        </w:rPr>
        <w:t>2.5</w:t>
      </w:r>
    </w:p>
    <w:p w14:paraId="298B951E" w14:textId="77777777" w:rsidR="00C75312" w:rsidRDefault="00BB293A">
      <w:pPr>
        <w:spacing w:before="212"/>
        <w:jc w:val="right"/>
        <w:rPr>
          <w:sz w:val="21"/>
        </w:rPr>
      </w:pPr>
      <w:r>
        <w:rPr>
          <w:spacing w:val="-1"/>
          <w:sz w:val="21"/>
        </w:rPr>
        <w:t>2.0</w:t>
      </w:r>
    </w:p>
    <w:p w14:paraId="6AE45BEA" w14:textId="77777777" w:rsidR="00C75312" w:rsidRDefault="00BB293A">
      <w:pPr>
        <w:spacing w:before="212"/>
        <w:jc w:val="right"/>
        <w:rPr>
          <w:sz w:val="21"/>
        </w:rPr>
      </w:pPr>
      <w:r>
        <w:rPr>
          <w:spacing w:val="-1"/>
          <w:sz w:val="21"/>
        </w:rPr>
        <w:t>1.5</w:t>
      </w:r>
    </w:p>
    <w:p w14:paraId="55A70CCD" w14:textId="77777777" w:rsidR="00C75312" w:rsidRDefault="00BB293A">
      <w:pPr>
        <w:spacing w:before="211"/>
        <w:jc w:val="right"/>
        <w:rPr>
          <w:sz w:val="21"/>
        </w:rPr>
      </w:pPr>
      <w:r>
        <w:rPr>
          <w:spacing w:val="-1"/>
          <w:sz w:val="21"/>
        </w:rPr>
        <w:t>1.0</w:t>
      </w:r>
    </w:p>
    <w:p w14:paraId="04A30ACA" w14:textId="77777777" w:rsidR="00C75312" w:rsidRDefault="00BB293A">
      <w:pPr>
        <w:spacing w:before="212"/>
        <w:jc w:val="right"/>
        <w:rPr>
          <w:sz w:val="21"/>
        </w:rPr>
      </w:pPr>
      <w:r>
        <w:rPr>
          <w:spacing w:val="-1"/>
          <w:sz w:val="21"/>
        </w:rPr>
        <w:t>0.5</w:t>
      </w:r>
    </w:p>
    <w:p w14:paraId="7DE19396" w14:textId="77777777" w:rsidR="00C75312" w:rsidRDefault="00BB293A">
      <w:pPr>
        <w:spacing w:before="212"/>
        <w:jc w:val="right"/>
        <w:rPr>
          <w:sz w:val="21"/>
        </w:rPr>
      </w:pPr>
      <w:r>
        <w:rPr>
          <w:spacing w:val="-1"/>
          <w:sz w:val="21"/>
        </w:rPr>
        <w:t>0.0</w:t>
      </w:r>
    </w:p>
    <w:p w14:paraId="51E7E823" w14:textId="77777777" w:rsidR="00C75312" w:rsidRDefault="00C75312">
      <w:pPr>
        <w:pStyle w:val="BodyText"/>
        <w:spacing w:before="5"/>
      </w:pPr>
    </w:p>
    <w:p w14:paraId="48C1704A" w14:textId="77777777" w:rsidR="00C75312" w:rsidRDefault="00BB293A">
      <w:pPr>
        <w:ind w:right="353"/>
        <w:jc w:val="right"/>
      </w:pPr>
      <w:r>
        <w:t>d)</w:t>
      </w:r>
    </w:p>
    <w:p w14:paraId="3FFD9E1A" w14:textId="77777777" w:rsidR="00C75312" w:rsidRDefault="00BB293A">
      <w:pPr>
        <w:pStyle w:val="BodyText"/>
      </w:pPr>
      <w:r>
        <w:br w:type="column"/>
      </w:r>
    </w:p>
    <w:p w14:paraId="7FA70F67" w14:textId="77777777" w:rsidR="00C75312" w:rsidRDefault="00C75312">
      <w:pPr>
        <w:pStyle w:val="BodyText"/>
      </w:pPr>
    </w:p>
    <w:p w14:paraId="4706D8F4" w14:textId="77777777" w:rsidR="00C75312" w:rsidRDefault="00C75312">
      <w:pPr>
        <w:pStyle w:val="BodyText"/>
      </w:pPr>
    </w:p>
    <w:p w14:paraId="6CBDF044" w14:textId="77777777" w:rsidR="00C75312" w:rsidRDefault="00C75312">
      <w:pPr>
        <w:pStyle w:val="BodyText"/>
      </w:pPr>
    </w:p>
    <w:p w14:paraId="4DB7428F" w14:textId="77777777" w:rsidR="00C75312" w:rsidRDefault="00C75312">
      <w:pPr>
        <w:pStyle w:val="BodyText"/>
      </w:pPr>
    </w:p>
    <w:p w14:paraId="0A814A7C" w14:textId="77777777" w:rsidR="00C75312" w:rsidRDefault="00C75312">
      <w:pPr>
        <w:pStyle w:val="BodyText"/>
      </w:pPr>
    </w:p>
    <w:p w14:paraId="1D13250E" w14:textId="77777777" w:rsidR="00C75312" w:rsidRDefault="00C75312">
      <w:pPr>
        <w:pStyle w:val="BodyText"/>
      </w:pPr>
    </w:p>
    <w:p w14:paraId="028151CC" w14:textId="77777777" w:rsidR="00C75312" w:rsidRDefault="00C75312">
      <w:pPr>
        <w:pStyle w:val="BodyText"/>
      </w:pPr>
    </w:p>
    <w:p w14:paraId="362BAC11" w14:textId="77777777" w:rsidR="00C75312" w:rsidRDefault="00C75312">
      <w:pPr>
        <w:pStyle w:val="BodyText"/>
      </w:pPr>
    </w:p>
    <w:p w14:paraId="4474E16B" w14:textId="77777777" w:rsidR="00C75312" w:rsidRDefault="00C75312">
      <w:pPr>
        <w:pStyle w:val="BodyText"/>
      </w:pPr>
    </w:p>
    <w:p w14:paraId="52F89D29" w14:textId="77777777" w:rsidR="00C75312" w:rsidRDefault="00C75312">
      <w:pPr>
        <w:pStyle w:val="BodyText"/>
      </w:pPr>
    </w:p>
    <w:p w14:paraId="26B21F30" w14:textId="77777777" w:rsidR="00C75312" w:rsidRDefault="00C75312">
      <w:pPr>
        <w:pStyle w:val="BodyText"/>
      </w:pPr>
    </w:p>
    <w:p w14:paraId="1A63407E" w14:textId="77777777" w:rsidR="00C75312" w:rsidRDefault="00C75312">
      <w:pPr>
        <w:pStyle w:val="BodyText"/>
        <w:spacing w:before="3"/>
        <w:rPr>
          <w:sz w:val="20"/>
        </w:rPr>
      </w:pPr>
    </w:p>
    <w:p w14:paraId="6CADE342" w14:textId="77777777" w:rsidR="00C75312" w:rsidRDefault="00BB293A">
      <w:pPr>
        <w:tabs>
          <w:tab w:val="left" w:pos="1205"/>
        </w:tabs>
        <w:spacing w:before="1"/>
        <w:ind w:left="590"/>
        <w:rPr>
          <w:sz w:val="21"/>
        </w:rPr>
      </w:pPr>
      <w:r>
        <w:pict w14:anchorId="7434C536">
          <v:group id="_x0000_s2548" style="position:absolute;left:0;text-align:left;margin-left:345.7pt;margin-top:-178.25pt;width:170.25pt;height:173.1pt;z-index:251761664;mso-position-horizontal-relative:page" coordorigin="6914,-3565" coordsize="3405,3462">
            <v:line id="_x0000_s2608" style="position:absolute" from="6964,-151" to="10306,-151" strokeweight=".47831mm"/>
            <v:shape id="_x0000_s2607" style="position:absolute;left:5694;top:827;width:6788;height:162" coordorigin="5694,827" coordsize="6788,162" o:spt="100" adj="0,,0" path="m7633,-103r,-48m8301,-103r,-48m8969,-103r,-48m9638,-103r,-48e" filled="f" strokeweight=".38342mm">
              <v:stroke joinstyle="round"/>
              <v:formulas/>
              <v:path arrowok="t" o:connecttype="segments"/>
            </v:shape>
            <v:shape id="_x0000_s2606" style="position:absolute;left:3431;top:-10487;width:11314;height:11314" coordorigin="3431,-10486" coordsize="11314,11314" o:spt="100" adj="0,,0" path="m6964,-3551r3342,m6964,-151r,-3400e" filled="f" strokeweight=".47422mm">
              <v:stroke joinstyle="round"/>
              <v:formulas/>
              <v:path arrowok="t" o:connecttype="segments"/>
            </v:shape>
            <v:shape id="_x0000_s2605" style="position:absolute;left:3261;top:-9732;width:170;height:10559" coordorigin="3262,-9732" coordsize="170,10559" o:spt="100" adj="0,,0" path="m6914,-151r50,m6914,-605r50,m6914,-1058r50,m6914,-1511r50,m6914,-1964r50,m6914,-2418r50,m6914,-2871r50,m6914,-3324r50,e" filled="f" strokeweight=".38342mm">
              <v:stroke joinstyle="round"/>
              <v:formulas/>
              <v:path arrowok="t" o:connecttype="segments"/>
            </v:shape>
            <v:line id="_x0000_s2604" style="position:absolute" from="10306,-151" to="10306,-3551" strokeweight=".47014mm"/>
            <v:shape id="_x0000_s2603" style="position:absolute;left:5582;top:-8854;width:6900;height:8291" coordorigin="5582,-8854" coordsize="6900,8291" o:spt="100" adj="0,,0" path="m7633,-674r668,-87l8969,-942r669,-754m7633,-869r668,-196l8969,-1370r669,-826m7633,-569r668,-261l8969,-1145r669,-969m7633,-687r668,-371l8969,-1310r669,-1751m7633,-674r,-78m7600,-752r66,m7633,-674r,78m7600,-596r66,e" filled="f" strokeweight=".38342mm">
              <v:stroke joinstyle="round"/>
              <v:formulas/>
              <v:path arrowok="t" o:connecttype="segments"/>
            </v:shape>
            <v:shape id="_x0000_s2602" style="position:absolute;left:7561;top:-747;width:142;height:144" coordorigin="7562,-746" coordsize="142,144" path="m7633,-746r-28,5l7583,-725r-15,22l7562,-675r6,28l7583,-624r22,16l7633,-603r27,-5l7683,-624r15,-23l7703,-675r-5,-28l7683,-725r-23,-16l7633,-746xe" fillcolor="silver" stroked="f">
              <v:path arrowok="t"/>
            </v:shape>
            <v:shape id="_x0000_s2601" style="position:absolute;left:7561;top:-747;width:142;height:144" coordorigin="7562,-746" coordsize="142,144" path="m7562,-675r6,-28l7583,-725r22,-16l7633,-746r27,5l7683,-725r15,22l7703,-675r-5,28l7683,-624r-23,16l7633,-603r-28,-5l7583,-624r-15,-23l7562,-675xe" filled="f" strokeweight=".29256mm">
              <v:path arrowok="t"/>
            </v:shape>
            <v:shape id="_x0000_s2600" style="position:absolute;left:7844;top:-1529;width:226;height:657" coordorigin="7845,-1529" coordsize="226,657" o:spt="100" adj="0,,0" path="m8301,-761r,-98m8268,-859r67,m8301,-761r,99m8268,-662r67,e" filled="f" strokeweight=".38342mm">
              <v:stroke joinstyle="round"/>
              <v:formulas/>
              <v:path arrowok="t" o:connecttype="segments"/>
            </v:shape>
            <v:shape id="_x0000_s2599" style="position:absolute;left:8230;top:-834;width:142;height:144" coordorigin="8230,-834" coordsize="142,144" path="m8301,-834r-27,6l8251,-813r-15,23l8230,-762r6,28l8251,-711r23,16l8301,-690r28,-5l8351,-711r15,-23l8372,-762r-6,-28l8351,-813r-22,-15l8301,-834xe" fillcolor="silver" stroked="f">
              <v:path arrowok="t"/>
            </v:shape>
            <v:shape id="_x0000_s2598" style="position:absolute;left:8230;top:-834;width:142;height:144" coordorigin="8230,-834" coordsize="142,144" path="m8230,-762r6,-28l8251,-813r23,-15l8301,-834r28,6l8351,-813r15,23l8372,-762r-6,28l8351,-711r-22,16l8301,-690r-27,-5l8251,-711r-15,-23l8230,-762xe" filled="f" strokeweight=".29256mm">
              <v:path arrowok="t"/>
            </v:shape>
            <v:shape id="_x0000_s2597" style="position:absolute;left:10106;top:-2190;width:226;height:772" coordorigin="10106,-2190" coordsize="226,772" o:spt="100" adj="0,,0" path="m8969,-942r,-116m8936,-1058r67,m8969,-942r,116m8936,-826r67,e" filled="f" strokeweight=".38342mm">
              <v:stroke joinstyle="round"/>
              <v:formulas/>
              <v:path arrowok="t" o:connecttype="segments"/>
            </v:shape>
            <v:shape id="_x0000_s2596" style="position:absolute;left:8898;top:-1015;width:142;height:144" coordorigin="8898,-1014" coordsize="142,144" path="m8969,-1014r-28,5l8919,-993r-15,22l8898,-943r6,28l8919,-892r22,16l8969,-871r27,-5l9019,-892r15,-23l9040,-943r-6,-28l9019,-993r-23,-16l8969,-1014xe" fillcolor="silver" stroked="f">
              <v:path arrowok="t"/>
            </v:shape>
            <v:shape id="_x0000_s2595" style="position:absolute;left:8898;top:-1015;width:142;height:144" coordorigin="8898,-1014" coordsize="142,144" path="m8898,-943r6,-28l8919,-993r22,-16l8969,-1014r27,5l9019,-993r15,22l9040,-943r-6,28l9019,-892r-23,16l8969,-871r-28,-5l8919,-892r-15,-23l8898,-943xe" filled="f" strokeweight=".29256mm">
              <v:path arrowok="t"/>
            </v:shape>
            <v:shape id="_x0000_s2594" style="position:absolute;left:12369;top:-4976;width:226;height:1327" coordorigin="12369,-4976" coordsize="226,1327" o:spt="100" adj="0,,0" path="m9638,-1696r,-199m9604,-1895r67,m9638,-1696r,199m9604,-1497r67,e" filled="f" strokeweight=".38342mm">
              <v:stroke joinstyle="round"/>
              <v:formulas/>
              <v:path arrowok="t" o:connecttype="segments"/>
            </v:shape>
            <v:shape id="_x0000_s2593" style="position:absolute;left:9566;top:-1769;width:142;height:144" coordorigin="9567,-1768" coordsize="142,144" path="m9637,-1768r-27,5l9587,-1747r-15,23l9567,-1696r5,28l9587,-1646r23,16l9637,-1625r28,-5l9687,-1646r15,-22l9708,-1696r-6,-28l9687,-1747r-22,-16l9637,-1768xe" fillcolor="silver" stroked="f">
              <v:path arrowok="t"/>
            </v:shape>
            <v:shape id="_x0000_s2592" style="position:absolute;left:9566;top:-1769;width:142;height:144" coordorigin="9567,-1768" coordsize="142,144" path="m9567,-1696r5,-28l9587,-1747r23,-16l9637,-1768r28,5l9687,-1747r15,23l9708,-1696r-6,28l9687,-1646r-22,16l9637,-1625r-27,-5l9587,-1646r-15,-22l9567,-1696xe" filled="f" strokeweight=".29256mm">
              <v:path arrowok="t"/>
            </v:shape>
            <v:shape id="_x0000_s2591" style="position:absolute;left:5582;top:-1922;width:226;height:718" coordorigin="5582,-1921" coordsize="226,718" o:spt="100" adj="0,,0" path="m7633,-869r,-108m7600,-977r66,m7633,-869r,107m7600,-762r66,e" filled="f" strokeweight=".38342mm">
              <v:stroke joinstyle="round"/>
              <v:formulas/>
              <v:path arrowok="t" o:connecttype="segments"/>
            </v:shape>
            <v:shape id="_x0000_s2590" style="position:absolute;left:7561;top:-942;width:142;height:144" coordorigin="7562,-942" coordsize="142,144" path="m7633,-942r-28,6l7583,-921r-15,23l7562,-870r6,28l7583,-819r22,15l7633,-798r27,-6l7683,-819r15,-23l7703,-870r-5,-28l7683,-921r-23,-15l7633,-942xe" fillcolor="#5f5f5f" stroked="f">
              <v:path arrowok="t"/>
            </v:shape>
            <v:shape id="_x0000_s2589" style="position:absolute;left:7561;top:-942;width:142;height:144" coordorigin="7562,-942" coordsize="142,144" path="m7562,-870r6,-28l7583,-921r22,-15l7633,-942r27,6l7683,-921r15,23l7703,-870r-5,28l7683,-819r-23,15l7633,-798r-28,-6l7583,-819r-15,-23l7562,-870xe" filled="f" strokeweight=".29256mm">
              <v:path arrowok="t"/>
            </v:shape>
            <v:shape id="_x0000_s2588" style="position:absolute;left:7844;top:-2558;width:226;height:687" coordorigin="7845,-2558" coordsize="226,687" o:spt="100" adj="0,,0" path="m8301,-1065r,-104m8268,-1169r67,m8301,-1065r,103e" filled="f" strokeweight=".38342mm">
              <v:stroke joinstyle="round"/>
              <v:formulas/>
              <v:path arrowok="t" o:connecttype="segments"/>
            </v:shape>
            <v:rect id="_x0000_s2587" style="position:absolute;left:8268;top:-974;width:67;height:22" fillcolor="black" stroked="f"/>
            <v:shape id="_x0000_s2586" style="position:absolute;left:8230;top:-1139;width:142;height:144" coordorigin="8230,-1138" coordsize="142,144" path="m8301,-1138r-27,6l8251,-1117r-15,23l8230,-1066r6,28l8251,-1015r23,15l8301,-994r28,-6l8351,-1015r15,-23l8372,-1066r-6,-28l8351,-1117r-22,-15l8301,-1138xe" fillcolor="#5f5f5f" stroked="f">
              <v:path arrowok="t"/>
            </v:shape>
            <v:shape id="_x0000_s2585" style="position:absolute;left:8230;top:-1139;width:142;height:144" coordorigin="8230,-1138" coordsize="142,144" path="m8230,-1066r6,-28l8251,-1117r23,-15l8301,-1138r28,6l8351,-1117r15,23l8372,-1066r-6,28l8351,-1015r-22,15l8301,-994r-27,-6l8251,-1015r-15,-23l8230,-1066xe" filled="f" strokeweight=".29256mm">
              <v:path arrowok="t"/>
            </v:shape>
            <v:shape id="_x0000_s2584" style="position:absolute;left:10106;top:-3607;width:226;height:759" coordorigin="10106,-3606" coordsize="226,759" o:spt="100" adj="0,,0" path="m8969,-1370r,-114m8936,-1484r67,m8969,-1370r,114m8936,-1256r67,e" filled="f" strokeweight=".38342mm">
              <v:stroke joinstyle="round"/>
              <v:formulas/>
              <v:path arrowok="t" o:connecttype="segments"/>
            </v:shape>
            <v:shape id="_x0000_s2583" style="position:absolute;left:8898;top:-1443;width:142;height:144" coordorigin="8898,-1443" coordsize="142,144" path="m8969,-1443r-28,6l8919,-1422r-15,23l8898,-1371r6,28l8919,-1320r22,15l8969,-1299r27,-6l9019,-1320r15,-23l9040,-1371r-6,-28l9019,-1422r-23,-15l8969,-1443xe" fillcolor="#5f5f5f" stroked="f">
              <v:path arrowok="t"/>
            </v:shape>
            <v:shape id="_x0000_s2582" style="position:absolute;left:8898;top:-1443;width:142;height:144" coordorigin="8898,-1443" coordsize="142,144" path="m8898,-1371r6,-28l8919,-1422r22,-15l8969,-1443r27,6l9019,-1422r15,23l9040,-1371r-6,28l9019,-1320r-23,15l8969,-1299r-28,-6l8919,-1320r-15,-23l8898,-1371xe" filled="f" strokeweight=".29256mm">
              <v:path arrowok="t"/>
            </v:shape>
            <v:shape id="_x0000_s2581" style="position:absolute;left:12369;top:-6805;width:226;height:1654" coordorigin="12369,-6805" coordsize="226,1654" o:spt="100" adj="0,,0" path="m9638,-2196r,-249m9604,-2445r67,m9638,-2196r,248m9604,-1948r67,e" filled="f" strokeweight=".38342mm">
              <v:stroke joinstyle="round"/>
              <v:formulas/>
              <v:path arrowok="t" o:connecttype="segments"/>
            </v:shape>
            <v:shape id="_x0000_s2580" style="position:absolute;left:9566;top:-2269;width:142;height:144" coordorigin="9567,-2269" coordsize="142,144" path="m9637,-2269r-27,6l9587,-2248r-15,23l9567,-2197r5,28l9587,-2146r23,16l9637,-2125r28,-5l9687,-2146r15,-23l9708,-2197r-6,-28l9687,-2248r-22,-15l9637,-2269xe" fillcolor="#5f5f5f" stroked="f">
              <v:path arrowok="t"/>
            </v:shape>
            <v:shape id="_x0000_s2579" style="position:absolute;left:9566;top:-2269;width:142;height:144" coordorigin="9567,-2269" coordsize="142,144" path="m9567,-2197r5,-28l9587,-2248r23,-15l9637,-2269r28,6l9687,-2248r15,23l9708,-2197r-6,28l9687,-2146r-22,16l9637,-2125r-27,-5l9587,-2146r-15,-23l9567,-2197xe" filled="f" strokeweight=".29256mm">
              <v:path arrowok="t"/>
            </v:shape>
            <v:shape id="_x0000_s2578" style="position:absolute;left:5582;top:-832;width:226;height:536" coordorigin="5582,-832" coordsize="226,536" o:spt="100" adj="0,,0" path="m7633,-569r,-81m7600,-650r66,m7633,-569r,80m7600,-489r66,e" filled="f" strokeweight=".38342mm">
              <v:stroke joinstyle="round"/>
              <v:formulas/>
              <v:path arrowok="t" o:connecttype="segments"/>
            </v:shape>
            <v:shape id="_x0000_s2577" style="position:absolute;left:7560;top:-612;width:146;height:128" coordorigin="7560,-612" coordsize="146,128" path="m7705,-612r-145,l7633,-484r72,-128xe" fillcolor="#dfdfdf" stroked="f">
              <v:path arrowok="t"/>
            </v:shape>
            <v:shape id="_x0000_s2576" style="position:absolute;left:7560;top:-612;width:146;height:128" coordorigin="7560,-612" coordsize="146,128" path="m7633,-484r72,-128l7560,-612r73,128xe" filled="f" strokeweight=".29294mm">
              <v:path arrowok="t"/>
            </v:shape>
            <v:line id="_x0000_s2575" style="position:absolute" from="8301,-830" to="8301,-932" strokeweight=".38011mm"/>
            <v:rect id="_x0000_s2574" style="position:absolute;left:8268;top:-943;width:67;height:22" fillcolor="black" stroked="f"/>
            <v:shape id="_x0000_s2573" style="position:absolute;left:7844;top:-1430;width:226;height:341" coordorigin="7845,-1430" coordsize="226,341" o:spt="100" adj="0,,0" path="m8301,-830r,103m8268,-727r67,e" filled="f" strokeweight=".38342mm">
              <v:stroke joinstyle="round"/>
              <v:formulas/>
              <v:path arrowok="t" o:connecttype="segments"/>
            </v:shape>
            <v:shape id="_x0000_s2572" style="position:absolute;left:8228;top:-873;width:146;height:128" coordorigin="8229,-872" coordsize="146,128" path="m8374,-872r-145,l8301,-745r73,-127xe" fillcolor="#dfdfdf" stroked="f">
              <v:path arrowok="t"/>
            </v:shape>
            <v:shape id="_x0000_s2571" style="position:absolute;left:8228;top:-873;width:146;height:128" coordorigin="8229,-872" coordsize="146,128" path="m8301,-745r73,-127l8229,-872r72,127xe" filled="f" strokeweight=".29294mm">
              <v:path arrowok="t"/>
            </v:shape>
            <v:shape id="_x0000_s2570" style="position:absolute;left:10106;top:-2884;width:226;height:810" coordorigin="10106,-2884" coordsize="226,810" o:spt="100" adj="0,,0" path="m8969,-1145r,-122m8936,-1267r67,m8969,-1145r,122m8936,-1023r67,e" filled="f" strokeweight=".38342mm">
              <v:stroke joinstyle="round"/>
              <v:formulas/>
              <v:path arrowok="t" o:connecttype="segments"/>
            </v:shape>
            <v:shape id="_x0000_s2569" style="position:absolute;left:8896;top:-1188;width:146;height:128" coordorigin="8897,-1188" coordsize="146,128" path="m9042,-1188r-145,l8969,-1060r73,-128xe" fillcolor="#dfdfdf" stroked="f">
              <v:path arrowok="t"/>
            </v:shape>
            <v:shape id="_x0000_s2568" style="position:absolute;left:8896;top:-1188;width:146;height:128" coordorigin="8897,-1188" coordsize="146,128" path="m8969,-1060r73,-128l8897,-1188r72,128xe" filled="f" strokeweight=".29294mm">
              <v:path arrowok="t"/>
            </v:shape>
            <v:shape id="_x0000_s2567" style="position:absolute;left:12369;top:-6394;width:226;height:1381" coordorigin="12369,-6394" coordsize="226,1381" o:spt="100" adj="0,,0" path="m9638,-2114r,-207m9604,-2321r67,m9638,-2114r,207m9604,-1907r67,e" filled="f" strokeweight=".38342mm">
              <v:stroke joinstyle="round"/>
              <v:formulas/>
              <v:path arrowok="t" o:connecttype="segments"/>
            </v:shape>
            <v:shape id="_x0000_s2566" style="position:absolute;left:9564;top:-2157;width:146;height:128" coordorigin="9565,-2156" coordsize="146,128" path="m9710,-2156r-145,l9638,-2029r72,-127xe" fillcolor="#dfdfdf" stroked="f">
              <v:path arrowok="t"/>
            </v:shape>
            <v:shape id="_x0000_s2565" style="position:absolute;left:9564;top:-2157;width:146;height:128" coordorigin="9565,-2156" coordsize="146,128" path="m9638,-2029r72,-127l9565,-2156r73,127xe" filled="f" strokeweight=".29294mm">
              <v:path arrowok="t"/>
            </v:shape>
            <v:shape id="_x0000_s2564" style="position:absolute;left:5582;top:-1331;width:226;height:749" coordorigin="5582,-1331" coordsize="226,749" o:spt="100" adj="0,,0" path="m7633,-687r,-113m7600,-800r66,m7633,-687r,112m7600,-575r66,e" filled="f" strokeweight=".38342mm">
              <v:stroke joinstyle="round"/>
              <v:formulas/>
              <v:path arrowok="t" o:connecttype="segments"/>
            </v:shape>
            <v:shape id="_x0000_s2563" style="position:absolute;left:7560;top:-730;width:146;height:128" coordorigin="7560,-730" coordsize="146,128" path="m7705,-730r-145,l7633,-602r72,-128xe" fillcolor="#404040" stroked="f">
              <v:path arrowok="t"/>
            </v:shape>
            <v:shape id="_x0000_s2562" style="position:absolute;left:7560;top:-730;width:146;height:128" coordorigin="7560,-730" coordsize="146,128" path="m7633,-602r72,-128l7560,-730r73,128xe" filled="f" strokeweight=".29294mm">
              <v:path arrowok="t"/>
            </v:shape>
            <v:shape id="_x0000_s2561" style="position:absolute;left:7844;top:-2549;width:226;height:719" coordorigin="7845,-2549" coordsize="226,719" o:spt="100" adj="0,,0" path="m8301,-1058r,-108m8268,-1166r67,m8301,-1058r,108e" filled="f" strokeweight=".38342mm">
              <v:stroke joinstyle="round"/>
              <v:formulas/>
              <v:path arrowok="t" o:connecttype="segments"/>
            </v:shape>
            <v:rect id="_x0000_s2560" style="position:absolute;left:8268;top:-961;width:67;height:22" fillcolor="black" stroked="f"/>
            <v:shape id="_x0000_s2559" style="position:absolute;left:8228;top:-1101;width:146;height:128" coordorigin="8229,-1100" coordsize="146,128" path="m8374,-1100r-145,l8301,-973r73,-127xe" fillcolor="#404040" stroked="f">
              <v:path arrowok="t"/>
            </v:shape>
            <v:shape id="_x0000_s2558" style="position:absolute;left:8228;top:-1101;width:146;height:128" coordorigin="8229,-1100" coordsize="146,128" path="m8301,-973r73,-127l8229,-1100r72,127xe" filled="f" strokeweight=".29294mm">
              <v:path arrowok="t"/>
            </v:shape>
            <v:shape id="_x0000_s2557" style="position:absolute;left:10106;top:-3424;width:226;height:790" coordorigin="10106,-3424" coordsize="226,790" o:spt="100" adj="0,,0" path="m8969,-1310r,-119m8936,-1429r67,m8969,-1310r,118m8936,-1192r67,e" filled="f" strokeweight=".38342mm">
              <v:stroke joinstyle="round"/>
              <v:formulas/>
              <v:path arrowok="t" o:connecttype="segments"/>
            </v:shape>
            <v:shape id="_x0000_s2556" style="position:absolute;left:8896;top:-1353;width:146;height:128" coordorigin="8897,-1352" coordsize="146,128" path="m9042,-1352r-145,l8969,-1225r73,-127xe" fillcolor="#404040" stroked="f">
              <v:path arrowok="t"/>
            </v:shape>
            <v:shape id="_x0000_s2555" style="position:absolute;left:8896;top:-1353;width:146;height:128" coordorigin="8897,-1352" coordsize="146,128" path="m8969,-1225r73,-127l8897,-1352r72,127xe" filled="f" strokeweight=".29294mm">
              <v:path arrowok="t"/>
            </v:shape>
            <v:shape id="_x0000_s2554" type="#_x0000_t75" style="position:absolute;left:9556;top:-3331;width:162;height:541">
              <v:imagedata r:id="rId39" o:title=""/>
            </v:shape>
            <v:shape id="_x0000_s2553" type="#_x0000_t75" style="position:absolute;left:7088;top:-3472;width:158;height:161">
              <v:imagedata r:id="rId40" o:title=""/>
            </v:shape>
            <v:shape id="_x0000_s2552" type="#_x0000_t75" style="position:absolute;left:7088;top:-3259;width:158;height:161">
              <v:imagedata r:id="rId41" o:title=""/>
            </v:shape>
            <v:shape id="_x0000_s2551" type="#_x0000_t75" style="position:absolute;left:7086;top:-3017;width:162;height:144">
              <v:imagedata r:id="rId42" o:title=""/>
            </v:shape>
            <v:shape id="_x0000_s2550" type="#_x0000_t75" style="position:absolute;left:7086;top:-2804;width:162;height:144">
              <v:imagedata r:id="rId43" o:title=""/>
            </v:shape>
            <v:shape id="_x0000_s2549" type="#_x0000_t202" style="position:absolute;left:6914;top:-3565;width:3405;height:3462" filled="f" stroked="f">
              <v:textbox inset="0,0,0,0">
                <w:txbxContent>
                  <w:p w14:paraId="22A78C03" w14:textId="77777777" w:rsidR="00C75312" w:rsidRDefault="00BB293A">
                    <w:pPr>
                      <w:spacing w:before="66" w:line="232" w:lineRule="auto"/>
                      <w:ind w:left="570" w:right="1113"/>
                      <w:rPr>
                        <w:sz w:val="19"/>
                      </w:rPr>
                    </w:pPr>
                    <w:r>
                      <w:rPr>
                        <w:sz w:val="19"/>
                      </w:rPr>
                      <w:t>ASD low importance ASD high importance NT low importance NT high importance</w:t>
                    </w:r>
                  </w:p>
                </w:txbxContent>
              </v:textbox>
            </v:shape>
            <w10:wrap anchorx="page"/>
          </v:group>
        </w:pict>
      </w:r>
      <w:r>
        <w:rPr>
          <w:sz w:val="21"/>
        </w:rPr>
        <w:t>0-30</w:t>
      </w:r>
      <w:r>
        <w:rPr>
          <w:sz w:val="21"/>
        </w:rPr>
        <w:tab/>
        <w:t>31-60 61-90</w:t>
      </w:r>
      <w:r>
        <w:rPr>
          <w:spacing w:val="32"/>
          <w:sz w:val="21"/>
        </w:rPr>
        <w:t xml:space="preserve"> </w:t>
      </w:r>
      <w:r>
        <w:rPr>
          <w:sz w:val="21"/>
        </w:rPr>
        <w:t>91-120</w:t>
      </w:r>
    </w:p>
    <w:p w14:paraId="65F451BC" w14:textId="77777777" w:rsidR="00C75312" w:rsidRDefault="00BB293A">
      <w:pPr>
        <w:pStyle w:val="Heading1"/>
        <w:spacing w:before="44"/>
        <w:ind w:left="605"/>
      </w:pPr>
      <w:r>
        <w:t>Time interval (seconds)</w:t>
      </w:r>
    </w:p>
    <w:p w14:paraId="68F095C0" w14:textId="77777777" w:rsidR="00C75312" w:rsidRDefault="00C75312">
      <w:pPr>
        <w:sectPr w:rsidR="00C75312">
          <w:type w:val="continuous"/>
          <w:pgSz w:w="11900" w:h="16840"/>
          <w:pgMar w:top="700" w:right="0" w:bottom="280" w:left="1300" w:header="720" w:footer="720" w:gutter="0"/>
          <w:cols w:num="2" w:space="720" w:equalWidth="0">
            <w:col w:w="5509" w:space="40"/>
            <w:col w:w="5051"/>
          </w:cols>
        </w:sectPr>
      </w:pPr>
    </w:p>
    <w:p w14:paraId="70ADDBA3" w14:textId="77777777" w:rsidR="00C75312" w:rsidRDefault="00C75312">
      <w:pPr>
        <w:pStyle w:val="BodyText"/>
        <w:spacing w:before="9"/>
        <w:rPr>
          <w:b/>
          <w:sz w:val="10"/>
        </w:rPr>
      </w:pPr>
    </w:p>
    <w:p w14:paraId="58CFE3D7" w14:textId="77777777" w:rsidR="00C75312" w:rsidRDefault="00BB293A">
      <w:pPr>
        <w:spacing w:before="93"/>
        <w:ind w:left="140" w:right="1435"/>
        <w:rPr>
          <w:i/>
          <w:sz w:val="20"/>
        </w:rPr>
      </w:pPr>
      <w:r>
        <w:rPr>
          <w:i/>
          <w:sz w:val="20"/>
        </w:rPr>
        <w:t xml:space="preserve">Figure 9. PM performance: a) Main effect of group and within-group comparison by condition for PM proportion hits; b) Main effect of condition and between-group comparison for PM proportion hits; c) Main effect of group for PM target accuracy; and d) Time-monitoring pattern by interval in the ASD and NT group by importance condition. Error bars represent standard errors of the means. **: p ≤ .01, ***: p ≤ .001, </w:t>
      </w:r>
      <w:proofErr w:type="spellStart"/>
      <w:r>
        <w:rPr>
          <w:i/>
          <w:sz w:val="20"/>
        </w:rPr>
        <w:t>n.s</w:t>
      </w:r>
      <w:proofErr w:type="spellEnd"/>
      <w:r>
        <w:rPr>
          <w:i/>
          <w:sz w:val="20"/>
        </w:rPr>
        <w:t>.: not significant.</w:t>
      </w:r>
    </w:p>
    <w:p w14:paraId="3A64910A" w14:textId="77777777" w:rsidR="00C75312" w:rsidRDefault="00C75312">
      <w:pPr>
        <w:rPr>
          <w:sz w:val="20"/>
        </w:rPr>
        <w:sectPr w:rsidR="00C75312">
          <w:type w:val="continuous"/>
          <w:pgSz w:w="11900" w:h="16840"/>
          <w:pgMar w:top="700" w:right="0" w:bottom="280" w:left="1300" w:header="720" w:footer="720" w:gutter="0"/>
          <w:cols w:space="720"/>
        </w:sectPr>
      </w:pPr>
    </w:p>
    <w:p w14:paraId="3F1CEF9E" w14:textId="77777777" w:rsidR="00C75312" w:rsidRDefault="00BB293A">
      <w:pPr>
        <w:pStyle w:val="BodyText"/>
        <w:spacing w:before="107" w:line="480" w:lineRule="auto"/>
        <w:ind w:left="140" w:right="1433" w:firstLine="720"/>
        <w:jc w:val="both"/>
      </w:pPr>
      <w:r>
        <w:lastRenderedPageBreak/>
        <w:pict w14:anchorId="277E95DE">
          <v:shape id="_x0000_s2547" type="#_x0000_t202" style="position:absolute;left:0;text-align:left;margin-left:209.75pt;margin-top:149.2pt;width:5.3pt;height:9.85pt;z-index:-260531200;mso-position-horizontal-relative:page" filled="f" stroked="f">
            <v:textbox inset="0,0,0,0">
              <w:txbxContent>
                <w:p w14:paraId="3E3CC8EF"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3E481E38">
          <v:shape id="_x0000_s2546" type="#_x0000_t202" style="position:absolute;left:0;text-align:left;margin-left:263.05pt;margin-top:178.75pt;width:5.3pt;height:9.85pt;z-index:-260530176;mso-position-horizontal-relative:page" filled="f" stroked="f">
            <v:textbox inset="0,0,0,0">
              <w:txbxContent>
                <w:p w14:paraId="2B3A4C61"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b/>
          <w:w w:val="105"/>
        </w:rPr>
        <w:t>Time-monitoring.</w:t>
      </w:r>
      <w:r>
        <w:rPr>
          <w:b/>
          <w:spacing w:val="9"/>
          <w:w w:val="105"/>
        </w:rPr>
        <w:t xml:space="preserve"> </w:t>
      </w:r>
      <w:r>
        <w:rPr>
          <w:w w:val="105"/>
        </w:rPr>
        <w:t>Figure</w:t>
      </w:r>
      <w:r>
        <w:rPr>
          <w:spacing w:val="-27"/>
          <w:w w:val="105"/>
        </w:rPr>
        <w:t xml:space="preserve"> </w:t>
      </w:r>
      <w:r>
        <w:rPr>
          <w:w w:val="105"/>
        </w:rPr>
        <w:t>9d)</w:t>
      </w:r>
      <w:r>
        <w:rPr>
          <w:spacing w:val="-25"/>
          <w:w w:val="105"/>
        </w:rPr>
        <w:t xml:space="preserve"> </w:t>
      </w:r>
      <w:r>
        <w:rPr>
          <w:w w:val="105"/>
        </w:rPr>
        <w:t>shows</w:t>
      </w:r>
      <w:r>
        <w:rPr>
          <w:spacing w:val="-27"/>
          <w:w w:val="105"/>
        </w:rPr>
        <w:t xml:space="preserve"> </w:t>
      </w:r>
      <w:r>
        <w:rPr>
          <w:w w:val="105"/>
        </w:rPr>
        <w:t>the</w:t>
      </w:r>
      <w:r>
        <w:rPr>
          <w:spacing w:val="-27"/>
          <w:w w:val="105"/>
        </w:rPr>
        <w:t xml:space="preserve"> </w:t>
      </w:r>
      <w:r>
        <w:rPr>
          <w:w w:val="105"/>
        </w:rPr>
        <w:t>mean</w:t>
      </w:r>
      <w:r>
        <w:rPr>
          <w:spacing w:val="-26"/>
          <w:w w:val="105"/>
        </w:rPr>
        <w:t xml:space="preserve"> </w:t>
      </w:r>
      <w:r>
        <w:rPr>
          <w:w w:val="105"/>
        </w:rPr>
        <w:t>number</w:t>
      </w:r>
      <w:r>
        <w:rPr>
          <w:spacing w:val="-26"/>
          <w:w w:val="105"/>
        </w:rPr>
        <w:t xml:space="preserve"> </w:t>
      </w:r>
      <w:r>
        <w:rPr>
          <w:w w:val="105"/>
        </w:rPr>
        <w:t>of</w:t>
      </w:r>
      <w:r>
        <w:rPr>
          <w:spacing w:val="-26"/>
          <w:w w:val="105"/>
        </w:rPr>
        <w:t xml:space="preserve"> </w:t>
      </w:r>
      <w:r>
        <w:rPr>
          <w:w w:val="105"/>
        </w:rPr>
        <w:t>time</w:t>
      </w:r>
      <w:r>
        <w:rPr>
          <w:spacing w:val="-26"/>
          <w:w w:val="105"/>
        </w:rPr>
        <w:t xml:space="preserve"> </w:t>
      </w:r>
      <w:r>
        <w:rPr>
          <w:w w:val="105"/>
        </w:rPr>
        <w:t>checks</w:t>
      </w:r>
      <w:r>
        <w:rPr>
          <w:spacing w:val="-28"/>
          <w:w w:val="105"/>
        </w:rPr>
        <w:t xml:space="preserve"> </w:t>
      </w:r>
      <w:r>
        <w:rPr>
          <w:w w:val="105"/>
        </w:rPr>
        <w:t>carried</w:t>
      </w:r>
      <w:r>
        <w:rPr>
          <w:spacing w:val="-26"/>
          <w:w w:val="105"/>
        </w:rPr>
        <w:t xml:space="preserve"> </w:t>
      </w:r>
      <w:r>
        <w:rPr>
          <w:w w:val="105"/>
        </w:rPr>
        <w:t>out</w:t>
      </w:r>
      <w:r>
        <w:rPr>
          <w:spacing w:val="-26"/>
          <w:w w:val="105"/>
        </w:rPr>
        <w:t xml:space="preserve"> </w:t>
      </w:r>
      <w:r>
        <w:rPr>
          <w:w w:val="105"/>
        </w:rPr>
        <w:t>for each</w:t>
      </w:r>
      <w:r>
        <w:rPr>
          <w:spacing w:val="-34"/>
          <w:w w:val="105"/>
        </w:rPr>
        <w:t xml:space="preserve"> </w:t>
      </w:r>
      <w:r>
        <w:rPr>
          <w:w w:val="105"/>
        </w:rPr>
        <w:t>condition</w:t>
      </w:r>
      <w:r>
        <w:rPr>
          <w:spacing w:val="-33"/>
          <w:w w:val="105"/>
        </w:rPr>
        <w:t xml:space="preserve"> </w:t>
      </w:r>
      <w:r>
        <w:rPr>
          <w:w w:val="105"/>
        </w:rPr>
        <w:t>during</w:t>
      </w:r>
      <w:r>
        <w:rPr>
          <w:spacing w:val="-33"/>
          <w:w w:val="105"/>
        </w:rPr>
        <w:t xml:space="preserve"> </w:t>
      </w:r>
      <w:r>
        <w:rPr>
          <w:w w:val="105"/>
        </w:rPr>
        <w:t>each</w:t>
      </w:r>
      <w:r>
        <w:rPr>
          <w:spacing w:val="-34"/>
          <w:w w:val="105"/>
        </w:rPr>
        <w:t xml:space="preserve"> </w:t>
      </w:r>
      <w:r>
        <w:rPr>
          <w:w w:val="105"/>
        </w:rPr>
        <w:t>of</w:t>
      </w:r>
      <w:r>
        <w:rPr>
          <w:spacing w:val="-32"/>
          <w:w w:val="105"/>
        </w:rPr>
        <w:t xml:space="preserve"> </w:t>
      </w:r>
      <w:r>
        <w:rPr>
          <w:w w:val="105"/>
        </w:rPr>
        <w:t>the</w:t>
      </w:r>
      <w:r>
        <w:rPr>
          <w:spacing w:val="-34"/>
          <w:w w:val="105"/>
        </w:rPr>
        <w:t xml:space="preserve"> </w:t>
      </w:r>
      <w:r>
        <w:rPr>
          <w:w w:val="105"/>
        </w:rPr>
        <w:t>four</w:t>
      </w:r>
      <w:r>
        <w:rPr>
          <w:spacing w:val="-34"/>
          <w:w w:val="105"/>
        </w:rPr>
        <w:t xml:space="preserve"> </w:t>
      </w:r>
      <w:r>
        <w:rPr>
          <w:w w:val="105"/>
        </w:rPr>
        <w:t>time</w:t>
      </w:r>
      <w:r>
        <w:rPr>
          <w:spacing w:val="-34"/>
          <w:w w:val="105"/>
        </w:rPr>
        <w:t xml:space="preserve"> </w:t>
      </w:r>
      <w:r>
        <w:rPr>
          <w:w w:val="105"/>
        </w:rPr>
        <w:t>periods</w:t>
      </w:r>
      <w:r>
        <w:rPr>
          <w:spacing w:val="-34"/>
          <w:w w:val="105"/>
        </w:rPr>
        <w:t xml:space="preserve"> </w:t>
      </w:r>
      <w:r>
        <w:rPr>
          <w:w w:val="105"/>
        </w:rPr>
        <w:t>among</w:t>
      </w:r>
      <w:r>
        <w:rPr>
          <w:spacing w:val="-34"/>
          <w:w w:val="105"/>
        </w:rPr>
        <w:t xml:space="preserve"> </w:t>
      </w:r>
      <w:r>
        <w:rPr>
          <w:w w:val="105"/>
        </w:rPr>
        <w:t>ASD</w:t>
      </w:r>
      <w:r>
        <w:rPr>
          <w:spacing w:val="-33"/>
          <w:w w:val="105"/>
        </w:rPr>
        <w:t xml:space="preserve"> </w:t>
      </w:r>
      <w:r>
        <w:rPr>
          <w:w w:val="105"/>
        </w:rPr>
        <w:t>and</w:t>
      </w:r>
      <w:r>
        <w:rPr>
          <w:spacing w:val="-34"/>
          <w:w w:val="105"/>
        </w:rPr>
        <w:t xml:space="preserve"> </w:t>
      </w:r>
      <w:r>
        <w:rPr>
          <w:w w:val="105"/>
        </w:rPr>
        <w:t>comparison</w:t>
      </w:r>
      <w:r>
        <w:rPr>
          <w:spacing w:val="-33"/>
          <w:w w:val="105"/>
        </w:rPr>
        <w:t xml:space="preserve"> </w:t>
      </w:r>
      <w:r>
        <w:rPr>
          <w:w w:val="105"/>
        </w:rPr>
        <w:t>participants. A</w:t>
      </w:r>
      <w:r>
        <w:rPr>
          <w:spacing w:val="-12"/>
          <w:w w:val="105"/>
        </w:rPr>
        <w:t xml:space="preserve"> </w:t>
      </w:r>
      <w:r>
        <w:rPr>
          <w:w w:val="105"/>
        </w:rPr>
        <w:t>2</w:t>
      </w:r>
      <w:r>
        <w:rPr>
          <w:spacing w:val="-12"/>
          <w:w w:val="105"/>
        </w:rPr>
        <w:t xml:space="preserve"> </w:t>
      </w:r>
      <w:r>
        <w:rPr>
          <w:w w:val="105"/>
        </w:rPr>
        <w:t>×</w:t>
      </w:r>
      <w:r>
        <w:rPr>
          <w:spacing w:val="-13"/>
          <w:w w:val="105"/>
        </w:rPr>
        <w:t xml:space="preserve"> </w:t>
      </w:r>
      <w:r>
        <w:rPr>
          <w:w w:val="105"/>
        </w:rPr>
        <w:t>2</w:t>
      </w:r>
      <w:r>
        <w:rPr>
          <w:spacing w:val="-14"/>
          <w:w w:val="105"/>
        </w:rPr>
        <w:t xml:space="preserve"> </w:t>
      </w:r>
      <w:r>
        <w:rPr>
          <w:w w:val="105"/>
        </w:rPr>
        <w:t>×</w:t>
      </w:r>
      <w:r>
        <w:rPr>
          <w:spacing w:val="-13"/>
          <w:w w:val="105"/>
        </w:rPr>
        <w:t xml:space="preserve"> </w:t>
      </w:r>
      <w:r>
        <w:rPr>
          <w:w w:val="105"/>
        </w:rPr>
        <w:t>4</w:t>
      </w:r>
      <w:r>
        <w:rPr>
          <w:spacing w:val="-14"/>
          <w:w w:val="105"/>
        </w:rPr>
        <w:t xml:space="preserve"> </w:t>
      </w:r>
      <w:r>
        <w:rPr>
          <w:w w:val="105"/>
        </w:rPr>
        <w:t>mixed</w:t>
      </w:r>
      <w:r>
        <w:rPr>
          <w:spacing w:val="-12"/>
          <w:w w:val="105"/>
        </w:rPr>
        <w:t xml:space="preserve"> </w:t>
      </w:r>
      <w:r>
        <w:rPr>
          <w:w w:val="105"/>
        </w:rPr>
        <w:t>ANOVA</w:t>
      </w:r>
      <w:r>
        <w:rPr>
          <w:spacing w:val="-12"/>
          <w:w w:val="105"/>
        </w:rPr>
        <w:t xml:space="preserve"> </w:t>
      </w:r>
      <w:r>
        <w:rPr>
          <w:w w:val="105"/>
        </w:rPr>
        <w:t>was</w:t>
      </w:r>
      <w:r>
        <w:rPr>
          <w:spacing w:val="-13"/>
          <w:w w:val="105"/>
        </w:rPr>
        <w:t xml:space="preserve"> </w:t>
      </w:r>
      <w:r>
        <w:rPr>
          <w:w w:val="105"/>
        </w:rPr>
        <w:t>conducted</w:t>
      </w:r>
      <w:r>
        <w:rPr>
          <w:spacing w:val="-12"/>
          <w:w w:val="105"/>
        </w:rPr>
        <w:t xml:space="preserve"> </w:t>
      </w:r>
      <w:r>
        <w:rPr>
          <w:w w:val="105"/>
        </w:rPr>
        <w:t>on</w:t>
      </w:r>
      <w:r>
        <w:rPr>
          <w:spacing w:val="-12"/>
          <w:w w:val="105"/>
        </w:rPr>
        <w:t xml:space="preserve"> </w:t>
      </w:r>
      <w:r>
        <w:rPr>
          <w:w w:val="105"/>
        </w:rPr>
        <w:t>this</w:t>
      </w:r>
      <w:r>
        <w:rPr>
          <w:spacing w:val="-13"/>
          <w:w w:val="105"/>
        </w:rPr>
        <w:t xml:space="preserve"> </w:t>
      </w:r>
      <w:r>
        <w:rPr>
          <w:w w:val="105"/>
        </w:rPr>
        <w:t>data</w:t>
      </w:r>
      <w:r>
        <w:rPr>
          <w:spacing w:val="-12"/>
          <w:w w:val="105"/>
        </w:rPr>
        <w:t xml:space="preserve"> </w:t>
      </w:r>
      <w:r>
        <w:rPr>
          <w:w w:val="105"/>
        </w:rPr>
        <w:t>with</w:t>
      </w:r>
      <w:r>
        <w:rPr>
          <w:spacing w:val="-12"/>
          <w:w w:val="105"/>
        </w:rPr>
        <w:t xml:space="preserve"> </w:t>
      </w:r>
      <w:r>
        <w:rPr>
          <w:w w:val="105"/>
        </w:rPr>
        <w:t>Group</w:t>
      </w:r>
      <w:r>
        <w:rPr>
          <w:spacing w:val="-12"/>
          <w:w w:val="105"/>
        </w:rPr>
        <w:t xml:space="preserve"> </w:t>
      </w:r>
      <w:r>
        <w:rPr>
          <w:w w:val="105"/>
        </w:rPr>
        <w:t>(ASD/NT)</w:t>
      </w:r>
      <w:r>
        <w:rPr>
          <w:spacing w:val="-14"/>
          <w:w w:val="105"/>
        </w:rPr>
        <w:t xml:space="preserve"> </w:t>
      </w:r>
      <w:r>
        <w:rPr>
          <w:w w:val="105"/>
        </w:rPr>
        <w:t>as</w:t>
      </w:r>
      <w:r>
        <w:rPr>
          <w:spacing w:val="-13"/>
          <w:w w:val="105"/>
        </w:rPr>
        <w:t xml:space="preserve"> </w:t>
      </w:r>
      <w:r>
        <w:rPr>
          <w:w w:val="105"/>
        </w:rPr>
        <w:t>between- subjects</w:t>
      </w:r>
      <w:r>
        <w:rPr>
          <w:spacing w:val="-34"/>
          <w:w w:val="105"/>
        </w:rPr>
        <w:t xml:space="preserve"> </w:t>
      </w:r>
      <w:r>
        <w:rPr>
          <w:w w:val="105"/>
        </w:rPr>
        <w:t>factor,</w:t>
      </w:r>
      <w:r>
        <w:rPr>
          <w:spacing w:val="-32"/>
          <w:w w:val="105"/>
        </w:rPr>
        <w:t xml:space="preserve"> </w:t>
      </w:r>
      <w:r>
        <w:rPr>
          <w:w w:val="105"/>
        </w:rPr>
        <w:t>and</w:t>
      </w:r>
      <w:r>
        <w:rPr>
          <w:spacing w:val="-32"/>
          <w:w w:val="105"/>
        </w:rPr>
        <w:t xml:space="preserve"> </w:t>
      </w:r>
      <w:r>
        <w:rPr>
          <w:w w:val="105"/>
        </w:rPr>
        <w:t>Condition</w:t>
      </w:r>
      <w:r>
        <w:rPr>
          <w:spacing w:val="-35"/>
          <w:w w:val="105"/>
        </w:rPr>
        <w:t xml:space="preserve"> </w:t>
      </w:r>
      <w:r>
        <w:rPr>
          <w:w w:val="105"/>
        </w:rPr>
        <w:t>(PM</w:t>
      </w:r>
      <w:r>
        <w:rPr>
          <w:spacing w:val="-36"/>
          <w:w w:val="105"/>
        </w:rPr>
        <w:t xml:space="preserve"> </w:t>
      </w:r>
      <w:r>
        <w:rPr>
          <w:w w:val="105"/>
        </w:rPr>
        <w:t>low/high</w:t>
      </w:r>
      <w:r>
        <w:rPr>
          <w:spacing w:val="-32"/>
          <w:w w:val="105"/>
        </w:rPr>
        <w:t xml:space="preserve"> </w:t>
      </w:r>
      <w:r>
        <w:rPr>
          <w:w w:val="105"/>
        </w:rPr>
        <w:t>importance)</w:t>
      </w:r>
      <w:r>
        <w:rPr>
          <w:spacing w:val="-32"/>
          <w:w w:val="105"/>
        </w:rPr>
        <w:t xml:space="preserve"> </w:t>
      </w:r>
      <w:r>
        <w:rPr>
          <w:w w:val="105"/>
        </w:rPr>
        <w:t>and</w:t>
      </w:r>
      <w:r>
        <w:rPr>
          <w:spacing w:val="-35"/>
          <w:w w:val="105"/>
        </w:rPr>
        <w:t xml:space="preserve"> </w:t>
      </w:r>
      <w:r>
        <w:rPr>
          <w:w w:val="105"/>
        </w:rPr>
        <w:t>Time</w:t>
      </w:r>
      <w:r>
        <w:rPr>
          <w:spacing w:val="-33"/>
          <w:w w:val="105"/>
        </w:rPr>
        <w:t xml:space="preserve"> </w:t>
      </w:r>
      <w:r>
        <w:rPr>
          <w:w w:val="105"/>
        </w:rPr>
        <w:t>interval</w:t>
      </w:r>
      <w:r>
        <w:rPr>
          <w:spacing w:val="-33"/>
          <w:w w:val="105"/>
        </w:rPr>
        <w:t xml:space="preserve"> </w:t>
      </w:r>
      <w:r>
        <w:rPr>
          <w:w w:val="105"/>
        </w:rPr>
        <w:t>(0-30,</w:t>
      </w:r>
      <w:r>
        <w:rPr>
          <w:spacing w:val="-34"/>
          <w:w w:val="105"/>
        </w:rPr>
        <w:t xml:space="preserve"> </w:t>
      </w:r>
      <w:r>
        <w:rPr>
          <w:w w:val="105"/>
        </w:rPr>
        <w:t>31-60,</w:t>
      </w:r>
      <w:r>
        <w:rPr>
          <w:spacing w:val="-31"/>
          <w:w w:val="105"/>
        </w:rPr>
        <w:t xml:space="preserve"> </w:t>
      </w:r>
      <w:r>
        <w:rPr>
          <w:w w:val="105"/>
        </w:rPr>
        <w:t>61- 90,</w:t>
      </w:r>
      <w:r>
        <w:rPr>
          <w:spacing w:val="-28"/>
          <w:w w:val="105"/>
        </w:rPr>
        <w:t xml:space="preserve"> </w:t>
      </w:r>
      <w:r>
        <w:rPr>
          <w:w w:val="105"/>
        </w:rPr>
        <w:t>91-120</w:t>
      </w:r>
      <w:r>
        <w:rPr>
          <w:spacing w:val="-28"/>
          <w:w w:val="105"/>
        </w:rPr>
        <w:t xml:space="preserve"> </w:t>
      </w:r>
      <w:r>
        <w:rPr>
          <w:w w:val="105"/>
        </w:rPr>
        <w:t>seconds)</w:t>
      </w:r>
      <w:r>
        <w:rPr>
          <w:spacing w:val="-28"/>
          <w:w w:val="105"/>
        </w:rPr>
        <w:t xml:space="preserve"> </w:t>
      </w:r>
      <w:r>
        <w:rPr>
          <w:w w:val="105"/>
        </w:rPr>
        <w:t>as</w:t>
      </w:r>
      <w:r>
        <w:rPr>
          <w:spacing w:val="-30"/>
          <w:w w:val="105"/>
        </w:rPr>
        <w:t xml:space="preserve"> </w:t>
      </w:r>
      <w:r>
        <w:rPr>
          <w:w w:val="105"/>
        </w:rPr>
        <w:t>within-subject</w:t>
      </w:r>
      <w:r>
        <w:rPr>
          <w:spacing w:val="-28"/>
          <w:w w:val="105"/>
        </w:rPr>
        <w:t xml:space="preserve"> </w:t>
      </w:r>
      <w:r>
        <w:rPr>
          <w:w w:val="105"/>
        </w:rPr>
        <w:t>factors.</w:t>
      </w:r>
      <w:r>
        <w:rPr>
          <w:spacing w:val="7"/>
          <w:w w:val="105"/>
        </w:rPr>
        <w:t xml:space="preserve"> </w:t>
      </w:r>
      <w:r>
        <w:rPr>
          <w:w w:val="105"/>
        </w:rPr>
        <w:t>The</w:t>
      </w:r>
      <w:r>
        <w:rPr>
          <w:spacing w:val="-29"/>
          <w:w w:val="105"/>
        </w:rPr>
        <w:t xml:space="preserve"> </w:t>
      </w:r>
      <w:r>
        <w:rPr>
          <w:w w:val="105"/>
        </w:rPr>
        <w:t>main</w:t>
      </w:r>
      <w:r>
        <w:rPr>
          <w:spacing w:val="-28"/>
          <w:w w:val="105"/>
        </w:rPr>
        <w:t xml:space="preserve"> </w:t>
      </w:r>
      <w:r>
        <w:rPr>
          <w:w w:val="105"/>
        </w:rPr>
        <w:t>effect</w:t>
      </w:r>
      <w:r>
        <w:rPr>
          <w:spacing w:val="-29"/>
          <w:w w:val="105"/>
        </w:rPr>
        <w:t xml:space="preserve"> </w:t>
      </w:r>
      <w:r>
        <w:rPr>
          <w:w w:val="105"/>
        </w:rPr>
        <w:t>of</w:t>
      </w:r>
      <w:r>
        <w:rPr>
          <w:spacing w:val="-28"/>
          <w:w w:val="105"/>
        </w:rPr>
        <w:t xml:space="preserve"> </w:t>
      </w:r>
      <w:r>
        <w:rPr>
          <w:w w:val="105"/>
        </w:rPr>
        <w:t>group</w:t>
      </w:r>
      <w:r>
        <w:rPr>
          <w:spacing w:val="-28"/>
          <w:w w:val="105"/>
        </w:rPr>
        <w:t xml:space="preserve"> </w:t>
      </w:r>
      <w:r>
        <w:rPr>
          <w:w w:val="105"/>
        </w:rPr>
        <w:t>was</w:t>
      </w:r>
      <w:r>
        <w:rPr>
          <w:spacing w:val="-30"/>
          <w:w w:val="105"/>
        </w:rPr>
        <w:t xml:space="preserve"> </w:t>
      </w:r>
      <w:r>
        <w:rPr>
          <w:w w:val="105"/>
        </w:rPr>
        <w:t xml:space="preserve">non-significant, </w:t>
      </w:r>
      <w:r>
        <w:rPr>
          <w:i/>
          <w:spacing w:val="2"/>
          <w:position w:val="2"/>
        </w:rPr>
        <w:t>F</w:t>
      </w:r>
      <w:r>
        <w:rPr>
          <w:spacing w:val="1"/>
          <w:position w:val="2"/>
        </w:rPr>
        <w:t>(</w:t>
      </w:r>
      <w:r>
        <w:rPr>
          <w:position w:val="2"/>
        </w:rPr>
        <w:t>1</w:t>
      </w:r>
      <w:r>
        <w:rPr>
          <w:spacing w:val="2"/>
          <w:position w:val="2"/>
        </w:rPr>
        <w:t>,</w:t>
      </w:r>
      <w:r>
        <w:rPr>
          <w:position w:val="2"/>
        </w:rPr>
        <w:t>4</w:t>
      </w:r>
      <w:r>
        <w:rPr>
          <w:spacing w:val="-5"/>
          <w:position w:val="2"/>
        </w:rPr>
        <w:t>6</w:t>
      </w:r>
      <w:r>
        <w:rPr>
          <w:position w:val="2"/>
        </w:rPr>
        <w:t xml:space="preserve">) </w:t>
      </w:r>
      <w:r>
        <w:rPr>
          <w:spacing w:val="-23"/>
          <w:position w:val="2"/>
        </w:rPr>
        <w:t xml:space="preserve"> </w:t>
      </w:r>
      <w:r>
        <w:rPr>
          <w:position w:val="2"/>
        </w:rPr>
        <w:t xml:space="preserve">= </w:t>
      </w:r>
      <w:r>
        <w:rPr>
          <w:spacing w:val="-21"/>
          <w:position w:val="2"/>
        </w:rPr>
        <w:t xml:space="preserve"> </w:t>
      </w:r>
      <w:r>
        <w:rPr>
          <w:spacing w:val="-5"/>
          <w:position w:val="2"/>
        </w:rPr>
        <w:t>1</w:t>
      </w:r>
      <w:r>
        <w:rPr>
          <w:spacing w:val="2"/>
          <w:position w:val="2"/>
        </w:rPr>
        <w:t>.</w:t>
      </w:r>
      <w:r>
        <w:rPr>
          <w:position w:val="2"/>
        </w:rPr>
        <w:t xml:space="preserve">08 </w:t>
      </w:r>
      <w:r>
        <w:rPr>
          <w:spacing w:val="-24"/>
          <w:position w:val="2"/>
        </w:rPr>
        <w:t xml:space="preserve"> </w:t>
      </w:r>
      <w:r>
        <w:rPr>
          <w:position w:val="2"/>
        </w:rPr>
        <w:t xml:space="preserve">, </w:t>
      </w:r>
      <w:r>
        <w:rPr>
          <w:spacing w:val="-22"/>
          <w:position w:val="2"/>
        </w:rPr>
        <w:t xml:space="preserve"> </w:t>
      </w:r>
      <w:r>
        <w:rPr>
          <w:i/>
          <w:position w:val="2"/>
        </w:rPr>
        <w:t xml:space="preserve">p </w:t>
      </w:r>
      <w:r>
        <w:rPr>
          <w:i/>
          <w:spacing w:val="-24"/>
          <w:position w:val="2"/>
        </w:rPr>
        <w:t xml:space="preserve"> </w:t>
      </w:r>
      <w:r>
        <w:rPr>
          <w:position w:val="2"/>
        </w:rPr>
        <w:t xml:space="preserve">= </w:t>
      </w:r>
      <w:r>
        <w:rPr>
          <w:spacing w:val="-25"/>
          <w:position w:val="2"/>
        </w:rPr>
        <w:t xml:space="preserve"> </w:t>
      </w:r>
      <w:r>
        <w:rPr>
          <w:spacing w:val="2"/>
          <w:position w:val="2"/>
        </w:rPr>
        <w:t>.</w:t>
      </w:r>
      <w:r>
        <w:rPr>
          <w:spacing w:val="-5"/>
          <w:position w:val="2"/>
        </w:rPr>
        <w:t>3</w:t>
      </w:r>
      <w:r>
        <w:rPr>
          <w:position w:val="2"/>
        </w:rPr>
        <w:t xml:space="preserve">0, </w:t>
      </w:r>
      <w:r>
        <w:rPr>
          <w:spacing w:val="-27"/>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3"/>
          <w:position w:val="2"/>
        </w:rPr>
        <w:t xml:space="preserve"> </w:t>
      </w:r>
      <w:r>
        <w:rPr>
          <w:position w:val="2"/>
        </w:rPr>
        <w:t xml:space="preserve">= </w:t>
      </w:r>
      <w:r>
        <w:rPr>
          <w:spacing w:val="-25"/>
          <w:position w:val="2"/>
        </w:rPr>
        <w:t xml:space="preserve"> </w:t>
      </w:r>
      <w:r>
        <w:rPr>
          <w:spacing w:val="2"/>
          <w:position w:val="2"/>
        </w:rPr>
        <w:t>.</w:t>
      </w:r>
      <w:r>
        <w:rPr>
          <w:position w:val="2"/>
        </w:rPr>
        <w:t>0</w:t>
      </w:r>
      <w:r>
        <w:rPr>
          <w:spacing w:val="-5"/>
          <w:position w:val="2"/>
        </w:rPr>
        <w:t>2</w:t>
      </w:r>
      <w:r>
        <w:rPr>
          <w:position w:val="2"/>
        </w:rPr>
        <w:t xml:space="preserve">, </w:t>
      </w:r>
      <w:r>
        <w:rPr>
          <w:spacing w:val="-22"/>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position w:val="2"/>
        </w:rPr>
        <w:t xml:space="preserve">  </w:t>
      </w:r>
      <w:r>
        <w:rPr>
          <w:spacing w:val="-15"/>
          <w:position w:val="2"/>
        </w:rPr>
        <w:t xml:space="preserve"> </w:t>
      </w:r>
      <w:r>
        <w:rPr>
          <w:position w:val="2"/>
        </w:rPr>
        <w:t xml:space="preserve">= </w:t>
      </w:r>
      <w:r>
        <w:rPr>
          <w:spacing w:val="-25"/>
          <w:position w:val="2"/>
        </w:rPr>
        <w:t xml:space="preserve"> </w:t>
      </w:r>
      <w:r>
        <w:rPr>
          <w:position w:val="2"/>
        </w:rPr>
        <w:t>0</w:t>
      </w:r>
      <w:r>
        <w:rPr>
          <w:spacing w:val="2"/>
          <w:position w:val="2"/>
        </w:rPr>
        <w:t>.</w:t>
      </w:r>
      <w:r>
        <w:rPr>
          <w:position w:val="2"/>
        </w:rPr>
        <w:t>2</w:t>
      </w:r>
      <w:r>
        <w:rPr>
          <w:spacing w:val="-5"/>
          <w:position w:val="2"/>
        </w:rPr>
        <w:t>9</w:t>
      </w:r>
      <w:r>
        <w:rPr>
          <w:position w:val="2"/>
        </w:rPr>
        <w:t xml:space="preserve">. </w:t>
      </w:r>
      <w:r>
        <w:rPr>
          <w:spacing w:val="-22"/>
          <w:position w:val="2"/>
        </w:rPr>
        <w:t xml:space="preserve"> </w:t>
      </w:r>
      <w:r>
        <w:rPr>
          <w:spacing w:val="2"/>
          <w:position w:val="2"/>
        </w:rPr>
        <w:t>T</w:t>
      </w:r>
      <w:r>
        <w:rPr>
          <w:position w:val="2"/>
        </w:rPr>
        <w:t>h</w:t>
      </w:r>
      <w:r>
        <w:rPr>
          <w:spacing w:val="-6"/>
          <w:position w:val="2"/>
        </w:rPr>
        <w:t>e</w:t>
      </w:r>
      <w:r>
        <w:rPr>
          <w:spacing w:val="1"/>
          <w:position w:val="2"/>
        </w:rPr>
        <w:t>r</w:t>
      </w:r>
      <w:r>
        <w:rPr>
          <w:position w:val="2"/>
        </w:rPr>
        <w:t xml:space="preserve">e </w:t>
      </w:r>
      <w:r>
        <w:rPr>
          <w:spacing w:val="-21"/>
          <w:position w:val="2"/>
        </w:rPr>
        <w:t xml:space="preserve"> </w:t>
      </w:r>
      <w:r>
        <w:rPr>
          <w:spacing w:val="-1"/>
          <w:position w:val="2"/>
        </w:rPr>
        <w:t>we</w:t>
      </w:r>
      <w:r>
        <w:rPr>
          <w:spacing w:val="1"/>
          <w:position w:val="2"/>
        </w:rPr>
        <w:t>r</w:t>
      </w:r>
      <w:r>
        <w:rPr>
          <w:position w:val="2"/>
        </w:rPr>
        <w:t xml:space="preserve">e </w:t>
      </w:r>
      <w:r>
        <w:rPr>
          <w:spacing w:val="-25"/>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ca</w:t>
      </w:r>
      <w:r>
        <w:rPr>
          <w:position w:val="2"/>
        </w:rPr>
        <w:t xml:space="preserve">nt </w:t>
      </w:r>
      <w:r>
        <w:rPr>
          <w:spacing w:val="-24"/>
          <w:position w:val="2"/>
        </w:rPr>
        <w:t xml:space="preserve"> </w:t>
      </w:r>
      <w:r>
        <w:rPr>
          <w:position w:val="2"/>
        </w:rPr>
        <w:t>m</w:t>
      </w:r>
      <w:r>
        <w:rPr>
          <w:spacing w:val="-1"/>
          <w:position w:val="2"/>
        </w:rPr>
        <w:t>a</w:t>
      </w:r>
      <w:r>
        <w:rPr>
          <w:position w:val="2"/>
        </w:rPr>
        <w:t xml:space="preserve">in </w:t>
      </w:r>
      <w:r>
        <w:rPr>
          <w:spacing w:val="-24"/>
          <w:position w:val="2"/>
        </w:rPr>
        <w:t xml:space="preserve"> </w:t>
      </w:r>
      <w:r>
        <w:rPr>
          <w:spacing w:val="-1"/>
          <w:position w:val="2"/>
        </w:rPr>
        <w:t>e</w:t>
      </w:r>
      <w:r>
        <w:rPr>
          <w:spacing w:val="-4"/>
          <w:position w:val="2"/>
        </w:rPr>
        <w:t>f</w:t>
      </w:r>
      <w:r>
        <w:rPr>
          <w:spacing w:val="1"/>
          <w:position w:val="2"/>
        </w:rPr>
        <w:t>f</w:t>
      </w:r>
      <w:r>
        <w:rPr>
          <w:spacing w:val="-1"/>
          <w:position w:val="2"/>
        </w:rPr>
        <w:t>ec</w:t>
      </w:r>
      <w:r>
        <w:rPr>
          <w:position w:val="2"/>
        </w:rPr>
        <w:t xml:space="preserve">ts </w:t>
      </w:r>
      <w:r>
        <w:rPr>
          <w:spacing w:val="-22"/>
          <w:position w:val="2"/>
        </w:rPr>
        <w:t xml:space="preserve"> </w:t>
      </w:r>
      <w:r>
        <w:rPr>
          <w:position w:val="2"/>
        </w:rPr>
        <w:t xml:space="preserve">of </w:t>
      </w:r>
      <w:r>
        <w:rPr>
          <w:spacing w:val="-1"/>
          <w:position w:val="2"/>
        </w:rPr>
        <w:t>c</w:t>
      </w:r>
      <w:r>
        <w:rPr>
          <w:position w:val="2"/>
        </w:rPr>
        <w:t>ondition,</w:t>
      </w:r>
      <w:r>
        <w:rPr>
          <w:spacing w:val="19"/>
          <w:position w:val="2"/>
        </w:rPr>
        <w:t xml:space="preserve"> </w:t>
      </w:r>
      <w:r>
        <w:rPr>
          <w:i/>
          <w:spacing w:val="-3"/>
          <w:position w:val="2"/>
        </w:rPr>
        <w:t>F</w:t>
      </w:r>
      <w:r>
        <w:rPr>
          <w:spacing w:val="1"/>
          <w:position w:val="2"/>
        </w:rPr>
        <w:t>(</w:t>
      </w:r>
      <w:r>
        <w:rPr>
          <w:position w:val="2"/>
        </w:rPr>
        <w:t>1</w:t>
      </w:r>
      <w:r>
        <w:rPr>
          <w:spacing w:val="2"/>
          <w:position w:val="2"/>
        </w:rPr>
        <w:t>,</w:t>
      </w:r>
      <w:r>
        <w:rPr>
          <w:position w:val="2"/>
        </w:rPr>
        <w:t>4</w:t>
      </w:r>
      <w:r>
        <w:rPr>
          <w:spacing w:val="-5"/>
          <w:position w:val="2"/>
        </w:rPr>
        <w:t>6</w:t>
      </w:r>
      <w:r>
        <w:rPr>
          <w:position w:val="2"/>
        </w:rPr>
        <w:t>)</w:t>
      </w:r>
      <w:r>
        <w:rPr>
          <w:spacing w:val="18"/>
          <w:position w:val="2"/>
        </w:rPr>
        <w:t xml:space="preserve"> </w:t>
      </w:r>
      <w:r>
        <w:rPr>
          <w:position w:val="2"/>
        </w:rPr>
        <w:t>=</w:t>
      </w:r>
      <w:r>
        <w:rPr>
          <w:spacing w:val="15"/>
          <w:position w:val="2"/>
        </w:rPr>
        <w:t xml:space="preserve"> </w:t>
      </w:r>
      <w:r>
        <w:rPr>
          <w:position w:val="2"/>
        </w:rPr>
        <w:t>23</w:t>
      </w:r>
      <w:r>
        <w:rPr>
          <w:spacing w:val="2"/>
          <w:position w:val="2"/>
        </w:rPr>
        <w:t>.</w:t>
      </w:r>
      <w:r>
        <w:rPr>
          <w:position w:val="2"/>
        </w:rPr>
        <w:t>0</w:t>
      </w:r>
      <w:r>
        <w:rPr>
          <w:spacing w:val="-5"/>
          <w:position w:val="2"/>
        </w:rPr>
        <w:t>1</w:t>
      </w:r>
      <w:r>
        <w:rPr>
          <w:position w:val="2"/>
        </w:rPr>
        <w:t>,</w:t>
      </w:r>
      <w:r>
        <w:rPr>
          <w:spacing w:val="19"/>
          <w:position w:val="2"/>
        </w:rPr>
        <w:t xml:space="preserve"> </w:t>
      </w:r>
      <w:r>
        <w:rPr>
          <w:i/>
          <w:position w:val="2"/>
        </w:rPr>
        <w:t>p</w:t>
      </w:r>
      <w:r>
        <w:rPr>
          <w:i/>
          <w:spacing w:val="16"/>
          <w:position w:val="2"/>
        </w:rPr>
        <w:t xml:space="preserve"> </w:t>
      </w:r>
      <w:r>
        <w:rPr>
          <w:position w:val="2"/>
        </w:rPr>
        <w:t>&lt;</w:t>
      </w:r>
      <w:r>
        <w:rPr>
          <w:spacing w:val="11"/>
          <w:position w:val="2"/>
        </w:rPr>
        <w:t xml:space="preserve"> </w:t>
      </w:r>
      <w:r>
        <w:rPr>
          <w:spacing w:val="2"/>
          <w:position w:val="2"/>
        </w:rPr>
        <w:t>.</w:t>
      </w:r>
      <w:r>
        <w:rPr>
          <w:position w:val="2"/>
        </w:rPr>
        <w:t>001,</w:t>
      </w:r>
      <w:r>
        <w:rPr>
          <w:spacing w:val="1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1"/>
          <w:position w:val="2"/>
        </w:rPr>
        <w:t xml:space="preserve"> </w:t>
      </w:r>
      <w:r>
        <w:rPr>
          <w:position w:val="2"/>
        </w:rPr>
        <w:t>=</w:t>
      </w:r>
      <w:r>
        <w:rPr>
          <w:spacing w:val="15"/>
          <w:position w:val="2"/>
        </w:rPr>
        <w:t xml:space="preserve"> </w:t>
      </w:r>
      <w:r>
        <w:rPr>
          <w:spacing w:val="2"/>
          <w:position w:val="2"/>
        </w:rPr>
        <w:t>.</w:t>
      </w:r>
      <w:r>
        <w:rPr>
          <w:position w:val="2"/>
        </w:rPr>
        <w:t>33,</w:t>
      </w:r>
      <w:r>
        <w:rPr>
          <w:spacing w:val="14"/>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position w:val="2"/>
        </w:rPr>
        <w:t xml:space="preserve"> </w:t>
      </w:r>
      <w:r>
        <w:rPr>
          <w:spacing w:val="2"/>
          <w:position w:val="2"/>
        </w:rPr>
        <w:t xml:space="preserve"> </w:t>
      </w:r>
      <w:r>
        <w:rPr>
          <w:position w:val="2"/>
        </w:rPr>
        <w:t>=</w:t>
      </w:r>
      <w:r>
        <w:rPr>
          <w:spacing w:val="15"/>
          <w:position w:val="2"/>
        </w:rPr>
        <w:t xml:space="preserve"> </w:t>
      </w:r>
      <w:r>
        <w:rPr>
          <w:position w:val="2"/>
        </w:rPr>
        <w:t>339</w:t>
      </w:r>
      <w:r>
        <w:rPr>
          <w:spacing w:val="2"/>
          <w:position w:val="2"/>
        </w:rPr>
        <w:t>.</w:t>
      </w:r>
      <w:r>
        <w:rPr>
          <w:position w:val="2"/>
        </w:rPr>
        <w:t>89,</w:t>
      </w:r>
      <w:r>
        <w:rPr>
          <w:spacing w:val="19"/>
          <w:position w:val="2"/>
        </w:rPr>
        <w:t xml:space="preserve"> </w:t>
      </w:r>
      <w:r>
        <w:rPr>
          <w:spacing w:val="-1"/>
          <w:position w:val="2"/>
        </w:rPr>
        <w:t>a</w:t>
      </w:r>
      <w:r>
        <w:rPr>
          <w:position w:val="2"/>
        </w:rPr>
        <w:t>nd</w:t>
      </w:r>
      <w:r>
        <w:rPr>
          <w:spacing w:val="16"/>
          <w:position w:val="2"/>
        </w:rPr>
        <w:t xml:space="preserve"> </w:t>
      </w:r>
      <w:r>
        <w:rPr>
          <w:position w:val="2"/>
        </w:rPr>
        <w:t>int</w:t>
      </w:r>
      <w:r>
        <w:rPr>
          <w:spacing w:val="-1"/>
          <w:position w:val="2"/>
        </w:rPr>
        <w:t>e</w:t>
      </w:r>
      <w:r>
        <w:rPr>
          <w:spacing w:val="1"/>
          <w:position w:val="2"/>
        </w:rPr>
        <w:t>r</w:t>
      </w:r>
      <w:r>
        <w:rPr>
          <w:position w:val="2"/>
        </w:rPr>
        <w:t>v</w:t>
      </w:r>
      <w:r>
        <w:rPr>
          <w:spacing w:val="-1"/>
          <w:position w:val="2"/>
        </w:rPr>
        <w:t>a</w:t>
      </w:r>
      <w:r>
        <w:rPr>
          <w:position w:val="2"/>
        </w:rPr>
        <w:t>l</w:t>
      </w:r>
      <w:r>
        <w:rPr>
          <w:spacing w:val="12"/>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39</w:t>
      </w:r>
      <w:r>
        <w:rPr>
          <w:spacing w:val="2"/>
          <w:position w:val="2"/>
        </w:rPr>
        <w:t>,</w:t>
      </w:r>
      <w:r>
        <w:rPr>
          <w:position w:val="2"/>
        </w:rPr>
        <w:t>6</w:t>
      </w:r>
      <w:r>
        <w:rPr>
          <w:spacing w:val="-5"/>
          <w:position w:val="2"/>
        </w:rPr>
        <w:t>3</w:t>
      </w:r>
      <w:r>
        <w:rPr>
          <w:spacing w:val="2"/>
          <w:position w:val="2"/>
        </w:rPr>
        <w:t>.</w:t>
      </w:r>
      <w:r>
        <w:rPr>
          <w:position w:val="2"/>
        </w:rPr>
        <w:t>75)</w:t>
      </w:r>
      <w:r>
        <w:rPr>
          <w:spacing w:val="18"/>
          <w:position w:val="2"/>
        </w:rPr>
        <w:t xml:space="preserve"> </w:t>
      </w:r>
      <w:r>
        <w:rPr>
          <w:position w:val="2"/>
        </w:rPr>
        <w:t>=</w:t>
      </w:r>
    </w:p>
    <w:p w14:paraId="54216913" w14:textId="77777777" w:rsidR="00C75312" w:rsidRDefault="00BB293A">
      <w:pPr>
        <w:pStyle w:val="BodyText"/>
        <w:spacing w:before="20" w:line="482" w:lineRule="auto"/>
        <w:ind w:left="140" w:right="1433"/>
        <w:jc w:val="both"/>
        <w:rPr>
          <w:i/>
        </w:rPr>
      </w:pPr>
      <w:r>
        <w:pict w14:anchorId="6FBC2980">
          <v:shape id="_x0000_s2545" type="#_x0000_t202" style="position:absolute;left:0;text-align:left;margin-left:164.4pt;margin-top:6.85pt;width:5.3pt;height:9.85pt;z-index:-260529152;mso-position-horizontal-relative:page" filled="f" stroked="f">
            <v:textbox inset="0,0,0,0">
              <w:txbxContent>
                <w:p w14:paraId="3088971E"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20910791">
          <v:shape id="_x0000_s2544" type="#_x0000_t202" style="position:absolute;left:0;text-align:left;margin-left:255.1pt;margin-top:36.4pt;width:5.3pt;height:9.85pt;z-index:-260528128;mso-position-horizontal-relative:page" filled="f" stroked="f">
            <v:textbox inset="0,0,0,0">
              <w:txbxContent>
                <w:p w14:paraId="1AB65F95"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76DC0716">
          <v:shape id="_x0000_s2543" type="#_x0000_t202" style="position:absolute;left:0;text-align:left;margin-left:434.65pt;margin-top:66.15pt;width:5.3pt;height:9.85pt;z-index:-260527104;mso-position-horizontal-relative:page" filled="f" stroked="f">
            <v:textbox inset="0,0,0,0">
              <w:txbxContent>
                <w:p w14:paraId="2A746B61"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7208C6C8">
          <v:shape id="_x0000_s2542" type="#_x0000_t202" style="position:absolute;left:0;text-align:left;margin-left:412.55pt;margin-top:95.9pt;width:5.3pt;height:9.85pt;z-index:-260526080;mso-position-horizontal-relative:page" filled="f" stroked="f">
            <v:textbox inset="0,0,0,0">
              <w:txbxContent>
                <w:p w14:paraId="1F220D36"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5BEE728">
          <v:shape id="_x0000_s2541" type="#_x0000_t202" style="position:absolute;left:0;text-align:left;margin-left:389.05pt;margin-top:153pt;width:5.3pt;height:9.85pt;z-index:-260525056;mso-position-horizontal-relative:page" filled="f" stroked="f">
            <v:textbox inset="0,0,0,0">
              <w:txbxContent>
                <w:p w14:paraId="52B32042"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position w:val="2"/>
        </w:rPr>
        <w:t>122</w:t>
      </w:r>
      <w:r>
        <w:rPr>
          <w:spacing w:val="2"/>
          <w:position w:val="2"/>
        </w:rPr>
        <w:t>.</w:t>
      </w:r>
      <w:r>
        <w:rPr>
          <w:position w:val="2"/>
        </w:rPr>
        <w:t>23,</w:t>
      </w:r>
      <w:r>
        <w:rPr>
          <w:spacing w:val="9"/>
          <w:position w:val="2"/>
        </w:rPr>
        <w:t xml:space="preserve"> </w:t>
      </w:r>
      <w:r>
        <w:rPr>
          <w:i/>
          <w:position w:val="2"/>
        </w:rPr>
        <w:t>p</w:t>
      </w:r>
      <w:r>
        <w:rPr>
          <w:i/>
          <w:spacing w:val="7"/>
          <w:position w:val="2"/>
        </w:rPr>
        <w:t xml:space="preserve"> </w:t>
      </w:r>
      <w:r>
        <w:rPr>
          <w:position w:val="2"/>
        </w:rPr>
        <w:t>&lt;</w:t>
      </w:r>
      <w:r>
        <w:rPr>
          <w:spacing w:val="1"/>
          <w:position w:val="2"/>
        </w:rPr>
        <w:t xml:space="preserve"> </w:t>
      </w:r>
      <w:r>
        <w:rPr>
          <w:spacing w:val="2"/>
          <w:position w:val="2"/>
        </w:rPr>
        <w:t>.</w:t>
      </w:r>
      <w:r>
        <w:rPr>
          <w:position w:val="2"/>
        </w:rPr>
        <w:t>001,</w:t>
      </w:r>
      <w:r>
        <w:rPr>
          <w:spacing w:val="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1"/>
          <w:position w:val="2"/>
        </w:rPr>
        <w:t xml:space="preserve"> </w:t>
      </w:r>
      <w:r>
        <w:rPr>
          <w:position w:val="2"/>
        </w:rPr>
        <w:t>=</w:t>
      </w:r>
      <w:r>
        <w:rPr>
          <w:spacing w:val="6"/>
          <w:position w:val="2"/>
        </w:rPr>
        <w:t xml:space="preserve"> </w:t>
      </w:r>
      <w:r>
        <w:rPr>
          <w:spacing w:val="2"/>
          <w:position w:val="2"/>
        </w:rPr>
        <w:t>.</w:t>
      </w:r>
      <w:r>
        <w:rPr>
          <w:position w:val="2"/>
        </w:rPr>
        <w:t>73,</w:t>
      </w:r>
      <w:r>
        <w:rPr>
          <w:spacing w:val="9"/>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position w:val="2"/>
        </w:rPr>
        <w:t xml:space="preserve"> </w:t>
      </w:r>
      <w:r>
        <w:rPr>
          <w:spacing w:val="-8"/>
          <w:position w:val="2"/>
        </w:rPr>
        <w:t xml:space="preserve"> </w:t>
      </w:r>
      <w:r>
        <w:rPr>
          <w:position w:val="2"/>
        </w:rPr>
        <w:t>=</w:t>
      </w:r>
      <w:r>
        <w:rPr>
          <w:spacing w:val="6"/>
          <w:position w:val="2"/>
        </w:rPr>
        <w:t xml:space="preserve"> </w:t>
      </w:r>
      <w:r>
        <w:rPr>
          <w:position w:val="2"/>
        </w:rPr>
        <w:t>2</w:t>
      </w:r>
      <w:r>
        <w:rPr>
          <w:spacing w:val="2"/>
          <w:position w:val="2"/>
        </w:rPr>
        <w:t>.</w:t>
      </w:r>
      <w:r>
        <w:rPr>
          <w:position w:val="2"/>
        </w:rPr>
        <w:t>01*10</w:t>
      </w:r>
      <w:r>
        <w:rPr>
          <w:spacing w:val="-3"/>
          <w:w w:val="97"/>
          <w:position w:val="2"/>
          <w:vertAlign w:val="superscript"/>
        </w:rPr>
        <w:t>4</w:t>
      </w:r>
      <w:r>
        <w:rPr>
          <w:spacing w:val="2"/>
          <w:w w:val="97"/>
          <w:position w:val="2"/>
          <w:vertAlign w:val="superscript"/>
        </w:rPr>
        <w:t>9</w:t>
      </w:r>
      <w:r>
        <w:rPr>
          <w:position w:val="2"/>
        </w:rPr>
        <w:t xml:space="preserve">. </w:t>
      </w:r>
      <w:r>
        <w:rPr>
          <w:spacing w:val="12"/>
          <w:position w:val="2"/>
        </w:rPr>
        <w:t xml:space="preserve"> </w:t>
      </w:r>
      <w:r>
        <w:rPr>
          <w:spacing w:val="2"/>
          <w:position w:val="2"/>
        </w:rPr>
        <w:t>T</w:t>
      </w:r>
      <w:r>
        <w:rPr>
          <w:position w:val="2"/>
        </w:rPr>
        <w:t>he</w:t>
      </w:r>
      <w:r>
        <w:rPr>
          <w:spacing w:val="1"/>
          <w:position w:val="2"/>
        </w:rPr>
        <w:t xml:space="preserve"> </w:t>
      </w:r>
      <w:r>
        <w:rPr>
          <w:spacing w:val="-1"/>
          <w:position w:val="2"/>
        </w:rPr>
        <w:t>G</w:t>
      </w:r>
      <w:r>
        <w:rPr>
          <w:spacing w:val="1"/>
          <w:position w:val="2"/>
        </w:rPr>
        <w:t>r</w:t>
      </w:r>
      <w:r>
        <w:rPr>
          <w:position w:val="2"/>
        </w:rPr>
        <w:t>oup</w:t>
      </w:r>
      <w:r>
        <w:rPr>
          <w:spacing w:val="7"/>
          <w:position w:val="2"/>
        </w:rPr>
        <w:t xml:space="preserve"> </w:t>
      </w:r>
      <w:r>
        <w:rPr>
          <w:position w:val="2"/>
        </w:rPr>
        <w:t>×</w:t>
      </w:r>
      <w:r>
        <w:rPr>
          <w:spacing w:val="6"/>
          <w:position w:val="2"/>
        </w:rPr>
        <w:t xml:space="preserve"> </w:t>
      </w:r>
      <w:r>
        <w:rPr>
          <w:spacing w:val="1"/>
          <w:position w:val="2"/>
        </w:rPr>
        <w:t>I</w:t>
      </w:r>
      <w:r>
        <w:rPr>
          <w:position w:val="2"/>
        </w:rPr>
        <w:t>mpo</w:t>
      </w:r>
      <w:r>
        <w:rPr>
          <w:spacing w:val="1"/>
          <w:position w:val="2"/>
        </w:rPr>
        <w:t>r</w:t>
      </w:r>
      <w:r>
        <w:rPr>
          <w:position w:val="2"/>
        </w:rPr>
        <w:t>t</w:t>
      </w:r>
      <w:r>
        <w:rPr>
          <w:spacing w:val="-1"/>
          <w:position w:val="2"/>
        </w:rPr>
        <w:t>a</w:t>
      </w:r>
      <w:r>
        <w:rPr>
          <w:position w:val="2"/>
        </w:rPr>
        <w:t>n</w:t>
      </w:r>
      <w:r>
        <w:rPr>
          <w:spacing w:val="-1"/>
          <w:position w:val="2"/>
        </w:rPr>
        <w:t>c</w:t>
      </w:r>
      <w:r>
        <w:rPr>
          <w:position w:val="2"/>
        </w:rPr>
        <w:t>e</w:t>
      </w:r>
      <w:r>
        <w:rPr>
          <w:spacing w:val="6"/>
          <w:position w:val="2"/>
        </w:rPr>
        <w:t xml:space="preserve"> </w:t>
      </w:r>
      <w:r>
        <w:rPr>
          <w:position w:val="2"/>
        </w:rPr>
        <w:t>int</w:t>
      </w:r>
      <w:r>
        <w:rPr>
          <w:spacing w:val="-1"/>
          <w:position w:val="2"/>
        </w:rPr>
        <w:t>e</w:t>
      </w:r>
      <w:r>
        <w:rPr>
          <w:spacing w:val="1"/>
          <w:position w:val="2"/>
        </w:rPr>
        <w:t>r</w:t>
      </w:r>
      <w:r>
        <w:rPr>
          <w:spacing w:val="-1"/>
          <w:position w:val="2"/>
        </w:rPr>
        <w:t>ac</w:t>
      </w:r>
      <w:r>
        <w:rPr>
          <w:position w:val="2"/>
        </w:rPr>
        <w:t>tion</w:t>
      </w:r>
      <w:r>
        <w:rPr>
          <w:spacing w:val="7"/>
          <w:position w:val="2"/>
        </w:rPr>
        <w:t xml:space="preserve"> </w:t>
      </w:r>
      <w:r>
        <w:rPr>
          <w:spacing w:val="-1"/>
          <w:position w:val="2"/>
        </w:rPr>
        <w:t>wa</w:t>
      </w:r>
      <w:r>
        <w:rPr>
          <w:position w:val="2"/>
        </w:rPr>
        <w:t>s</w:t>
      </w:r>
      <w:r>
        <w:rPr>
          <w:spacing w:val="5"/>
          <w:position w:val="2"/>
        </w:rPr>
        <w:t xml:space="preserve"> </w:t>
      </w:r>
      <w:r>
        <w:rPr>
          <w:position w:val="2"/>
        </w:rPr>
        <w:t xml:space="preserve">non-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14"/>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46)</w:t>
      </w:r>
      <w:r>
        <w:rPr>
          <w:spacing w:val="13"/>
          <w:position w:val="2"/>
        </w:rPr>
        <w:t xml:space="preserve"> </w:t>
      </w:r>
      <w:r>
        <w:rPr>
          <w:position w:val="2"/>
        </w:rPr>
        <w:t>=</w:t>
      </w:r>
      <w:r>
        <w:rPr>
          <w:spacing w:val="11"/>
          <w:position w:val="2"/>
        </w:rPr>
        <w:t xml:space="preserve"> </w:t>
      </w:r>
      <w:r>
        <w:rPr>
          <w:spacing w:val="2"/>
          <w:position w:val="2"/>
        </w:rPr>
        <w:t>.</w:t>
      </w:r>
      <w:r>
        <w:rPr>
          <w:position w:val="2"/>
        </w:rPr>
        <w:t>00</w:t>
      </w:r>
      <w:r>
        <w:rPr>
          <w:spacing w:val="-5"/>
          <w:position w:val="2"/>
        </w:rPr>
        <w:t>2</w:t>
      </w:r>
      <w:r>
        <w:rPr>
          <w:position w:val="2"/>
        </w:rPr>
        <w:t>,</w:t>
      </w:r>
      <w:r>
        <w:rPr>
          <w:spacing w:val="14"/>
          <w:position w:val="2"/>
        </w:rPr>
        <w:t xml:space="preserve"> </w:t>
      </w:r>
      <w:r>
        <w:rPr>
          <w:i/>
          <w:position w:val="2"/>
        </w:rPr>
        <w:t>p</w:t>
      </w:r>
      <w:r>
        <w:rPr>
          <w:i/>
          <w:spacing w:val="16"/>
          <w:position w:val="2"/>
        </w:rPr>
        <w:t xml:space="preserve"> </w:t>
      </w:r>
      <w:r>
        <w:rPr>
          <w:position w:val="2"/>
        </w:rPr>
        <w:t>=</w:t>
      </w:r>
      <w:r>
        <w:rPr>
          <w:spacing w:val="6"/>
          <w:position w:val="2"/>
        </w:rPr>
        <w:t xml:space="preserve"> </w:t>
      </w:r>
      <w:r>
        <w:rPr>
          <w:spacing w:val="2"/>
          <w:position w:val="2"/>
        </w:rPr>
        <w:t>.</w:t>
      </w:r>
      <w:r>
        <w:rPr>
          <w:position w:val="2"/>
        </w:rPr>
        <w:t>96,</w:t>
      </w:r>
      <w:r>
        <w:rPr>
          <w:spacing w:val="9"/>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8"/>
          <w:position w:val="2"/>
        </w:rPr>
        <w:t xml:space="preserve"> </w:t>
      </w:r>
      <w:r>
        <w:rPr>
          <w:position w:val="2"/>
        </w:rPr>
        <w:t>&lt;</w:t>
      </w:r>
      <w:r>
        <w:rPr>
          <w:spacing w:val="11"/>
          <w:position w:val="2"/>
        </w:rPr>
        <w:t xml:space="preserve"> </w:t>
      </w:r>
      <w:r>
        <w:rPr>
          <w:spacing w:val="2"/>
          <w:position w:val="2"/>
        </w:rPr>
        <w:t>.</w:t>
      </w:r>
      <w:r>
        <w:rPr>
          <w:position w:val="2"/>
        </w:rPr>
        <w:t>001,</w:t>
      </w:r>
      <w:r>
        <w:rPr>
          <w:spacing w:val="14"/>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position w:val="2"/>
        </w:rPr>
        <w:t xml:space="preserve"> </w:t>
      </w:r>
      <w:r>
        <w:rPr>
          <w:spacing w:val="2"/>
          <w:position w:val="2"/>
        </w:rPr>
        <w:t xml:space="preserve"> </w:t>
      </w:r>
      <w:r>
        <w:rPr>
          <w:position w:val="2"/>
        </w:rPr>
        <w:t>=</w:t>
      </w:r>
      <w:r>
        <w:rPr>
          <w:spacing w:val="15"/>
          <w:position w:val="2"/>
        </w:rPr>
        <w:t xml:space="preserve"> </w:t>
      </w:r>
      <w:r>
        <w:rPr>
          <w:spacing w:val="-5"/>
          <w:position w:val="2"/>
        </w:rPr>
        <w:t>0</w:t>
      </w:r>
      <w:r>
        <w:rPr>
          <w:spacing w:val="2"/>
          <w:position w:val="2"/>
        </w:rPr>
        <w:t>.</w:t>
      </w:r>
      <w:r>
        <w:rPr>
          <w:position w:val="2"/>
        </w:rPr>
        <w:t>1</w:t>
      </w:r>
      <w:r>
        <w:rPr>
          <w:spacing w:val="-5"/>
          <w:position w:val="2"/>
        </w:rPr>
        <w:t>6</w:t>
      </w:r>
      <w:r>
        <w:rPr>
          <w:position w:val="2"/>
        </w:rPr>
        <w:t>,</w:t>
      </w:r>
      <w:r>
        <w:rPr>
          <w:spacing w:val="19"/>
          <w:position w:val="2"/>
        </w:rPr>
        <w:t xml:space="preserve"> </w:t>
      </w:r>
      <w:r>
        <w:rPr>
          <w:position w:val="2"/>
        </w:rPr>
        <w:t>but</w:t>
      </w:r>
      <w:r>
        <w:rPr>
          <w:spacing w:val="12"/>
          <w:position w:val="2"/>
        </w:rPr>
        <w:t xml:space="preserve"> </w:t>
      </w:r>
      <w:r>
        <w:rPr>
          <w:position w:val="2"/>
        </w:rPr>
        <w:t>th</w:t>
      </w:r>
      <w:r>
        <w:rPr>
          <w:spacing w:val="-6"/>
          <w:position w:val="2"/>
        </w:rPr>
        <w:t>e</w:t>
      </w:r>
      <w:r>
        <w:rPr>
          <w:spacing w:val="1"/>
          <w:position w:val="2"/>
        </w:rPr>
        <w:t>r</w:t>
      </w:r>
      <w:r>
        <w:rPr>
          <w:position w:val="2"/>
        </w:rPr>
        <w:t>e</w:t>
      </w:r>
      <w:r>
        <w:rPr>
          <w:spacing w:val="15"/>
          <w:position w:val="2"/>
        </w:rPr>
        <w:t xml:space="preserve"> </w:t>
      </w:r>
      <w:r>
        <w:rPr>
          <w:spacing w:val="-1"/>
          <w:position w:val="2"/>
        </w:rPr>
        <w:t>we</w:t>
      </w:r>
      <w:r>
        <w:rPr>
          <w:spacing w:val="1"/>
          <w:position w:val="2"/>
        </w:rPr>
        <w:t>r</w:t>
      </w:r>
      <w:r>
        <w:rPr>
          <w:position w:val="2"/>
        </w:rPr>
        <w:t>e</w:t>
      </w:r>
      <w:r>
        <w:rPr>
          <w:spacing w:val="11"/>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12"/>
          <w:position w:val="2"/>
        </w:rPr>
        <w:t xml:space="preserve"> </w:t>
      </w:r>
      <w:r>
        <w:rPr>
          <w:position w:val="2"/>
        </w:rPr>
        <w:t>t</w:t>
      </w:r>
      <w:r>
        <w:rPr>
          <w:spacing w:val="-1"/>
          <w:position w:val="2"/>
        </w:rPr>
        <w:t>w</w:t>
      </w:r>
      <w:r>
        <w:rPr>
          <w:position w:val="2"/>
        </w:rPr>
        <w:t xml:space="preserve">o- </w:t>
      </w:r>
      <w:r>
        <w:rPr>
          <w:spacing w:val="-1"/>
          <w:position w:val="2"/>
        </w:rPr>
        <w:t>wa</w:t>
      </w:r>
      <w:r>
        <w:rPr>
          <w:position w:val="2"/>
        </w:rPr>
        <w:t xml:space="preserve">y </w:t>
      </w:r>
      <w:r>
        <w:rPr>
          <w:spacing w:val="-20"/>
          <w:position w:val="2"/>
        </w:rPr>
        <w:t xml:space="preserve"> </w:t>
      </w:r>
      <w:r>
        <w:rPr>
          <w:position w:val="2"/>
        </w:rPr>
        <w:t>int</w:t>
      </w:r>
      <w:r>
        <w:rPr>
          <w:spacing w:val="-1"/>
          <w:position w:val="2"/>
        </w:rPr>
        <w:t>e</w:t>
      </w:r>
      <w:r>
        <w:rPr>
          <w:spacing w:val="1"/>
          <w:position w:val="2"/>
        </w:rPr>
        <w:t>r</w:t>
      </w:r>
      <w:r>
        <w:rPr>
          <w:spacing w:val="-1"/>
          <w:position w:val="2"/>
        </w:rPr>
        <w:t>ac</w:t>
      </w:r>
      <w:r>
        <w:rPr>
          <w:position w:val="2"/>
        </w:rPr>
        <w:t xml:space="preserve">tions </w:t>
      </w:r>
      <w:r>
        <w:rPr>
          <w:spacing w:val="-22"/>
          <w:position w:val="2"/>
        </w:rPr>
        <w:t xml:space="preserve"> </w:t>
      </w:r>
      <w:r>
        <w:rPr>
          <w:position w:val="2"/>
        </w:rPr>
        <w:t>b</w:t>
      </w:r>
      <w:r>
        <w:rPr>
          <w:spacing w:val="-1"/>
          <w:position w:val="2"/>
        </w:rPr>
        <w:t>e</w:t>
      </w:r>
      <w:r>
        <w:rPr>
          <w:position w:val="2"/>
        </w:rPr>
        <w:t>t</w:t>
      </w:r>
      <w:r>
        <w:rPr>
          <w:spacing w:val="-1"/>
          <w:position w:val="2"/>
        </w:rPr>
        <w:t>wee</w:t>
      </w:r>
      <w:r>
        <w:rPr>
          <w:position w:val="2"/>
        </w:rPr>
        <w:t xml:space="preserve">n </w:t>
      </w:r>
      <w:r>
        <w:rPr>
          <w:spacing w:val="-20"/>
          <w:position w:val="2"/>
        </w:rPr>
        <w:t xml:space="preserve"> </w:t>
      </w:r>
      <w:r>
        <w:rPr>
          <w:position w:val="2"/>
        </w:rPr>
        <w:t>g</w:t>
      </w:r>
      <w:r>
        <w:rPr>
          <w:spacing w:val="1"/>
          <w:position w:val="2"/>
        </w:rPr>
        <w:t>r</w:t>
      </w:r>
      <w:r>
        <w:rPr>
          <w:position w:val="2"/>
        </w:rPr>
        <w:t xml:space="preserve">oup </w:t>
      </w:r>
      <w:r>
        <w:rPr>
          <w:spacing w:val="-20"/>
          <w:position w:val="2"/>
        </w:rPr>
        <w:t xml:space="preserve"> </w:t>
      </w:r>
      <w:r>
        <w:rPr>
          <w:spacing w:val="-1"/>
          <w:position w:val="2"/>
        </w:rPr>
        <w:t>a</w:t>
      </w:r>
      <w:r>
        <w:rPr>
          <w:position w:val="2"/>
        </w:rPr>
        <w:t xml:space="preserve">nd </w:t>
      </w:r>
      <w:r>
        <w:rPr>
          <w:spacing w:val="-20"/>
          <w:position w:val="2"/>
        </w:rPr>
        <w:t xml:space="preserve"> </w:t>
      </w:r>
      <w:r>
        <w:rPr>
          <w:position w:val="2"/>
        </w:rPr>
        <w:t>int</w:t>
      </w:r>
      <w:r>
        <w:rPr>
          <w:spacing w:val="-6"/>
          <w:position w:val="2"/>
        </w:rPr>
        <w:t>e</w:t>
      </w:r>
      <w:r>
        <w:rPr>
          <w:spacing w:val="1"/>
          <w:position w:val="2"/>
        </w:rPr>
        <w:t>r</w:t>
      </w:r>
      <w:r>
        <w:rPr>
          <w:position w:val="2"/>
        </w:rPr>
        <w:t>v</w:t>
      </w:r>
      <w:r>
        <w:rPr>
          <w:spacing w:val="-1"/>
          <w:position w:val="2"/>
        </w:rPr>
        <w:t>a</w:t>
      </w:r>
      <w:r>
        <w:rPr>
          <w:position w:val="2"/>
        </w:rPr>
        <w:t xml:space="preserve">l, </w:t>
      </w:r>
      <w:r>
        <w:rPr>
          <w:spacing w:val="-22"/>
          <w:position w:val="2"/>
        </w:rPr>
        <w:t xml:space="preserve"> </w:t>
      </w:r>
      <w:r>
        <w:rPr>
          <w:i/>
          <w:spacing w:val="2"/>
          <w:position w:val="2"/>
        </w:rPr>
        <w:t>F</w:t>
      </w:r>
      <w:r>
        <w:rPr>
          <w:spacing w:val="-4"/>
          <w:position w:val="2"/>
        </w:rPr>
        <w:t>(</w:t>
      </w:r>
      <w:r>
        <w:rPr>
          <w:position w:val="2"/>
        </w:rPr>
        <w:t>1</w:t>
      </w:r>
      <w:r>
        <w:rPr>
          <w:spacing w:val="2"/>
          <w:position w:val="2"/>
        </w:rPr>
        <w:t>.</w:t>
      </w:r>
      <w:r>
        <w:rPr>
          <w:position w:val="2"/>
        </w:rPr>
        <w:t>39</w:t>
      </w:r>
      <w:r>
        <w:rPr>
          <w:spacing w:val="2"/>
          <w:position w:val="2"/>
        </w:rPr>
        <w:t>,</w:t>
      </w:r>
      <w:r>
        <w:rPr>
          <w:position w:val="2"/>
        </w:rPr>
        <w:t>6</w:t>
      </w:r>
      <w:r>
        <w:rPr>
          <w:spacing w:val="-5"/>
          <w:position w:val="2"/>
        </w:rPr>
        <w:t>3</w:t>
      </w:r>
      <w:r>
        <w:rPr>
          <w:spacing w:val="2"/>
          <w:position w:val="2"/>
        </w:rPr>
        <w:t>.</w:t>
      </w:r>
      <w:r>
        <w:rPr>
          <w:position w:val="2"/>
        </w:rPr>
        <w:t>75</w:t>
      </w:r>
      <w:r>
        <w:rPr>
          <w:spacing w:val="1"/>
          <w:position w:val="2"/>
        </w:rPr>
        <w:t>)</w:t>
      </w:r>
      <w:r>
        <w:rPr>
          <w:position w:val="2"/>
        </w:rPr>
        <w:t xml:space="preserve">, </w:t>
      </w:r>
      <w:r>
        <w:rPr>
          <w:spacing w:val="-22"/>
          <w:position w:val="2"/>
        </w:rPr>
        <w:t xml:space="preserve"> </w:t>
      </w:r>
      <w:r>
        <w:rPr>
          <w:i/>
          <w:position w:val="2"/>
        </w:rPr>
        <w:t xml:space="preserve">p </w:t>
      </w:r>
      <w:r>
        <w:rPr>
          <w:i/>
          <w:spacing w:val="-20"/>
          <w:position w:val="2"/>
        </w:rPr>
        <w:t xml:space="preserve"> </w:t>
      </w:r>
      <w:r>
        <w:rPr>
          <w:position w:val="2"/>
        </w:rPr>
        <w:t xml:space="preserve">&lt; </w:t>
      </w:r>
      <w:r>
        <w:rPr>
          <w:spacing w:val="-25"/>
          <w:position w:val="2"/>
        </w:rPr>
        <w:t xml:space="preserve"> </w:t>
      </w:r>
      <w:r>
        <w:rPr>
          <w:spacing w:val="2"/>
          <w:position w:val="2"/>
        </w:rPr>
        <w:t>.</w:t>
      </w:r>
      <w:r>
        <w:rPr>
          <w:position w:val="2"/>
        </w:rPr>
        <w:t xml:space="preserve">004, </w:t>
      </w:r>
      <w:r>
        <w:rPr>
          <w:spacing w:val="-27"/>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8"/>
          <w:position w:val="2"/>
        </w:rPr>
        <w:t xml:space="preserve"> </w:t>
      </w:r>
      <w:r>
        <w:rPr>
          <w:position w:val="2"/>
        </w:rPr>
        <w:t xml:space="preserve">= </w:t>
      </w:r>
      <w:r>
        <w:rPr>
          <w:spacing w:val="-21"/>
          <w:position w:val="2"/>
        </w:rPr>
        <w:t xml:space="preserve"> </w:t>
      </w:r>
      <w:r>
        <w:rPr>
          <w:spacing w:val="2"/>
          <w:position w:val="2"/>
        </w:rPr>
        <w:t>.</w:t>
      </w:r>
      <w:r>
        <w:rPr>
          <w:position w:val="2"/>
        </w:rPr>
        <w:t>1</w:t>
      </w:r>
      <w:r>
        <w:rPr>
          <w:spacing w:val="-5"/>
          <w:position w:val="2"/>
        </w:rPr>
        <w:t>4</w:t>
      </w:r>
      <w:r>
        <w:rPr>
          <w:position w:val="2"/>
        </w:rPr>
        <w:t xml:space="preserve">, </w:t>
      </w:r>
      <w:r>
        <w:rPr>
          <w:spacing w:val="-17"/>
          <w:position w:val="2"/>
        </w:rPr>
        <w:t xml:space="preserve"> </w:t>
      </w:r>
      <w:r>
        <w:rPr>
          <w:spacing w:val="-2"/>
          <w:position w:val="2"/>
        </w:rPr>
        <w:t>B</w:t>
      </w:r>
      <w:r>
        <w:rPr>
          <w:spacing w:val="-4"/>
          <w:position w:val="2"/>
        </w:rPr>
        <w:t>F</w:t>
      </w:r>
      <w:r>
        <w:rPr>
          <w:spacing w:val="2"/>
          <w:w w:val="97"/>
          <w:position w:val="2"/>
          <w:vertAlign w:val="subscript"/>
        </w:rPr>
        <w:t>1</w:t>
      </w:r>
      <w:r>
        <w:rPr>
          <w:w w:val="97"/>
          <w:position w:val="2"/>
          <w:vertAlign w:val="subscript"/>
        </w:rPr>
        <w:t>0</w:t>
      </w:r>
      <w:r>
        <w:rPr>
          <w:position w:val="2"/>
        </w:rPr>
        <w:t xml:space="preserve">  </w:t>
      </w:r>
      <w:r>
        <w:rPr>
          <w:spacing w:val="-10"/>
          <w:position w:val="2"/>
        </w:rPr>
        <w:t xml:space="preserve"> </w:t>
      </w:r>
      <w:r>
        <w:rPr>
          <w:position w:val="2"/>
        </w:rPr>
        <w:t>= 1206</w:t>
      </w:r>
      <w:r>
        <w:rPr>
          <w:spacing w:val="2"/>
          <w:position w:val="2"/>
        </w:rPr>
        <w:t>.</w:t>
      </w:r>
      <w:r>
        <w:rPr>
          <w:position w:val="2"/>
        </w:rPr>
        <w:t>48,</w:t>
      </w:r>
      <w:r>
        <w:rPr>
          <w:spacing w:val="19"/>
          <w:position w:val="2"/>
        </w:rPr>
        <w:t xml:space="preserve"> </w:t>
      </w:r>
      <w:r>
        <w:rPr>
          <w:spacing w:val="-1"/>
          <w:position w:val="2"/>
        </w:rPr>
        <w:t>a</w:t>
      </w:r>
      <w:r>
        <w:rPr>
          <w:position w:val="2"/>
        </w:rPr>
        <w:t>nd</w:t>
      </w:r>
      <w:r>
        <w:rPr>
          <w:spacing w:val="21"/>
          <w:position w:val="2"/>
        </w:rPr>
        <w:t xml:space="preserve"> </w:t>
      </w:r>
      <w:r>
        <w:rPr>
          <w:spacing w:val="-1"/>
          <w:position w:val="2"/>
        </w:rPr>
        <w:t>c</w:t>
      </w:r>
      <w:r>
        <w:rPr>
          <w:position w:val="2"/>
        </w:rPr>
        <w:t>ondition</w:t>
      </w:r>
      <w:r>
        <w:rPr>
          <w:spacing w:val="16"/>
          <w:position w:val="2"/>
        </w:rPr>
        <w:t xml:space="preserve"> </w:t>
      </w:r>
      <w:r>
        <w:rPr>
          <w:spacing w:val="-1"/>
          <w:position w:val="2"/>
        </w:rPr>
        <w:t>a</w:t>
      </w:r>
      <w:r>
        <w:rPr>
          <w:position w:val="2"/>
        </w:rPr>
        <w:t>nd</w:t>
      </w:r>
      <w:r>
        <w:rPr>
          <w:spacing w:val="16"/>
          <w:position w:val="2"/>
        </w:rPr>
        <w:t xml:space="preserve"> </w:t>
      </w:r>
      <w:r>
        <w:rPr>
          <w:position w:val="2"/>
        </w:rPr>
        <w:t>int</w:t>
      </w:r>
      <w:r>
        <w:rPr>
          <w:spacing w:val="-1"/>
          <w:position w:val="2"/>
        </w:rPr>
        <w:t>e</w:t>
      </w:r>
      <w:r>
        <w:rPr>
          <w:spacing w:val="1"/>
          <w:position w:val="2"/>
        </w:rPr>
        <w:t>r</w:t>
      </w:r>
      <w:r>
        <w:rPr>
          <w:position w:val="2"/>
        </w:rPr>
        <w:t>v</w:t>
      </w:r>
      <w:r>
        <w:rPr>
          <w:spacing w:val="-1"/>
          <w:position w:val="2"/>
        </w:rPr>
        <w:t>a</w:t>
      </w:r>
      <w:r>
        <w:rPr>
          <w:spacing w:val="-5"/>
          <w:position w:val="2"/>
        </w:rPr>
        <w:t>l</w:t>
      </w:r>
      <w:r>
        <w:rPr>
          <w:position w:val="2"/>
        </w:rPr>
        <w:t>,</w:t>
      </w:r>
      <w:r>
        <w:rPr>
          <w:spacing w:val="19"/>
          <w:position w:val="2"/>
        </w:rPr>
        <w:t xml:space="preserve"> </w:t>
      </w:r>
      <w:r>
        <w:rPr>
          <w:i/>
          <w:spacing w:val="2"/>
          <w:position w:val="2"/>
        </w:rPr>
        <w:t>F</w:t>
      </w:r>
      <w:r>
        <w:rPr>
          <w:spacing w:val="1"/>
          <w:position w:val="2"/>
        </w:rPr>
        <w:t>(</w:t>
      </w:r>
      <w:r>
        <w:rPr>
          <w:spacing w:val="-5"/>
          <w:position w:val="2"/>
        </w:rPr>
        <w:t>2</w:t>
      </w:r>
      <w:r>
        <w:rPr>
          <w:spacing w:val="2"/>
          <w:position w:val="2"/>
        </w:rPr>
        <w:t>.</w:t>
      </w:r>
      <w:r>
        <w:rPr>
          <w:position w:val="2"/>
        </w:rPr>
        <w:t>11</w:t>
      </w:r>
      <w:r>
        <w:rPr>
          <w:spacing w:val="2"/>
          <w:position w:val="2"/>
        </w:rPr>
        <w:t>,</w:t>
      </w:r>
      <w:r>
        <w:rPr>
          <w:position w:val="2"/>
        </w:rPr>
        <w:t>9</w:t>
      </w:r>
      <w:r>
        <w:rPr>
          <w:spacing w:val="-5"/>
          <w:position w:val="2"/>
        </w:rPr>
        <w:t>7</w:t>
      </w:r>
      <w:r>
        <w:rPr>
          <w:spacing w:val="2"/>
          <w:position w:val="2"/>
        </w:rPr>
        <w:t>.</w:t>
      </w:r>
      <w:r>
        <w:rPr>
          <w:position w:val="2"/>
        </w:rPr>
        <w:t>1</w:t>
      </w:r>
      <w:r>
        <w:rPr>
          <w:spacing w:val="-5"/>
          <w:position w:val="2"/>
        </w:rPr>
        <w:t>9</w:t>
      </w:r>
      <w:r>
        <w:rPr>
          <w:position w:val="2"/>
        </w:rPr>
        <w:t>)</w:t>
      </w:r>
      <w:r>
        <w:rPr>
          <w:spacing w:val="23"/>
          <w:position w:val="2"/>
        </w:rPr>
        <w:t xml:space="preserve"> </w:t>
      </w:r>
      <w:r>
        <w:rPr>
          <w:spacing w:val="-1"/>
          <w:position w:val="2"/>
        </w:rPr>
        <w:t>=</w:t>
      </w:r>
      <w:r>
        <w:rPr>
          <w:position w:val="2"/>
        </w:rPr>
        <w:t>9</w:t>
      </w:r>
      <w:r>
        <w:rPr>
          <w:spacing w:val="2"/>
          <w:position w:val="2"/>
        </w:rPr>
        <w:t>.</w:t>
      </w:r>
      <w:r>
        <w:rPr>
          <w:position w:val="2"/>
        </w:rPr>
        <w:t>0</w:t>
      </w:r>
      <w:r>
        <w:rPr>
          <w:spacing w:val="-5"/>
          <w:position w:val="2"/>
        </w:rPr>
        <w:t>9</w:t>
      </w:r>
      <w:r>
        <w:rPr>
          <w:position w:val="2"/>
        </w:rPr>
        <w:t>,</w:t>
      </w:r>
      <w:r>
        <w:rPr>
          <w:spacing w:val="19"/>
          <w:position w:val="2"/>
        </w:rPr>
        <w:t xml:space="preserve"> </w:t>
      </w:r>
      <w:r>
        <w:rPr>
          <w:i/>
          <w:position w:val="2"/>
        </w:rPr>
        <w:t>p</w:t>
      </w:r>
      <w:r>
        <w:rPr>
          <w:i/>
          <w:spacing w:val="21"/>
          <w:position w:val="2"/>
        </w:rPr>
        <w:t xml:space="preserve"> </w:t>
      </w:r>
      <w:r>
        <w:rPr>
          <w:position w:val="2"/>
        </w:rPr>
        <w:t>&lt;</w:t>
      </w:r>
      <w:r>
        <w:rPr>
          <w:spacing w:val="15"/>
          <w:position w:val="2"/>
        </w:rPr>
        <w:t xml:space="preserve"> </w:t>
      </w:r>
      <w:r>
        <w:rPr>
          <w:spacing w:val="2"/>
          <w:position w:val="2"/>
        </w:rPr>
        <w:t>.</w:t>
      </w:r>
      <w:r>
        <w:rPr>
          <w:position w:val="2"/>
        </w:rPr>
        <w:t>00</w:t>
      </w:r>
      <w:r>
        <w:rPr>
          <w:spacing w:val="-5"/>
          <w:position w:val="2"/>
        </w:rPr>
        <w:t>1</w:t>
      </w:r>
      <w:r>
        <w:rPr>
          <w:position w:val="2"/>
        </w:rPr>
        <w:t>,</w:t>
      </w:r>
      <w:r>
        <w:rPr>
          <w:spacing w:val="1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2"/>
          <w:position w:val="2"/>
        </w:rPr>
        <w:t xml:space="preserve"> </w:t>
      </w:r>
      <w:r>
        <w:rPr>
          <w:position w:val="2"/>
        </w:rPr>
        <w:t>=</w:t>
      </w:r>
      <w:r>
        <w:rPr>
          <w:spacing w:val="15"/>
          <w:position w:val="2"/>
        </w:rPr>
        <w:t xml:space="preserve"> </w:t>
      </w:r>
      <w:r>
        <w:rPr>
          <w:spacing w:val="2"/>
          <w:position w:val="2"/>
        </w:rPr>
        <w:t>.</w:t>
      </w:r>
      <w:r>
        <w:rPr>
          <w:position w:val="2"/>
        </w:rPr>
        <w:t>1</w:t>
      </w:r>
      <w:r>
        <w:rPr>
          <w:spacing w:val="-5"/>
          <w:position w:val="2"/>
        </w:rPr>
        <w:t>7</w:t>
      </w:r>
      <w:r>
        <w:rPr>
          <w:position w:val="2"/>
        </w:rPr>
        <w:t>,</w:t>
      </w:r>
      <w:r>
        <w:rPr>
          <w:spacing w:val="24"/>
          <w:position w:val="2"/>
        </w:rPr>
        <w:t xml:space="preserve"> </w:t>
      </w:r>
      <w:r>
        <w:rPr>
          <w:spacing w:val="-2"/>
          <w:position w:val="2"/>
        </w:rPr>
        <w:t>B</w:t>
      </w:r>
      <w:r>
        <w:rPr>
          <w:spacing w:val="-4"/>
          <w:position w:val="2"/>
        </w:rPr>
        <w:t>F</w:t>
      </w:r>
      <w:r>
        <w:rPr>
          <w:spacing w:val="2"/>
          <w:w w:val="97"/>
          <w:position w:val="2"/>
          <w:vertAlign w:val="subscript"/>
        </w:rPr>
        <w:t>1</w:t>
      </w:r>
      <w:r>
        <w:rPr>
          <w:w w:val="97"/>
          <w:position w:val="2"/>
          <w:vertAlign w:val="subscript"/>
        </w:rPr>
        <w:t>0</w:t>
      </w:r>
      <w:r>
        <w:rPr>
          <w:position w:val="2"/>
        </w:rPr>
        <w:t xml:space="preserve"> </w:t>
      </w:r>
      <w:r>
        <w:rPr>
          <w:spacing w:val="12"/>
          <w:position w:val="2"/>
        </w:rPr>
        <w:t xml:space="preserve"> </w:t>
      </w:r>
      <w:r>
        <w:rPr>
          <w:position w:val="2"/>
        </w:rPr>
        <w:t>=</w:t>
      </w:r>
      <w:r>
        <w:rPr>
          <w:spacing w:val="20"/>
          <w:position w:val="2"/>
        </w:rPr>
        <w:t xml:space="preserve"> </w:t>
      </w:r>
      <w:r>
        <w:rPr>
          <w:spacing w:val="-5"/>
          <w:position w:val="2"/>
        </w:rPr>
        <w:t>5</w:t>
      </w:r>
      <w:r>
        <w:rPr>
          <w:spacing w:val="2"/>
          <w:position w:val="2"/>
        </w:rPr>
        <w:t>.</w:t>
      </w:r>
      <w:r>
        <w:rPr>
          <w:position w:val="2"/>
        </w:rPr>
        <w:t xml:space="preserve">03. </w:t>
      </w:r>
      <w:r>
        <w:rPr>
          <w:w w:val="105"/>
        </w:rPr>
        <w:t>Most importantly, all these effects were qualified by a significant three-way Group ×</w:t>
      </w:r>
      <w:r>
        <w:rPr>
          <w:w w:val="105"/>
          <w:position w:val="2"/>
        </w:rPr>
        <w:t xml:space="preserve"> </w:t>
      </w:r>
      <w:r>
        <w:rPr>
          <w:spacing w:val="1"/>
          <w:position w:val="2"/>
        </w:rPr>
        <w:t>I</w:t>
      </w:r>
      <w:r>
        <w:rPr>
          <w:position w:val="2"/>
        </w:rPr>
        <w:t>mpo</w:t>
      </w:r>
      <w:r>
        <w:rPr>
          <w:spacing w:val="1"/>
          <w:position w:val="2"/>
        </w:rPr>
        <w:t>r</w:t>
      </w:r>
      <w:r>
        <w:rPr>
          <w:position w:val="2"/>
        </w:rPr>
        <w:t>t</w:t>
      </w:r>
      <w:r>
        <w:rPr>
          <w:spacing w:val="-1"/>
          <w:position w:val="2"/>
        </w:rPr>
        <w:t>a</w:t>
      </w:r>
      <w:r>
        <w:rPr>
          <w:position w:val="2"/>
        </w:rPr>
        <w:t>n</w:t>
      </w:r>
      <w:r>
        <w:rPr>
          <w:spacing w:val="-1"/>
          <w:position w:val="2"/>
        </w:rPr>
        <w:t>c</w:t>
      </w:r>
      <w:r>
        <w:rPr>
          <w:position w:val="2"/>
        </w:rPr>
        <w:t>e</w:t>
      </w:r>
      <w:r>
        <w:rPr>
          <w:spacing w:val="6"/>
          <w:position w:val="2"/>
        </w:rPr>
        <w:t xml:space="preserve"> </w:t>
      </w:r>
      <w:r>
        <w:rPr>
          <w:position w:val="2"/>
        </w:rPr>
        <w:t>×</w:t>
      </w:r>
      <w:r>
        <w:rPr>
          <w:spacing w:val="6"/>
          <w:position w:val="2"/>
        </w:rPr>
        <w:t xml:space="preserve"> </w:t>
      </w:r>
      <w:r>
        <w:rPr>
          <w:spacing w:val="1"/>
          <w:position w:val="2"/>
        </w:rPr>
        <w:t>I</w:t>
      </w:r>
      <w:r>
        <w:rPr>
          <w:position w:val="2"/>
        </w:rPr>
        <w:t>nt</w:t>
      </w:r>
      <w:r>
        <w:rPr>
          <w:spacing w:val="-1"/>
          <w:position w:val="2"/>
        </w:rPr>
        <w:t>e</w:t>
      </w:r>
      <w:r>
        <w:rPr>
          <w:spacing w:val="1"/>
          <w:position w:val="2"/>
        </w:rPr>
        <w:t>r</w:t>
      </w:r>
      <w:r>
        <w:rPr>
          <w:position w:val="2"/>
        </w:rPr>
        <w:t>v</w:t>
      </w:r>
      <w:r>
        <w:rPr>
          <w:spacing w:val="-1"/>
          <w:position w:val="2"/>
        </w:rPr>
        <w:t>a</w:t>
      </w:r>
      <w:r>
        <w:rPr>
          <w:position w:val="2"/>
        </w:rPr>
        <w:t>l</w:t>
      </w:r>
      <w:r>
        <w:rPr>
          <w:spacing w:val="2"/>
          <w:position w:val="2"/>
        </w:rPr>
        <w:t xml:space="preserve"> </w:t>
      </w:r>
      <w:r>
        <w:rPr>
          <w:position w:val="2"/>
        </w:rPr>
        <w:t>int</w:t>
      </w:r>
      <w:r>
        <w:rPr>
          <w:spacing w:val="-1"/>
          <w:position w:val="2"/>
        </w:rPr>
        <w:t>e</w:t>
      </w:r>
      <w:r>
        <w:rPr>
          <w:spacing w:val="1"/>
          <w:position w:val="2"/>
        </w:rPr>
        <w:t>r</w:t>
      </w:r>
      <w:r>
        <w:rPr>
          <w:spacing w:val="-1"/>
          <w:position w:val="2"/>
        </w:rPr>
        <w:t>ac</w:t>
      </w:r>
      <w:r>
        <w:rPr>
          <w:position w:val="2"/>
        </w:rPr>
        <w:t>tion</w:t>
      </w:r>
      <w:r>
        <w:rPr>
          <w:spacing w:val="2"/>
          <w:position w:val="2"/>
        </w:rPr>
        <w:t xml:space="preserve"> </w:t>
      </w:r>
      <w:r>
        <w:rPr>
          <w:i/>
          <w:spacing w:val="2"/>
          <w:position w:val="2"/>
        </w:rPr>
        <w:t>F</w:t>
      </w:r>
      <w:r>
        <w:rPr>
          <w:spacing w:val="1"/>
          <w:position w:val="2"/>
        </w:rPr>
        <w:t>(</w:t>
      </w:r>
      <w:r>
        <w:rPr>
          <w:spacing w:val="-5"/>
          <w:position w:val="2"/>
        </w:rPr>
        <w:t>2</w:t>
      </w:r>
      <w:r>
        <w:rPr>
          <w:spacing w:val="2"/>
          <w:position w:val="2"/>
        </w:rPr>
        <w:t>.</w:t>
      </w:r>
      <w:r>
        <w:rPr>
          <w:position w:val="2"/>
        </w:rPr>
        <w:t>11</w:t>
      </w:r>
      <w:r>
        <w:rPr>
          <w:spacing w:val="2"/>
          <w:position w:val="2"/>
        </w:rPr>
        <w:t>,</w:t>
      </w:r>
      <w:r>
        <w:rPr>
          <w:position w:val="2"/>
        </w:rPr>
        <w:t>9</w:t>
      </w:r>
      <w:r>
        <w:rPr>
          <w:spacing w:val="-5"/>
          <w:position w:val="2"/>
        </w:rPr>
        <w:t>7</w:t>
      </w:r>
      <w:r>
        <w:rPr>
          <w:spacing w:val="2"/>
          <w:position w:val="2"/>
        </w:rPr>
        <w:t>.</w:t>
      </w:r>
      <w:r>
        <w:rPr>
          <w:position w:val="2"/>
        </w:rPr>
        <w:t>19)</w:t>
      </w:r>
      <w:r>
        <w:rPr>
          <w:spacing w:val="8"/>
          <w:position w:val="2"/>
        </w:rPr>
        <w:t xml:space="preserve"> </w:t>
      </w:r>
      <w:r>
        <w:rPr>
          <w:position w:val="2"/>
        </w:rPr>
        <w:t>=</w:t>
      </w:r>
      <w:r>
        <w:rPr>
          <w:spacing w:val="1"/>
          <w:position w:val="2"/>
        </w:rPr>
        <w:t xml:space="preserve"> </w:t>
      </w:r>
      <w:r>
        <w:rPr>
          <w:position w:val="2"/>
        </w:rPr>
        <w:t>3</w:t>
      </w:r>
      <w:r>
        <w:rPr>
          <w:spacing w:val="2"/>
          <w:position w:val="2"/>
        </w:rPr>
        <w:t>.</w:t>
      </w:r>
      <w:r>
        <w:rPr>
          <w:position w:val="2"/>
        </w:rPr>
        <w:t>41,</w:t>
      </w:r>
      <w:r>
        <w:rPr>
          <w:spacing w:val="9"/>
          <w:position w:val="2"/>
        </w:rPr>
        <w:t xml:space="preserve"> </w:t>
      </w:r>
      <w:r>
        <w:rPr>
          <w:i/>
          <w:position w:val="2"/>
        </w:rPr>
        <w:t>p</w:t>
      </w:r>
      <w:r>
        <w:rPr>
          <w:i/>
          <w:spacing w:val="2"/>
          <w:position w:val="2"/>
        </w:rPr>
        <w:t xml:space="preserve"> </w:t>
      </w:r>
      <w:r>
        <w:rPr>
          <w:position w:val="2"/>
        </w:rPr>
        <w:t>=</w:t>
      </w:r>
      <w:r>
        <w:rPr>
          <w:spacing w:val="6"/>
          <w:position w:val="2"/>
        </w:rPr>
        <w:t xml:space="preserve"> </w:t>
      </w:r>
      <w:r>
        <w:rPr>
          <w:spacing w:val="2"/>
          <w:position w:val="2"/>
        </w:rPr>
        <w:t>.</w:t>
      </w:r>
      <w:r>
        <w:rPr>
          <w:position w:val="2"/>
        </w:rPr>
        <w:t>0</w:t>
      </w:r>
      <w:r>
        <w:rPr>
          <w:spacing w:val="-5"/>
          <w:position w:val="2"/>
        </w:rPr>
        <w:t>4</w:t>
      </w:r>
      <w:r>
        <w:rPr>
          <w:position w:val="2"/>
        </w:rPr>
        <w:t>,</w:t>
      </w:r>
      <w:r>
        <w:rPr>
          <w:spacing w:val="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1"/>
          <w:position w:val="2"/>
        </w:rPr>
        <w:t xml:space="preserve"> </w:t>
      </w:r>
      <w:r>
        <w:rPr>
          <w:position w:val="2"/>
        </w:rPr>
        <w:t>=</w:t>
      </w:r>
      <w:r>
        <w:rPr>
          <w:spacing w:val="6"/>
          <w:position w:val="2"/>
        </w:rPr>
        <w:t xml:space="preserve"> </w:t>
      </w:r>
      <w:r>
        <w:rPr>
          <w:spacing w:val="2"/>
          <w:position w:val="2"/>
        </w:rPr>
        <w:t>.</w:t>
      </w:r>
      <w:r>
        <w:rPr>
          <w:position w:val="2"/>
        </w:rPr>
        <w:t>0</w:t>
      </w:r>
      <w:r>
        <w:rPr>
          <w:spacing w:val="-5"/>
          <w:position w:val="2"/>
        </w:rPr>
        <w:t>7</w:t>
      </w:r>
      <w:r>
        <w:rPr>
          <w:position w:val="2"/>
        </w:rPr>
        <w:t>,</w:t>
      </w:r>
      <w:r>
        <w:rPr>
          <w:spacing w:val="9"/>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15"/>
          <w:position w:val="2"/>
        </w:rPr>
        <w:t xml:space="preserve"> </w:t>
      </w:r>
      <w:r>
        <w:rPr>
          <w:position w:val="2"/>
        </w:rPr>
        <w:t>=</w:t>
      </w:r>
      <w:r>
        <w:rPr>
          <w:spacing w:val="6"/>
          <w:position w:val="2"/>
        </w:rPr>
        <w:t xml:space="preserve"> </w:t>
      </w:r>
      <w:r>
        <w:rPr>
          <w:spacing w:val="-5"/>
          <w:position w:val="2"/>
        </w:rPr>
        <w:t>0</w:t>
      </w:r>
      <w:r>
        <w:rPr>
          <w:spacing w:val="2"/>
          <w:position w:val="2"/>
        </w:rPr>
        <w:t>.</w:t>
      </w:r>
      <w:r>
        <w:rPr>
          <w:position w:val="2"/>
        </w:rPr>
        <w:t xml:space="preserve">39. </w:t>
      </w:r>
      <w:r>
        <w:rPr>
          <w:spacing w:val="12"/>
          <w:position w:val="2"/>
        </w:rPr>
        <w:t xml:space="preserve"> </w:t>
      </w:r>
      <w:r>
        <w:rPr>
          <w:spacing w:val="-1"/>
          <w:position w:val="2"/>
        </w:rPr>
        <w:t>O</w:t>
      </w:r>
      <w:r>
        <w:rPr>
          <w:position w:val="2"/>
        </w:rPr>
        <w:t>f</w:t>
      </w:r>
      <w:r>
        <w:rPr>
          <w:spacing w:val="4"/>
          <w:position w:val="2"/>
        </w:rPr>
        <w:t xml:space="preserve"> </w:t>
      </w:r>
      <w:r>
        <w:rPr>
          <w:spacing w:val="-1"/>
          <w:position w:val="2"/>
        </w:rPr>
        <w:t>a</w:t>
      </w:r>
      <w:r>
        <w:rPr>
          <w:position w:val="2"/>
        </w:rPr>
        <w:t xml:space="preserve">ll </w:t>
      </w:r>
      <w:r>
        <w:rPr>
          <w:w w:val="105"/>
        </w:rPr>
        <w:t>the</w:t>
      </w:r>
      <w:r>
        <w:rPr>
          <w:spacing w:val="-24"/>
          <w:w w:val="105"/>
        </w:rPr>
        <w:t xml:space="preserve"> </w:t>
      </w:r>
      <w:r>
        <w:rPr>
          <w:w w:val="105"/>
        </w:rPr>
        <w:t>different</w:t>
      </w:r>
      <w:r>
        <w:rPr>
          <w:spacing w:val="-23"/>
          <w:w w:val="105"/>
        </w:rPr>
        <w:t xml:space="preserve"> </w:t>
      </w:r>
      <w:r>
        <w:rPr>
          <w:w w:val="105"/>
        </w:rPr>
        <w:t>models</w:t>
      </w:r>
      <w:r>
        <w:rPr>
          <w:spacing w:val="-25"/>
          <w:w w:val="105"/>
        </w:rPr>
        <w:t xml:space="preserve"> </w:t>
      </w:r>
      <w:r>
        <w:rPr>
          <w:w w:val="105"/>
        </w:rPr>
        <w:t>possible</w:t>
      </w:r>
      <w:r>
        <w:rPr>
          <w:spacing w:val="-23"/>
          <w:w w:val="105"/>
        </w:rPr>
        <w:t xml:space="preserve"> </w:t>
      </w:r>
      <w:r>
        <w:rPr>
          <w:w w:val="105"/>
        </w:rPr>
        <w:t>the</w:t>
      </w:r>
      <w:r>
        <w:rPr>
          <w:spacing w:val="-24"/>
          <w:w w:val="105"/>
        </w:rPr>
        <w:t xml:space="preserve"> </w:t>
      </w:r>
      <w:r>
        <w:rPr>
          <w:w w:val="105"/>
        </w:rPr>
        <w:t>of</w:t>
      </w:r>
      <w:r>
        <w:rPr>
          <w:spacing w:val="-22"/>
          <w:w w:val="105"/>
        </w:rPr>
        <w:t xml:space="preserve"> </w:t>
      </w:r>
      <w:r>
        <w:rPr>
          <w:w w:val="105"/>
        </w:rPr>
        <w:t>the</w:t>
      </w:r>
      <w:r>
        <w:rPr>
          <w:spacing w:val="-24"/>
          <w:w w:val="105"/>
        </w:rPr>
        <w:t xml:space="preserve"> </w:t>
      </w:r>
      <w:r>
        <w:rPr>
          <w:w w:val="105"/>
        </w:rPr>
        <w:t>two</w:t>
      </w:r>
      <w:r>
        <w:rPr>
          <w:spacing w:val="-22"/>
          <w:w w:val="105"/>
        </w:rPr>
        <w:t xml:space="preserve"> </w:t>
      </w:r>
      <w:r>
        <w:rPr>
          <w:w w:val="105"/>
        </w:rPr>
        <w:t>main</w:t>
      </w:r>
      <w:r>
        <w:rPr>
          <w:spacing w:val="-26"/>
          <w:w w:val="105"/>
        </w:rPr>
        <w:t xml:space="preserve"> </w:t>
      </w:r>
      <w:r>
        <w:rPr>
          <w:w w:val="105"/>
        </w:rPr>
        <w:t>effects</w:t>
      </w:r>
      <w:r>
        <w:rPr>
          <w:spacing w:val="-25"/>
          <w:w w:val="105"/>
        </w:rPr>
        <w:t xml:space="preserve"> </w:t>
      </w:r>
      <w:r>
        <w:rPr>
          <w:w w:val="105"/>
        </w:rPr>
        <w:t>and</w:t>
      </w:r>
      <w:r>
        <w:rPr>
          <w:spacing w:val="-23"/>
          <w:w w:val="105"/>
        </w:rPr>
        <w:t xml:space="preserve"> </w:t>
      </w:r>
      <w:r>
        <w:rPr>
          <w:w w:val="105"/>
        </w:rPr>
        <w:t>two-way</w:t>
      </w:r>
      <w:r>
        <w:rPr>
          <w:spacing w:val="-23"/>
          <w:w w:val="105"/>
        </w:rPr>
        <w:t xml:space="preserve"> </w:t>
      </w:r>
      <w:r>
        <w:rPr>
          <w:w w:val="105"/>
        </w:rPr>
        <w:t>interactions</w:t>
      </w:r>
      <w:r>
        <w:rPr>
          <w:spacing w:val="-24"/>
          <w:w w:val="105"/>
        </w:rPr>
        <w:t xml:space="preserve"> </w:t>
      </w:r>
      <w:r>
        <w:rPr>
          <w:w w:val="105"/>
        </w:rPr>
        <w:t>described</w:t>
      </w:r>
      <w:r>
        <w:rPr>
          <w:w w:val="105"/>
          <w:position w:val="2"/>
        </w:rPr>
        <w:t xml:space="preserve"> above</w:t>
      </w:r>
      <w:r>
        <w:rPr>
          <w:spacing w:val="-31"/>
          <w:w w:val="105"/>
          <w:position w:val="2"/>
        </w:rPr>
        <w:t xml:space="preserve"> </w:t>
      </w:r>
      <w:r>
        <w:rPr>
          <w:w w:val="105"/>
          <w:position w:val="2"/>
        </w:rPr>
        <w:t>attained</w:t>
      </w:r>
      <w:r>
        <w:rPr>
          <w:spacing w:val="-29"/>
          <w:w w:val="105"/>
          <w:position w:val="2"/>
        </w:rPr>
        <w:t xml:space="preserve"> </w:t>
      </w:r>
      <w:r>
        <w:rPr>
          <w:w w:val="105"/>
          <w:position w:val="2"/>
        </w:rPr>
        <w:t>the</w:t>
      </w:r>
      <w:r>
        <w:rPr>
          <w:spacing w:val="-31"/>
          <w:w w:val="105"/>
          <w:position w:val="2"/>
        </w:rPr>
        <w:t xml:space="preserve"> </w:t>
      </w:r>
      <w:r>
        <w:rPr>
          <w:w w:val="105"/>
          <w:position w:val="2"/>
        </w:rPr>
        <w:t>largest</w:t>
      </w:r>
      <w:r>
        <w:rPr>
          <w:spacing w:val="-29"/>
          <w:w w:val="105"/>
          <w:position w:val="2"/>
        </w:rPr>
        <w:t xml:space="preserve"> </w:t>
      </w:r>
      <w:r>
        <w:rPr>
          <w:w w:val="105"/>
          <w:position w:val="2"/>
        </w:rPr>
        <w:t>Bayes</w:t>
      </w:r>
      <w:r>
        <w:rPr>
          <w:spacing w:val="-31"/>
          <w:w w:val="105"/>
          <w:position w:val="2"/>
        </w:rPr>
        <w:t xml:space="preserve"> </w:t>
      </w:r>
      <w:r>
        <w:rPr>
          <w:w w:val="105"/>
          <w:position w:val="2"/>
        </w:rPr>
        <w:t>factor</w:t>
      </w:r>
      <w:r>
        <w:rPr>
          <w:w w:val="105"/>
          <w:position w:val="2"/>
          <w:vertAlign w:val="superscript"/>
        </w:rPr>
        <w:t>13</w:t>
      </w:r>
      <w:r>
        <w:rPr>
          <w:w w:val="105"/>
          <w:position w:val="2"/>
        </w:rPr>
        <w:t>,</w:t>
      </w:r>
      <w:r>
        <w:rPr>
          <w:spacing w:val="-29"/>
          <w:w w:val="105"/>
          <w:position w:val="2"/>
        </w:rPr>
        <w:t xml:space="preserve"> </w:t>
      </w:r>
      <w:r>
        <w:rPr>
          <w:w w:val="105"/>
          <w:position w:val="2"/>
        </w:rPr>
        <w:t>BF</w:t>
      </w:r>
      <w:r>
        <w:rPr>
          <w:w w:val="105"/>
          <w:position w:val="2"/>
          <w:vertAlign w:val="subscript"/>
        </w:rPr>
        <w:t>10</w:t>
      </w:r>
      <w:r>
        <w:rPr>
          <w:spacing w:val="-42"/>
          <w:w w:val="105"/>
          <w:position w:val="2"/>
        </w:rPr>
        <w:t xml:space="preserve"> </w:t>
      </w:r>
      <w:r>
        <w:rPr>
          <w:w w:val="105"/>
          <w:position w:val="2"/>
        </w:rPr>
        <w:t>=</w:t>
      </w:r>
      <w:r>
        <w:rPr>
          <w:spacing w:val="-30"/>
          <w:w w:val="105"/>
          <w:position w:val="2"/>
        </w:rPr>
        <w:t xml:space="preserve"> </w:t>
      </w:r>
      <w:r>
        <w:rPr>
          <w:w w:val="105"/>
          <w:position w:val="2"/>
        </w:rPr>
        <w:t>5.43*10</w:t>
      </w:r>
      <w:r>
        <w:rPr>
          <w:w w:val="105"/>
          <w:position w:val="2"/>
          <w:vertAlign w:val="superscript"/>
        </w:rPr>
        <w:t>59</w:t>
      </w:r>
      <w:r>
        <w:rPr>
          <w:w w:val="105"/>
          <w:position w:val="2"/>
        </w:rPr>
        <w:t>.</w:t>
      </w:r>
      <w:r>
        <w:rPr>
          <w:spacing w:val="3"/>
          <w:w w:val="105"/>
          <w:position w:val="2"/>
        </w:rPr>
        <w:t xml:space="preserve"> </w:t>
      </w:r>
      <w:r>
        <w:rPr>
          <w:w w:val="105"/>
          <w:position w:val="2"/>
        </w:rPr>
        <w:t>Tests</w:t>
      </w:r>
      <w:r>
        <w:rPr>
          <w:spacing w:val="-31"/>
          <w:w w:val="105"/>
          <w:position w:val="2"/>
        </w:rPr>
        <w:t xml:space="preserve"> </w:t>
      </w:r>
      <w:r>
        <w:rPr>
          <w:w w:val="105"/>
          <w:position w:val="2"/>
        </w:rPr>
        <w:t>of</w:t>
      </w:r>
      <w:r>
        <w:rPr>
          <w:spacing w:val="-29"/>
          <w:w w:val="105"/>
          <w:position w:val="2"/>
        </w:rPr>
        <w:t xml:space="preserve"> </w:t>
      </w:r>
      <w:r>
        <w:rPr>
          <w:w w:val="105"/>
          <w:position w:val="2"/>
        </w:rPr>
        <w:t>simple</w:t>
      </w:r>
      <w:r>
        <w:rPr>
          <w:spacing w:val="-30"/>
          <w:w w:val="105"/>
          <w:position w:val="2"/>
        </w:rPr>
        <w:t xml:space="preserve"> </w:t>
      </w:r>
      <w:r>
        <w:rPr>
          <w:w w:val="105"/>
          <w:position w:val="2"/>
        </w:rPr>
        <w:t>effects</w:t>
      </w:r>
      <w:r>
        <w:rPr>
          <w:spacing w:val="-31"/>
          <w:w w:val="105"/>
          <w:position w:val="2"/>
        </w:rPr>
        <w:t xml:space="preserve"> </w:t>
      </w:r>
      <w:r>
        <w:rPr>
          <w:w w:val="105"/>
          <w:position w:val="2"/>
        </w:rPr>
        <w:t>revealed</w:t>
      </w:r>
      <w:r>
        <w:rPr>
          <w:spacing w:val="-30"/>
          <w:w w:val="105"/>
          <w:position w:val="2"/>
        </w:rPr>
        <w:t xml:space="preserve"> </w:t>
      </w:r>
      <w:r>
        <w:rPr>
          <w:w w:val="105"/>
          <w:position w:val="2"/>
        </w:rPr>
        <w:t>a</w:t>
      </w:r>
      <w:r>
        <w:rPr>
          <w:w w:val="105"/>
        </w:rPr>
        <w:t xml:space="preserve"> significant</w:t>
      </w:r>
      <w:r>
        <w:rPr>
          <w:spacing w:val="-18"/>
          <w:w w:val="105"/>
        </w:rPr>
        <w:t xml:space="preserve"> </w:t>
      </w:r>
      <w:r>
        <w:rPr>
          <w:w w:val="105"/>
        </w:rPr>
        <w:t>group</w:t>
      </w:r>
      <w:r>
        <w:rPr>
          <w:spacing w:val="-21"/>
          <w:w w:val="105"/>
        </w:rPr>
        <w:t xml:space="preserve"> </w:t>
      </w:r>
      <w:r>
        <w:rPr>
          <w:w w:val="105"/>
        </w:rPr>
        <w:t>difference</w:t>
      </w:r>
      <w:r>
        <w:rPr>
          <w:spacing w:val="-22"/>
          <w:w w:val="105"/>
        </w:rPr>
        <w:t xml:space="preserve"> </w:t>
      </w:r>
      <w:r>
        <w:rPr>
          <w:w w:val="105"/>
        </w:rPr>
        <w:t>for</w:t>
      </w:r>
      <w:r>
        <w:rPr>
          <w:spacing w:val="-20"/>
          <w:w w:val="105"/>
        </w:rPr>
        <w:t xml:space="preserve"> </w:t>
      </w:r>
      <w:r>
        <w:rPr>
          <w:w w:val="105"/>
        </w:rPr>
        <w:t>the</w:t>
      </w:r>
      <w:r>
        <w:rPr>
          <w:spacing w:val="-21"/>
          <w:w w:val="105"/>
        </w:rPr>
        <w:t xml:space="preserve"> </w:t>
      </w:r>
      <w:r>
        <w:rPr>
          <w:w w:val="105"/>
        </w:rPr>
        <w:t>crucial</w:t>
      </w:r>
      <w:r>
        <w:rPr>
          <w:spacing w:val="-20"/>
          <w:w w:val="105"/>
        </w:rPr>
        <w:t xml:space="preserve"> </w:t>
      </w:r>
      <w:r>
        <w:rPr>
          <w:w w:val="105"/>
        </w:rPr>
        <w:t>interval</w:t>
      </w:r>
      <w:r>
        <w:rPr>
          <w:spacing w:val="-18"/>
          <w:w w:val="105"/>
        </w:rPr>
        <w:t xml:space="preserve"> </w:t>
      </w:r>
      <w:r>
        <w:rPr>
          <w:w w:val="105"/>
        </w:rPr>
        <w:t>immediately</w:t>
      </w:r>
      <w:r>
        <w:rPr>
          <w:spacing w:val="-21"/>
          <w:w w:val="105"/>
        </w:rPr>
        <w:t xml:space="preserve"> </w:t>
      </w:r>
      <w:r>
        <w:rPr>
          <w:w w:val="105"/>
        </w:rPr>
        <w:t>prior</w:t>
      </w:r>
      <w:r>
        <w:rPr>
          <w:spacing w:val="-20"/>
          <w:w w:val="105"/>
        </w:rPr>
        <w:t xml:space="preserve"> </w:t>
      </w:r>
      <w:r>
        <w:rPr>
          <w:w w:val="105"/>
        </w:rPr>
        <w:t>to</w:t>
      </w:r>
      <w:r>
        <w:rPr>
          <w:spacing w:val="-21"/>
          <w:w w:val="105"/>
        </w:rPr>
        <w:t xml:space="preserve"> </w:t>
      </w:r>
      <w:r>
        <w:rPr>
          <w:w w:val="105"/>
        </w:rPr>
        <w:t>target</w:t>
      </w:r>
      <w:r>
        <w:rPr>
          <w:spacing w:val="-20"/>
          <w:w w:val="105"/>
        </w:rPr>
        <w:t xml:space="preserve"> </w:t>
      </w:r>
      <w:r>
        <w:rPr>
          <w:w w:val="105"/>
        </w:rPr>
        <w:t>time</w:t>
      </w:r>
      <w:r>
        <w:rPr>
          <w:spacing w:val="-22"/>
          <w:w w:val="105"/>
        </w:rPr>
        <w:t xml:space="preserve"> </w:t>
      </w:r>
      <w:r>
        <w:rPr>
          <w:w w:val="105"/>
        </w:rPr>
        <w:t>(91-120 seconds)</w:t>
      </w:r>
      <w:r>
        <w:rPr>
          <w:spacing w:val="-30"/>
          <w:w w:val="105"/>
        </w:rPr>
        <w:t xml:space="preserve"> </w:t>
      </w:r>
      <w:r>
        <w:rPr>
          <w:w w:val="105"/>
        </w:rPr>
        <w:t>in</w:t>
      </w:r>
      <w:r>
        <w:rPr>
          <w:spacing w:val="-30"/>
          <w:w w:val="105"/>
        </w:rPr>
        <w:t xml:space="preserve"> </w:t>
      </w:r>
      <w:r>
        <w:rPr>
          <w:w w:val="105"/>
        </w:rPr>
        <w:t>the</w:t>
      </w:r>
      <w:r>
        <w:rPr>
          <w:spacing w:val="-33"/>
          <w:w w:val="105"/>
        </w:rPr>
        <w:t xml:space="preserve"> </w:t>
      </w:r>
      <w:r>
        <w:rPr>
          <w:w w:val="105"/>
        </w:rPr>
        <w:t>PM</w:t>
      </w:r>
      <w:r>
        <w:rPr>
          <w:spacing w:val="-31"/>
          <w:w w:val="105"/>
        </w:rPr>
        <w:t xml:space="preserve"> </w:t>
      </w:r>
      <w:r>
        <w:rPr>
          <w:w w:val="105"/>
        </w:rPr>
        <w:t>high</w:t>
      </w:r>
      <w:r>
        <w:rPr>
          <w:spacing w:val="-32"/>
          <w:w w:val="105"/>
        </w:rPr>
        <w:t xml:space="preserve"> </w:t>
      </w:r>
      <w:r>
        <w:rPr>
          <w:w w:val="105"/>
        </w:rPr>
        <w:t>importance</w:t>
      </w:r>
      <w:r>
        <w:rPr>
          <w:spacing w:val="-33"/>
          <w:w w:val="105"/>
        </w:rPr>
        <w:t xml:space="preserve"> </w:t>
      </w:r>
      <w:r>
        <w:rPr>
          <w:w w:val="105"/>
        </w:rPr>
        <w:t>condition</w:t>
      </w:r>
      <w:r>
        <w:rPr>
          <w:spacing w:val="-30"/>
          <w:w w:val="105"/>
        </w:rPr>
        <w:t xml:space="preserve"> </w:t>
      </w:r>
      <w:r>
        <w:rPr>
          <w:w w:val="105"/>
        </w:rPr>
        <w:t>only;</w:t>
      </w:r>
      <w:r>
        <w:rPr>
          <w:spacing w:val="-30"/>
          <w:w w:val="105"/>
        </w:rPr>
        <w:t xml:space="preserve"> </w:t>
      </w:r>
      <w:r>
        <w:rPr>
          <w:w w:val="105"/>
        </w:rPr>
        <w:t>in</w:t>
      </w:r>
      <w:r>
        <w:rPr>
          <w:spacing w:val="-33"/>
          <w:w w:val="105"/>
        </w:rPr>
        <w:t xml:space="preserve"> </w:t>
      </w:r>
      <w:r>
        <w:rPr>
          <w:w w:val="105"/>
        </w:rPr>
        <w:t>this</w:t>
      </w:r>
      <w:r>
        <w:rPr>
          <w:spacing w:val="-31"/>
          <w:w w:val="105"/>
        </w:rPr>
        <w:t xml:space="preserve"> </w:t>
      </w:r>
      <w:r>
        <w:rPr>
          <w:w w:val="105"/>
        </w:rPr>
        <w:t>condition,</w:t>
      </w:r>
      <w:r>
        <w:rPr>
          <w:spacing w:val="-31"/>
          <w:w w:val="105"/>
        </w:rPr>
        <w:t xml:space="preserve"> </w:t>
      </w:r>
      <w:r>
        <w:rPr>
          <w:w w:val="105"/>
        </w:rPr>
        <w:t>significantly</w:t>
      </w:r>
      <w:r>
        <w:rPr>
          <w:spacing w:val="-33"/>
          <w:w w:val="105"/>
        </w:rPr>
        <w:t xml:space="preserve"> </w:t>
      </w:r>
      <w:r>
        <w:rPr>
          <w:w w:val="105"/>
        </w:rPr>
        <w:t>more</w:t>
      </w:r>
      <w:r>
        <w:rPr>
          <w:spacing w:val="-33"/>
          <w:w w:val="105"/>
        </w:rPr>
        <w:t xml:space="preserve"> </w:t>
      </w:r>
      <w:r>
        <w:rPr>
          <w:w w:val="105"/>
        </w:rPr>
        <w:t>time checks</w:t>
      </w:r>
      <w:r>
        <w:rPr>
          <w:spacing w:val="-22"/>
          <w:w w:val="105"/>
        </w:rPr>
        <w:t xml:space="preserve"> </w:t>
      </w:r>
      <w:r>
        <w:rPr>
          <w:w w:val="105"/>
        </w:rPr>
        <w:t>were</w:t>
      </w:r>
      <w:r>
        <w:rPr>
          <w:spacing w:val="-20"/>
          <w:w w:val="105"/>
        </w:rPr>
        <w:t xml:space="preserve"> </w:t>
      </w:r>
      <w:r>
        <w:rPr>
          <w:w w:val="105"/>
        </w:rPr>
        <w:t>made</w:t>
      </w:r>
      <w:r>
        <w:rPr>
          <w:spacing w:val="-20"/>
          <w:w w:val="105"/>
        </w:rPr>
        <w:t xml:space="preserve"> </w:t>
      </w:r>
      <w:r>
        <w:rPr>
          <w:w w:val="105"/>
        </w:rPr>
        <w:t>in</w:t>
      </w:r>
      <w:r>
        <w:rPr>
          <w:spacing w:val="-20"/>
          <w:w w:val="105"/>
        </w:rPr>
        <w:t xml:space="preserve"> </w:t>
      </w:r>
      <w:r>
        <w:rPr>
          <w:w w:val="105"/>
        </w:rPr>
        <w:t>the</w:t>
      </w:r>
      <w:r>
        <w:rPr>
          <w:spacing w:val="-20"/>
          <w:w w:val="105"/>
        </w:rPr>
        <w:t xml:space="preserve"> </w:t>
      </w:r>
      <w:r>
        <w:rPr>
          <w:w w:val="105"/>
        </w:rPr>
        <w:t>NT</w:t>
      </w:r>
      <w:r>
        <w:rPr>
          <w:spacing w:val="-19"/>
          <w:w w:val="105"/>
        </w:rPr>
        <w:t xml:space="preserve"> </w:t>
      </w:r>
      <w:r>
        <w:rPr>
          <w:w w:val="105"/>
        </w:rPr>
        <w:t>group</w:t>
      </w:r>
      <w:r>
        <w:rPr>
          <w:spacing w:val="-19"/>
          <w:w w:val="105"/>
        </w:rPr>
        <w:t xml:space="preserve"> </w:t>
      </w:r>
      <w:r>
        <w:rPr>
          <w:w w:val="105"/>
        </w:rPr>
        <w:t>(</w:t>
      </w:r>
      <w:r>
        <w:rPr>
          <w:i/>
          <w:w w:val="105"/>
        </w:rPr>
        <w:t>M</w:t>
      </w:r>
      <w:r>
        <w:rPr>
          <w:i/>
          <w:spacing w:val="-19"/>
          <w:w w:val="105"/>
        </w:rPr>
        <w:t xml:space="preserve"> </w:t>
      </w:r>
      <w:r>
        <w:rPr>
          <w:w w:val="105"/>
        </w:rPr>
        <w:t>=</w:t>
      </w:r>
      <w:r>
        <w:rPr>
          <w:spacing w:val="-20"/>
          <w:w w:val="105"/>
        </w:rPr>
        <w:t xml:space="preserve"> </w:t>
      </w:r>
      <w:r>
        <w:rPr>
          <w:w w:val="105"/>
        </w:rPr>
        <w:t>3.21,</w:t>
      </w:r>
      <w:r>
        <w:rPr>
          <w:spacing w:val="-18"/>
          <w:w w:val="105"/>
        </w:rPr>
        <w:t xml:space="preserve"> </w:t>
      </w:r>
      <w:r>
        <w:rPr>
          <w:i/>
          <w:w w:val="105"/>
        </w:rPr>
        <w:t>SE</w:t>
      </w:r>
      <w:r>
        <w:rPr>
          <w:i/>
          <w:spacing w:val="-25"/>
          <w:w w:val="105"/>
        </w:rPr>
        <w:t xml:space="preserve"> </w:t>
      </w:r>
      <w:r>
        <w:rPr>
          <w:w w:val="105"/>
        </w:rPr>
        <w:t>=</w:t>
      </w:r>
      <w:r>
        <w:rPr>
          <w:spacing w:val="-20"/>
          <w:w w:val="105"/>
        </w:rPr>
        <w:t xml:space="preserve"> </w:t>
      </w:r>
      <w:r>
        <w:rPr>
          <w:w w:val="105"/>
        </w:rPr>
        <w:t>29)</w:t>
      </w:r>
      <w:r>
        <w:rPr>
          <w:spacing w:val="-18"/>
          <w:w w:val="105"/>
        </w:rPr>
        <w:t xml:space="preserve"> </w:t>
      </w:r>
      <w:r>
        <w:rPr>
          <w:w w:val="105"/>
        </w:rPr>
        <w:t>than</w:t>
      </w:r>
      <w:r>
        <w:rPr>
          <w:spacing w:val="-20"/>
          <w:w w:val="105"/>
        </w:rPr>
        <w:t xml:space="preserve"> </w:t>
      </w:r>
      <w:r>
        <w:rPr>
          <w:w w:val="105"/>
        </w:rPr>
        <w:t>in</w:t>
      </w:r>
      <w:r>
        <w:rPr>
          <w:spacing w:val="-20"/>
          <w:w w:val="105"/>
        </w:rPr>
        <w:t xml:space="preserve"> </w:t>
      </w:r>
      <w:r>
        <w:rPr>
          <w:w w:val="105"/>
        </w:rPr>
        <w:t>the</w:t>
      </w:r>
      <w:r>
        <w:rPr>
          <w:spacing w:val="-20"/>
          <w:w w:val="105"/>
        </w:rPr>
        <w:t xml:space="preserve"> </w:t>
      </w:r>
      <w:r>
        <w:rPr>
          <w:w w:val="105"/>
        </w:rPr>
        <w:t>ASD</w:t>
      </w:r>
      <w:r>
        <w:rPr>
          <w:spacing w:val="-20"/>
          <w:w w:val="105"/>
        </w:rPr>
        <w:t xml:space="preserve"> </w:t>
      </w:r>
      <w:r>
        <w:rPr>
          <w:w w:val="105"/>
        </w:rPr>
        <w:t>group</w:t>
      </w:r>
      <w:r>
        <w:rPr>
          <w:spacing w:val="-20"/>
          <w:w w:val="105"/>
        </w:rPr>
        <w:t xml:space="preserve"> </w:t>
      </w:r>
      <w:r>
        <w:rPr>
          <w:w w:val="105"/>
        </w:rPr>
        <w:t>(</w:t>
      </w:r>
      <w:r>
        <w:rPr>
          <w:i/>
          <w:w w:val="105"/>
        </w:rPr>
        <w:t>M</w:t>
      </w:r>
      <w:r>
        <w:rPr>
          <w:i/>
          <w:spacing w:val="-18"/>
          <w:w w:val="105"/>
        </w:rPr>
        <w:t xml:space="preserve"> </w:t>
      </w:r>
      <w:r>
        <w:rPr>
          <w:w w:val="105"/>
        </w:rPr>
        <w:t>=</w:t>
      </w:r>
      <w:r>
        <w:rPr>
          <w:spacing w:val="-21"/>
          <w:w w:val="105"/>
        </w:rPr>
        <w:t xml:space="preserve"> </w:t>
      </w:r>
      <w:r>
        <w:rPr>
          <w:w w:val="105"/>
        </w:rPr>
        <w:t>2.26,</w:t>
      </w:r>
      <w:r>
        <w:rPr>
          <w:spacing w:val="-18"/>
          <w:w w:val="105"/>
        </w:rPr>
        <w:t xml:space="preserve"> </w:t>
      </w:r>
      <w:r>
        <w:rPr>
          <w:i/>
          <w:spacing w:val="-5"/>
          <w:w w:val="105"/>
        </w:rPr>
        <w:t>SE</w:t>
      </w:r>
    </w:p>
    <w:p w14:paraId="20C8CE3A" w14:textId="77777777" w:rsidR="00C75312" w:rsidRDefault="00BB293A">
      <w:pPr>
        <w:pStyle w:val="BodyText"/>
        <w:spacing w:before="3" w:line="487" w:lineRule="auto"/>
        <w:ind w:left="140" w:right="1433"/>
        <w:jc w:val="both"/>
      </w:pPr>
      <w:r>
        <w:pict w14:anchorId="17B6D727">
          <v:shape id="_x0000_s2540" type="#_x0000_t202" style="position:absolute;left:0;text-align:left;margin-left:232.3pt;margin-top:6pt;width:5.3pt;height:9.85pt;z-index:-260524032;mso-position-horizontal-relative:page" filled="f" stroked="f">
            <v:textbox inset="0,0,0,0">
              <w:txbxContent>
                <w:p w14:paraId="5F876F2F"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position w:val="2"/>
        </w:rPr>
        <w:t>=</w:t>
      </w:r>
      <w:r>
        <w:rPr>
          <w:spacing w:val="11"/>
          <w:position w:val="2"/>
        </w:rPr>
        <w:t xml:space="preserve"> </w:t>
      </w:r>
      <w:r>
        <w:rPr>
          <w:spacing w:val="2"/>
          <w:position w:val="2"/>
        </w:rPr>
        <w:t>.</w:t>
      </w:r>
      <w:r>
        <w:rPr>
          <w:position w:val="2"/>
        </w:rPr>
        <w:t>27</w:t>
      </w:r>
      <w:r>
        <w:rPr>
          <w:spacing w:val="-4"/>
          <w:position w:val="2"/>
        </w:rPr>
        <w:t>)</w:t>
      </w:r>
      <w:r>
        <w:rPr>
          <w:position w:val="2"/>
        </w:rPr>
        <w:t>,</w:t>
      </w:r>
      <w:r>
        <w:rPr>
          <w:spacing w:val="9"/>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46)</w:t>
      </w:r>
      <w:r>
        <w:rPr>
          <w:spacing w:val="8"/>
          <w:position w:val="2"/>
        </w:rPr>
        <w:t xml:space="preserve"> </w:t>
      </w:r>
      <w:r>
        <w:rPr>
          <w:position w:val="2"/>
        </w:rPr>
        <w:t>=</w:t>
      </w:r>
      <w:r>
        <w:rPr>
          <w:spacing w:val="11"/>
          <w:position w:val="2"/>
        </w:rPr>
        <w:t xml:space="preserve"> </w:t>
      </w:r>
      <w:r>
        <w:rPr>
          <w:spacing w:val="-5"/>
          <w:position w:val="2"/>
        </w:rPr>
        <w:t>5</w:t>
      </w:r>
      <w:r>
        <w:rPr>
          <w:spacing w:val="2"/>
          <w:position w:val="2"/>
        </w:rPr>
        <w:t>.</w:t>
      </w:r>
      <w:r>
        <w:rPr>
          <w:position w:val="2"/>
        </w:rPr>
        <w:t>79,</w:t>
      </w:r>
      <w:r>
        <w:rPr>
          <w:spacing w:val="9"/>
          <w:position w:val="2"/>
        </w:rPr>
        <w:t xml:space="preserve"> </w:t>
      </w:r>
      <w:r>
        <w:rPr>
          <w:i/>
          <w:position w:val="2"/>
        </w:rPr>
        <w:t>p</w:t>
      </w:r>
      <w:r>
        <w:rPr>
          <w:i/>
          <w:spacing w:val="12"/>
          <w:position w:val="2"/>
        </w:rPr>
        <w:t xml:space="preserve"> </w:t>
      </w:r>
      <w:r>
        <w:rPr>
          <w:position w:val="2"/>
        </w:rPr>
        <w:t>=</w:t>
      </w:r>
      <w:r>
        <w:rPr>
          <w:spacing w:val="6"/>
          <w:position w:val="2"/>
        </w:rPr>
        <w:t xml:space="preserve"> </w:t>
      </w:r>
      <w:r>
        <w:rPr>
          <w:spacing w:val="2"/>
          <w:position w:val="2"/>
        </w:rPr>
        <w:t>.</w:t>
      </w:r>
      <w:r>
        <w:rPr>
          <w:position w:val="2"/>
        </w:rPr>
        <w:t>0</w:t>
      </w:r>
      <w:r>
        <w:rPr>
          <w:spacing w:val="-5"/>
          <w:position w:val="2"/>
        </w:rPr>
        <w:t>2</w:t>
      </w:r>
      <w:r>
        <w:rPr>
          <w:position w:val="2"/>
        </w:rPr>
        <w:t>,</w:t>
      </w:r>
      <w:r>
        <w:rPr>
          <w:spacing w:val="4"/>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3"/>
          <w:position w:val="2"/>
        </w:rPr>
        <w:t xml:space="preserve"> </w:t>
      </w:r>
      <w:r>
        <w:rPr>
          <w:position w:val="2"/>
        </w:rPr>
        <w:t>=</w:t>
      </w:r>
      <w:r>
        <w:rPr>
          <w:spacing w:val="6"/>
          <w:position w:val="2"/>
        </w:rPr>
        <w:t xml:space="preserve"> </w:t>
      </w:r>
      <w:r>
        <w:rPr>
          <w:spacing w:val="2"/>
          <w:position w:val="2"/>
        </w:rPr>
        <w:t>.</w:t>
      </w:r>
      <w:r>
        <w:rPr>
          <w:position w:val="2"/>
        </w:rPr>
        <w:t>11,</w:t>
      </w:r>
      <w:r>
        <w:rPr>
          <w:spacing w:val="9"/>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9"/>
          <w:position w:val="2"/>
        </w:rPr>
        <w:t xml:space="preserve"> </w:t>
      </w:r>
      <w:r>
        <w:rPr>
          <w:position w:val="2"/>
        </w:rPr>
        <w:t>=</w:t>
      </w:r>
      <w:r>
        <w:rPr>
          <w:spacing w:val="6"/>
          <w:position w:val="2"/>
        </w:rPr>
        <w:t xml:space="preserve"> </w:t>
      </w:r>
      <w:r>
        <w:rPr>
          <w:position w:val="2"/>
        </w:rPr>
        <w:t>2</w:t>
      </w:r>
      <w:r>
        <w:rPr>
          <w:spacing w:val="2"/>
          <w:position w:val="2"/>
        </w:rPr>
        <w:t>.</w:t>
      </w:r>
      <w:r>
        <w:rPr>
          <w:spacing w:val="-5"/>
          <w:position w:val="2"/>
        </w:rPr>
        <w:t>8</w:t>
      </w:r>
      <w:r>
        <w:rPr>
          <w:position w:val="2"/>
        </w:rPr>
        <w:t xml:space="preserve">3. </w:t>
      </w:r>
      <w:r>
        <w:rPr>
          <w:spacing w:val="21"/>
          <w:position w:val="2"/>
        </w:rPr>
        <w:t xml:space="preserve"> </w:t>
      </w:r>
      <w:r>
        <w:rPr>
          <w:position w:val="2"/>
        </w:rPr>
        <w:t>Fu</w:t>
      </w:r>
      <w:r>
        <w:rPr>
          <w:spacing w:val="1"/>
          <w:position w:val="2"/>
        </w:rPr>
        <w:t>r</w:t>
      </w:r>
      <w:r>
        <w:rPr>
          <w:position w:val="2"/>
        </w:rPr>
        <w:t>th</w:t>
      </w:r>
      <w:r>
        <w:rPr>
          <w:spacing w:val="-6"/>
          <w:position w:val="2"/>
        </w:rPr>
        <w:t>e</w:t>
      </w:r>
      <w:r>
        <w:rPr>
          <w:spacing w:val="1"/>
          <w:position w:val="2"/>
        </w:rPr>
        <w:t>r</w:t>
      </w:r>
      <w:r>
        <w:rPr>
          <w:position w:val="2"/>
        </w:rPr>
        <w:t>mo</w:t>
      </w:r>
      <w:r>
        <w:rPr>
          <w:spacing w:val="1"/>
          <w:position w:val="2"/>
        </w:rPr>
        <w:t>r</w:t>
      </w:r>
      <w:r>
        <w:rPr>
          <w:spacing w:val="-1"/>
          <w:position w:val="2"/>
        </w:rPr>
        <w:t>e</w:t>
      </w:r>
      <w:r>
        <w:rPr>
          <w:position w:val="2"/>
        </w:rPr>
        <w:t>,</w:t>
      </w:r>
      <w:r>
        <w:rPr>
          <w:spacing w:val="9"/>
          <w:position w:val="2"/>
        </w:rPr>
        <w:t xml:space="preserve"> </w:t>
      </w:r>
      <w:r>
        <w:rPr>
          <w:position w:val="2"/>
        </w:rPr>
        <w:t>the</w:t>
      </w:r>
      <w:r>
        <w:rPr>
          <w:spacing w:val="6"/>
          <w:position w:val="2"/>
        </w:rPr>
        <w:t xml:space="preserve"> </w:t>
      </w:r>
      <w:r>
        <w:rPr>
          <w:spacing w:val="-1"/>
          <w:position w:val="2"/>
        </w:rPr>
        <w:t>c</w:t>
      </w:r>
      <w:r>
        <w:rPr>
          <w:position w:val="2"/>
        </w:rPr>
        <w:t>omp</w:t>
      </w:r>
      <w:r>
        <w:rPr>
          <w:spacing w:val="-1"/>
          <w:position w:val="2"/>
        </w:rPr>
        <w:t>a</w:t>
      </w:r>
      <w:r>
        <w:rPr>
          <w:spacing w:val="1"/>
          <w:position w:val="2"/>
        </w:rPr>
        <w:t>r</w:t>
      </w:r>
      <w:r>
        <w:rPr>
          <w:position w:val="2"/>
        </w:rPr>
        <w:t>i</w:t>
      </w:r>
      <w:r>
        <w:rPr>
          <w:spacing w:val="-3"/>
          <w:position w:val="2"/>
        </w:rPr>
        <w:t>s</w:t>
      </w:r>
      <w:r>
        <w:rPr>
          <w:position w:val="2"/>
        </w:rPr>
        <w:t>on</w:t>
      </w:r>
      <w:r>
        <w:rPr>
          <w:spacing w:val="12"/>
          <w:position w:val="2"/>
        </w:rPr>
        <w:t xml:space="preserve"> </w:t>
      </w:r>
      <w:r>
        <w:rPr>
          <w:position w:val="2"/>
        </w:rPr>
        <w:t>of</w:t>
      </w:r>
      <w:r>
        <w:rPr>
          <w:spacing w:val="8"/>
          <w:position w:val="2"/>
        </w:rPr>
        <w:t xml:space="preserve"> </w:t>
      </w:r>
      <w:r>
        <w:rPr>
          <w:position w:val="2"/>
        </w:rPr>
        <w:t xml:space="preserve">time </w:t>
      </w:r>
      <w:r>
        <w:rPr>
          <w:w w:val="105"/>
        </w:rPr>
        <w:t>checks</w:t>
      </w:r>
      <w:r>
        <w:rPr>
          <w:spacing w:val="51"/>
          <w:w w:val="105"/>
        </w:rPr>
        <w:t xml:space="preserve"> </w:t>
      </w:r>
      <w:r>
        <w:rPr>
          <w:w w:val="105"/>
        </w:rPr>
        <w:t>per</w:t>
      </w:r>
      <w:r>
        <w:rPr>
          <w:spacing w:val="55"/>
          <w:w w:val="105"/>
        </w:rPr>
        <w:t xml:space="preserve"> </w:t>
      </w:r>
      <w:r>
        <w:rPr>
          <w:w w:val="105"/>
        </w:rPr>
        <w:t>interval</w:t>
      </w:r>
      <w:r>
        <w:rPr>
          <w:spacing w:val="55"/>
          <w:w w:val="105"/>
        </w:rPr>
        <w:t xml:space="preserve"> </w:t>
      </w:r>
      <w:r>
        <w:rPr>
          <w:w w:val="105"/>
        </w:rPr>
        <w:t>within</w:t>
      </w:r>
      <w:r>
        <w:rPr>
          <w:spacing w:val="53"/>
          <w:w w:val="105"/>
        </w:rPr>
        <w:t xml:space="preserve"> </w:t>
      </w:r>
      <w:r>
        <w:rPr>
          <w:w w:val="105"/>
        </w:rPr>
        <w:t>conditions</w:t>
      </w:r>
      <w:r>
        <w:rPr>
          <w:spacing w:val="52"/>
          <w:w w:val="105"/>
        </w:rPr>
        <w:t xml:space="preserve"> </w:t>
      </w:r>
      <w:r>
        <w:rPr>
          <w:w w:val="105"/>
        </w:rPr>
        <w:t>showed</w:t>
      </w:r>
      <w:r>
        <w:rPr>
          <w:spacing w:val="58"/>
          <w:w w:val="105"/>
        </w:rPr>
        <w:t xml:space="preserve"> </w:t>
      </w:r>
      <w:r>
        <w:rPr>
          <w:w w:val="105"/>
        </w:rPr>
        <w:t>that</w:t>
      </w:r>
      <w:r>
        <w:rPr>
          <w:spacing w:val="54"/>
          <w:w w:val="105"/>
        </w:rPr>
        <w:t xml:space="preserve"> </w:t>
      </w:r>
      <w:r>
        <w:rPr>
          <w:w w:val="105"/>
        </w:rPr>
        <w:t>the</w:t>
      </w:r>
      <w:r>
        <w:rPr>
          <w:spacing w:val="52"/>
          <w:w w:val="105"/>
        </w:rPr>
        <w:t xml:space="preserve"> </w:t>
      </w:r>
      <w:r>
        <w:rPr>
          <w:w w:val="105"/>
        </w:rPr>
        <w:t>ASD</w:t>
      </w:r>
      <w:r>
        <w:rPr>
          <w:spacing w:val="54"/>
          <w:w w:val="105"/>
        </w:rPr>
        <w:t xml:space="preserve"> </w:t>
      </w:r>
      <w:r>
        <w:rPr>
          <w:w w:val="105"/>
        </w:rPr>
        <w:t>group</w:t>
      </w:r>
      <w:r>
        <w:rPr>
          <w:spacing w:val="53"/>
          <w:w w:val="105"/>
        </w:rPr>
        <w:t xml:space="preserve"> </w:t>
      </w:r>
      <w:r>
        <w:rPr>
          <w:w w:val="105"/>
        </w:rPr>
        <w:t>checked</w:t>
      </w:r>
      <w:r>
        <w:rPr>
          <w:spacing w:val="54"/>
          <w:w w:val="105"/>
        </w:rPr>
        <w:t xml:space="preserve"> </w:t>
      </w:r>
      <w:r>
        <w:rPr>
          <w:w w:val="105"/>
        </w:rPr>
        <w:t>the</w:t>
      </w:r>
      <w:r>
        <w:rPr>
          <w:spacing w:val="53"/>
          <w:w w:val="105"/>
        </w:rPr>
        <w:t xml:space="preserve"> </w:t>
      </w:r>
      <w:r>
        <w:rPr>
          <w:w w:val="105"/>
        </w:rPr>
        <w:t>time</w:t>
      </w:r>
    </w:p>
    <w:p w14:paraId="529C561E" w14:textId="77777777" w:rsidR="00C75312" w:rsidRDefault="00C75312">
      <w:pPr>
        <w:pStyle w:val="BodyText"/>
        <w:rPr>
          <w:sz w:val="20"/>
        </w:rPr>
      </w:pPr>
    </w:p>
    <w:p w14:paraId="52A0AEF0" w14:textId="77777777" w:rsidR="00C75312" w:rsidRDefault="00BB293A">
      <w:pPr>
        <w:pStyle w:val="BodyText"/>
        <w:spacing w:before="3"/>
        <w:rPr>
          <w:sz w:val="25"/>
        </w:rPr>
      </w:pPr>
      <w:r>
        <w:pict w14:anchorId="5C68C30A">
          <v:shape id="_x0000_s2539" style="position:absolute;margin-left:1in;margin-top:16.75pt;width:2in;height:.1pt;z-index:-251546624;mso-wrap-distance-left:0;mso-wrap-distance-right:0;mso-position-horizontal-relative:page" coordorigin="1440,335" coordsize="2880,0" path="m1440,335r2880,e" filled="f" strokeweight=".48pt">
            <v:path arrowok="t"/>
            <w10:wrap type="topAndBottom" anchorx="page"/>
          </v:shape>
        </w:pict>
      </w:r>
    </w:p>
    <w:p w14:paraId="7964188E" w14:textId="77777777" w:rsidR="00C75312" w:rsidRDefault="00BB293A">
      <w:pPr>
        <w:spacing w:before="62" w:line="477" w:lineRule="auto"/>
        <w:ind w:left="140" w:right="1434"/>
        <w:jc w:val="both"/>
        <w:rPr>
          <w:sz w:val="20"/>
        </w:rPr>
      </w:pPr>
      <w:r>
        <w:rPr>
          <w:position w:val="8"/>
          <w:sz w:val="13"/>
        </w:rPr>
        <w:t xml:space="preserve">13 </w:t>
      </w:r>
      <w:r>
        <w:rPr>
          <w:position w:val="1"/>
          <w:sz w:val="20"/>
        </w:rPr>
        <w:t>It is not possible within JASP to calculate the BF</w:t>
      </w:r>
      <w:r>
        <w:rPr>
          <w:position w:val="1"/>
          <w:sz w:val="20"/>
          <w:vertAlign w:val="subscript"/>
        </w:rPr>
        <w:t>10</w:t>
      </w:r>
      <w:r>
        <w:rPr>
          <w:position w:val="1"/>
          <w:sz w:val="20"/>
        </w:rPr>
        <w:t xml:space="preserve"> for the model which is indicated based on traditional null </w:t>
      </w:r>
      <w:r>
        <w:rPr>
          <w:sz w:val="20"/>
        </w:rPr>
        <w:t>hypothesis significance testing: main effects of condition and interval, two-way interactions between Group × Interval, and Importance × Interval, and the three-way interaction Group × Importance × Interval of Importance. Therefore, it is difficult to estimate what the additional three-way interaction adds to the model in comparison to a model without it.</w:t>
      </w:r>
    </w:p>
    <w:p w14:paraId="100F0AF5" w14:textId="77777777" w:rsidR="00C75312" w:rsidRDefault="00C75312">
      <w:pPr>
        <w:spacing w:line="477" w:lineRule="auto"/>
        <w:jc w:val="both"/>
        <w:rPr>
          <w:sz w:val="20"/>
        </w:rPr>
        <w:sectPr w:rsidR="00C75312">
          <w:pgSz w:w="11900" w:h="16840"/>
          <w:pgMar w:top="1140" w:right="0" w:bottom="280" w:left="1300" w:header="720" w:footer="0" w:gutter="0"/>
          <w:cols w:space="720"/>
        </w:sectPr>
      </w:pPr>
    </w:p>
    <w:p w14:paraId="2C2406C9" w14:textId="77777777" w:rsidR="00C75312" w:rsidRDefault="00BB293A">
      <w:pPr>
        <w:pStyle w:val="BodyText"/>
        <w:spacing w:before="107" w:line="482" w:lineRule="auto"/>
        <w:ind w:left="140" w:right="1434"/>
        <w:jc w:val="both"/>
      </w:pPr>
      <w:r>
        <w:lastRenderedPageBreak/>
        <w:pict w14:anchorId="3A0F4899">
          <v:shape id="_x0000_s2538" type="#_x0000_t202" style="position:absolute;left:0;text-align:left;margin-left:325.45pt;margin-top:38.8pt;width:5.3pt;height:9.85pt;z-index:-260523008;mso-position-horizontal-relative:page" filled="f" stroked="f">
            <v:textbox inset="0,0,0,0">
              <w:txbxContent>
                <w:p w14:paraId="355414A1"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significantly</w:t>
      </w:r>
      <w:r>
        <w:rPr>
          <w:spacing w:val="-5"/>
          <w:w w:val="105"/>
        </w:rPr>
        <w:t xml:space="preserve"> </w:t>
      </w:r>
      <w:r>
        <w:rPr>
          <w:w w:val="105"/>
        </w:rPr>
        <w:t>more</w:t>
      </w:r>
      <w:r>
        <w:rPr>
          <w:spacing w:val="-6"/>
          <w:w w:val="105"/>
        </w:rPr>
        <w:t xml:space="preserve"> </w:t>
      </w:r>
      <w:r>
        <w:rPr>
          <w:w w:val="105"/>
        </w:rPr>
        <w:t>often</w:t>
      </w:r>
      <w:r>
        <w:rPr>
          <w:spacing w:val="-5"/>
          <w:w w:val="105"/>
        </w:rPr>
        <w:t xml:space="preserve"> </w:t>
      </w:r>
      <w:r>
        <w:rPr>
          <w:w w:val="105"/>
        </w:rPr>
        <w:t>for</w:t>
      </w:r>
      <w:r>
        <w:rPr>
          <w:spacing w:val="-4"/>
          <w:w w:val="105"/>
        </w:rPr>
        <w:t xml:space="preserve"> </w:t>
      </w:r>
      <w:r>
        <w:rPr>
          <w:w w:val="105"/>
        </w:rPr>
        <w:t>three</w:t>
      </w:r>
      <w:r>
        <w:rPr>
          <w:spacing w:val="-6"/>
          <w:w w:val="105"/>
        </w:rPr>
        <w:t xml:space="preserve"> </w:t>
      </w:r>
      <w:r>
        <w:rPr>
          <w:w w:val="105"/>
        </w:rPr>
        <w:t>intervals</w:t>
      </w:r>
      <w:r>
        <w:rPr>
          <w:spacing w:val="-9"/>
          <w:w w:val="105"/>
        </w:rPr>
        <w:t xml:space="preserve"> </w:t>
      </w:r>
      <w:r>
        <w:rPr>
          <w:w w:val="105"/>
        </w:rPr>
        <w:t>(31-60,</w:t>
      </w:r>
      <w:r>
        <w:rPr>
          <w:spacing w:val="-4"/>
          <w:w w:val="105"/>
        </w:rPr>
        <w:t xml:space="preserve"> </w:t>
      </w:r>
      <w:r>
        <w:rPr>
          <w:w w:val="105"/>
        </w:rPr>
        <w:t>61-90,</w:t>
      </w:r>
      <w:r>
        <w:rPr>
          <w:spacing w:val="-3"/>
          <w:w w:val="105"/>
        </w:rPr>
        <w:t xml:space="preserve"> </w:t>
      </w:r>
      <w:r>
        <w:rPr>
          <w:w w:val="105"/>
        </w:rPr>
        <w:t>91-120</w:t>
      </w:r>
      <w:r>
        <w:rPr>
          <w:spacing w:val="-5"/>
          <w:w w:val="105"/>
        </w:rPr>
        <w:t xml:space="preserve"> </w:t>
      </w:r>
      <w:r>
        <w:rPr>
          <w:w w:val="105"/>
        </w:rPr>
        <w:t>seconds)</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PM</w:t>
      </w:r>
      <w:r>
        <w:rPr>
          <w:spacing w:val="-6"/>
          <w:w w:val="105"/>
        </w:rPr>
        <w:t xml:space="preserve"> </w:t>
      </w:r>
      <w:r>
        <w:rPr>
          <w:w w:val="105"/>
        </w:rPr>
        <w:t xml:space="preserve">high </w:t>
      </w:r>
      <w:r>
        <w:rPr>
          <w:position w:val="2"/>
        </w:rPr>
        <w:t>impo</w:t>
      </w:r>
      <w:r>
        <w:rPr>
          <w:spacing w:val="1"/>
          <w:position w:val="2"/>
        </w:rPr>
        <w:t>r</w:t>
      </w:r>
      <w:r>
        <w:rPr>
          <w:position w:val="2"/>
        </w:rPr>
        <w:t>t</w:t>
      </w:r>
      <w:r>
        <w:rPr>
          <w:spacing w:val="-1"/>
          <w:position w:val="2"/>
        </w:rPr>
        <w:t>a</w:t>
      </w:r>
      <w:r>
        <w:rPr>
          <w:position w:val="2"/>
        </w:rPr>
        <w:t>n</w:t>
      </w:r>
      <w:r>
        <w:rPr>
          <w:spacing w:val="-1"/>
          <w:position w:val="2"/>
        </w:rPr>
        <w:t>c</w:t>
      </w:r>
      <w:r>
        <w:rPr>
          <w:position w:val="2"/>
        </w:rPr>
        <w:t>e</w:t>
      </w:r>
      <w:r>
        <w:rPr>
          <w:spacing w:val="-4"/>
          <w:position w:val="2"/>
        </w:rPr>
        <w:t xml:space="preserve"> </w:t>
      </w:r>
      <w:r>
        <w:rPr>
          <w:spacing w:val="-1"/>
          <w:position w:val="2"/>
        </w:rPr>
        <w:t>c</w:t>
      </w:r>
      <w:r>
        <w:rPr>
          <w:position w:val="2"/>
        </w:rPr>
        <w:t>ondition</w:t>
      </w:r>
      <w:r>
        <w:rPr>
          <w:spacing w:val="-8"/>
          <w:position w:val="2"/>
        </w:rPr>
        <w:t xml:space="preserve"> </w:t>
      </w:r>
      <w:r>
        <w:rPr>
          <w:spacing w:val="1"/>
          <w:position w:val="2"/>
        </w:rPr>
        <w:t>(</w:t>
      </w:r>
      <w:r>
        <w:rPr>
          <w:spacing w:val="-1"/>
          <w:position w:val="2"/>
        </w:rPr>
        <w:t>a</w:t>
      </w:r>
      <w:r>
        <w:rPr>
          <w:position w:val="2"/>
        </w:rPr>
        <w:t>ll</w:t>
      </w:r>
      <w:r>
        <w:rPr>
          <w:spacing w:val="-7"/>
          <w:position w:val="2"/>
        </w:rPr>
        <w:t xml:space="preserve"> </w:t>
      </w:r>
      <w:r>
        <w:rPr>
          <w:i/>
          <w:spacing w:val="2"/>
          <w:position w:val="2"/>
        </w:rPr>
        <w:t>F</w:t>
      </w:r>
      <w:r>
        <w:rPr>
          <w:position w:val="2"/>
        </w:rPr>
        <w:t>s</w:t>
      </w:r>
      <w:r>
        <w:rPr>
          <w:spacing w:val="-5"/>
          <w:position w:val="2"/>
        </w:rPr>
        <w:t xml:space="preserve"> </w:t>
      </w:r>
      <w:r>
        <w:rPr>
          <w:position w:val="2"/>
        </w:rPr>
        <w:t>≥</w:t>
      </w:r>
      <w:r>
        <w:rPr>
          <w:spacing w:val="-5"/>
          <w:position w:val="2"/>
        </w:rPr>
        <w:t xml:space="preserve"> </w:t>
      </w:r>
      <w:r>
        <w:rPr>
          <w:position w:val="2"/>
        </w:rPr>
        <w:t>5</w:t>
      </w:r>
      <w:r>
        <w:rPr>
          <w:spacing w:val="2"/>
          <w:position w:val="2"/>
        </w:rPr>
        <w:t>.</w:t>
      </w:r>
      <w:r>
        <w:rPr>
          <w:position w:val="2"/>
        </w:rPr>
        <w:t>3</w:t>
      </w:r>
      <w:r>
        <w:rPr>
          <w:spacing w:val="-5"/>
          <w:position w:val="2"/>
        </w:rPr>
        <w:t>9</w:t>
      </w:r>
      <w:r>
        <w:rPr>
          <w:position w:val="2"/>
        </w:rPr>
        <w:t xml:space="preserve">, </w:t>
      </w:r>
      <w:r>
        <w:rPr>
          <w:spacing w:val="-1"/>
          <w:position w:val="2"/>
        </w:rPr>
        <w:t>a</w:t>
      </w:r>
      <w:r>
        <w:rPr>
          <w:position w:val="2"/>
        </w:rPr>
        <w:t>ll</w:t>
      </w:r>
      <w:r>
        <w:rPr>
          <w:spacing w:val="-7"/>
          <w:position w:val="2"/>
        </w:rPr>
        <w:t xml:space="preserve"> </w:t>
      </w:r>
      <w:proofErr w:type="spellStart"/>
      <w:r>
        <w:rPr>
          <w:i/>
          <w:position w:val="2"/>
        </w:rPr>
        <w:t>p</w:t>
      </w:r>
      <w:r>
        <w:rPr>
          <w:position w:val="2"/>
        </w:rPr>
        <w:t>s</w:t>
      </w:r>
      <w:proofErr w:type="spellEnd"/>
      <w:r>
        <w:rPr>
          <w:spacing w:val="-5"/>
          <w:position w:val="2"/>
        </w:rPr>
        <w:t xml:space="preserve"> </w:t>
      </w:r>
      <w:r>
        <w:rPr>
          <w:position w:val="2"/>
        </w:rPr>
        <w:t>≤</w:t>
      </w:r>
      <w:r>
        <w:rPr>
          <w:spacing w:val="-10"/>
          <w:position w:val="2"/>
        </w:rPr>
        <w:t xml:space="preserve"> </w:t>
      </w:r>
      <w:r>
        <w:rPr>
          <w:spacing w:val="2"/>
          <w:position w:val="2"/>
        </w:rPr>
        <w:t>.</w:t>
      </w:r>
      <w:r>
        <w:rPr>
          <w:position w:val="2"/>
        </w:rPr>
        <w:t>03,</w:t>
      </w:r>
      <w:r>
        <w:rPr>
          <w:spacing w:val="-5"/>
          <w:position w:val="2"/>
        </w:rPr>
        <w:t xml:space="preserve"> </w:t>
      </w:r>
      <w:r>
        <w:rPr>
          <w:spacing w:val="-1"/>
          <w:position w:val="2"/>
        </w:rPr>
        <w:t>a</w:t>
      </w:r>
      <w:r>
        <w:rPr>
          <w:position w:val="2"/>
        </w:rPr>
        <w:t>ll</w:t>
      </w:r>
      <w:r>
        <w:rPr>
          <w:spacing w:val="-12"/>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6"/>
          <w:position w:val="2"/>
        </w:rPr>
        <w:t xml:space="preserve"> </w:t>
      </w:r>
      <w:r>
        <w:rPr>
          <w:position w:val="2"/>
        </w:rPr>
        <w:t>≥</w:t>
      </w:r>
      <w:r>
        <w:rPr>
          <w:spacing w:val="-5"/>
          <w:position w:val="2"/>
        </w:rPr>
        <w:t xml:space="preserve"> </w:t>
      </w:r>
      <w:r>
        <w:rPr>
          <w:spacing w:val="2"/>
          <w:position w:val="2"/>
        </w:rPr>
        <w:t>.</w:t>
      </w:r>
      <w:r>
        <w:rPr>
          <w:position w:val="2"/>
        </w:rPr>
        <w:t>1</w:t>
      </w:r>
      <w:r>
        <w:rPr>
          <w:spacing w:val="-5"/>
          <w:position w:val="2"/>
        </w:rPr>
        <w:t>1</w:t>
      </w:r>
      <w:r>
        <w:rPr>
          <w:position w:val="2"/>
        </w:rPr>
        <w:t xml:space="preserve">, </w:t>
      </w:r>
      <w:r>
        <w:rPr>
          <w:spacing w:val="-1"/>
          <w:position w:val="2"/>
        </w:rPr>
        <w:t>a</w:t>
      </w:r>
      <w:r>
        <w:rPr>
          <w:position w:val="2"/>
        </w:rPr>
        <w:t>ll</w:t>
      </w:r>
      <w:r>
        <w:rPr>
          <w:spacing w:val="-7"/>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5"/>
          <w:position w:val="2"/>
        </w:rPr>
        <w:t xml:space="preserve"> </w:t>
      </w:r>
      <w:r>
        <w:rPr>
          <w:position w:val="2"/>
        </w:rPr>
        <w:t>≥</w:t>
      </w:r>
      <w:r>
        <w:rPr>
          <w:spacing w:val="-5"/>
          <w:position w:val="2"/>
        </w:rPr>
        <w:t xml:space="preserve"> </w:t>
      </w:r>
      <w:r>
        <w:rPr>
          <w:position w:val="2"/>
        </w:rPr>
        <w:t>5</w:t>
      </w:r>
      <w:r>
        <w:rPr>
          <w:spacing w:val="2"/>
          <w:position w:val="2"/>
        </w:rPr>
        <w:t>.</w:t>
      </w:r>
      <w:r>
        <w:rPr>
          <w:position w:val="2"/>
        </w:rPr>
        <w:t>0</w:t>
      </w:r>
      <w:r>
        <w:rPr>
          <w:spacing w:val="-5"/>
          <w:position w:val="2"/>
        </w:rPr>
        <w:t>5</w:t>
      </w:r>
      <w:r>
        <w:rPr>
          <w:spacing w:val="1"/>
          <w:position w:val="2"/>
        </w:rPr>
        <w:t>)</w:t>
      </w:r>
      <w:r>
        <w:rPr>
          <w:position w:val="2"/>
        </w:rPr>
        <w:t>,</w:t>
      </w:r>
      <w:r>
        <w:rPr>
          <w:spacing w:val="-5"/>
          <w:position w:val="2"/>
        </w:rPr>
        <w:t xml:space="preserve"> </w:t>
      </w:r>
      <w:r>
        <w:rPr>
          <w:spacing w:val="-1"/>
          <w:position w:val="2"/>
        </w:rPr>
        <w:t>w</w:t>
      </w:r>
      <w:r>
        <w:rPr>
          <w:position w:val="2"/>
        </w:rPr>
        <w:t>h</w:t>
      </w:r>
      <w:r>
        <w:rPr>
          <w:spacing w:val="-1"/>
          <w:position w:val="2"/>
        </w:rPr>
        <w:t>e</w:t>
      </w:r>
      <w:r>
        <w:rPr>
          <w:spacing w:val="1"/>
          <w:position w:val="2"/>
        </w:rPr>
        <w:t>r</w:t>
      </w:r>
      <w:r>
        <w:rPr>
          <w:spacing w:val="-1"/>
          <w:position w:val="2"/>
        </w:rPr>
        <w:t>ea</w:t>
      </w:r>
      <w:r>
        <w:rPr>
          <w:position w:val="2"/>
        </w:rPr>
        <w:t>s</w:t>
      </w:r>
      <w:r>
        <w:rPr>
          <w:spacing w:val="-5"/>
          <w:position w:val="2"/>
        </w:rPr>
        <w:t xml:space="preserve"> </w:t>
      </w:r>
      <w:r>
        <w:rPr>
          <w:position w:val="2"/>
        </w:rPr>
        <w:t>the</w:t>
      </w:r>
      <w:r>
        <w:rPr>
          <w:spacing w:val="-4"/>
          <w:position w:val="2"/>
        </w:rPr>
        <w:t xml:space="preserve"> </w:t>
      </w:r>
      <w:r>
        <w:rPr>
          <w:spacing w:val="-1"/>
          <w:position w:val="2"/>
        </w:rPr>
        <w:t>N</w:t>
      </w:r>
      <w:r>
        <w:rPr>
          <w:position w:val="2"/>
        </w:rPr>
        <w:t xml:space="preserve">T </w:t>
      </w:r>
      <w:r>
        <w:rPr>
          <w:w w:val="105"/>
        </w:rPr>
        <w:t>group</w:t>
      </w:r>
      <w:r>
        <w:rPr>
          <w:spacing w:val="-19"/>
          <w:w w:val="105"/>
        </w:rPr>
        <w:t xml:space="preserve"> </w:t>
      </w:r>
      <w:r>
        <w:rPr>
          <w:w w:val="105"/>
        </w:rPr>
        <w:t>only</w:t>
      </w:r>
      <w:r>
        <w:rPr>
          <w:spacing w:val="-19"/>
          <w:w w:val="105"/>
        </w:rPr>
        <w:t xml:space="preserve"> </w:t>
      </w:r>
      <w:r>
        <w:rPr>
          <w:w w:val="105"/>
        </w:rPr>
        <w:t>checked</w:t>
      </w:r>
      <w:r>
        <w:rPr>
          <w:spacing w:val="-19"/>
          <w:w w:val="105"/>
        </w:rPr>
        <w:t xml:space="preserve"> </w:t>
      </w:r>
      <w:r>
        <w:rPr>
          <w:w w:val="105"/>
        </w:rPr>
        <w:t>the</w:t>
      </w:r>
      <w:r>
        <w:rPr>
          <w:spacing w:val="-19"/>
          <w:w w:val="105"/>
        </w:rPr>
        <w:t xml:space="preserve"> </w:t>
      </w:r>
      <w:r>
        <w:rPr>
          <w:w w:val="105"/>
        </w:rPr>
        <w:t>time</w:t>
      </w:r>
      <w:r>
        <w:rPr>
          <w:spacing w:val="-19"/>
          <w:w w:val="105"/>
        </w:rPr>
        <w:t xml:space="preserve"> </w:t>
      </w:r>
      <w:r>
        <w:rPr>
          <w:w w:val="105"/>
        </w:rPr>
        <w:t>more</w:t>
      </w:r>
      <w:r>
        <w:rPr>
          <w:spacing w:val="-20"/>
          <w:w w:val="105"/>
        </w:rPr>
        <w:t xml:space="preserve"> </w:t>
      </w:r>
      <w:r>
        <w:rPr>
          <w:w w:val="105"/>
        </w:rPr>
        <w:t>often</w:t>
      </w:r>
      <w:r>
        <w:rPr>
          <w:spacing w:val="-19"/>
          <w:w w:val="105"/>
        </w:rPr>
        <w:t xml:space="preserve"> </w:t>
      </w:r>
      <w:r>
        <w:rPr>
          <w:w w:val="105"/>
        </w:rPr>
        <w:t>in</w:t>
      </w:r>
      <w:r>
        <w:rPr>
          <w:spacing w:val="-22"/>
          <w:w w:val="105"/>
        </w:rPr>
        <w:t xml:space="preserve"> </w:t>
      </w:r>
      <w:r>
        <w:rPr>
          <w:w w:val="105"/>
        </w:rPr>
        <w:t>intervals</w:t>
      </w:r>
      <w:r>
        <w:rPr>
          <w:spacing w:val="-20"/>
          <w:w w:val="105"/>
        </w:rPr>
        <w:t xml:space="preserve"> </w:t>
      </w:r>
      <w:r>
        <w:rPr>
          <w:w w:val="105"/>
        </w:rPr>
        <w:t>31-60</w:t>
      </w:r>
      <w:r>
        <w:rPr>
          <w:spacing w:val="-18"/>
          <w:w w:val="105"/>
        </w:rPr>
        <w:t xml:space="preserve"> </w:t>
      </w:r>
      <w:r>
        <w:rPr>
          <w:w w:val="105"/>
        </w:rPr>
        <w:t>and</w:t>
      </w:r>
      <w:r>
        <w:rPr>
          <w:spacing w:val="-19"/>
          <w:w w:val="105"/>
        </w:rPr>
        <w:t xml:space="preserve"> </w:t>
      </w:r>
      <w:r>
        <w:rPr>
          <w:w w:val="105"/>
        </w:rPr>
        <w:t>91-120</w:t>
      </w:r>
      <w:r>
        <w:rPr>
          <w:spacing w:val="-19"/>
          <w:w w:val="105"/>
        </w:rPr>
        <w:t xml:space="preserve"> </w:t>
      </w:r>
      <w:r>
        <w:rPr>
          <w:w w:val="105"/>
        </w:rPr>
        <w:t>(all</w:t>
      </w:r>
      <w:r>
        <w:rPr>
          <w:spacing w:val="-19"/>
          <w:w w:val="105"/>
        </w:rPr>
        <w:t xml:space="preserve"> </w:t>
      </w:r>
      <w:r>
        <w:rPr>
          <w:i/>
          <w:w w:val="105"/>
        </w:rPr>
        <w:t>F</w:t>
      </w:r>
      <w:r>
        <w:rPr>
          <w:w w:val="105"/>
        </w:rPr>
        <w:t>s</w:t>
      </w:r>
      <w:r>
        <w:rPr>
          <w:spacing w:val="-20"/>
          <w:w w:val="105"/>
        </w:rPr>
        <w:t xml:space="preserve"> </w:t>
      </w:r>
      <w:r>
        <w:rPr>
          <w:w w:val="105"/>
        </w:rPr>
        <w:t>≥</w:t>
      </w:r>
      <w:r>
        <w:rPr>
          <w:spacing w:val="-20"/>
          <w:w w:val="105"/>
        </w:rPr>
        <w:t xml:space="preserve"> </w:t>
      </w:r>
      <w:r>
        <w:rPr>
          <w:w w:val="105"/>
        </w:rPr>
        <w:t>4.48,</w:t>
      </w:r>
      <w:r>
        <w:rPr>
          <w:spacing w:val="-17"/>
          <w:w w:val="105"/>
        </w:rPr>
        <w:t xml:space="preserve"> </w:t>
      </w:r>
      <w:r>
        <w:rPr>
          <w:w w:val="105"/>
        </w:rPr>
        <w:t>all</w:t>
      </w:r>
      <w:r>
        <w:rPr>
          <w:spacing w:val="-22"/>
          <w:w w:val="105"/>
        </w:rPr>
        <w:t xml:space="preserve"> </w:t>
      </w:r>
      <w:proofErr w:type="spellStart"/>
      <w:r>
        <w:rPr>
          <w:i/>
          <w:w w:val="105"/>
        </w:rPr>
        <w:t>p</w:t>
      </w:r>
      <w:r>
        <w:rPr>
          <w:w w:val="105"/>
        </w:rPr>
        <w:t>s</w:t>
      </w:r>
      <w:proofErr w:type="spellEnd"/>
      <w:r>
        <w:rPr>
          <w:spacing w:val="-20"/>
          <w:w w:val="105"/>
        </w:rPr>
        <w:t xml:space="preserve"> </w:t>
      </w:r>
      <w:r>
        <w:rPr>
          <w:w w:val="105"/>
        </w:rPr>
        <w:t>≤</w:t>
      </w:r>
    </w:p>
    <w:p w14:paraId="7D25262E" w14:textId="77777777" w:rsidR="00C75312" w:rsidRDefault="00BB293A">
      <w:pPr>
        <w:pStyle w:val="BodyText"/>
        <w:spacing w:line="301" w:lineRule="exact"/>
        <w:ind w:left="140"/>
        <w:jc w:val="both"/>
      </w:pPr>
      <w:r>
        <w:pict w14:anchorId="7760F9FC">
          <v:shape id="_x0000_s2537" type="#_x0000_t202" style="position:absolute;left:0;text-align:left;margin-left:114.25pt;margin-top:5.85pt;width:5.3pt;height:9.85pt;z-index:-260521984;mso-position-horizontal-relative:page" filled="f" stroked="f">
            <v:textbox inset="0,0,0,0">
              <w:txbxContent>
                <w:p w14:paraId="4F5E115D"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spacing w:val="2"/>
          <w:position w:val="2"/>
        </w:rPr>
        <w:t>.</w:t>
      </w:r>
      <w:r>
        <w:rPr>
          <w:position w:val="2"/>
        </w:rPr>
        <w:t xml:space="preserve">04, </w:t>
      </w:r>
      <w:r>
        <w:rPr>
          <w:spacing w:val="-1"/>
          <w:position w:val="2"/>
        </w:rPr>
        <w:t>a</w:t>
      </w:r>
      <w:r>
        <w:rPr>
          <w:position w:val="2"/>
        </w:rPr>
        <w:t>ll</w:t>
      </w:r>
      <w:r>
        <w:rPr>
          <w:spacing w:val="-2"/>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6"/>
          <w:position w:val="2"/>
        </w:rPr>
        <w:t xml:space="preserve"> </w:t>
      </w:r>
      <w:r>
        <w:rPr>
          <w:position w:val="2"/>
        </w:rPr>
        <w:t xml:space="preserve">≥ </w:t>
      </w:r>
      <w:r>
        <w:rPr>
          <w:spacing w:val="2"/>
          <w:position w:val="2"/>
        </w:rPr>
        <w:t>.</w:t>
      </w:r>
      <w:r>
        <w:rPr>
          <w:position w:val="2"/>
        </w:rPr>
        <w:t>0</w:t>
      </w:r>
      <w:r>
        <w:rPr>
          <w:spacing w:val="-5"/>
          <w:position w:val="2"/>
        </w:rPr>
        <w:t>9</w:t>
      </w:r>
      <w:r>
        <w:rPr>
          <w:position w:val="2"/>
        </w:rPr>
        <w:t>,</w:t>
      </w:r>
      <w:r>
        <w:rPr>
          <w:spacing w:val="4"/>
          <w:position w:val="2"/>
        </w:rPr>
        <w:t xml:space="preserve"> </w:t>
      </w:r>
      <w:r>
        <w:rPr>
          <w:position w:val="2"/>
        </w:rPr>
        <w:t>int</w:t>
      </w:r>
      <w:r>
        <w:rPr>
          <w:spacing w:val="-6"/>
          <w:position w:val="2"/>
        </w:rPr>
        <w:t>e</w:t>
      </w:r>
      <w:r>
        <w:rPr>
          <w:spacing w:val="1"/>
          <w:position w:val="2"/>
        </w:rPr>
        <w:t>r</w:t>
      </w:r>
      <w:r>
        <w:rPr>
          <w:position w:val="2"/>
        </w:rPr>
        <w:t>v</w:t>
      </w:r>
      <w:r>
        <w:rPr>
          <w:spacing w:val="-1"/>
          <w:position w:val="2"/>
        </w:rPr>
        <w:t>a</w:t>
      </w:r>
      <w:r>
        <w:rPr>
          <w:position w:val="2"/>
        </w:rPr>
        <w:t>l</w:t>
      </w:r>
      <w:r>
        <w:rPr>
          <w:spacing w:val="2"/>
          <w:position w:val="2"/>
        </w:rPr>
        <w:t xml:space="preserve"> </w:t>
      </w:r>
      <w:r>
        <w:rPr>
          <w:position w:val="2"/>
        </w:rPr>
        <w:t>31</w:t>
      </w:r>
      <w:r>
        <w:rPr>
          <w:spacing w:val="-4"/>
          <w:position w:val="2"/>
        </w:rPr>
        <w:t>-</w:t>
      </w:r>
      <w:r>
        <w:rPr>
          <w:position w:val="2"/>
        </w:rPr>
        <w:t>60</w:t>
      </w:r>
      <w:r>
        <w:rPr>
          <w:spacing w:val="2"/>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20"/>
          <w:position w:val="2"/>
        </w:rPr>
        <w:t xml:space="preserve"> </w:t>
      </w:r>
      <w:r>
        <w:rPr>
          <w:position w:val="2"/>
        </w:rPr>
        <w:t>=</w:t>
      </w:r>
      <w:r>
        <w:rPr>
          <w:spacing w:val="1"/>
          <w:position w:val="2"/>
        </w:rPr>
        <w:t xml:space="preserve"> </w:t>
      </w:r>
      <w:r>
        <w:rPr>
          <w:spacing w:val="-5"/>
          <w:position w:val="2"/>
        </w:rPr>
        <w:t>1</w:t>
      </w:r>
      <w:r>
        <w:rPr>
          <w:spacing w:val="2"/>
          <w:position w:val="2"/>
        </w:rPr>
        <w:t>.</w:t>
      </w:r>
      <w:r>
        <w:rPr>
          <w:position w:val="2"/>
        </w:rPr>
        <w:t>15, int</w:t>
      </w:r>
      <w:r>
        <w:rPr>
          <w:spacing w:val="-1"/>
          <w:position w:val="2"/>
        </w:rPr>
        <w:t>e</w:t>
      </w:r>
      <w:r>
        <w:rPr>
          <w:spacing w:val="1"/>
          <w:position w:val="2"/>
        </w:rPr>
        <w:t>r</w:t>
      </w:r>
      <w:r>
        <w:rPr>
          <w:position w:val="2"/>
        </w:rPr>
        <w:t>v</w:t>
      </w:r>
      <w:r>
        <w:rPr>
          <w:spacing w:val="-1"/>
          <w:position w:val="2"/>
        </w:rPr>
        <w:t>a</w:t>
      </w:r>
      <w:r>
        <w:rPr>
          <w:position w:val="2"/>
        </w:rPr>
        <w:t>l</w:t>
      </w:r>
      <w:r>
        <w:rPr>
          <w:spacing w:val="-7"/>
          <w:position w:val="2"/>
        </w:rPr>
        <w:t xml:space="preserve"> </w:t>
      </w:r>
      <w:r>
        <w:rPr>
          <w:position w:val="2"/>
        </w:rPr>
        <w:t>91</w:t>
      </w:r>
      <w:r>
        <w:rPr>
          <w:spacing w:val="-4"/>
          <w:position w:val="2"/>
        </w:rPr>
        <w:t>-</w:t>
      </w:r>
      <w:r>
        <w:rPr>
          <w:position w:val="2"/>
        </w:rPr>
        <w:t>120</w:t>
      </w:r>
      <w:r>
        <w:rPr>
          <w:spacing w:val="2"/>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20"/>
          <w:position w:val="2"/>
        </w:rPr>
        <w:t xml:space="preserve"> </w:t>
      </w:r>
      <w:r>
        <w:rPr>
          <w:position w:val="2"/>
        </w:rPr>
        <w:t>=</w:t>
      </w:r>
      <w:r>
        <w:rPr>
          <w:spacing w:val="1"/>
          <w:position w:val="2"/>
        </w:rPr>
        <w:t xml:space="preserve"> </w:t>
      </w:r>
      <w:r>
        <w:rPr>
          <w:position w:val="2"/>
        </w:rPr>
        <w:t>24</w:t>
      </w:r>
      <w:r>
        <w:rPr>
          <w:spacing w:val="2"/>
          <w:position w:val="2"/>
        </w:rPr>
        <w:t>.</w:t>
      </w:r>
      <w:r>
        <w:rPr>
          <w:position w:val="2"/>
        </w:rPr>
        <w:t>39</w:t>
      </w:r>
      <w:r>
        <w:rPr>
          <w:spacing w:val="-4"/>
          <w:position w:val="2"/>
        </w:rPr>
        <w:t>).</w:t>
      </w:r>
    </w:p>
    <w:p w14:paraId="1536B8C3" w14:textId="77777777" w:rsidR="00C75312" w:rsidRDefault="00C75312">
      <w:pPr>
        <w:pStyle w:val="BodyText"/>
        <w:rPr>
          <w:sz w:val="30"/>
        </w:rPr>
      </w:pPr>
    </w:p>
    <w:p w14:paraId="6F5AC2AA" w14:textId="77777777" w:rsidR="00C75312" w:rsidRDefault="00BB293A">
      <w:pPr>
        <w:pStyle w:val="Heading1"/>
        <w:spacing w:before="227"/>
        <w:jc w:val="both"/>
      </w:pPr>
      <w:r>
        <w:t>Cognitive correlates</w:t>
      </w:r>
    </w:p>
    <w:p w14:paraId="07EAEBF2" w14:textId="77777777" w:rsidR="00C75312" w:rsidRDefault="00C75312">
      <w:pPr>
        <w:pStyle w:val="BodyText"/>
        <w:rPr>
          <w:b/>
        </w:rPr>
      </w:pPr>
    </w:p>
    <w:p w14:paraId="5A6A63E0" w14:textId="77777777" w:rsidR="00C75312" w:rsidRDefault="00BB293A">
      <w:pPr>
        <w:pStyle w:val="BodyText"/>
        <w:spacing w:line="480" w:lineRule="auto"/>
        <w:ind w:left="140" w:right="1434" w:firstLine="720"/>
        <w:jc w:val="both"/>
      </w:pPr>
      <w:r>
        <w:rPr>
          <w:b/>
        </w:rPr>
        <w:t xml:space="preserve">Ongoing task. </w:t>
      </w:r>
      <w:r>
        <w:t>Ongoing task performance was collapsed across conditions for each group before being entered into correlation analyses. Additionally, to explore correlates of change in ongoing task hits between conditions, a difference score was computed (positive values indicating better ongoing performance in the PM low importance condition). No relations between executive functions measures (indexed by self-reported executive function problems</w:t>
      </w:r>
      <w:r>
        <w:rPr>
          <w:spacing w:val="-12"/>
        </w:rPr>
        <w:t xml:space="preserve"> </w:t>
      </w:r>
      <w:r>
        <w:t>on</w:t>
      </w:r>
      <w:r>
        <w:rPr>
          <w:spacing w:val="-9"/>
        </w:rPr>
        <w:t xml:space="preserve"> </w:t>
      </w:r>
      <w:r>
        <w:t>the</w:t>
      </w:r>
      <w:r>
        <w:rPr>
          <w:spacing w:val="-10"/>
        </w:rPr>
        <w:t xml:space="preserve"> </w:t>
      </w:r>
      <w:r>
        <w:t>BRIEF-A,</w:t>
      </w:r>
      <w:r>
        <w:rPr>
          <w:spacing w:val="-6"/>
        </w:rPr>
        <w:t xml:space="preserve"> </w:t>
      </w:r>
      <w:r>
        <w:t>as</w:t>
      </w:r>
      <w:r>
        <w:rPr>
          <w:spacing w:val="-11"/>
        </w:rPr>
        <w:t xml:space="preserve"> </w:t>
      </w:r>
      <w:r>
        <w:t>well</w:t>
      </w:r>
      <w:r>
        <w:rPr>
          <w:spacing w:val="-8"/>
        </w:rPr>
        <w:t xml:space="preserve"> </w:t>
      </w:r>
      <w:r>
        <w:t>as</w:t>
      </w:r>
      <w:r>
        <w:rPr>
          <w:spacing w:val="-11"/>
        </w:rPr>
        <w:t xml:space="preserve"> </w:t>
      </w:r>
      <w:r>
        <w:t>performance</w:t>
      </w:r>
      <w:r>
        <w:rPr>
          <w:spacing w:val="-5"/>
        </w:rPr>
        <w:t xml:space="preserve"> </w:t>
      </w:r>
      <w:r>
        <w:t>on</w:t>
      </w:r>
      <w:r>
        <w:rPr>
          <w:spacing w:val="-9"/>
        </w:rPr>
        <w:t xml:space="preserve"> </w:t>
      </w:r>
      <w:r>
        <w:t>the</w:t>
      </w:r>
      <w:r>
        <w:rPr>
          <w:spacing w:val="-10"/>
        </w:rPr>
        <w:t xml:space="preserve"> </w:t>
      </w:r>
      <w:r>
        <w:t>WCST</w:t>
      </w:r>
      <w:r>
        <w:rPr>
          <w:spacing w:val="-7"/>
        </w:rPr>
        <w:t xml:space="preserve"> </w:t>
      </w:r>
      <w:r>
        <w:t>and</w:t>
      </w:r>
      <w:r>
        <w:rPr>
          <w:spacing w:val="-9"/>
        </w:rPr>
        <w:t xml:space="preserve"> </w:t>
      </w:r>
      <w:r>
        <w:t>Stroop)</w:t>
      </w:r>
      <w:r>
        <w:rPr>
          <w:spacing w:val="-7"/>
        </w:rPr>
        <w:t xml:space="preserve"> </w:t>
      </w:r>
      <w:r>
        <w:t>and</w:t>
      </w:r>
      <w:r>
        <w:rPr>
          <w:spacing w:val="-9"/>
        </w:rPr>
        <w:t xml:space="preserve"> </w:t>
      </w:r>
      <w:r>
        <w:t>ongoing</w:t>
      </w:r>
      <w:r>
        <w:rPr>
          <w:spacing w:val="-9"/>
        </w:rPr>
        <w:t xml:space="preserve"> </w:t>
      </w:r>
      <w:r>
        <w:t>task performance or the change in performance were found in either group. The only significant correlation was found between mindreading and ongoing task performance in the ASD group (see</w:t>
      </w:r>
      <w:r>
        <w:rPr>
          <w:spacing w:val="-12"/>
        </w:rPr>
        <w:t xml:space="preserve"> </w:t>
      </w:r>
      <w:r>
        <w:t>Table</w:t>
      </w:r>
      <w:r>
        <w:rPr>
          <w:spacing w:val="-11"/>
        </w:rPr>
        <w:t xml:space="preserve"> </w:t>
      </w:r>
      <w:r>
        <w:t>15).</w:t>
      </w:r>
      <w:r>
        <w:rPr>
          <w:spacing w:val="39"/>
        </w:rPr>
        <w:t xml:space="preserve"> </w:t>
      </w:r>
      <w:r>
        <w:t>Therefore,</w:t>
      </w:r>
      <w:r>
        <w:rPr>
          <w:spacing w:val="-7"/>
        </w:rPr>
        <w:t xml:space="preserve"> </w:t>
      </w:r>
      <w:r>
        <w:t>ongoing</w:t>
      </w:r>
      <w:r>
        <w:rPr>
          <w:spacing w:val="-10"/>
        </w:rPr>
        <w:t xml:space="preserve"> </w:t>
      </w:r>
      <w:r>
        <w:t>task</w:t>
      </w:r>
      <w:r>
        <w:rPr>
          <w:spacing w:val="-10"/>
        </w:rPr>
        <w:t xml:space="preserve"> </w:t>
      </w:r>
      <w:r>
        <w:t>performance</w:t>
      </w:r>
      <w:r>
        <w:rPr>
          <w:spacing w:val="-11"/>
        </w:rPr>
        <w:t xml:space="preserve"> </w:t>
      </w:r>
      <w:r>
        <w:t>was</w:t>
      </w:r>
      <w:r>
        <w:rPr>
          <w:spacing w:val="-12"/>
        </w:rPr>
        <w:t xml:space="preserve"> </w:t>
      </w:r>
      <w:proofErr w:type="spellStart"/>
      <w:r>
        <w:t>partialled</w:t>
      </w:r>
      <w:proofErr w:type="spellEnd"/>
      <w:r>
        <w:rPr>
          <w:spacing w:val="-11"/>
        </w:rPr>
        <w:t xml:space="preserve"> </w:t>
      </w:r>
      <w:r>
        <w:t>out</w:t>
      </w:r>
      <w:r>
        <w:rPr>
          <w:spacing w:val="-9"/>
        </w:rPr>
        <w:t xml:space="preserve"> </w:t>
      </w:r>
      <w:r>
        <w:t>when</w:t>
      </w:r>
      <w:r>
        <w:rPr>
          <w:spacing w:val="-10"/>
        </w:rPr>
        <w:t xml:space="preserve"> </w:t>
      </w:r>
      <w:r>
        <w:t>investigating</w:t>
      </w:r>
      <w:r>
        <w:rPr>
          <w:spacing w:val="-10"/>
        </w:rPr>
        <w:t xml:space="preserve"> </w:t>
      </w:r>
      <w:r>
        <w:t>the correlation between mindreading and change in PM</w:t>
      </w:r>
      <w:r>
        <w:rPr>
          <w:spacing w:val="3"/>
        </w:rPr>
        <w:t xml:space="preserve"> </w:t>
      </w:r>
      <w:r>
        <w:t>performance.</w:t>
      </w:r>
    </w:p>
    <w:p w14:paraId="3E8674B9" w14:textId="77777777" w:rsidR="00C75312" w:rsidRDefault="00BB293A">
      <w:pPr>
        <w:pStyle w:val="BodyText"/>
        <w:spacing w:before="121" w:line="480" w:lineRule="auto"/>
        <w:ind w:left="140" w:right="1435" w:firstLine="720"/>
        <w:jc w:val="both"/>
      </w:pPr>
      <w:r>
        <w:rPr>
          <w:b/>
        </w:rPr>
        <w:t xml:space="preserve">PM task. </w:t>
      </w:r>
      <w:r>
        <w:t xml:space="preserve">Difference scores were computed for proportion hit scores, target accuracy, and time checks in the critical last interval. Subsequently, a series of planned correlations was performed between indices of time-based PM performance change and a) time monitoring; b) self-report and </w:t>
      </w:r>
      <w:proofErr w:type="spellStart"/>
      <w:r>
        <w:t>behavioural</w:t>
      </w:r>
      <w:proofErr w:type="spellEnd"/>
      <w:r>
        <w:t xml:space="preserve"> measures of executive functions; c) a self-report measure of memory; and d) self-report and </w:t>
      </w:r>
      <w:proofErr w:type="spellStart"/>
      <w:r>
        <w:t>behavioural</w:t>
      </w:r>
      <w:proofErr w:type="spellEnd"/>
      <w:r>
        <w:t xml:space="preserve"> measures of mindreading. Furthermore, correlations explored whether modulation of time monitoring frequency was assoc</w:t>
      </w:r>
      <w:r>
        <w:t>iated with any of these measures (see Table 15 for all the results of the correlation analyses and the associated Bayes factors).</w:t>
      </w:r>
    </w:p>
    <w:p w14:paraId="4738A9B5" w14:textId="77777777" w:rsidR="00C75312" w:rsidRDefault="00C75312">
      <w:pPr>
        <w:spacing w:line="480" w:lineRule="auto"/>
        <w:jc w:val="both"/>
        <w:sectPr w:rsidR="00C75312">
          <w:pgSz w:w="11900" w:h="16840"/>
          <w:pgMar w:top="1140" w:right="0" w:bottom="280" w:left="1300" w:header="720" w:footer="0" w:gutter="0"/>
          <w:cols w:space="720"/>
        </w:sectPr>
      </w:pPr>
    </w:p>
    <w:p w14:paraId="63D3700D" w14:textId="77777777" w:rsidR="00C75312" w:rsidRDefault="00BB293A">
      <w:pPr>
        <w:spacing w:before="106"/>
        <w:ind w:left="140"/>
        <w:rPr>
          <w:i/>
          <w:sz w:val="20"/>
        </w:rPr>
      </w:pPr>
      <w:r>
        <w:rPr>
          <w:i/>
          <w:sz w:val="20"/>
        </w:rPr>
        <w:lastRenderedPageBreak/>
        <w:t>Table 15. Correlates of change (Δ) in PM and ongoing performance, and ongoing performance overall</w:t>
      </w:r>
    </w:p>
    <w:p w14:paraId="417E80C2" w14:textId="77777777" w:rsidR="00C75312" w:rsidRDefault="00C75312">
      <w:pPr>
        <w:pStyle w:val="BodyText"/>
        <w:spacing w:before="1"/>
        <w:rPr>
          <w:i/>
          <w:sz w:val="17"/>
        </w:rPr>
      </w:pPr>
    </w:p>
    <w:p w14:paraId="2D1E6ABE" w14:textId="77777777" w:rsidR="00C75312" w:rsidRDefault="00BB293A">
      <w:pPr>
        <w:pStyle w:val="BodyText"/>
        <w:spacing w:line="20" w:lineRule="exact"/>
        <w:ind w:left="135"/>
        <w:rPr>
          <w:sz w:val="2"/>
        </w:rPr>
      </w:pPr>
      <w:r>
        <w:rPr>
          <w:sz w:val="2"/>
        </w:rPr>
      </w:r>
      <w:r>
        <w:rPr>
          <w:sz w:val="2"/>
        </w:rPr>
        <w:pict w14:anchorId="1C0F9755">
          <v:group id="_x0000_s2523" style="width:451pt;height:.5pt;mso-position-horizontal-relative:char;mso-position-vertical-relative:line" coordsize="9020,10">
            <v:line id="_x0000_s2536" style="position:absolute" from="0,5" to="1560,5" strokeweight=".48pt"/>
            <v:rect id="_x0000_s2535" style="position:absolute;left:1560;width:10;height:10" fillcolor="black" stroked="f"/>
            <v:line id="_x0000_s2534" style="position:absolute" from="1570,5" to="2410,5" strokeweight=".48pt"/>
            <v:rect id="_x0000_s2533" style="position:absolute;left:2409;width:10;height:10" fillcolor="black" stroked="f"/>
            <v:line id="_x0000_s2532" style="position:absolute" from="2419,5" to="3000,5" strokeweight=".48pt"/>
            <v:rect id="_x0000_s2531" style="position:absolute;left:3000;width:10;height:10" fillcolor="black" stroked="f"/>
            <v:line id="_x0000_s2530" style="position:absolute" from="3010,5" to="4339,5" strokeweight=".48pt"/>
            <v:rect id="_x0000_s2529" style="position:absolute;left:4339;width:10;height:10" fillcolor="black" stroked="f"/>
            <v:line id="_x0000_s2528" style="position:absolute" from="4349,5" to="5626,5" strokeweight=".48pt"/>
            <v:rect id="_x0000_s2527" style="position:absolute;left:5625;width:10;height:10" fillcolor="black" stroked="f"/>
            <v:line id="_x0000_s2526" style="position:absolute" from="5635,5" to="7651,5" strokeweight=".48pt"/>
            <v:rect id="_x0000_s2525" style="position:absolute;left:7651;width:10;height:10" fillcolor="black" stroked="f"/>
            <v:line id="_x0000_s2524" style="position:absolute" from="7661,5" to="9019,5" strokeweight=".48pt"/>
            <w10:anchorlock/>
          </v:group>
        </w:pict>
      </w:r>
    </w:p>
    <w:p w14:paraId="02F1D3D1" w14:textId="77777777" w:rsidR="00C75312" w:rsidRDefault="00C75312">
      <w:pPr>
        <w:spacing w:line="20" w:lineRule="exact"/>
        <w:rPr>
          <w:sz w:val="2"/>
        </w:rPr>
        <w:sectPr w:rsidR="00C75312">
          <w:pgSz w:w="11900" w:h="16840"/>
          <w:pgMar w:top="1140" w:right="0" w:bottom="280" w:left="1300" w:header="720" w:footer="0" w:gutter="0"/>
          <w:cols w:space="720"/>
        </w:sectPr>
      </w:pPr>
    </w:p>
    <w:p w14:paraId="1257B5C5" w14:textId="77777777" w:rsidR="00C75312" w:rsidRDefault="00BB293A">
      <w:pPr>
        <w:tabs>
          <w:tab w:val="left" w:pos="3255"/>
        </w:tabs>
        <w:spacing w:before="48" w:line="170" w:lineRule="auto"/>
        <w:ind w:left="3692" w:hanging="1882"/>
        <w:rPr>
          <w:b/>
          <w:sz w:val="20"/>
        </w:rPr>
      </w:pPr>
      <w:r>
        <w:pict w14:anchorId="1D2D552C">
          <v:group id="_x0000_s2509" style="position:absolute;left:0;text-align:left;margin-left:1in;margin-top:28.55pt;width:451pt;height:.5pt;z-index:251782144;mso-position-horizontal-relative:page" coordorigin="1440,571" coordsize="9020,10">
            <v:line id="_x0000_s2522" style="position:absolute" from="1440,575" to="3000,575" strokeweight=".48pt"/>
            <v:rect id="_x0000_s2521" style="position:absolute;left:3000;top:570;width:10;height:10" fillcolor="black" stroked="f"/>
            <v:line id="_x0000_s2520" style="position:absolute" from="3010,575" to="3850,575" strokeweight=".48pt"/>
            <v:rect id="_x0000_s2519" style="position:absolute;left:3849;top:570;width:10;height:10" fillcolor="black" stroked="f"/>
            <v:line id="_x0000_s2518" style="position:absolute" from="3859,575" to="4440,575" strokeweight=".48pt"/>
            <v:rect id="_x0000_s2517" style="position:absolute;left:4440;top:570;width:10;height:10" fillcolor="black" stroked="f"/>
            <v:line id="_x0000_s2516" style="position:absolute" from="4450,575" to="5779,575" strokeweight=".48pt"/>
            <v:rect id="_x0000_s2515" style="position:absolute;left:5779;top:570;width:10;height:10" fillcolor="black" stroked="f"/>
            <v:line id="_x0000_s2514" style="position:absolute" from="5789,575" to="7066,575" strokeweight=".48pt"/>
            <v:rect id="_x0000_s2513" style="position:absolute;left:7065;top:570;width:10;height:10" fillcolor="black" stroked="f"/>
            <v:line id="_x0000_s2512" style="position:absolute" from="7075,575" to="9091,575" strokeweight=".48pt"/>
            <v:rect id="_x0000_s2511" style="position:absolute;left:9091;top:570;width:10;height:10" fillcolor="black" stroked="f"/>
            <v:line id="_x0000_s2510" style="position:absolute" from="9101,575" to="10459,575" strokeweight=".48pt"/>
            <w10:wrap anchorx="page"/>
          </v:group>
        </w:pict>
      </w:r>
      <w:r>
        <w:rPr>
          <w:b/>
          <w:position w:val="-11"/>
          <w:sz w:val="20"/>
        </w:rPr>
        <w:t>Group</w:t>
      </w:r>
      <w:r>
        <w:rPr>
          <w:b/>
          <w:position w:val="-11"/>
          <w:sz w:val="20"/>
        </w:rPr>
        <w:tab/>
      </w:r>
      <w:r>
        <w:rPr>
          <w:b/>
          <w:sz w:val="20"/>
        </w:rPr>
        <w:t>Δ proportion hit</w:t>
      </w:r>
    </w:p>
    <w:p w14:paraId="49E50CED" w14:textId="77777777" w:rsidR="00C75312" w:rsidRDefault="00BB293A">
      <w:pPr>
        <w:spacing w:before="28" w:line="261" w:lineRule="auto"/>
        <w:ind w:left="327" w:right="-13" w:firstLine="43"/>
        <w:rPr>
          <w:b/>
          <w:sz w:val="20"/>
        </w:rPr>
      </w:pPr>
      <w:r>
        <w:br w:type="column"/>
      </w:r>
      <w:r>
        <w:rPr>
          <w:b/>
          <w:sz w:val="20"/>
        </w:rPr>
        <w:t>Δ target accuracy</w:t>
      </w:r>
    </w:p>
    <w:p w14:paraId="732DC014" w14:textId="77777777" w:rsidR="00C75312" w:rsidRDefault="00BB293A">
      <w:pPr>
        <w:spacing w:before="28" w:line="261" w:lineRule="auto"/>
        <w:ind w:left="584" w:right="-16" w:hanging="216"/>
        <w:rPr>
          <w:b/>
          <w:sz w:val="20"/>
        </w:rPr>
      </w:pPr>
      <w:r>
        <w:br w:type="column"/>
      </w:r>
      <w:r>
        <w:rPr>
          <w:b/>
          <w:sz w:val="20"/>
        </w:rPr>
        <w:t>Ongoing proportion hits (collapsed)</w:t>
      </w:r>
    </w:p>
    <w:p w14:paraId="3D2EB341" w14:textId="77777777" w:rsidR="00C75312" w:rsidRDefault="00BB293A">
      <w:pPr>
        <w:spacing w:before="28" w:line="261" w:lineRule="auto"/>
        <w:ind w:left="639" w:right="1551" w:hanging="399"/>
        <w:rPr>
          <w:b/>
          <w:sz w:val="20"/>
        </w:rPr>
      </w:pPr>
      <w:r>
        <w:br w:type="column"/>
      </w:r>
      <w:r>
        <w:rPr>
          <w:b/>
          <w:sz w:val="20"/>
        </w:rPr>
        <w:t>Δ proportion hits</w:t>
      </w:r>
    </w:p>
    <w:p w14:paraId="439FA559" w14:textId="77777777" w:rsidR="00C75312" w:rsidRDefault="00C75312">
      <w:pPr>
        <w:spacing w:line="261" w:lineRule="auto"/>
        <w:rPr>
          <w:sz w:val="20"/>
        </w:rPr>
        <w:sectPr w:rsidR="00C75312">
          <w:type w:val="continuous"/>
          <w:pgSz w:w="11900" w:h="16840"/>
          <w:pgMar w:top="700" w:right="0" w:bottom="280" w:left="1300" w:header="720" w:footer="720" w:gutter="0"/>
          <w:cols w:num="4" w:space="720" w:equalWidth="0">
            <w:col w:w="4371" w:space="40"/>
            <w:col w:w="1101" w:space="39"/>
            <w:col w:w="2089" w:space="40"/>
            <w:col w:w="2920"/>
          </w:cols>
        </w:sectPr>
      </w:pPr>
    </w:p>
    <w:p w14:paraId="5E970DEA" w14:textId="77777777" w:rsidR="00C75312" w:rsidRDefault="00BB293A">
      <w:pPr>
        <w:spacing w:before="89" w:line="261" w:lineRule="auto"/>
        <w:ind w:left="245" w:right="358"/>
        <w:rPr>
          <w:i/>
          <w:sz w:val="20"/>
        </w:rPr>
      </w:pPr>
      <w:r>
        <w:rPr>
          <w:i/>
          <w:sz w:val="20"/>
        </w:rPr>
        <w:t xml:space="preserve">Δ I4 time </w:t>
      </w:r>
      <w:r>
        <w:rPr>
          <w:i/>
          <w:sz w:val="20"/>
        </w:rPr>
        <w:t>monitoring</w:t>
      </w:r>
    </w:p>
    <w:p w14:paraId="63FDA7E4" w14:textId="77777777" w:rsidR="00C75312" w:rsidRDefault="00C75312">
      <w:pPr>
        <w:pStyle w:val="BodyText"/>
        <w:rPr>
          <w:i/>
          <w:sz w:val="22"/>
        </w:rPr>
      </w:pPr>
    </w:p>
    <w:p w14:paraId="151EC686" w14:textId="77777777" w:rsidR="00C75312" w:rsidRDefault="00C75312">
      <w:pPr>
        <w:pStyle w:val="BodyText"/>
        <w:rPr>
          <w:i/>
          <w:sz w:val="22"/>
        </w:rPr>
      </w:pPr>
    </w:p>
    <w:p w14:paraId="58B2BD59" w14:textId="77777777" w:rsidR="00C75312" w:rsidRDefault="00C75312">
      <w:pPr>
        <w:pStyle w:val="BodyText"/>
        <w:rPr>
          <w:i/>
          <w:sz w:val="22"/>
        </w:rPr>
      </w:pPr>
    </w:p>
    <w:p w14:paraId="5C16E1C9" w14:textId="77777777" w:rsidR="00C75312" w:rsidRDefault="00C75312">
      <w:pPr>
        <w:pStyle w:val="BodyText"/>
        <w:spacing w:before="11"/>
        <w:rPr>
          <w:i/>
          <w:sz w:val="31"/>
        </w:rPr>
      </w:pPr>
    </w:p>
    <w:p w14:paraId="74E0CFC8" w14:textId="77777777" w:rsidR="00C75312" w:rsidRDefault="00BB293A">
      <w:pPr>
        <w:ind w:left="245"/>
        <w:rPr>
          <w:i/>
          <w:sz w:val="20"/>
        </w:rPr>
      </w:pPr>
      <w:r>
        <w:pict w14:anchorId="6F2942C9">
          <v:group id="_x0000_s2495" style="position:absolute;left:0;text-align:left;margin-left:1in;margin-top:-2.4pt;width:451pt;height:.5pt;z-index:251786240;mso-position-horizontal-relative:page" coordorigin="1440,-48" coordsize="9020,10">
            <v:line id="_x0000_s2508" style="position:absolute" from="1440,-44" to="3000,-44" strokeweight=".48pt"/>
            <v:rect id="_x0000_s2507" style="position:absolute;left:3000;top:-49;width:10;height:10" fillcolor="black" stroked="f"/>
            <v:line id="_x0000_s2506" style="position:absolute" from="3010,-44" to="3850,-44" strokeweight=".48pt"/>
            <v:rect id="_x0000_s2505" style="position:absolute;left:3849;top:-49;width:10;height:10" fillcolor="black" stroked="f"/>
            <v:line id="_x0000_s2504" style="position:absolute" from="3859,-44" to="4440,-44" strokeweight=".48pt"/>
            <v:rect id="_x0000_s2503" style="position:absolute;left:4440;top:-49;width:10;height:10" fillcolor="black" stroked="f"/>
            <v:line id="_x0000_s2502" style="position:absolute" from="4450,-44" to="5779,-44" strokeweight=".48pt"/>
            <v:rect id="_x0000_s2501" style="position:absolute;left:5779;top:-49;width:10;height:10" fillcolor="black" stroked="f"/>
            <v:line id="_x0000_s2500" style="position:absolute" from="5789,-44" to="7066,-44" strokeweight=".48pt"/>
            <v:rect id="_x0000_s2499" style="position:absolute;left:7065;top:-49;width:10;height:10" fillcolor="black" stroked="f"/>
            <v:line id="_x0000_s2498" style="position:absolute" from="7075,-44" to="9091,-44" strokeweight=".48pt"/>
            <v:rect id="_x0000_s2497" style="position:absolute;left:9091;top:-49;width:10;height:10" fillcolor="black" stroked="f"/>
            <v:line id="_x0000_s2496" style="position:absolute" from="9101,-44" to="10459,-44" strokeweight=".48pt"/>
            <w10:wrap anchorx="page"/>
          </v:group>
        </w:pict>
      </w:r>
      <w:r>
        <w:rPr>
          <w:i/>
          <w:sz w:val="20"/>
        </w:rPr>
        <w:t>BRIEF</w:t>
      </w:r>
    </w:p>
    <w:p w14:paraId="6F901DD8" w14:textId="77777777" w:rsidR="00C75312" w:rsidRDefault="00BB293A">
      <w:pPr>
        <w:spacing w:before="19"/>
        <w:ind w:left="245"/>
        <w:rPr>
          <w:i/>
          <w:sz w:val="20"/>
        </w:rPr>
      </w:pPr>
      <w:r>
        <w:rPr>
          <w:i/>
          <w:sz w:val="20"/>
        </w:rPr>
        <w:t>inhibition scale</w:t>
      </w:r>
    </w:p>
    <w:p w14:paraId="06D5E0C8" w14:textId="77777777" w:rsidR="00C75312" w:rsidRDefault="00C75312">
      <w:pPr>
        <w:pStyle w:val="BodyText"/>
        <w:rPr>
          <w:i/>
          <w:sz w:val="22"/>
        </w:rPr>
      </w:pPr>
    </w:p>
    <w:p w14:paraId="561D0F21" w14:textId="77777777" w:rsidR="00C75312" w:rsidRDefault="00C75312">
      <w:pPr>
        <w:pStyle w:val="BodyText"/>
        <w:rPr>
          <w:i/>
          <w:sz w:val="22"/>
        </w:rPr>
      </w:pPr>
    </w:p>
    <w:p w14:paraId="33DA40DA" w14:textId="77777777" w:rsidR="00C75312" w:rsidRDefault="00C75312">
      <w:pPr>
        <w:pStyle w:val="BodyText"/>
        <w:rPr>
          <w:i/>
          <w:sz w:val="22"/>
        </w:rPr>
      </w:pPr>
    </w:p>
    <w:p w14:paraId="56F6B932" w14:textId="77777777" w:rsidR="00C75312" w:rsidRDefault="00C75312">
      <w:pPr>
        <w:pStyle w:val="BodyText"/>
        <w:rPr>
          <w:i/>
          <w:sz w:val="22"/>
        </w:rPr>
      </w:pPr>
    </w:p>
    <w:p w14:paraId="522B9060" w14:textId="77777777" w:rsidR="00C75312" w:rsidRDefault="00BB293A">
      <w:pPr>
        <w:spacing w:before="136" w:line="261" w:lineRule="auto"/>
        <w:ind w:left="245" w:right="41"/>
        <w:rPr>
          <w:i/>
          <w:sz w:val="20"/>
        </w:rPr>
      </w:pPr>
      <w:r>
        <w:pict w14:anchorId="1CF41601">
          <v:group id="_x0000_s2481" style="position:absolute;left:0;text-align:left;margin-left:1in;margin-top:4.4pt;width:451pt;height:.5pt;z-index:251790336;mso-position-horizontal-relative:page" coordorigin="1440,88" coordsize="9020,10">
            <v:line id="_x0000_s2494" style="position:absolute" from="1440,92" to="3000,92" strokeweight=".48pt"/>
            <v:rect id="_x0000_s2493" style="position:absolute;left:3000;top:87;width:10;height:10" fillcolor="black" stroked="f"/>
            <v:line id="_x0000_s2492" style="position:absolute" from="3010,92" to="3850,92" strokeweight=".48pt"/>
            <v:rect id="_x0000_s2491" style="position:absolute;left:3849;top:87;width:10;height:10" fillcolor="black" stroked="f"/>
            <v:line id="_x0000_s2490" style="position:absolute" from="3859,92" to="4440,92" strokeweight=".48pt"/>
            <v:rect id="_x0000_s2489" style="position:absolute;left:4440;top:87;width:10;height:10" fillcolor="black" stroked="f"/>
            <v:line id="_x0000_s2488" style="position:absolute" from="4450,92" to="5779,92" strokeweight=".48pt"/>
            <v:rect id="_x0000_s2487" style="position:absolute;left:5779;top:87;width:10;height:10" fillcolor="black" stroked="f"/>
            <v:line id="_x0000_s2486" style="position:absolute" from="5789,92" to="7066,92" strokeweight=".48pt"/>
            <v:rect id="_x0000_s2485" style="position:absolute;left:7065;top:87;width:10;height:10" fillcolor="black" stroked="f"/>
            <v:line id="_x0000_s2484" style="position:absolute" from="7075,92" to="9091,92" strokeweight=".48pt"/>
            <v:rect id="_x0000_s2483" style="position:absolute;left:9091;top:87;width:10;height:10" fillcolor="black" stroked="f"/>
            <v:line id="_x0000_s2482" style="position:absolute" from="9101,92" to="10459,92" strokeweight=".48pt"/>
            <w10:wrap anchorx="page"/>
          </v:group>
        </w:pict>
      </w:r>
      <w:r>
        <w:rPr>
          <w:i/>
          <w:sz w:val="20"/>
        </w:rPr>
        <w:t>BRIEF shifting scale</w:t>
      </w:r>
    </w:p>
    <w:p w14:paraId="6C4E8B37" w14:textId="77777777" w:rsidR="00C75312" w:rsidRDefault="00C75312">
      <w:pPr>
        <w:pStyle w:val="BodyText"/>
        <w:rPr>
          <w:i/>
          <w:sz w:val="22"/>
        </w:rPr>
      </w:pPr>
    </w:p>
    <w:p w14:paraId="1C3F9CBE" w14:textId="77777777" w:rsidR="00C75312" w:rsidRDefault="00C75312">
      <w:pPr>
        <w:pStyle w:val="BodyText"/>
        <w:rPr>
          <w:i/>
          <w:sz w:val="22"/>
        </w:rPr>
      </w:pPr>
    </w:p>
    <w:p w14:paraId="4F6CDDE5" w14:textId="77777777" w:rsidR="00C75312" w:rsidRDefault="00C75312">
      <w:pPr>
        <w:pStyle w:val="BodyText"/>
        <w:rPr>
          <w:i/>
          <w:sz w:val="22"/>
        </w:rPr>
      </w:pPr>
    </w:p>
    <w:p w14:paraId="1E896EDD" w14:textId="77777777" w:rsidR="00C75312" w:rsidRDefault="00C75312">
      <w:pPr>
        <w:pStyle w:val="BodyText"/>
        <w:spacing w:before="10"/>
        <w:rPr>
          <w:i/>
          <w:sz w:val="31"/>
        </w:rPr>
      </w:pPr>
    </w:p>
    <w:p w14:paraId="196ED181" w14:textId="77777777" w:rsidR="00C75312" w:rsidRDefault="00BB293A">
      <w:pPr>
        <w:spacing w:before="1"/>
        <w:ind w:left="245"/>
        <w:rPr>
          <w:i/>
          <w:sz w:val="20"/>
        </w:rPr>
      </w:pPr>
      <w:r>
        <w:pict w14:anchorId="5AFCD6F0">
          <v:group id="_x0000_s2467" style="position:absolute;left:0;text-align:left;margin-left:1in;margin-top:-2.35pt;width:451pt;height:.5pt;z-index:251794432;mso-position-horizontal-relative:page" coordorigin="1440,-47" coordsize="9020,10">
            <v:line id="_x0000_s2480" style="position:absolute" from="1440,-43" to="3000,-43" strokeweight=".48pt"/>
            <v:rect id="_x0000_s2479" style="position:absolute;left:3000;top:-48;width:10;height:10" fillcolor="black" stroked="f"/>
            <v:line id="_x0000_s2478" style="position:absolute" from="3010,-43" to="3850,-43" strokeweight=".48pt"/>
            <v:rect id="_x0000_s2477" style="position:absolute;left:3849;top:-48;width:10;height:10" fillcolor="black" stroked="f"/>
            <v:line id="_x0000_s2476" style="position:absolute" from="3859,-43" to="4440,-43" strokeweight=".48pt"/>
            <v:rect id="_x0000_s2475" style="position:absolute;left:4440;top:-48;width:10;height:10" fillcolor="black" stroked="f"/>
            <v:line id="_x0000_s2474" style="position:absolute" from="4450,-43" to="5779,-43" strokeweight=".48pt"/>
            <v:rect id="_x0000_s2473" style="position:absolute;left:5779;top:-48;width:10;height:10" fillcolor="black" stroked="f"/>
            <v:line id="_x0000_s2472" style="position:absolute" from="5789,-43" to="7066,-43" strokeweight=".48pt"/>
            <v:rect id="_x0000_s2471" style="position:absolute;left:7065;top:-48;width:10;height:10" fillcolor="black" stroked="f"/>
            <v:line id="_x0000_s2470" style="position:absolute" from="7075,-43" to="9091,-43" strokeweight=".48pt"/>
            <v:rect id="_x0000_s2469" style="position:absolute;left:9091;top:-48;width:10;height:10" fillcolor="black" stroked="f"/>
            <v:line id="_x0000_s2468" style="position:absolute" from="9101,-43" to="10459,-43" strokeweight=".48pt"/>
            <w10:wrap anchorx="page"/>
          </v:group>
        </w:pict>
      </w:r>
      <w:r>
        <w:rPr>
          <w:i/>
          <w:sz w:val="20"/>
        </w:rPr>
        <w:t>WCST</w:t>
      </w:r>
    </w:p>
    <w:p w14:paraId="4B6804B3" w14:textId="77777777" w:rsidR="00C75312" w:rsidRDefault="00BB293A">
      <w:pPr>
        <w:spacing w:before="19" w:line="261" w:lineRule="auto"/>
        <w:ind w:left="245" w:right="182"/>
        <w:rPr>
          <w:i/>
          <w:sz w:val="20"/>
        </w:rPr>
      </w:pPr>
      <w:r>
        <w:rPr>
          <w:i/>
          <w:spacing w:val="-1"/>
          <w:sz w:val="20"/>
        </w:rPr>
        <w:t xml:space="preserve">perseverative </w:t>
      </w:r>
      <w:r>
        <w:rPr>
          <w:i/>
          <w:sz w:val="20"/>
        </w:rPr>
        <w:t>errors</w:t>
      </w:r>
    </w:p>
    <w:p w14:paraId="708921C3" w14:textId="77777777" w:rsidR="00C75312" w:rsidRDefault="00C75312">
      <w:pPr>
        <w:pStyle w:val="BodyText"/>
        <w:rPr>
          <w:i/>
          <w:sz w:val="22"/>
        </w:rPr>
      </w:pPr>
    </w:p>
    <w:p w14:paraId="57E134C4" w14:textId="77777777" w:rsidR="00C75312" w:rsidRDefault="00C75312">
      <w:pPr>
        <w:pStyle w:val="BodyText"/>
        <w:rPr>
          <w:i/>
          <w:sz w:val="22"/>
        </w:rPr>
      </w:pPr>
    </w:p>
    <w:p w14:paraId="75B23803" w14:textId="77777777" w:rsidR="00C75312" w:rsidRDefault="00C75312">
      <w:pPr>
        <w:pStyle w:val="BodyText"/>
        <w:spacing w:before="2"/>
        <w:rPr>
          <w:i/>
          <w:sz w:val="32"/>
        </w:rPr>
      </w:pPr>
    </w:p>
    <w:p w14:paraId="511BD21C" w14:textId="77777777" w:rsidR="00C75312" w:rsidRDefault="00BB293A">
      <w:pPr>
        <w:spacing w:before="1" w:line="261" w:lineRule="auto"/>
        <w:ind w:left="245" w:right="-14"/>
        <w:rPr>
          <w:i/>
          <w:sz w:val="20"/>
        </w:rPr>
      </w:pPr>
      <w:r>
        <w:pict w14:anchorId="30CEA655">
          <v:group id="_x0000_s2453" style="position:absolute;left:0;text-align:left;margin-left:1in;margin-top:-2.35pt;width:451pt;height:.5pt;z-index:251798528;mso-position-horizontal-relative:page" coordorigin="1440,-47" coordsize="9020,10">
            <v:line id="_x0000_s2466" style="position:absolute" from="1440,-43" to="3000,-43" strokeweight=".48pt"/>
            <v:rect id="_x0000_s2465" style="position:absolute;left:3000;top:-48;width:10;height:10" fillcolor="black" stroked="f"/>
            <v:line id="_x0000_s2464" style="position:absolute" from="3010,-43" to="3850,-43" strokeweight=".48pt"/>
            <v:rect id="_x0000_s2463" style="position:absolute;left:3849;top:-48;width:10;height:10" fillcolor="black" stroked="f"/>
            <v:line id="_x0000_s2462" style="position:absolute" from="3859,-43" to="4440,-43" strokeweight=".48pt"/>
            <v:rect id="_x0000_s2461" style="position:absolute;left:4440;top:-48;width:10;height:10" fillcolor="black" stroked="f"/>
            <v:line id="_x0000_s2460" style="position:absolute" from="4450,-43" to="5779,-43" strokeweight=".48pt"/>
            <v:rect id="_x0000_s2459" style="position:absolute;left:5779;top:-48;width:10;height:10" fillcolor="black" stroked="f"/>
            <v:line id="_x0000_s2458" style="position:absolute" from="5789,-43" to="7066,-43" strokeweight=".48pt"/>
            <v:rect id="_x0000_s2457" style="position:absolute;left:7065;top:-48;width:10;height:10" fillcolor="black" stroked="f"/>
            <v:line id="_x0000_s2456" style="position:absolute" from="7075,-43" to="9091,-43" strokeweight=".48pt"/>
            <v:rect id="_x0000_s2455" style="position:absolute;left:9091;top:-48;width:10;height:10" fillcolor="black" stroked="f"/>
            <v:line id="_x0000_s2454" style="position:absolute" from="9101,-43" to="10459,-43" strokeweight=".48pt"/>
            <w10:wrap anchorx="page"/>
          </v:group>
        </w:pict>
      </w:r>
      <w:r>
        <w:rPr>
          <w:i/>
          <w:sz w:val="20"/>
        </w:rPr>
        <w:t>Stroop inhibition index</w:t>
      </w:r>
    </w:p>
    <w:p w14:paraId="3358624D" w14:textId="77777777" w:rsidR="00C75312" w:rsidRDefault="00C75312">
      <w:pPr>
        <w:pStyle w:val="BodyText"/>
        <w:rPr>
          <w:i/>
          <w:sz w:val="22"/>
        </w:rPr>
      </w:pPr>
    </w:p>
    <w:p w14:paraId="60BFED8D" w14:textId="77777777" w:rsidR="00C75312" w:rsidRDefault="00C75312">
      <w:pPr>
        <w:pStyle w:val="BodyText"/>
        <w:rPr>
          <w:i/>
          <w:sz w:val="22"/>
        </w:rPr>
      </w:pPr>
    </w:p>
    <w:p w14:paraId="3E09224C" w14:textId="77777777" w:rsidR="00C75312" w:rsidRDefault="00C75312">
      <w:pPr>
        <w:pStyle w:val="BodyText"/>
        <w:rPr>
          <w:i/>
          <w:sz w:val="22"/>
        </w:rPr>
      </w:pPr>
    </w:p>
    <w:p w14:paraId="7F75A2E9" w14:textId="77777777" w:rsidR="00C75312" w:rsidRDefault="00C75312">
      <w:pPr>
        <w:pStyle w:val="BodyText"/>
        <w:spacing w:before="10"/>
        <w:rPr>
          <w:i/>
          <w:sz w:val="31"/>
        </w:rPr>
      </w:pPr>
    </w:p>
    <w:p w14:paraId="5EF7B4A9" w14:textId="77777777" w:rsidR="00C75312" w:rsidRDefault="00BB293A">
      <w:pPr>
        <w:spacing w:line="261" w:lineRule="auto"/>
        <w:ind w:left="245" w:right="202"/>
        <w:rPr>
          <w:i/>
          <w:sz w:val="20"/>
        </w:rPr>
      </w:pPr>
      <w:r>
        <w:pict w14:anchorId="02CFC900">
          <v:group id="_x0000_s2439" style="position:absolute;left:0;text-align:left;margin-left:1in;margin-top:-2.4pt;width:451pt;height:.5pt;z-index:251802624;mso-position-horizontal-relative:page" coordorigin="1440,-48" coordsize="9020,10">
            <v:line id="_x0000_s2452" style="position:absolute" from="1440,-44" to="3000,-44" strokeweight=".48pt"/>
            <v:rect id="_x0000_s2451" style="position:absolute;left:3000;top:-49;width:10;height:10" fillcolor="black" stroked="f"/>
            <v:line id="_x0000_s2450" style="position:absolute" from="3010,-44" to="3850,-44" strokeweight=".48pt"/>
            <v:rect id="_x0000_s2449" style="position:absolute;left:3849;top:-49;width:10;height:10" fillcolor="black" stroked="f"/>
            <v:line id="_x0000_s2448" style="position:absolute" from="3859,-44" to="4440,-44" strokeweight=".48pt"/>
            <v:rect id="_x0000_s2447" style="position:absolute;left:4440;top:-49;width:10;height:10" fillcolor="black" stroked="f"/>
            <v:line id="_x0000_s2446" style="position:absolute" from="4450,-44" to="5779,-44" strokeweight=".48pt"/>
            <v:rect id="_x0000_s2445" style="position:absolute;left:5779;top:-49;width:10;height:10" fillcolor="black" stroked="f"/>
            <v:line id="_x0000_s2444" style="position:absolute" from="5789,-44" to="7066,-44" strokeweight=".48pt"/>
            <v:rect id="_x0000_s2443" style="position:absolute;left:7065;top:-49;width:10;height:10" fillcolor="black" stroked="f"/>
            <v:line id="_x0000_s2442" style="position:absolute" from="7075,-44" to="9091,-44" strokeweight=".48pt"/>
            <v:rect id="_x0000_s2441" style="position:absolute;left:9091;top:-49;width:10;height:10" fillcolor="black" stroked="f"/>
            <v:line id="_x0000_s2440" style="position:absolute" from="9101,-44" to="10459,-44" strokeweight=".48pt"/>
            <w10:wrap anchorx="page"/>
          </v:group>
        </w:pict>
      </w:r>
      <w:r>
        <w:rPr>
          <w:i/>
          <w:sz w:val="20"/>
        </w:rPr>
        <w:t>Mindreading score (Animations task)</w:t>
      </w:r>
    </w:p>
    <w:p w14:paraId="5FDAA683" w14:textId="77777777" w:rsidR="00C75312" w:rsidRDefault="00C75312">
      <w:pPr>
        <w:pStyle w:val="BodyText"/>
        <w:rPr>
          <w:i/>
          <w:sz w:val="22"/>
        </w:rPr>
      </w:pPr>
    </w:p>
    <w:p w14:paraId="6232D7BD" w14:textId="77777777" w:rsidR="00C75312" w:rsidRDefault="00C75312">
      <w:pPr>
        <w:pStyle w:val="BodyText"/>
        <w:spacing w:before="8"/>
        <w:rPr>
          <w:i/>
          <w:sz w:val="32"/>
        </w:rPr>
      </w:pPr>
    </w:p>
    <w:p w14:paraId="538B59EE" w14:textId="77777777" w:rsidR="00C75312" w:rsidRDefault="00BB293A">
      <w:pPr>
        <w:ind w:left="245"/>
        <w:rPr>
          <w:i/>
          <w:sz w:val="20"/>
        </w:rPr>
      </w:pPr>
      <w:r>
        <w:pict w14:anchorId="785EA85D">
          <v:group id="_x0000_s2425" style="position:absolute;left:0;text-align:left;margin-left:1in;margin-top:-2.4pt;width:451pt;height:.5pt;z-index:251806720;mso-position-horizontal-relative:page" coordorigin="1440,-48" coordsize="9020,10">
            <v:line id="_x0000_s2438" style="position:absolute" from="1440,-44" to="3000,-44" strokeweight=".48pt"/>
            <v:rect id="_x0000_s2437" style="position:absolute;left:3000;top:-49;width:10;height:10" fillcolor="black" stroked="f"/>
            <v:line id="_x0000_s2436" style="position:absolute" from="3010,-44" to="3850,-44" strokeweight=".48pt"/>
            <v:rect id="_x0000_s2435" style="position:absolute;left:3849;top:-49;width:10;height:10" fillcolor="black" stroked="f"/>
            <v:line id="_x0000_s2434" style="position:absolute" from="3859,-44" to="4440,-44" strokeweight=".48pt"/>
            <v:rect id="_x0000_s2433" style="position:absolute;left:4440;top:-49;width:10;height:10" fillcolor="black" stroked="f"/>
            <v:line id="_x0000_s2432" style="position:absolute" from="4450,-44" to="5779,-44" strokeweight=".48pt"/>
            <v:rect id="_x0000_s2431" style="position:absolute;left:5779;top:-49;width:10;height:10" fillcolor="black" stroked="f"/>
            <v:line id="_x0000_s2430" style="position:absolute" from="5789,-44" to="7066,-44" strokeweight=".48pt"/>
            <v:rect id="_x0000_s2429" style="position:absolute;left:7065;top:-49;width:10;height:10" fillcolor="black" stroked="f"/>
            <v:line id="_x0000_s2428" style="position:absolute" from="7075,-44" to="9091,-44" strokeweight=".48pt"/>
            <v:rect id="_x0000_s2427" style="position:absolute;left:9091;top:-49;width:10;height:10" fillcolor="black" stroked="f"/>
            <v:line id="_x0000_s2426" style="position:absolute" from="9101,-44" to="10459,-44" strokeweight=".48pt"/>
            <w10:wrap anchorx="page"/>
          </v:group>
        </w:pict>
      </w:r>
      <w:r>
        <w:rPr>
          <w:i/>
          <w:sz w:val="20"/>
        </w:rPr>
        <w:t>PRMQ</w:t>
      </w:r>
    </w:p>
    <w:p w14:paraId="2405EB5C" w14:textId="77777777" w:rsidR="00C75312" w:rsidRDefault="00BB293A">
      <w:pPr>
        <w:spacing w:before="20" w:line="254" w:lineRule="auto"/>
        <w:ind w:left="245" w:right="141"/>
        <w:rPr>
          <w:i/>
          <w:sz w:val="20"/>
        </w:rPr>
      </w:pPr>
      <w:r>
        <w:rPr>
          <w:i/>
          <w:sz w:val="20"/>
        </w:rPr>
        <w:t>prospective memory scale</w:t>
      </w:r>
    </w:p>
    <w:p w14:paraId="1222F17B" w14:textId="77777777" w:rsidR="00C75312" w:rsidRDefault="00C75312">
      <w:pPr>
        <w:pStyle w:val="BodyText"/>
        <w:rPr>
          <w:i/>
          <w:sz w:val="22"/>
        </w:rPr>
      </w:pPr>
    </w:p>
    <w:p w14:paraId="6196B2FB" w14:textId="77777777" w:rsidR="00C75312" w:rsidRDefault="00C75312">
      <w:pPr>
        <w:pStyle w:val="BodyText"/>
        <w:rPr>
          <w:i/>
          <w:sz w:val="22"/>
        </w:rPr>
      </w:pPr>
    </w:p>
    <w:p w14:paraId="6D5D22F8" w14:textId="77777777" w:rsidR="00C75312" w:rsidRDefault="00C75312">
      <w:pPr>
        <w:pStyle w:val="BodyText"/>
        <w:rPr>
          <w:i/>
          <w:sz w:val="22"/>
        </w:rPr>
      </w:pPr>
    </w:p>
    <w:p w14:paraId="2913717E" w14:textId="77777777" w:rsidR="00C75312" w:rsidRDefault="00BB293A">
      <w:pPr>
        <w:spacing w:before="131"/>
        <w:ind w:left="245"/>
        <w:rPr>
          <w:i/>
          <w:sz w:val="20"/>
        </w:rPr>
      </w:pPr>
      <w:r>
        <w:pict w14:anchorId="626DEDCC">
          <v:group id="_x0000_s2411" style="position:absolute;left:0;text-align:left;margin-left:1in;margin-top:4.15pt;width:451pt;height:.5pt;z-index:251810816;mso-position-horizontal-relative:page" coordorigin="1440,83" coordsize="9020,10">
            <v:line id="_x0000_s2424" style="position:absolute" from="1440,87" to="3000,87" strokeweight=".48pt"/>
            <v:rect id="_x0000_s2423" style="position:absolute;left:3000;top:82;width:10;height:10" fillcolor="black" stroked="f"/>
            <v:line id="_x0000_s2422" style="position:absolute" from="3010,87" to="3850,87" strokeweight=".48pt"/>
            <v:rect id="_x0000_s2421" style="position:absolute;left:3849;top:82;width:10;height:10" fillcolor="black" stroked="f"/>
            <v:line id="_x0000_s2420" style="position:absolute" from="3859,87" to="4440,87" strokeweight=".48pt"/>
            <v:rect id="_x0000_s2419" style="position:absolute;left:4440;top:82;width:10;height:10" fillcolor="black" stroked="f"/>
            <v:line id="_x0000_s2418" style="position:absolute" from="4450,87" to="5779,87" strokeweight=".48pt"/>
            <v:rect id="_x0000_s2417" style="position:absolute;left:5779;top:82;width:10;height:10" fillcolor="black" stroked="f"/>
            <v:line id="_x0000_s2416" style="position:absolute" from="5789,87" to="7066,87" strokeweight=".48pt"/>
            <v:rect id="_x0000_s2415" style="position:absolute;left:7065;top:82;width:10;height:10" fillcolor="black" stroked="f"/>
            <v:line id="_x0000_s2414" style="position:absolute" from="7075,87" to="9091,87" strokeweight=".48pt"/>
            <v:rect id="_x0000_s2413" style="position:absolute;left:9091;top:82;width:10;height:10" fillcolor="black" stroked="f"/>
            <v:line id="_x0000_s2412" style="position:absolute" from="9101,87" to="10459,87" strokeweight=".48pt"/>
            <w10:wrap anchorx="page"/>
          </v:group>
        </w:pict>
      </w:r>
      <w:r>
        <w:rPr>
          <w:i/>
          <w:sz w:val="20"/>
        </w:rPr>
        <w:t>PRMQ</w:t>
      </w:r>
    </w:p>
    <w:p w14:paraId="69F5A9BD" w14:textId="77777777" w:rsidR="00C75312" w:rsidRDefault="00BB293A">
      <w:pPr>
        <w:spacing w:before="20" w:line="261" w:lineRule="auto"/>
        <w:ind w:left="245" w:right="141"/>
        <w:rPr>
          <w:i/>
          <w:sz w:val="20"/>
        </w:rPr>
      </w:pPr>
      <w:r>
        <w:rPr>
          <w:i/>
          <w:sz w:val="20"/>
        </w:rPr>
        <w:t>retrospective memory scale</w:t>
      </w:r>
    </w:p>
    <w:p w14:paraId="107DB5FE" w14:textId="77777777" w:rsidR="00C75312" w:rsidRDefault="00BB293A">
      <w:pPr>
        <w:tabs>
          <w:tab w:val="left" w:pos="1243"/>
          <w:tab w:val="left" w:pos="2069"/>
          <w:tab w:val="left" w:pos="3351"/>
          <w:tab w:val="left" w:pos="5088"/>
          <w:tab w:val="left" w:pos="6749"/>
        </w:tabs>
        <w:spacing w:before="89"/>
        <w:ind w:left="245"/>
        <w:rPr>
          <w:sz w:val="20"/>
        </w:rPr>
      </w:pPr>
      <w:r>
        <w:br w:type="column"/>
      </w:r>
      <w:r>
        <w:rPr>
          <w:i/>
          <w:position w:val="-2"/>
          <w:sz w:val="20"/>
        </w:rPr>
        <w:t>ASD</w:t>
      </w:r>
      <w:r>
        <w:rPr>
          <w:i/>
          <w:position w:val="-2"/>
          <w:sz w:val="20"/>
        </w:rPr>
        <w:tab/>
      </w:r>
      <w:r>
        <w:rPr>
          <w:i/>
          <w:sz w:val="20"/>
        </w:rPr>
        <w:t>r</w:t>
      </w:r>
      <w:r>
        <w:rPr>
          <w:i/>
          <w:sz w:val="20"/>
        </w:rPr>
        <w:tab/>
      </w:r>
      <w:r>
        <w:rPr>
          <w:sz w:val="20"/>
        </w:rPr>
        <w:t>.40*</w:t>
      </w:r>
      <w:r>
        <w:rPr>
          <w:sz w:val="20"/>
        </w:rPr>
        <w:tab/>
        <w:t>-.45*</w:t>
      </w:r>
      <w:r>
        <w:rPr>
          <w:sz w:val="20"/>
        </w:rPr>
        <w:tab/>
        <w:t>.05</w:t>
      </w:r>
      <w:r>
        <w:rPr>
          <w:sz w:val="20"/>
        </w:rPr>
        <w:tab/>
        <w:t>-.12</w:t>
      </w:r>
    </w:p>
    <w:p w14:paraId="41BB8E31" w14:textId="77777777" w:rsidR="00C75312" w:rsidRDefault="00BB293A">
      <w:pPr>
        <w:tabs>
          <w:tab w:val="left" w:pos="2069"/>
          <w:tab w:val="left" w:pos="3384"/>
          <w:tab w:val="left" w:pos="5035"/>
          <w:tab w:val="right" w:pos="7090"/>
        </w:tabs>
        <w:spacing w:before="143"/>
        <w:ind w:left="1095"/>
        <w:rPr>
          <w:sz w:val="20"/>
        </w:rPr>
      </w:pPr>
      <w:r>
        <w:pict w14:anchorId="2E489F2D">
          <v:group id="_x0000_s2401" style="position:absolute;left:0;text-align:left;margin-left:192.5pt;margin-top:4.75pt;width:330.5pt;height:.5pt;z-index:251783168;mso-position-horizontal-relative:page" coordorigin="3850,95" coordsize="6610,10">
            <v:line id="_x0000_s2410" style="position:absolute" from="3850,100" to="4440,100" strokeweight=".48pt"/>
            <v:rect id="_x0000_s2409" style="position:absolute;left:4440;top:94;width:10;height:10" fillcolor="black" stroked="f"/>
            <v:line id="_x0000_s2408" style="position:absolute" from="4450,100" to="5779,100" strokeweight=".48pt"/>
            <v:rect id="_x0000_s2407" style="position:absolute;left:5779;top:94;width:10;height:10" fillcolor="black" stroked="f"/>
            <v:line id="_x0000_s2406" style="position:absolute" from="5789,100" to="7066,100" strokeweight=".48pt"/>
            <v:rect id="_x0000_s2405" style="position:absolute;left:7065;top:94;width:10;height:10" fillcolor="black" stroked="f"/>
            <v:line id="_x0000_s2404" style="position:absolute" from="7075,100" to="9091,100" strokeweight=".48pt"/>
            <v:rect id="_x0000_s2403" style="position:absolute;left:9091;top:94;width:10;height:10" fillcolor="black" stroked="f"/>
            <v:line id="_x0000_s2402" style="position:absolute" from="9101,100" to="10459,100" strokeweight=".48pt"/>
            <w10:wrap anchorx="page"/>
          </v:group>
        </w:pict>
      </w:r>
      <w:r>
        <w:rPr>
          <w:position w:val="1"/>
          <w:sz w:val="20"/>
        </w:rPr>
        <w:t>BF</w:t>
      </w:r>
      <w:r>
        <w:rPr>
          <w:position w:val="1"/>
          <w:sz w:val="20"/>
          <w:vertAlign w:val="subscript"/>
        </w:rPr>
        <w:t>10</w:t>
      </w:r>
      <w:r>
        <w:rPr>
          <w:position w:val="1"/>
          <w:sz w:val="20"/>
        </w:rPr>
        <w:tab/>
        <w:t>1.62</w:t>
      </w:r>
      <w:r>
        <w:rPr>
          <w:position w:val="1"/>
          <w:sz w:val="20"/>
        </w:rPr>
        <w:tab/>
        <w:t>2.21</w:t>
      </w:r>
      <w:r>
        <w:rPr>
          <w:position w:val="1"/>
          <w:sz w:val="20"/>
        </w:rPr>
        <w:tab/>
        <w:t>0.57</w:t>
      </w:r>
      <w:r>
        <w:rPr>
          <w:position w:val="1"/>
          <w:sz w:val="20"/>
        </w:rPr>
        <w:tab/>
        <w:t>0.39</w:t>
      </w:r>
    </w:p>
    <w:p w14:paraId="534ABB20" w14:textId="77777777" w:rsidR="00C75312" w:rsidRDefault="00BB293A">
      <w:pPr>
        <w:tabs>
          <w:tab w:val="left" w:pos="1243"/>
          <w:tab w:val="left" w:pos="2035"/>
          <w:tab w:val="left" w:pos="3399"/>
          <w:tab w:val="left" w:pos="5088"/>
          <w:tab w:val="left" w:pos="6783"/>
        </w:tabs>
        <w:spacing w:before="169"/>
        <w:ind w:left="245"/>
        <w:rPr>
          <w:sz w:val="20"/>
        </w:rPr>
      </w:pPr>
      <w:r>
        <w:pict w14:anchorId="330F42B0">
          <v:group id="_x0000_s2389" style="position:absolute;left:0;text-align:left;margin-left:150pt;margin-top:6.05pt;width:373pt;height:.5pt;z-index:251784192;mso-position-horizontal-relative:page" coordorigin="3000,121" coordsize="7460,10">
            <v:line id="_x0000_s2400" style="position:absolute" from="3000,125" to="3850,125" strokeweight=".48pt"/>
            <v:rect id="_x0000_s2399" style="position:absolute;left:3849;top:120;width:10;height:10" fillcolor="black" stroked="f"/>
            <v:line id="_x0000_s2398" style="position:absolute" from="3859,125" to="4440,125" strokeweight=".48pt"/>
            <v:rect id="_x0000_s2397" style="position:absolute;left:4440;top:120;width:10;height:10" fillcolor="black" stroked="f"/>
            <v:line id="_x0000_s2396" style="position:absolute" from="4450,125" to="5779,125" strokeweight=".48pt"/>
            <v:rect id="_x0000_s2395" style="position:absolute;left:5779;top:120;width:10;height:10" fillcolor="black" stroked="f"/>
            <v:line id="_x0000_s2394" style="position:absolute" from="5789,125" to="7066,125" strokeweight=".48pt"/>
            <v:rect id="_x0000_s2393" style="position:absolute;left:7065;top:120;width:10;height:10" fillcolor="black" stroked="f"/>
            <v:line id="_x0000_s2392" style="position:absolute" from="7075,125" to="9091,125" strokeweight=".48pt"/>
            <v:rect id="_x0000_s2391" style="position:absolute;left:9091;top:120;width:10;height:10" fillcolor="black" stroked="f"/>
            <v:line id="_x0000_s2390" style="position:absolute" from="9101,125" to="10459,125" strokeweight=".48pt"/>
            <w10:wrap anchorx="page"/>
          </v:group>
        </w:pict>
      </w:r>
      <w:r>
        <w:rPr>
          <w:i/>
          <w:position w:val="-2"/>
          <w:sz w:val="20"/>
        </w:rPr>
        <w:t>NT</w:t>
      </w:r>
      <w:r>
        <w:rPr>
          <w:i/>
          <w:position w:val="-2"/>
          <w:sz w:val="20"/>
        </w:rPr>
        <w:tab/>
      </w:r>
      <w:r>
        <w:rPr>
          <w:i/>
          <w:sz w:val="20"/>
        </w:rPr>
        <w:t>r</w:t>
      </w:r>
      <w:r>
        <w:rPr>
          <w:i/>
          <w:sz w:val="20"/>
        </w:rPr>
        <w:tab/>
      </w:r>
      <w:r>
        <w:rPr>
          <w:sz w:val="20"/>
        </w:rPr>
        <w:t>-0.27</w:t>
      </w:r>
      <w:r>
        <w:rPr>
          <w:sz w:val="20"/>
        </w:rPr>
        <w:tab/>
        <w:t>-.34</w:t>
      </w:r>
      <w:r>
        <w:rPr>
          <w:sz w:val="20"/>
        </w:rPr>
        <w:tab/>
        <w:t>.23</w:t>
      </w:r>
      <w:r>
        <w:rPr>
          <w:sz w:val="20"/>
        </w:rPr>
        <w:tab/>
        <w:t>.32</w:t>
      </w:r>
    </w:p>
    <w:p w14:paraId="74F9A5D8" w14:textId="77777777" w:rsidR="00C75312" w:rsidRDefault="00BB293A">
      <w:pPr>
        <w:tabs>
          <w:tab w:val="left" w:pos="2069"/>
          <w:tab w:val="left" w:pos="3384"/>
          <w:tab w:val="left" w:pos="5035"/>
          <w:tab w:val="right" w:pos="7090"/>
        </w:tabs>
        <w:spacing w:before="147"/>
        <w:ind w:left="1095"/>
        <w:rPr>
          <w:sz w:val="20"/>
        </w:rPr>
      </w:pPr>
      <w:r>
        <w:pict w14:anchorId="6B7E1C66">
          <v:group id="_x0000_s2379" style="position:absolute;left:0;text-align:left;margin-left:192.5pt;margin-top:4.95pt;width:330.5pt;height:.5pt;z-index:251785216;mso-position-horizontal-relative:page" coordorigin="3850,99" coordsize="6610,10">
            <v:line id="_x0000_s2388" style="position:absolute" from="3850,104" to="4440,104" strokeweight=".48pt"/>
            <v:rect id="_x0000_s2387" style="position:absolute;left:4440;top:98;width:10;height:10" fillcolor="black" stroked="f"/>
            <v:line id="_x0000_s2386" style="position:absolute" from="4450,104" to="5779,104" strokeweight=".48pt"/>
            <v:rect id="_x0000_s2385" style="position:absolute;left:5779;top:98;width:10;height:10" fillcolor="black" stroked="f"/>
            <v:line id="_x0000_s2384" style="position:absolute" from="5789,104" to="7066,104" strokeweight=".48pt"/>
            <v:rect id="_x0000_s2383" style="position:absolute;left:7065;top:98;width:10;height:10" fillcolor="black" stroked="f"/>
            <v:line id="_x0000_s2382" style="position:absolute" from="7075,104" to="9091,104" strokeweight=".48pt"/>
            <v:rect id="_x0000_s2381" style="position:absolute;left:9091;top:98;width:10;height:10" fillcolor="black" stroked="f"/>
            <v:line id="_x0000_s2380" style="position:absolute" from="9101,104" to="10459,104" strokeweight=".48pt"/>
            <w10:wrap anchorx="page"/>
          </v:group>
        </w:pict>
      </w:r>
      <w:r>
        <w:rPr>
          <w:position w:val="1"/>
          <w:sz w:val="20"/>
        </w:rPr>
        <w:t>BF</w:t>
      </w:r>
      <w:r>
        <w:rPr>
          <w:position w:val="1"/>
          <w:sz w:val="20"/>
          <w:vertAlign w:val="subscript"/>
        </w:rPr>
        <w:t>10</w:t>
      </w:r>
      <w:r>
        <w:rPr>
          <w:position w:val="1"/>
          <w:sz w:val="20"/>
        </w:rPr>
        <w:tab/>
        <w:t>0.53</w:t>
      </w:r>
      <w:r>
        <w:rPr>
          <w:position w:val="1"/>
          <w:sz w:val="20"/>
        </w:rPr>
        <w:tab/>
        <w:t>0.86</w:t>
      </w:r>
      <w:r>
        <w:rPr>
          <w:position w:val="1"/>
          <w:sz w:val="20"/>
        </w:rPr>
        <w:tab/>
        <w:t>0.27</w:t>
      </w:r>
      <w:r>
        <w:rPr>
          <w:position w:val="1"/>
          <w:sz w:val="20"/>
        </w:rPr>
        <w:tab/>
        <w:t>1.43</w:t>
      </w:r>
    </w:p>
    <w:p w14:paraId="285C4CE7" w14:textId="77777777" w:rsidR="00C75312" w:rsidRDefault="00BB293A">
      <w:pPr>
        <w:tabs>
          <w:tab w:val="left" w:pos="1243"/>
          <w:tab w:val="left" w:pos="2122"/>
          <w:tab w:val="left" w:pos="3250"/>
          <w:tab w:val="left" w:pos="5055"/>
          <w:tab w:val="left" w:pos="6783"/>
        </w:tabs>
        <w:spacing w:before="169"/>
        <w:ind w:left="245"/>
        <w:rPr>
          <w:sz w:val="20"/>
        </w:rPr>
      </w:pPr>
      <w:r>
        <w:rPr>
          <w:i/>
          <w:position w:val="-2"/>
          <w:sz w:val="20"/>
        </w:rPr>
        <w:t>ASD</w:t>
      </w:r>
      <w:r>
        <w:rPr>
          <w:i/>
          <w:position w:val="-2"/>
          <w:sz w:val="20"/>
        </w:rPr>
        <w:tab/>
      </w:r>
      <w:r>
        <w:rPr>
          <w:i/>
          <w:sz w:val="20"/>
        </w:rPr>
        <w:t>r</w:t>
      </w:r>
      <w:r>
        <w:rPr>
          <w:i/>
          <w:sz w:val="20"/>
        </w:rPr>
        <w:tab/>
      </w:r>
      <w:r>
        <w:rPr>
          <w:sz w:val="20"/>
        </w:rPr>
        <w:t>.23</w:t>
      </w:r>
      <w:r>
        <w:rPr>
          <w:sz w:val="20"/>
        </w:rPr>
        <w:tab/>
        <w:t>-.66***</w:t>
      </w:r>
      <w:r>
        <w:rPr>
          <w:sz w:val="20"/>
        </w:rPr>
        <w:tab/>
        <w:t>-.15</w:t>
      </w:r>
      <w:r>
        <w:rPr>
          <w:sz w:val="20"/>
        </w:rPr>
        <w:tab/>
        <w:t>.02</w:t>
      </w:r>
    </w:p>
    <w:p w14:paraId="77FEF017" w14:textId="77777777" w:rsidR="00C75312" w:rsidRDefault="00BB293A">
      <w:pPr>
        <w:tabs>
          <w:tab w:val="left" w:pos="2069"/>
          <w:tab w:val="left" w:pos="3331"/>
          <w:tab w:val="left" w:pos="5035"/>
          <w:tab w:val="right" w:pos="7090"/>
        </w:tabs>
        <w:spacing w:before="147"/>
        <w:ind w:left="1095"/>
        <w:rPr>
          <w:sz w:val="20"/>
        </w:rPr>
      </w:pPr>
      <w:r>
        <w:pict w14:anchorId="60145350">
          <v:group id="_x0000_s2369" style="position:absolute;left:0;text-align:left;margin-left:192.5pt;margin-top:4.7pt;width:330.5pt;height:.5pt;z-index:251787264;mso-position-horizontal-relative:page" coordorigin="3850,94" coordsize="6610,10">
            <v:line id="_x0000_s2378" style="position:absolute" from="3850,99" to="4440,99" strokeweight=".48pt"/>
            <v:rect id="_x0000_s2377" style="position:absolute;left:4440;top:94;width:10;height:10" fillcolor="black" stroked="f"/>
            <v:line id="_x0000_s2376" style="position:absolute" from="4450,99" to="5779,99" strokeweight=".48pt"/>
            <v:rect id="_x0000_s2375" style="position:absolute;left:5779;top:94;width:10;height:10" fillcolor="black" stroked="f"/>
            <v:line id="_x0000_s2374" style="position:absolute" from="5789,99" to="7066,99" strokeweight=".48pt"/>
            <v:rect id="_x0000_s2373" style="position:absolute;left:7065;top:94;width:10;height:10" fillcolor="black" stroked="f"/>
            <v:line id="_x0000_s2372" style="position:absolute" from="7075,99" to="9091,99" strokeweight=".48pt"/>
            <v:rect id="_x0000_s2371" style="position:absolute;left:9091;top:94;width:10;height:10" fillcolor="black" stroked="f"/>
            <v:line id="_x0000_s2370" style="position:absolute" from="9101,99" to="10459,99" strokeweight=".48pt"/>
            <w10:wrap anchorx="page"/>
          </v:group>
        </w:pict>
      </w:r>
      <w:r>
        <w:rPr>
          <w:position w:val="1"/>
          <w:sz w:val="20"/>
        </w:rPr>
        <w:t>BF</w:t>
      </w:r>
      <w:r>
        <w:rPr>
          <w:position w:val="1"/>
          <w:sz w:val="20"/>
          <w:vertAlign w:val="subscript"/>
        </w:rPr>
        <w:t>10</w:t>
      </w:r>
      <w:r>
        <w:rPr>
          <w:position w:val="1"/>
          <w:sz w:val="20"/>
        </w:rPr>
        <w:tab/>
      </w:r>
      <w:r>
        <w:rPr>
          <w:position w:val="1"/>
          <w:sz w:val="20"/>
        </w:rPr>
        <w:t>0.45</w:t>
      </w:r>
      <w:r>
        <w:rPr>
          <w:position w:val="1"/>
          <w:sz w:val="20"/>
        </w:rPr>
        <w:tab/>
        <w:t>58.02</w:t>
      </w:r>
      <w:r>
        <w:rPr>
          <w:position w:val="1"/>
          <w:sz w:val="20"/>
        </w:rPr>
        <w:tab/>
        <w:t>0.32</w:t>
      </w:r>
      <w:r>
        <w:rPr>
          <w:position w:val="1"/>
          <w:sz w:val="20"/>
        </w:rPr>
        <w:tab/>
        <w:t>0.25</w:t>
      </w:r>
    </w:p>
    <w:p w14:paraId="0A4D88B6" w14:textId="77777777" w:rsidR="00C75312" w:rsidRDefault="00BB293A">
      <w:pPr>
        <w:tabs>
          <w:tab w:val="left" w:pos="1243"/>
          <w:tab w:val="left" w:pos="2088"/>
          <w:tab w:val="left" w:pos="3399"/>
          <w:tab w:val="left" w:pos="5055"/>
          <w:tab w:val="left" w:pos="6749"/>
        </w:tabs>
        <w:spacing w:before="164"/>
        <w:ind w:left="245"/>
        <w:rPr>
          <w:sz w:val="20"/>
        </w:rPr>
      </w:pPr>
      <w:r>
        <w:pict w14:anchorId="06CD1163">
          <v:group id="_x0000_s2357" style="position:absolute;left:0;text-align:left;margin-left:150pt;margin-top:5.8pt;width:373pt;height:.5pt;z-index:251788288;mso-position-horizontal-relative:page" coordorigin="3000,116" coordsize="7460,10">
            <v:line id="_x0000_s2368" style="position:absolute" from="3000,120" to="3850,120" strokeweight=".48pt"/>
            <v:rect id="_x0000_s2367" style="position:absolute;left:3849;top:115;width:10;height:10" fillcolor="black" stroked="f"/>
            <v:line id="_x0000_s2366" style="position:absolute" from="3859,120" to="4440,120" strokeweight=".48pt"/>
            <v:rect id="_x0000_s2365" style="position:absolute;left:4440;top:115;width:10;height:10" fillcolor="black" stroked="f"/>
            <v:line id="_x0000_s2364" style="position:absolute" from="4450,120" to="5779,120" strokeweight=".48pt"/>
            <v:rect id="_x0000_s2363" style="position:absolute;left:5779;top:115;width:10;height:10" fillcolor="black" stroked="f"/>
            <v:line id="_x0000_s2362" style="position:absolute" from="5789,120" to="7066,120" strokeweight=".48pt"/>
            <v:rect id="_x0000_s2361" style="position:absolute;left:7065;top:115;width:10;height:10" fillcolor="black" stroked="f"/>
            <v:line id="_x0000_s2360" style="position:absolute" from="7075,120" to="9091,120" strokeweight=".48pt"/>
            <v:rect id="_x0000_s2359" style="position:absolute;left:9091;top:115;width:10;height:10" fillcolor="black" stroked="f"/>
            <v:line id="_x0000_s2358" style="position:absolute" from="9101,120" to="10459,120" strokeweight=".48pt"/>
            <w10:wrap anchorx="page"/>
          </v:group>
        </w:pict>
      </w:r>
      <w:r>
        <w:rPr>
          <w:i/>
          <w:position w:val="-3"/>
          <w:sz w:val="20"/>
        </w:rPr>
        <w:t>NT</w:t>
      </w:r>
      <w:r>
        <w:rPr>
          <w:i/>
          <w:position w:val="-3"/>
          <w:sz w:val="20"/>
        </w:rPr>
        <w:tab/>
      </w:r>
      <w:r>
        <w:rPr>
          <w:i/>
          <w:sz w:val="20"/>
        </w:rPr>
        <w:t>r</w:t>
      </w:r>
      <w:r>
        <w:rPr>
          <w:i/>
          <w:sz w:val="20"/>
        </w:rPr>
        <w:tab/>
      </w:r>
      <w:r>
        <w:rPr>
          <w:sz w:val="20"/>
        </w:rPr>
        <w:t>-.16</w:t>
      </w:r>
      <w:r>
        <w:rPr>
          <w:sz w:val="20"/>
        </w:rPr>
        <w:tab/>
        <w:t>-.12</w:t>
      </w:r>
      <w:r>
        <w:rPr>
          <w:sz w:val="20"/>
        </w:rPr>
        <w:tab/>
        <w:t>-.24</w:t>
      </w:r>
      <w:r>
        <w:rPr>
          <w:sz w:val="20"/>
        </w:rPr>
        <w:tab/>
        <w:t>-.23</w:t>
      </w:r>
    </w:p>
    <w:p w14:paraId="5B826663" w14:textId="77777777" w:rsidR="00C75312" w:rsidRDefault="00BB293A">
      <w:pPr>
        <w:tabs>
          <w:tab w:val="left" w:pos="2069"/>
          <w:tab w:val="left" w:pos="3384"/>
          <w:tab w:val="left" w:pos="5035"/>
          <w:tab w:val="right" w:pos="7090"/>
        </w:tabs>
        <w:spacing w:before="138"/>
        <w:ind w:left="1095"/>
        <w:rPr>
          <w:sz w:val="20"/>
        </w:rPr>
      </w:pPr>
      <w:r>
        <w:pict w14:anchorId="0420B6F8">
          <v:group id="_x0000_s2347" style="position:absolute;left:0;text-align:left;margin-left:192.5pt;margin-top:4.5pt;width:330.5pt;height:.5pt;z-index:251789312;mso-position-horizontal-relative:page" coordorigin="3850,90" coordsize="6610,10">
            <v:line id="_x0000_s2356" style="position:absolute" from="3850,95" to="4440,95" strokeweight=".48pt"/>
            <v:rect id="_x0000_s2355" style="position:absolute;left:4440;top:89;width:10;height:10" fillcolor="black" stroked="f"/>
            <v:line id="_x0000_s2354" style="position:absolute" from="4450,95" to="5779,95" strokeweight=".48pt"/>
            <v:rect id="_x0000_s2353" style="position:absolute;left:5779;top:89;width:10;height:10" fillcolor="black" stroked="f"/>
            <v:line id="_x0000_s2352" style="position:absolute" from="5789,95" to="7066,95" strokeweight=".48pt"/>
            <v:rect id="_x0000_s2351" style="position:absolute;left:7065;top:89;width:10;height:10" fillcolor="black" stroked="f"/>
            <v:line id="_x0000_s2350" style="position:absolute" from="7075,95" to="9091,95" strokeweight=".48pt"/>
            <v:rect id="_x0000_s2349" style="position:absolute;left:9091;top:89;width:10;height:10" fillcolor="black" stroked="f"/>
            <v:line id="_x0000_s2348" style="position:absolute" from="9101,95" to="10459,95" strokeweight=".48pt"/>
            <w10:wrap anchorx="page"/>
          </v:group>
        </w:pict>
      </w:r>
      <w:r>
        <w:rPr>
          <w:position w:val="1"/>
          <w:sz w:val="20"/>
        </w:rPr>
        <w:t>BF</w:t>
      </w:r>
      <w:r>
        <w:rPr>
          <w:position w:val="1"/>
          <w:sz w:val="20"/>
          <w:vertAlign w:val="subscript"/>
        </w:rPr>
        <w:t>10</w:t>
      </w:r>
      <w:r>
        <w:rPr>
          <w:position w:val="1"/>
          <w:sz w:val="20"/>
        </w:rPr>
        <w:tab/>
        <w:t>0.33</w:t>
      </w:r>
      <w:r>
        <w:rPr>
          <w:position w:val="1"/>
          <w:sz w:val="20"/>
        </w:rPr>
        <w:tab/>
        <w:t>0.30</w:t>
      </w:r>
      <w:r>
        <w:rPr>
          <w:position w:val="1"/>
          <w:sz w:val="20"/>
        </w:rPr>
        <w:tab/>
        <w:t>0.46</w:t>
      </w:r>
      <w:r>
        <w:rPr>
          <w:position w:val="1"/>
          <w:sz w:val="20"/>
        </w:rPr>
        <w:tab/>
        <w:t>0.44</w:t>
      </w:r>
    </w:p>
    <w:p w14:paraId="349ECD9D" w14:textId="77777777" w:rsidR="00C75312" w:rsidRDefault="00BB293A">
      <w:pPr>
        <w:tabs>
          <w:tab w:val="left" w:pos="1243"/>
          <w:tab w:val="left" w:pos="2122"/>
          <w:tab w:val="left" w:pos="3399"/>
          <w:tab w:val="left" w:pos="5055"/>
          <w:tab w:val="left" w:pos="6749"/>
        </w:tabs>
        <w:spacing w:before="168"/>
        <w:ind w:left="245"/>
        <w:rPr>
          <w:sz w:val="20"/>
        </w:rPr>
      </w:pPr>
      <w:r>
        <w:rPr>
          <w:i/>
          <w:position w:val="-2"/>
          <w:sz w:val="20"/>
        </w:rPr>
        <w:t>ASD</w:t>
      </w:r>
      <w:r>
        <w:rPr>
          <w:i/>
          <w:position w:val="-2"/>
          <w:sz w:val="20"/>
        </w:rPr>
        <w:tab/>
      </w:r>
      <w:r>
        <w:rPr>
          <w:i/>
          <w:sz w:val="20"/>
        </w:rPr>
        <w:t>r</w:t>
      </w:r>
      <w:r>
        <w:rPr>
          <w:i/>
          <w:sz w:val="20"/>
        </w:rPr>
        <w:tab/>
      </w:r>
      <w:r>
        <w:rPr>
          <w:sz w:val="20"/>
        </w:rPr>
        <w:t>.01</w:t>
      </w:r>
      <w:r>
        <w:rPr>
          <w:sz w:val="20"/>
        </w:rPr>
        <w:tab/>
        <w:t>-.24</w:t>
      </w:r>
      <w:r>
        <w:rPr>
          <w:sz w:val="20"/>
        </w:rPr>
        <w:tab/>
        <w:t>-.12</w:t>
      </w:r>
      <w:r>
        <w:rPr>
          <w:sz w:val="20"/>
        </w:rPr>
        <w:tab/>
        <w:t>-.11</w:t>
      </w:r>
    </w:p>
    <w:p w14:paraId="4B42DE38" w14:textId="77777777" w:rsidR="00C75312" w:rsidRDefault="00BB293A">
      <w:pPr>
        <w:tabs>
          <w:tab w:val="left" w:pos="2069"/>
          <w:tab w:val="left" w:pos="3384"/>
          <w:tab w:val="left" w:pos="5035"/>
          <w:tab w:val="right" w:pos="7090"/>
        </w:tabs>
        <w:spacing w:before="148"/>
        <w:ind w:left="1095"/>
        <w:rPr>
          <w:sz w:val="20"/>
        </w:rPr>
      </w:pPr>
      <w:r>
        <w:pict w14:anchorId="7617FDD0">
          <v:group id="_x0000_s2337" style="position:absolute;left:0;text-align:left;margin-left:192.5pt;margin-top:5pt;width:330.5pt;height:.5pt;z-index:251791360;mso-position-horizontal-relative:page" coordorigin="3850,100" coordsize="6610,10">
            <v:line id="_x0000_s2346" style="position:absolute" from="3850,105" to="4440,105" strokeweight=".48pt"/>
            <v:rect id="_x0000_s2345" style="position:absolute;left:4440;top:99;width:10;height:10" fillcolor="black" stroked="f"/>
            <v:line id="_x0000_s2344" style="position:absolute" from="4450,105" to="5779,105" strokeweight=".48pt"/>
            <v:rect id="_x0000_s2343" style="position:absolute;left:5779;top:99;width:10;height:10" fillcolor="black" stroked="f"/>
            <v:line id="_x0000_s2342" style="position:absolute" from="5789,105" to="7066,105" strokeweight=".48pt"/>
            <v:rect id="_x0000_s2341" style="position:absolute;left:7065;top:99;width:10;height:10" fillcolor="black" stroked="f"/>
            <v:line id="_x0000_s2340" style="position:absolute" from="7075,105" to="9091,105" strokeweight=".48pt"/>
            <v:rect id="_x0000_s2339" style="position:absolute;left:9091;top:99;width:10;height:10" fillcolor="black" stroked="f"/>
            <v:line id="_x0000_s2338" style="position:absolute" from="9101,105" to="10459,105" strokeweight=".48pt"/>
            <w10:wrap anchorx="page"/>
          </v:group>
        </w:pict>
      </w:r>
      <w:r>
        <w:rPr>
          <w:position w:val="1"/>
          <w:sz w:val="20"/>
        </w:rPr>
        <w:t>BF</w:t>
      </w:r>
      <w:r>
        <w:rPr>
          <w:position w:val="1"/>
          <w:sz w:val="20"/>
          <w:vertAlign w:val="subscript"/>
        </w:rPr>
        <w:t>10</w:t>
      </w:r>
      <w:r>
        <w:rPr>
          <w:position w:val="1"/>
          <w:sz w:val="20"/>
        </w:rPr>
        <w:tab/>
        <w:t>0.25</w:t>
      </w:r>
      <w:r>
        <w:rPr>
          <w:position w:val="1"/>
          <w:sz w:val="20"/>
        </w:rPr>
        <w:tab/>
        <w:t>0.46</w:t>
      </w:r>
      <w:r>
        <w:rPr>
          <w:position w:val="1"/>
          <w:sz w:val="20"/>
        </w:rPr>
        <w:tab/>
        <w:t>0.29</w:t>
      </w:r>
      <w:r>
        <w:rPr>
          <w:position w:val="1"/>
          <w:sz w:val="20"/>
        </w:rPr>
        <w:tab/>
        <w:t>0.28</w:t>
      </w:r>
    </w:p>
    <w:p w14:paraId="5F53F08B" w14:textId="77777777" w:rsidR="00C75312" w:rsidRDefault="00BB293A">
      <w:pPr>
        <w:tabs>
          <w:tab w:val="left" w:pos="1243"/>
          <w:tab w:val="left" w:pos="2088"/>
          <w:tab w:val="left" w:pos="3432"/>
          <w:tab w:val="left" w:pos="5088"/>
          <w:tab w:val="left" w:pos="6749"/>
        </w:tabs>
        <w:spacing w:before="168"/>
        <w:ind w:left="245"/>
        <w:rPr>
          <w:sz w:val="20"/>
        </w:rPr>
      </w:pPr>
      <w:r>
        <w:pict w14:anchorId="11711DD6">
          <v:group id="_x0000_s2325" style="position:absolute;left:0;text-align:left;margin-left:150pt;margin-top:5.75pt;width:373pt;height:.5pt;z-index:251792384;mso-position-horizontal-relative:page" coordorigin="3000,115" coordsize="7460,10">
            <v:line id="_x0000_s2336" style="position:absolute" from="3000,120" to="3850,120" strokeweight=".48pt"/>
            <v:rect id="_x0000_s2335" style="position:absolute;left:3849;top:114;width:10;height:10" fillcolor="black" stroked="f"/>
            <v:line id="_x0000_s2334" style="position:absolute" from="3859,120" to="4440,120" strokeweight=".48pt"/>
            <v:rect id="_x0000_s2333" style="position:absolute;left:4440;top:114;width:10;height:10" fillcolor="black" stroked="f"/>
            <v:line id="_x0000_s2332" style="position:absolute" from="4450,120" to="5779,120" strokeweight=".48pt"/>
            <v:rect id="_x0000_s2331" style="position:absolute;left:5779;top:114;width:10;height:10" fillcolor="black" stroked="f"/>
            <v:line id="_x0000_s2330" style="position:absolute" from="5789,120" to="7066,120" strokeweight=".48pt"/>
            <v:rect id="_x0000_s2329" style="position:absolute;left:7065;top:114;width:10;height:10" fillcolor="black" stroked="f"/>
            <v:line id="_x0000_s2328" style="position:absolute" from="7075,120" to="9091,120" strokeweight=".48pt"/>
            <v:rect id="_x0000_s2327" style="position:absolute;left:9091;top:114;width:10;height:10" fillcolor="black" stroked="f"/>
            <v:line id="_x0000_s2326" style="position:absolute" from="9101,120" to="10459,120" strokeweight=".48pt"/>
            <w10:wrap anchorx="page"/>
          </v:group>
        </w:pict>
      </w:r>
      <w:r>
        <w:rPr>
          <w:i/>
          <w:position w:val="-2"/>
          <w:sz w:val="20"/>
        </w:rPr>
        <w:t>NT</w:t>
      </w:r>
      <w:r>
        <w:rPr>
          <w:i/>
          <w:position w:val="-2"/>
          <w:sz w:val="20"/>
        </w:rPr>
        <w:tab/>
      </w:r>
      <w:r>
        <w:rPr>
          <w:i/>
          <w:sz w:val="20"/>
        </w:rPr>
        <w:t>r</w:t>
      </w:r>
      <w:r>
        <w:rPr>
          <w:i/>
          <w:sz w:val="20"/>
        </w:rPr>
        <w:tab/>
      </w:r>
      <w:r>
        <w:rPr>
          <w:sz w:val="20"/>
        </w:rPr>
        <w:t>-.25</w:t>
      </w:r>
      <w:r>
        <w:rPr>
          <w:sz w:val="20"/>
        </w:rPr>
        <w:tab/>
        <w:t>.11</w:t>
      </w:r>
      <w:r>
        <w:rPr>
          <w:sz w:val="20"/>
        </w:rPr>
        <w:tab/>
        <w:t>.07</w:t>
      </w:r>
      <w:r>
        <w:rPr>
          <w:sz w:val="20"/>
        </w:rPr>
        <w:tab/>
        <w:t>-.31</w:t>
      </w:r>
    </w:p>
    <w:p w14:paraId="323FFB69" w14:textId="77777777" w:rsidR="00C75312" w:rsidRDefault="00BB293A">
      <w:pPr>
        <w:tabs>
          <w:tab w:val="left" w:pos="2069"/>
          <w:tab w:val="left" w:pos="3384"/>
          <w:tab w:val="left" w:pos="5035"/>
          <w:tab w:val="right" w:pos="7090"/>
        </w:tabs>
        <w:spacing w:before="143"/>
        <w:ind w:left="1095"/>
        <w:rPr>
          <w:sz w:val="20"/>
        </w:rPr>
      </w:pPr>
      <w:r>
        <w:pict w14:anchorId="3B92453A">
          <v:group id="_x0000_s2315" style="position:absolute;left:0;text-align:left;margin-left:192.5pt;margin-top:4.75pt;width:330.5pt;height:.5pt;z-index:251793408;mso-position-horizontal-relative:page" coordorigin="3850,95" coordsize="6610,10">
            <v:line id="_x0000_s2324" style="position:absolute" from="3850,100" to="4440,100" strokeweight=".48pt"/>
            <v:rect id="_x0000_s2323" style="position:absolute;left:4440;top:94;width:10;height:10" fillcolor="black" stroked="f"/>
            <v:line id="_x0000_s2322" style="position:absolute" from="4450,100" to="5779,100" strokeweight=".48pt"/>
            <v:rect id="_x0000_s2321" style="position:absolute;left:5779;top:94;width:10;height:10" fillcolor="black" stroked="f"/>
            <v:line id="_x0000_s2320" style="position:absolute" from="5789,100" to="7066,100" strokeweight=".48pt"/>
            <v:rect id="_x0000_s2319" style="position:absolute;left:7065;top:94;width:10;height:10" fillcolor="black" stroked="f"/>
            <v:line id="_x0000_s2318" style="position:absolute" from="7075,100" to="9091,100" strokeweight=".48pt"/>
            <v:rect id="_x0000_s2317" style="position:absolute;left:9091;top:94;width:10;height:10" fillcolor="black" stroked="f"/>
            <v:line id="_x0000_s2316" style="position:absolute" from="9101,100" to="10459,100" strokeweight=".48pt"/>
            <w10:wrap anchorx="page"/>
          </v:group>
        </w:pict>
      </w:r>
      <w:r>
        <w:rPr>
          <w:position w:val="1"/>
          <w:sz w:val="20"/>
        </w:rPr>
        <w:t>BF</w:t>
      </w:r>
      <w:r>
        <w:rPr>
          <w:position w:val="1"/>
          <w:sz w:val="20"/>
          <w:vertAlign w:val="subscript"/>
        </w:rPr>
        <w:t>10</w:t>
      </w:r>
      <w:r>
        <w:rPr>
          <w:position w:val="1"/>
          <w:sz w:val="20"/>
        </w:rPr>
        <w:tab/>
        <w:t>0.49</w:t>
      </w:r>
      <w:r>
        <w:rPr>
          <w:position w:val="1"/>
          <w:sz w:val="20"/>
        </w:rPr>
        <w:tab/>
        <w:t>0.29</w:t>
      </w:r>
      <w:r>
        <w:rPr>
          <w:position w:val="1"/>
          <w:sz w:val="20"/>
        </w:rPr>
        <w:tab/>
        <w:t>0.28</w:t>
      </w:r>
      <w:r>
        <w:rPr>
          <w:position w:val="1"/>
          <w:sz w:val="20"/>
        </w:rPr>
        <w:tab/>
        <w:t>0.67</w:t>
      </w:r>
    </w:p>
    <w:p w14:paraId="5B9CA8BC" w14:textId="77777777" w:rsidR="00C75312" w:rsidRDefault="00BB293A">
      <w:pPr>
        <w:tabs>
          <w:tab w:val="left" w:pos="1243"/>
          <w:tab w:val="left" w:pos="2021"/>
          <w:tab w:val="left" w:pos="3399"/>
          <w:tab w:val="left" w:pos="5055"/>
          <w:tab w:val="left" w:pos="6783"/>
        </w:tabs>
        <w:spacing w:before="168"/>
        <w:ind w:left="245"/>
        <w:rPr>
          <w:sz w:val="20"/>
        </w:rPr>
      </w:pPr>
      <w:r>
        <w:rPr>
          <w:i/>
          <w:position w:val="-2"/>
          <w:sz w:val="20"/>
        </w:rPr>
        <w:t>ASD</w:t>
      </w:r>
      <w:r>
        <w:rPr>
          <w:i/>
          <w:position w:val="-2"/>
          <w:sz w:val="20"/>
        </w:rPr>
        <w:tab/>
      </w:r>
      <w:r>
        <w:rPr>
          <w:i/>
          <w:sz w:val="20"/>
        </w:rPr>
        <w:t>r</w:t>
      </w:r>
      <w:r>
        <w:rPr>
          <w:i/>
          <w:sz w:val="20"/>
        </w:rPr>
        <w:tab/>
      </w:r>
      <w:r>
        <w:rPr>
          <w:sz w:val="20"/>
        </w:rPr>
        <w:t>.61**</w:t>
      </w:r>
      <w:r>
        <w:rPr>
          <w:sz w:val="20"/>
        </w:rPr>
        <w:tab/>
        <w:t>-.19</w:t>
      </w:r>
      <w:r>
        <w:rPr>
          <w:sz w:val="20"/>
        </w:rPr>
        <w:tab/>
        <w:t>-.25</w:t>
      </w:r>
      <w:r>
        <w:rPr>
          <w:sz w:val="20"/>
        </w:rPr>
        <w:tab/>
        <w:t>.02</w:t>
      </w:r>
    </w:p>
    <w:p w14:paraId="240219FA" w14:textId="77777777" w:rsidR="00C75312" w:rsidRDefault="00BB293A">
      <w:pPr>
        <w:tabs>
          <w:tab w:val="left" w:pos="2021"/>
          <w:tab w:val="left" w:pos="3384"/>
          <w:tab w:val="left" w:pos="5035"/>
          <w:tab w:val="right" w:pos="7090"/>
        </w:tabs>
        <w:spacing w:before="148"/>
        <w:ind w:left="1095"/>
        <w:rPr>
          <w:sz w:val="20"/>
        </w:rPr>
      </w:pPr>
      <w:r>
        <w:pict w14:anchorId="75769B88">
          <v:group id="_x0000_s2305" style="position:absolute;left:0;text-align:left;margin-left:192.5pt;margin-top:5pt;width:330.5pt;height:.5pt;z-index:251795456;mso-position-horizontal-relative:page" coordorigin="3850,100" coordsize="6610,10">
            <v:line id="_x0000_s2314" style="position:absolute" from="3850,105" to="4440,105" strokeweight=".48pt"/>
            <v:rect id="_x0000_s2313" style="position:absolute;left:4440;top:99;width:10;height:10" fillcolor="black" stroked="f"/>
            <v:line id="_x0000_s2312" style="position:absolute" from="4450,105" to="5779,105" strokeweight=".48pt"/>
            <v:rect id="_x0000_s2311" style="position:absolute;left:5779;top:99;width:10;height:10" fillcolor="black" stroked="f"/>
            <v:line id="_x0000_s2310" style="position:absolute" from="5789,105" to="7066,105" strokeweight=".48pt"/>
            <v:rect id="_x0000_s2309" style="position:absolute;left:7065;top:99;width:10;height:10" fillcolor="black" stroked="f"/>
            <v:line id="_x0000_s2308" style="position:absolute" from="7075,105" to="9091,105" strokeweight=".48pt"/>
            <v:rect id="_x0000_s2307" style="position:absolute;left:9091;top:99;width:10;height:10" fillcolor="black" stroked="f"/>
            <v:line id="_x0000_s2306" style="position:absolute" from="9101,105" to="10459,105" strokeweight=".48pt"/>
            <w10:wrap anchorx="page"/>
          </v:group>
        </w:pict>
      </w:r>
      <w:r>
        <w:rPr>
          <w:position w:val="1"/>
          <w:sz w:val="20"/>
        </w:rPr>
        <w:t>BF</w:t>
      </w:r>
      <w:r>
        <w:rPr>
          <w:position w:val="1"/>
          <w:sz w:val="20"/>
          <w:vertAlign w:val="subscript"/>
        </w:rPr>
        <w:t>10</w:t>
      </w:r>
      <w:r>
        <w:rPr>
          <w:position w:val="1"/>
          <w:sz w:val="20"/>
        </w:rPr>
        <w:tab/>
        <w:t>14.93</w:t>
      </w:r>
      <w:r>
        <w:rPr>
          <w:position w:val="1"/>
          <w:sz w:val="20"/>
        </w:rPr>
        <w:tab/>
        <w:t>0.37</w:t>
      </w:r>
      <w:r>
        <w:rPr>
          <w:position w:val="1"/>
          <w:sz w:val="20"/>
        </w:rPr>
        <w:tab/>
        <w:t>0.46</w:t>
      </w:r>
      <w:r>
        <w:rPr>
          <w:position w:val="1"/>
          <w:sz w:val="20"/>
        </w:rPr>
        <w:tab/>
        <w:t>0.27</w:t>
      </w:r>
    </w:p>
    <w:p w14:paraId="7FAB51F3" w14:textId="77777777" w:rsidR="00C75312" w:rsidRDefault="00BB293A">
      <w:pPr>
        <w:tabs>
          <w:tab w:val="left" w:pos="1243"/>
          <w:tab w:val="left" w:pos="2122"/>
          <w:tab w:val="left" w:pos="3399"/>
          <w:tab w:val="left" w:pos="5088"/>
          <w:tab w:val="left" w:pos="6783"/>
        </w:tabs>
        <w:spacing w:before="168"/>
        <w:ind w:left="245"/>
        <w:rPr>
          <w:sz w:val="20"/>
        </w:rPr>
      </w:pPr>
      <w:r>
        <w:pict w14:anchorId="6239ABF6">
          <v:group id="_x0000_s2293" style="position:absolute;left:0;text-align:left;margin-left:150pt;margin-top:6pt;width:373pt;height:.5pt;z-index:251796480;mso-position-horizontal-relative:page" coordorigin="3000,120" coordsize="7460,10">
            <v:line id="_x0000_s2304" style="position:absolute" from="3000,124" to="3850,124" strokeweight=".48pt"/>
            <v:rect id="_x0000_s2303" style="position:absolute;left:3849;top:119;width:10;height:10" fillcolor="black" stroked="f"/>
            <v:line id="_x0000_s2302" style="position:absolute" from="3859,124" to="4440,124" strokeweight=".48pt"/>
            <v:rect id="_x0000_s2301" style="position:absolute;left:4440;top:119;width:10;height:10" fillcolor="black" stroked="f"/>
            <v:line id="_x0000_s2300" style="position:absolute" from="4450,124" to="5779,124" strokeweight=".48pt"/>
            <v:rect id="_x0000_s2299" style="position:absolute;left:5779;top:119;width:10;height:10" fillcolor="black" stroked="f"/>
            <v:line id="_x0000_s2298" style="position:absolute" from="5789,124" to="7066,124" strokeweight=".48pt"/>
            <v:rect id="_x0000_s2297" style="position:absolute;left:7065;top:119;width:10;height:10" fillcolor="black" stroked="f"/>
            <v:line id="_x0000_s2296" style="position:absolute" from="7075,124" to="9091,124" strokeweight=".48pt"/>
            <v:rect id="_x0000_s2295" style="position:absolute;left:9091;top:119;width:10;height:10" fillcolor="black" stroked="f"/>
            <v:line id="_x0000_s2294" style="position:absolute" from="9101,124" to="10459,124" strokeweight=".48pt"/>
            <w10:wrap anchorx="page"/>
          </v:group>
        </w:pict>
      </w:r>
      <w:r>
        <w:rPr>
          <w:i/>
          <w:position w:val="-2"/>
          <w:sz w:val="20"/>
        </w:rPr>
        <w:t>NT</w:t>
      </w:r>
      <w:r>
        <w:rPr>
          <w:i/>
          <w:position w:val="-2"/>
          <w:sz w:val="20"/>
        </w:rPr>
        <w:tab/>
      </w:r>
      <w:r>
        <w:rPr>
          <w:i/>
          <w:sz w:val="20"/>
        </w:rPr>
        <w:t>r</w:t>
      </w:r>
      <w:r>
        <w:rPr>
          <w:i/>
          <w:sz w:val="20"/>
        </w:rPr>
        <w:tab/>
      </w:r>
      <w:r>
        <w:rPr>
          <w:sz w:val="20"/>
        </w:rPr>
        <w:t>.28</w:t>
      </w:r>
      <w:r>
        <w:rPr>
          <w:sz w:val="20"/>
        </w:rPr>
        <w:tab/>
        <w:t>-.15</w:t>
      </w:r>
      <w:r>
        <w:rPr>
          <w:sz w:val="20"/>
        </w:rPr>
        <w:tab/>
        <w:t>.22</w:t>
      </w:r>
      <w:r>
        <w:rPr>
          <w:sz w:val="20"/>
        </w:rPr>
        <w:tab/>
        <w:t>.26</w:t>
      </w:r>
    </w:p>
    <w:p w14:paraId="6A73D814" w14:textId="77777777" w:rsidR="00C75312" w:rsidRDefault="00BB293A">
      <w:pPr>
        <w:tabs>
          <w:tab w:val="left" w:pos="2069"/>
          <w:tab w:val="left" w:pos="3384"/>
          <w:tab w:val="left" w:pos="5035"/>
          <w:tab w:val="right" w:pos="7090"/>
        </w:tabs>
        <w:spacing w:before="143"/>
        <w:ind w:left="1095"/>
        <w:rPr>
          <w:sz w:val="20"/>
        </w:rPr>
      </w:pPr>
      <w:r>
        <w:pict w14:anchorId="5986EA70">
          <v:group id="_x0000_s2283" style="position:absolute;left:0;text-align:left;margin-left:192.5pt;margin-top:4.75pt;width:330.5pt;height:.5pt;z-index:251797504;mso-position-horizontal-relative:page" coordorigin="3850,95" coordsize="6610,10">
            <v:line id="_x0000_s2292" style="position:absolute" from="3850,100" to="4440,100" strokeweight=".48pt"/>
            <v:rect id="_x0000_s2291" style="position:absolute;left:4440;top:94;width:10;height:10" fillcolor="black" stroked="f"/>
            <v:line id="_x0000_s2290" style="position:absolute" from="4450,100" to="5779,100" strokeweight=".48pt"/>
            <v:rect id="_x0000_s2289" style="position:absolute;left:5779;top:94;width:10;height:10" fillcolor="black" stroked="f"/>
            <v:line id="_x0000_s2288" style="position:absolute" from="5789,100" to="7066,100" strokeweight=".48pt"/>
            <v:rect id="_x0000_s2287" style="position:absolute;left:7065;top:94;width:10;height:10" fillcolor="black" stroked="f"/>
            <v:line id="_x0000_s2286" style="position:absolute" from="7075,100" to="9091,100" strokeweight=".48pt"/>
            <v:rect id="_x0000_s2285" style="position:absolute;left:9091;top:94;width:10;height:10" fillcolor="black" stroked="f"/>
            <v:line id="_x0000_s2284" style="position:absolute" from="9101,100" to="10459,100" strokeweight=".48pt"/>
            <w10:wrap anchorx="page"/>
          </v:group>
        </w:pict>
      </w:r>
      <w:r>
        <w:rPr>
          <w:position w:val="1"/>
          <w:sz w:val="20"/>
        </w:rPr>
        <w:t>BF</w:t>
      </w:r>
      <w:r>
        <w:rPr>
          <w:position w:val="1"/>
          <w:sz w:val="20"/>
          <w:vertAlign w:val="subscript"/>
        </w:rPr>
        <w:t>10</w:t>
      </w:r>
      <w:r>
        <w:rPr>
          <w:position w:val="1"/>
          <w:sz w:val="20"/>
        </w:rPr>
        <w:tab/>
        <w:t>0.54</w:t>
      </w:r>
      <w:r>
        <w:rPr>
          <w:position w:val="1"/>
          <w:sz w:val="20"/>
        </w:rPr>
        <w:tab/>
        <w:t>0.33</w:t>
      </w:r>
      <w:r>
        <w:rPr>
          <w:position w:val="1"/>
          <w:sz w:val="20"/>
        </w:rPr>
        <w:tab/>
        <w:t>0.42</w:t>
      </w:r>
      <w:r>
        <w:rPr>
          <w:position w:val="1"/>
          <w:sz w:val="20"/>
        </w:rPr>
        <w:tab/>
        <w:t>0.50</w:t>
      </w:r>
    </w:p>
    <w:p w14:paraId="79355A65" w14:textId="77777777" w:rsidR="00C75312" w:rsidRDefault="00BB293A">
      <w:pPr>
        <w:tabs>
          <w:tab w:val="left" w:pos="1243"/>
          <w:tab w:val="left" w:pos="2064"/>
          <w:tab w:val="left" w:pos="3399"/>
          <w:tab w:val="left" w:pos="5007"/>
          <w:tab w:val="left" w:pos="6749"/>
        </w:tabs>
        <w:spacing w:before="169"/>
        <w:ind w:left="245"/>
        <w:rPr>
          <w:sz w:val="20"/>
        </w:rPr>
      </w:pPr>
      <w:r>
        <w:rPr>
          <w:i/>
          <w:position w:val="-2"/>
          <w:sz w:val="20"/>
        </w:rPr>
        <w:t>ASD</w:t>
      </w:r>
      <w:r>
        <w:rPr>
          <w:i/>
          <w:position w:val="-2"/>
          <w:sz w:val="20"/>
        </w:rPr>
        <w:tab/>
      </w:r>
      <w:r>
        <w:rPr>
          <w:i/>
          <w:sz w:val="20"/>
        </w:rPr>
        <w:t>r</w:t>
      </w:r>
      <w:r>
        <w:rPr>
          <w:i/>
          <w:sz w:val="20"/>
        </w:rPr>
        <w:tab/>
      </w:r>
      <w:r>
        <w:rPr>
          <w:sz w:val="20"/>
        </w:rPr>
        <w:t>&lt;.01</w:t>
      </w:r>
      <w:r>
        <w:rPr>
          <w:sz w:val="20"/>
        </w:rPr>
        <w:tab/>
        <w:t>-.26</w:t>
      </w:r>
      <w:r>
        <w:rPr>
          <w:sz w:val="20"/>
        </w:rPr>
        <w:tab/>
        <w:t>&lt; .01</w:t>
      </w:r>
      <w:r>
        <w:rPr>
          <w:sz w:val="20"/>
        </w:rPr>
        <w:tab/>
        <w:t>-.17</w:t>
      </w:r>
    </w:p>
    <w:p w14:paraId="0ED9BA73" w14:textId="77777777" w:rsidR="00C75312" w:rsidRDefault="00BB293A">
      <w:pPr>
        <w:tabs>
          <w:tab w:val="left" w:pos="2069"/>
          <w:tab w:val="left" w:pos="3384"/>
          <w:tab w:val="left" w:pos="5035"/>
          <w:tab w:val="right" w:pos="7090"/>
        </w:tabs>
        <w:spacing w:before="147"/>
        <w:ind w:left="1095"/>
        <w:rPr>
          <w:sz w:val="20"/>
        </w:rPr>
      </w:pPr>
      <w:r>
        <w:pict w14:anchorId="27DC9E02">
          <v:group id="_x0000_s2273" style="position:absolute;left:0;text-align:left;margin-left:192.5pt;margin-top:4.95pt;width:330.5pt;height:.5pt;z-index:251799552;mso-position-horizontal-relative:page" coordorigin="3850,99" coordsize="6610,10">
            <v:line id="_x0000_s2282" style="position:absolute" from="3850,104" to="4440,104" strokeweight=".48pt"/>
            <v:rect id="_x0000_s2281" style="position:absolute;left:4440;top:98;width:10;height:10" fillcolor="black" stroked="f"/>
            <v:line id="_x0000_s2280" style="position:absolute" from="4450,104" to="5779,104" strokeweight=".48pt"/>
            <v:rect id="_x0000_s2279" style="position:absolute;left:5779;top:98;width:10;height:10" fillcolor="black" stroked="f"/>
            <v:line id="_x0000_s2278" style="position:absolute" from="5789,104" to="7066,104" strokeweight=".48pt"/>
            <v:rect id="_x0000_s2277" style="position:absolute;left:7065;top:98;width:10;height:10" fillcolor="black" stroked="f"/>
            <v:line id="_x0000_s2276" style="position:absolute" from="7075,104" to="9091,104" strokeweight=".48pt"/>
            <v:rect id="_x0000_s2275" style="position:absolute;left:9091;top:98;width:10;height:10" fillcolor="black" stroked="f"/>
            <v:line id="_x0000_s2274" style="position:absolute" from="9101,104" to="10459,104" strokeweight=".48pt"/>
            <w10:wrap anchorx="page"/>
          </v:group>
        </w:pict>
      </w:r>
      <w:r>
        <w:rPr>
          <w:position w:val="1"/>
          <w:sz w:val="20"/>
        </w:rPr>
        <w:t>BF</w:t>
      </w:r>
      <w:r>
        <w:rPr>
          <w:position w:val="1"/>
          <w:sz w:val="20"/>
          <w:vertAlign w:val="subscript"/>
        </w:rPr>
        <w:t>10</w:t>
      </w:r>
      <w:r>
        <w:rPr>
          <w:position w:val="1"/>
          <w:sz w:val="20"/>
        </w:rPr>
        <w:tab/>
        <w:t>0.27</w:t>
      </w:r>
      <w:r>
        <w:rPr>
          <w:position w:val="1"/>
          <w:sz w:val="20"/>
        </w:rPr>
        <w:tab/>
        <w:t>0.49</w:t>
      </w:r>
      <w:r>
        <w:rPr>
          <w:position w:val="1"/>
          <w:sz w:val="20"/>
        </w:rPr>
        <w:tab/>
        <w:t>0.27</w:t>
      </w:r>
      <w:r>
        <w:rPr>
          <w:position w:val="1"/>
          <w:sz w:val="20"/>
        </w:rPr>
        <w:tab/>
        <w:t>0.35</w:t>
      </w:r>
    </w:p>
    <w:p w14:paraId="51D274AA" w14:textId="77777777" w:rsidR="00C75312" w:rsidRDefault="00BB293A">
      <w:pPr>
        <w:tabs>
          <w:tab w:val="left" w:pos="1243"/>
          <w:tab w:val="left" w:pos="2088"/>
          <w:tab w:val="left" w:pos="3432"/>
          <w:tab w:val="left" w:pos="5055"/>
          <w:tab w:val="left" w:pos="6749"/>
        </w:tabs>
        <w:spacing w:before="169"/>
        <w:ind w:left="245"/>
        <w:rPr>
          <w:sz w:val="20"/>
        </w:rPr>
      </w:pPr>
      <w:r>
        <w:pict w14:anchorId="55A68BF7">
          <v:group id="_x0000_s2261" style="position:absolute;left:0;text-align:left;margin-left:150pt;margin-top:6.05pt;width:373pt;height:.5pt;z-index:251800576;mso-position-horizontal-relative:page" coordorigin="3000,121" coordsize="7460,10">
            <v:line id="_x0000_s2272" style="position:absolute" from="3000,125" to="3850,125" strokeweight=".48pt"/>
            <v:rect id="_x0000_s2271" style="position:absolute;left:3849;top:120;width:10;height:10" fillcolor="black" stroked="f"/>
            <v:line id="_x0000_s2270" style="position:absolute" from="3859,125" to="4440,125" strokeweight=".48pt"/>
            <v:rect id="_x0000_s2269" style="position:absolute;left:4440;top:120;width:10;height:10" fillcolor="black" stroked="f"/>
            <v:line id="_x0000_s2268" style="position:absolute" from="4450,125" to="5779,125" strokeweight=".48pt"/>
            <v:rect id="_x0000_s2267" style="position:absolute;left:5779;top:120;width:10;height:10" fillcolor="black" stroked="f"/>
            <v:line id="_x0000_s2266" style="position:absolute" from="5789,125" to="7066,125" strokeweight=".48pt"/>
            <v:rect id="_x0000_s2265" style="position:absolute;left:7065;top:120;width:10;height:10" fillcolor="black" stroked="f"/>
            <v:line id="_x0000_s2264" style="position:absolute" from="7075,125" to="9091,125" strokeweight=".48pt"/>
            <v:rect id="_x0000_s2263" style="position:absolute;left:9091;top:120;width:10;height:10" fillcolor="black" stroked="f"/>
            <v:line id="_x0000_s2262" style="position:absolute" from="9101,125" to="10459,125" strokeweight=".48pt"/>
            <w10:wrap anchorx="page"/>
          </v:group>
        </w:pict>
      </w:r>
      <w:r>
        <w:rPr>
          <w:i/>
          <w:position w:val="-2"/>
          <w:sz w:val="20"/>
        </w:rPr>
        <w:t>NT</w:t>
      </w:r>
      <w:r>
        <w:rPr>
          <w:i/>
          <w:position w:val="-2"/>
          <w:sz w:val="20"/>
        </w:rPr>
        <w:tab/>
      </w:r>
      <w:r>
        <w:rPr>
          <w:i/>
          <w:sz w:val="20"/>
        </w:rPr>
        <w:t>r</w:t>
      </w:r>
      <w:r>
        <w:rPr>
          <w:i/>
          <w:sz w:val="20"/>
        </w:rPr>
        <w:tab/>
      </w:r>
      <w:r>
        <w:rPr>
          <w:sz w:val="20"/>
        </w:rPr>
        <w:t>-.06</w:t>
      </w:r>
      <w:r>
        <w:rPr>
          <w:sz w:val="20"/>
        </w:rPr>
        <w:tab/>
        <w:t>.04</w:t>
      </w:r>
      <w:r>
        <w:rPr>
          <w:sz w:val="20"/>
        </w:rPr>
        <w:tab/>
        <w:t>-.20</w:t>
      </w:r>
      <w:r>
        <w:rPr>
          <w:sz w:val="20"/>
        </w:rPr>
        <w:tab/>
        <w:t>-.30</w:t>
      </w:r>
    </w:p>
    <w:p w14:paraId="11D28204" w14:textId="77777777" w:rsidR="00C75312" w:rsidRDefault="00BB293A">
      <w:pPr>
        <w:tabs>
          <w:tab w:val="left" w:pos="2069"/>
          <w:tab w:val="left" w:pos="3384"/>
          <w:tab w:val="left" w:pos="5035"/>
          <w:tab w:val="right" w:pos="7090"/>
        </w:tabs>
        <w:spacing w:before="147"/>
        <w:ind w:left="1095"/>
        <w:rPr>
          <w:sz w:val="20"/>
        </w:rPr>
      </w:pPr>
      <w:r>
        <w:pict w14:anchorId="71546961">
          <v:group id="_x0000_s2251" style="position:absolute;left:0;text-align:left;margin-left:192.5pt;margin-top:4.95pt;width:330.5pt;height:.5pt;z-index:251801600;mso-position-horizontal-relative:page" coordorigin="3850,99" coordsize="6610,10">
            <v:line id="_x0000_s2260" style="position:absolute" from="3850,104" to="4440,104" strokeweight=".48pt"/>
            <v:rect id="_x0000_s2259" style="position:absolute;left:4440;top:98;width:10;height:10" fillcolor="black" stroked="f"/>
            <v:line id="_x0000_s2258" style="position:absolute" from="4450,104" to="5779,104" strokeweight=".48pt"/>
            <v:rect id="_x0000_s2257" style="position:absolute;left:5779;top:98;width:10;height:10" fillcolor="black" stroked="f"/>
            <v:line id="_x0000_s2256" style="position:absolute" from="5789,104" to="7066,104" strokeweight=".48pt"/>
            <v:rect id="_x0000_s2255" style="position:absolute;left:7065;top:98;width:10;height:10" fillcolor="black" stroked="f"/>
            <v:line id="_x0000_s2254" style="position:absolute" from="7075,104" to="9091,104" strokeweight=".48pt"/>
            <v:rect id="_x0000_s2253" style="position:absolute;left:9091;top:98;width:10;height:10" fillcolor="black" stroked="f"/>
            <v:line id="_x0000_s2252" style="position:absolute" from="9101,104" to="10459,104" strokeweight=".48pt"/>
            <w10:wrap anchorx="page"/>
          </v:group>
        </w:pict>
      </w:r>
      <w:r>
        <w:rPr>
          <w:position w:val="1"/>
          <w:sz w:val="20"/>
        </w:rPr>
        <w:t>BF</w:t>
      </w:r>
      <w:r>
        <w:rPr>
          <w:position w:val="1"/>
          <w:sz w:val="20"/>
          <w:vertAlign w:val="subscript"/>
        </w:rPr>
        <w:t>10</w:t>
      </w:r>
      <w:r>
        <w:rPr>
          <w:position w:val="1"/>
          <w:sz w:val="20"/>
        </w:rPr>
        <w:tab/>
        <w:t>0.28</w:t>
      </w:r>
      <w:r>
        <w:rPr>
          <w:position w:val="1"/>
          <w:sz w:val="20"/>
        </w:rPr>
        <w:tab/>
        <w:t>0.28</w:t>
      </w:r>
      <w:r>
        <w:rPr>
          <w:position w:val="1"/>
          <w:sz w:val="20"/>
        </w:rPr>
        <w:tab/>
        <w:t>0.38</w:t>
      </w:r>
      <w:r>
        <w:rPr>
          <w:position w:val="1"/>
          <w:sz w:val="20"/>
        </w:rPr>
        <w:tab/>
        <w:t>0.58</w:t>
      </w:r>
    </w:p>
    <w:p w14:paraId="53D28847" w14:textId="77777777" w:rsidR="00C75312" w:rsidRDefault="00BB293A">
      <w:pPr>
        <w:tabs>
          <w:tab w:val="left" w:pos="1243"/>
          <w:tab w:val="left" w:pos="2088"/>
          <w:tab w:val="left" w:pos="3399"/>
          <w:tab w:val="left" w:pos="5035"/>
          <w:tab w:val="left" w:pos="6749"/>
        </w:tabs>
        <w:spacing w:before="164"/>
        <w:ind w:left="245"/>
        <w:rPr>
          <w:sz w:val="20"/>
        </w:rPr>
      </w:pPr>
      <w:r>
        <w:rPr>
          <w:i/>
          <w:position w:val="-3"/>
          <w:sz w:val="20"/>
        </w:rPr>
        <w:t>ASD</w:t>
      </w:r>
      <w:r>
        <w:rPr>
          <w:i/>
          <w:position w:val="-3"/>
          <w:sz w:val="20"/>
        </w:rPr>
        <w:tab/>
      </w:r>
      <w:r>
        <w:rPr>
          <w:i/>
          <w:sz w:val="20"/>
        </w:rPr>
        <w:t>r</w:t>
      </w:r>
      <w:r>
        <w:rPr>
          <w:i/>
          <w:sz w:val="20"/>
        </w:rPr>
        <w:tab/>
      </w:r>
      <w:r>
        <w:rPr>
          <w:sz w:val="20"/>
        </w:rPr>
        <w:t>-.27</w:t>
      </w:r>
      <w:r>
        <w:rPr>
          <w:sz w:val="20"/>
        </w:rPr>
        <w:tab/>
        <w:t>-.15</w:t>
      </w:r>
      <w:r>
        <w:rPr>
          <w:sz w:val="20"/>
        </w:rPr>
        <w:tab/>
        <w:t>.48*</w:t>
      </w:r>
      <w:r>
        <w:rPr>
          <w:sz w:val="20"/>
        </w:rPr>
        <w:tab/>
      </w:r>
      <w:r>
        <w:rPr>
          <w:sz w:val="20"/>
        </w:rPr>
        <w:t>-.15</w:t>
      </w:r>
    </w:p>
    <w:p w14:paraId="4EC2E7CE" w14:textId="77777777" w:rsidR="00C75312" w:rsidRDefault="00BB293A">
      <w:pPr>
        <w:tabs>
          <w:tab w:val="left" w:pos="2069"/>
          <w:tab w:val="left" w:pos="3384"/>
          <w:tab w:val="left" w:pos="5035"/>
          <w:tab w:val="right" w:pos="7090"/>
        </w:tabs>
        <w:spacing w:before="137"/>
        <w:ind w:left="1095"/>
        <w:rPr>
          <w:sz w:val="20"/>
        </w:rPr>
      </w:pPr>
      <w:r>
        <w:pict w14:anchorId="4E5BA898">
          <v:group id="_x0000_s2241" style="position:absolute;left:0;text-align:left;margin-left:192.5pt;margin-top:4.45pt;width:330.5pt;height:.5pt;z-index:251803648;mso-position-horizontal-relative:page" coordorigin="3850,89" coordsize="6610,10">
            <v:line id="_x0000_s2250" style="position:absolute" from="3850,94" to="4440,94" strokeweight=".48pt"/>
            <v:rect id="_x0000_s2249" style="position:absolute;left:4440;top:88;width:10;height:10" fillcolor="black" stroked="f"/>
            <v:line id="_x0000_s2248" style="position:absolute" from="4450,94" to="5779,94" strokeweight=".48pt"/>
            <v:rect id="_x0000_s2247" style="position:absolute;left:5779;top:88;width:10;height:10" fillcolor="black" stroked="f"/>
            <v:line id="_x0000_s2246" style="position:absolute" from="5789,94" to="7066,94" strokeweight=".48pt"/>
            <v:rect id="_x0000_s2245" style="position:absolute;left:7065;top:88;width:10;height:10" fillcolor="black" stroked="f"/>
            <v:line id="_x0000_s2244" style="position:absolute" from="7075,94" to="9091,94" strokeweight=".48pt"/>
            <v:rect id="_x0000_s2243" style="position:absolute;left:9091;top:88;width:10;height:10" fillcolor="black" stroked="f"/>
            <v:line id="_x0000_s2242" style="position:absolute" from="9101,94" to="10459,94" strokeweight=".48pt"/>
            <w10:wrap anchorx="page"/>
          </v:group>
        </w:pict>
      </w:r>
      <w:r>
        <w:rPr>
          <w:position w:val="1"/>
          <w:sz w:val="20"/>
        </w:rPr>
        <w:t>BF</w:t>
      </w:r>
      <w:r>
        <w:rPr>
          <w:position w:val="1"/>
          <w:sz w:val="20"/>
          <w:vertAlign w:val="subscript"/>
        </w:rPr>
        <w:t>10</w:t>
      </w:r>
      <w:r>
        <w:rPr>
          <w:position w:val="1"/>
          <w:sz w:val="20"/>
        </w:rPr>
        <w:tab/>
        <w:t>0.55</w:t>
      </w:r>
      <w:r>
        <w:rPr>
          <w:position w:val="1"/>
          <w:sz w:val="20"/>
        </w:rPr>
        <w:tab/>
        <w:t>0.33</w:t>
      </w:r>
      <w:r>
        <w:rPr>
          <w:position w:val="1"/>
          <w:sz w:val="20"/>
        </w:rPr>
        <w:tab/>
        <w:t>3.95</w:t>
      </w:r>
      <w:r>
        <w:rPr>
          <w:position w:val="1"/>
          <w:sz w:val="20"/>
        </w:rPr>
        <w:tab/>
        <w:t>0.31</w:t>
      </w:r>
    </w:p>
    <w:p w14:paraId="2643A5C6" w14:textId="77777777" w:rsidR="00C75312" w:rsidRDefault="00BB293A">
      <w:pPr>
        <w:tabs>
          <w:tab w:val="left" w:pos="1243"/>
          <w:tab w:val="left" w:pos="2122"/>
          <w:tab w:val="left" w:pos="3432"/>
          <w:tab w:val="left" w:pos="5088"/>
          <w:tab w:val="left" w:pos="6783"/>
        </w:tabs>
        <w:spacing w:before="169"/>
        <w:ind w:left="245"/>
        <w:rPr>
          <w:sz w:val="20"/>
        </w:rPr>
      </w:pPr>
      <w:r>
        <w:pict w14:anchorId="2D5FC0E3">
          <v:group id="_x0000_s2229" style="position:absolute;left:0;text-align:left;margin-left:150pt;margin-top:6.05pt;width:373pt;height:.5pt;z-index:251804672;mso-position-horizontal-relative:page" coordorigin="3000,121" coordsize="7460,10">
            <v:line id="_x0000_s2240" style="position:absolute" from="3000,125" to="3850,125" strokeweight=".48pt"/>
            <v:rect id="_x0000_s2239" style="position:absolute;left:3849;top:120;width:10;height:10" fillcolor="black" stroked="f"/>
            <v:line id="_x0000_s2238" style="position:absolute" from="3859,125" to="4440,125" strokeweight=".48pt"/>
            <v:rect id="_x0000_s2237" style="position:absolute;left:4440;top:120;width:10;height:10" fillcolor="black" stroked="f"/>
            <v:line id="_x0000_s2236" style="position:absolute" from="4450,125" to="5779,125" strokeweight=".48pt"/>
            <v:rect id="_x0000_s2235" style="position:absolute;left:5779;top:120;width:10;height:10" fillcolor="black" stroked="f"/>
            <v:line id="_x0000_s2234" style="position:absolute" from="5789,125" to="7066,125" strokeweight=".48pt"/>
            <v:rect id="_x0000_s2233" style="position:absolute;left:7065;top:120;width:10;height:10" fillcolor="black" stroked="f"/>
            <v:line id="_x0000_s2232" style="position:absolute" from="7075,125" to="9091,125" strokeweight=".48pt"/>
            <v:rect id="_x0000_s2231" style="position:absolute;left:9091;top:120;width:10;height:10" fillcolor="black" stroked="f"/>
            <v:line id="_x0000_s2230" style="position:absolute" from="9101,125" to="10459,125" strokeweight=".48pt"/>
            <w10:wrap anchorx="page"/>
          </v:group>
        </w:pict>
      </w:r>
      <w:r>
        <w:rPr>
          <w:i/>
          <w:position w:val="-2"/>
          <w:sz w:val="20"/>
        </w:rPr>
        <w:t>NT</w:t>
      </w:r>
      <w:r>
        <w:rPr>
          <w:i/>
          <w:position w:val="-2"/>
          <w:sz w:val="20"/>
        </w:rPr>
        <w:tab/>
      </w:r>
      <w:r>
        <w:rPr>
          <w:i/>
          <w:sz w:val="20"/>
        </w:rPr>
        <w:t>r</w:t>
      </w:r>
      <w:r>
        <w:rPr>
          <w:i/>
          <w:sz w:val="20"/>
        </w:rPr>
        <w:tab/>
      </w:r>
      <w:r>
        <w:rPr>
          <w:sz w:val="20"/>
        </w:rPr>
        <w:t>.22</w:t>
      </w:r>
      <w:r>
        <w:rPr>
          <w:sz w:val="20"/>
        </w:rPr>
        <w:tab/>
        <w:t>.35</w:t>
      </w:r>
      <w:r>
        <w:rPr>
          <w:sz w:val="20"/>
        </w:rPr>
        <w:tab/>
        <w:t>.28</w:t>
      </w:r>
      <w:r>
        <w:rPr>
          <w:sz w:val="20"/>
        </w:rPr>
        <w:tab/>
        <w:t>.33</w:t>
      </w:r>
    </w:p>
    <w:p w14:paraId="0C3B71E7" w14:textId="77777777" w:rsidR="00C75312" w:rsidRDefault="00BB293A">
      <w:pPr>
        <w:tabs>
          <w:tab w:val="left" w:pos="2069"/>
          <w:tab w:val="left" w:pos="3384"/>
          <w:tab w:val="left" w:pos="5035"/>
          <w:tab w:val="right" w:pos="7090"/>
        </w:tabs>
        <w:spacing w:before="147"/>
        <w:ind w:left="1095"/>
        <w:rPr>
          <w:sz w:val="20"/>
        </w:rPr>
      </w:pPr>
      <w:r>
        <w:pict w14:anchorId="4D778CFF">
          <v:group id="_x0000_s2219" style="position:absolute;left:0;text-align:left;margin-left:192.5pt;margin-top:4.95pt;width:330.5pt;height:.5pt;z-index:251805696;mso-position-horizontal-relative:page" coordorigin="3850,99" coordsize="6610,10">
            <v:line id="_x0000_s2228" style="position:absolute" from="3850,104" to="4440,104" strokeweight=".48pt"/>
            <v:rect id="_x0000_s2227" style="position:absolute;left:4440;top:98;width:10;height:10" fillcolor="black" stroked="f"/>
            <v:line id="_x0000_s2226" style="position:absolute" from="4450,104" to="5779,104" strokeweight=".48pt"/>
            <v:rect id="_x0000_s2225" style="position:absolute;left:5779;top:98;width:10;height:10" fillcolor="black" stroked="f"/>
            <v:line id="_x0000_s2224" style="position:absolute" from="5789,104" to="7066,104" strokeweight=".48pt"/>
            <v:rect id="_x0000_s2223" style="position:absolute;left:7065;top:98;width:10;height:10" fillcolor="black" stroked="f"/>
            <v:line id="_x0000_s2222" style="position:absolute" from="7075,104" to="9091,104" strokeweight=".48pt"/>
            <v:rect id="_x0000_s2221" style="position:absolute;left:9091;top:98;width:10;height:10" fillcolor="black" stroked="f"/>
            <v:line id="_x0000_s2220" style="position:absolute" from="9101,104" to="10459,104" strokeweight=".48pt"/>
            <w10:wrap anchorx="page"/>
          </v:group>
        </w:pict>
      </w:r>
      <w:r>
        <w:rPr>
          <w:position w:val="1"/>
          <w:sz w:val="20"/>
        </w:rPr>
        <w:t>BF</w:t>
      </w:r>
      <w:r>
        <w:rPr>
          <w:position w:val="1"/>
          <w:sz w:val="20"/>
          <w:vertAlign w:val="subscript"/>
        </w:rPr>
        <w:t>10</w:t>
      </w:r>
      <w:r>
        <w:rPr>
          <w:position w:val="1"/>
          <w:sz w:val="20"/>
        </w:rPr>
        <w:tab/>
        <w:t>0.41</w:t>
      </w:r>
      <w:r>
        <w:rPr>
          <w:position w:val="1"/>
          <w:sz w:val="20"/>
        </w:rPr>
        <w:tab/>
        <w:t>0.95</w:t>
      </w:r>
      <w:r>
        <w:rPr>
          <w:position w:val="1"/>
          <w:sz w:val="20"/>
        </w:rPr>
        <w:tab/>
        <w:t>0.58</w:t>
      </w:r>
      <w:r>
        <w:rPr>
          <w:position w:val="1"/>
          <w:sz w:val="20"/>
        </w:rPr>
        <w:tab/>
        <w:t>0.78</w:t>
      </w:r>
    </w:p>
    <w:p w14:paraId="5F8D5DA5" w14:textId="77777777" w:rsidR="00C75312" w:rsidRDefault="00BB293A">
      <w:pPr>
        <w:tabs>
          <w:tab w:val="left" w:pos="1243"/>
          <w:tab w:val="left" w:pos="2088"/>
          <w:tab w:val="left" w:pos="3399"/>
          <w:tab w:val="left" w:pos="5055"/>
          <w:tab w:val="left" w:pos="6783"/>
        </w:tabs>
        <w:spacing w:before="164"/>
        <w:ind w:left="245"/>
        <w:rPr>
          <w:sz w:val="20"/>
        </w:rPr>
      </w:pPr>
      <w:r>
        <w:rPr>
          <w:i/>
          <w:position w:val="-2"/>
          <w:sz w:val="20"/>
        </w:rPr>
        <w:t>ASD</w:t>
      </w:r>
      <w:r>
        <w:rPr>
          <w:i/>
          <w:position w:val="-2"/>
          <w:sz w:val="20"/>
        </w:rPr>
        <w:tab/>
      </w:r>
      <w:r>
        <w:rPr>
          <w:i/>
          <w:sz w:val="20"/>
        </w:rPr>
        <w:t>r</w:t>
      </w:r>
      <w:r>
        <w:rPr>
          <w:i/>
          <w:sz w:val="20"/>
        </w:rPr>
        <w:tab/>
      </w:r>
      <w:r>
        <w:rPr>
          <w:sz w:val="20"/>
        </w:rPr>
        <w:t>-.10</w:t>
      </w:r>
      <w:r>
        <w:rPr>
          <w:sz w:val="20"/>
        </w:rPr>
        <w:tab/>
        <w:t>.39</w:t>
      </w:r>
      <w:r>
        <w:rPr>
          <w:position w:val="7"/>
          <w:sz w:val="13"/>
        </w:rPr>
        <w:t>†</w:t>
      </w:r>
      <w:r>
        <w:rPr>
          <w:position w:val="7"/>
          <w:sz w:val="13"/>
        </w:rPr>
        <w:tab/>
      </w:r>
      <w:r>
        <w:rPr>
          <w:sz w:val="20"/>
        </w:rPr>
        <w:t>-.21</w:t>
      </w:r>
      <w:r>
        <w:rPr>
          <w:sz w:val="20"/>
        </w:rPr>
        <w:tab/>
        <w:t>.18</w:t>
      </w:r>
    </w:p>
    <w:p w14:paraId="4D4E5BA8" w14:textId="77777777" w:rsidR="00C75312" w:rsidRDefault="00BB293A">
      <w:pPr>
        <w:tabs>
          <w:tab w:val="left" w:pos="2069"/>
          <w:tab w:val="left" w:pos="3384"/>
          <w:tab w:val="left" w:pos="5035"/>
          <w:tab w:val="right" w:pos="7090"/>
        </w:tabs>
        <w:spacing w:before="143"/>
        <w:ind w:left="1095"/>
        <w:rPr>
          <w:sz w:val="20"/>
        </w:rPr>
      </w:pPr>
      <w:r>
        <w:pict w14:anchorId="7E68E5E1">
          <v:group id="_x0000_s2209" style="position:absolute;left:0;text-align:left;margin-left:192.5pt;margin-top:4.75pt;width:330.5pt;height:.5pt;z-index:251807744;mso-position-horizontal-relative:page" coordorigin="3850,95" coordsize="6610,10">
            <v:line id="_x0000_s2218" style="position:absolute" from="3850,100" to="4440,100" strokeweight=".48pt"/>
            <v:rect id="_x0000_s2217" style="position:absolute;left:4440;top:94;width:10;height:10" fillcolor="black" stroked="f"/>
            <v:line id="_x0000_s2216" style="position:absolute" from="4450,100" to="5779,100" strokeweight=".48pt"/>
            <v:rect id="_x0000_s2215" style="position:absolute;left:5779;top:94;width:10;height:10" fillcolor="black" stroked="f"/>
            <v:line id="_x0000_s2214" style="position:absolute" from="5789,100" to="7066,100" strokeweight=".48pt"/>
            <v:rect id="_x0000_s2213" style="position:absolute;left:7065;top:94;width:10;height:10" fillcolor="black" stroked="f"/>
            <v:line id="_x0000_s2212" style="position:absolute" from="7075,100" to="9091,100" strokeweight=".48pt"/>
            <v:rect id="_x0000_s2211" style="position:absolute;left:9091;top:94;width:10;height:10" fillcolor="black" stroked="f"/>
            <v:line id="_x0000_s2210" style="position:absolute" from="9101,100" to="10459,100" strokeweight=".48pt"/>
            <w10:wrap anchorx="page"/>
          </v:group>
        </w:pict>
      </w:r>
      <w:r>
        <w:rPr>
          <w:position w:val="1"/>
          <w:sz w:val="20"/>
        </w:rPr>
        <w:t>BF</w:t>
      </w:r>
      <w:r>
        <w:rPr>
          <w:position w:val="1"/>
          <w:sz w:val="20"/>
          <w:vertAlign w:val="subscript"/>
        </w:rPr>
        <w:t>10</w:t>
      </w:r>
      <w:r>
        <w:rPr>
          <w:position w:val="1"/>
          <w:sz w:val="20"/>
        </w:rPr>
        <w:tab/>
        <w:t>0.28</w:t>
      </w:r>
      <w:r>
        <w:rPr>
          <w:position w:val="1"/>
          <w:sz w:val="20"/>
        </w:rPr>
        <w:tab/>
        <w:t>1.32</w:t>
      </w:r>
      <w:r>
        <w:rPr>
          <w:position w:val="1"/>
          <w:sz w:val="20"/>
        </w:rPr>
        <w:tab/>
        <w:t>0.40</w:t>
      </w:r>
      <w:r>
        <w:rPr>
          <w:position w:val="1"/>
          <w:sz w:val="20"/>
        </w:rPr>
        <w:tab/>
        <w:t>0.35</w:t>
      </w:r>
    </w:p>
    <w:p w14:paraId="521F1844" w14:textId="77777777" w:rsidR="00C75312" w:rsidRDefault="00BB293A">
      <w:pPr>
        <w:tabs>
          <w:tab w:val="left" w:pos="1243"/>
          <w:tab w:val="left" w:pos="2122"/>
          <w:tab w:val="left" w:pos="3399"/>
          <w:tab w:val="left" w:pos="5055"/>
          <w:tab w:val="left" w:pos="6749"/>
        </w:tabs>
        <w:spacing w:before="168"/>
        <w:ind w:left="245"/>
        <w:rPr>
          <w:sz w:val="20"/>
        </w:rPr>
      </w:pPr>
      <w:r>
        <w:pict w14:anchorId="1947E160">
          <v:group id="_x0000_s2197" style="position:absolute;left:0;text-align:left;margin-left:150pt;margin-top:6pt;width:373pt;height:.5pt;z-index:251808768;mso-position-horizontal-relative:page" coordorigin="3000,120" coordsize="7460,10">
            <v:line id="_x0000_s2208" style="position:absolute" from="3000,124" to="3850,124" strokeweight=".48pt"/>
            <v:rect id="_x0000_s2207" style="position:absolute;left:3849;top:119;width:10;height:10" fillcolor="black" stroked="f"/>
            <v:line id="_x0000_s2206" style="position:absolute" from="3859,124" to="4440,124" strokeweight=".48pt"/>
            <v:rect id="_x0000_s2205" style="position:absolute;left:4440;top:119;width:10;height:10" fillcolor="black" stroked="f"/>
            <v:line id="_x0000_s2204" style="position:absolute" from="4450,124" to="5779,124" strokeweight=".48pt"/>
            <v:rect id="_x0000_s2203" style="position:absolute;left:5779;top:119;width:10;height:10" fillcolor="black" stroked="f"/>
            <v:line id="_x0000_s2202" style="position:absolute" from="5789,124" to="7066,124" strokeweight=".48pt"/>
            <v:rect id="_x0000_s2201" style="position:absolute;left:7065;top:119;width:10;height:10" fillcolor="black" stroked="f"/>
            <v:line id="_x0000_s2200" style="position:absolute" from="7075,124" to="9091,124" strokeweight=".48pt"/>
            <v:rect id="_x0000_s2199" style="position:absolute;left:9091;top:119;width:10;height:10" fillcolor="black" stroked="f"/>
            <v:line id="_x0000_s2198" style="position:absolute" from="9101,124" to="10459,124" strokeweight=".48pt"/>
            <w10:wrap anchorx="page"/>
          </v:group>
        </w:pict>
      </w:r>
      <w:r>
        <w:rPr>
          <w:i/>
          <w:position w:val="-2"/>
          <w:sz w:val="20"/>
        </w:rPr>
        <w:t>NT</w:t>
      </w:r>
      <w:r>
        <w:rPr>
          <w:i/>
          <w:position w:val="-2"/>
          <w:sz w:val="20"/>
        </w:rPr>
        <w:tab/>
      </w:r>
      <w:r>
        <w:rPr>
          <w:i/>
          <w:sz w:val="20"/>
        </w:rPr>
        <w:t>r</w:t>
      </w:r>
      <w:r>
        <w:rPr>
          <w:i/>
          <w:sz w:val="20"/>
        </w:rPr>
        <w:tab/>
      </w:r>
      <w:r>
        <w:rPr>
          <w:sz w:val="20"/>
        </w:rPr>
        <w:t>.08</w:t>
      </w:r>
      <w:r>
        <w:rPr>
          <w:sz w:val="20"/>
        </w:rPr>
        <w:tab/>
        <w:t>-.12</w:t>
      </w:r>
      <w:r>
        <w:rPr>
          <w:sz w:val="20"/>
        </w:rPr>
        <w:tab/>
        <w:t>-.03</w:t>
      </w:r>
      <w:r>
        <w:rPr>
          <w:sz w:val="20"/>
        </w:rPr>
        <w:tab/>
        <w:t>-.07</w:t>
      </w:r>
    </w:p>
    <w:p w14:paraId="0DF2D98C" w14:textId="77777777" w:rsidR="00C75312" w:rsidRDefault="00BB293A">
      <w:pPr>
        <w:tabs>
          <w:tab w:val="left" w:pos="2069"/>
          <w:tab w:val="left" w:pos="3384"/>
          <w:tab w:val="left" w:pos="5035"/>
          <w:tab w:val="right" w:pos="7090"/>
        </w:tabs>
        <w:spacing w:before="148"/>
        <w:ind w:left="1095"/>
        <w:rPr>
          <w:sz w:val="20"/>
        </w:rPr>
      </w:pPr>
      <w:r>
        <w:pict w14:anchorId="759DE46E">
          <v:group id="_x0000_s2187" style="position:absolute;left:0;text-align:left;margin-left:192.5pt;margin-top:5pt;width:330.5pt;height:.5pt;z-index:251809792;mso-position-horizontal-relative:page" coordorigin="3850,100" coordsize="6610,10">
            <v:line id="_x0000_s2196" style="position:absolute" from="3850,105" to="4440,105" strokeweight=".48pt"/>
            <v:rect id="_x0000_s2195" style="position:absolute;left:4440;top:99;width:10;height:10" fillcolor="black" stroked="f"/>
            <v:line id="_x0000_s2194" style="position:absolute" from="4450,105" to="5779,105" strokeweight=".48pt"/>
            <v:rect id="_x0000_s2193" style="position:absolute;left:5779;top:99;width:10;height:10" fillcolor="black" stroked="f"/>
            <v:line id="_x0000_s2192" style="position:absolute" from="5789,105" to="7066,105" strokeweight=".48pt"/>
            <v:rect id="_x0000_s2191" style="position:absolute;left:7065;top:99;width:10;height:10" fillcolor="black" stroked="f"/>
            <v:line id="_x0000_s2190" style="position:absolute" from="7075,105" to="9091,105" strokeweight=".48pt"/>
            <v:rect id="_x0000_s2189" style="position:absolute;left:9091;top:99;width:10;height:10" fillcolor="black" stroked="f"/>
            <v:line id="_x0000_s2188" style="position:absolute" from="9101,105" to="10459,105" strokeweight=".48pt"/>
            <w10:wrap anchorx="page"/>
          </v:group>
        </w:pict>
      </w:r>
      <w:r>
        <w:rPr>
          <w:position w:val="1"/>
          <w:sz w:val="20"/>
        </w:rPr>
        <w:t>BF</w:t>
      </w:r>
      <w:r>
        <w:rPr>
          <w:position w:val="1"/>
          <w:sz w:val="20"/>
          <w:vertAlign w:val="subscript"/>
        </w:rPr>
        <w:t>10</w:t>
      </w:r>
      <w:r>
        <w:rPr>
          <w:position w:val="1"/>
          <w:sz w:val="20"/>
        </w:rPr>
        <w:tab/>
        <w:t>0.27</w:t>
      </w:r>
      <w:r>
        <w:rPr>
          <w:position w:val="1"/>
          <w:sz w:val="20"/>
        </w:rPr>
        <w:tab/>
        <w:t>0.27</w:t>
      </w:r>
      <w:r>
        <w:rPr>
          <w:position w:val="1"/>
          <w:sz w:val="20"/>
        </w:rPr>
        <w:tab/>
        <w:t>0.26</w:t>
      </w:r>
      <w:r>
        <w:rPr>
          <w:position w:val="1"/>
          <w:sz w:val="20"/>
        </w:rPr>
        <w:tab/>
        <w:t>0.27</w:t>
      </w:r>
    </w:p>
    <w:p w14:paraId="38909877" w14:textId="77777777" w:rsidR="00C75312" w:rsidRDefault="00BB293A">
      <w:pPr>
        <w:tabs>
          <w:tab w:val="left" w:pos="1243"/>
          <w:tab w:val="left" w:pos="2088"/>
          <w:tab w:val="left" w:pos="3384"/>
          <w:tab w:val="left" w:pos="5055"/>
          <w:tab w:val="left" w:pos="6783"/>
        </w:tabs>
        <w:spacing w:before="169"/>
        <w:ind w:left="245"/>
        <w:rPr>
          <w:sz w:val="20"/>
        </w:rPr>
      </w:pPr>
      <w:r>
        <w:rPr>
          <w:i/>
          <w:position w:val="-2"/>
          <w:sz w:val="20"/>
        </w:rPr>
        <w:t>ASD</w:t>
      </w:r>
      <w:r>
        <w:rPr>
          <w:i/>
          <w:position w:val="-2"/>
          <w:sz w:val="20"/>
        </w:rPr>
        <w:tab/>
      </w:r>
      <w:r>
        <w:rPr>
          <w:i/>
          <w:sz w:val="20"/>
        </w:rPr>
        <w:t>r</w:t>
      </w:r>
      <w:r>
        <w:rPr>
          <w:i/>
          <w:sz w:val="20"/>
        </w:rPr>
        <w:tab/>
      </w:r>
      <w:r>
        <w:rPr>
          <w:sz w:val="20"/>
        </w:rPr>
        <w:t>-.05</w:t>
      </w:r>
      <w:r>
        <w:rPr>
          <w:sz w:val="20"/>
        </w:rPr>
        <w:tab/>
      </w:r>
      <w:r>
        <w:rPr>
          <w:sz w:val="20"/>
        </w:rPr>
        <w:t>.46*</w:t>
      </w:r>
      <w:r>
        <w:rPr>
          <w:sz w:val="20"/>
        </w:rPr>
        <w:tab/>
        <w:t>-.09</w:t>
      </w:r>
      <w:r>
        <w:rPr>
          <w:sz w:val="20"/>
        </w:rPr>
        <w:tab/>
        <w:t>.19</w:t>
      </w:r>
    </w:p>
    <w:p w14:paraId="1E35E772" w14:textId="77777777" w:rsidR="00C75312" w:rsidRDefault="00BB293A">
      <w:pPr>
        <w:tabs>
          <w:tab w:val="left" w:pos="2069"/>
          <w:tab w:val="left" w:pos="3384"/>
          <w:tab w:val="left" w:pos="5035"/>
          <w:tab w:val="right" w:pos="7090"/>
        </w:tabs>
        <w:spacing w:before="147"/>
        <w:ind w:left="1095"/>
        <w:rPr>
          <w:sz w:val="20"/>
        </w:rPr>
      </w:pPr>
      <w:r>
        <w:pict w14:anchorId="455157E2">
          <v:group id="_x0000_s2177" style="position:absolute;left:0;text-align:left;margin-left:192.5pt;margin-top:4.95pt;width:330.5pt;height:.5pt;z-index:251811840;mso-position-horizontal-relative:page" coordorigin="3850,99" coordsize="6610,10">
            <v:line id="_x0000_s2186" style="position:absolute" from="3850,104" to="4440,104" strokeweight=".48pt"/>
            <v:rect id="_x0000_s2185" style="position:absolute;left:4440;top:98;width:10;height:10" fillcolor="black" stroked="f"/>
            <v:line id="_x0000_s2184" style="position:absolute" from="4450,104" to="5779,104" strokeweight=".48pt"/>
            <v:rect id="_x0000_s2183" style="position:absolute;left:5779;top:98;width:10;height:10" fillcolor="black" stroked="f"/>
            <v:line id="_x0000_s2182" style="position:absolute" from="5789,104" to="7066,104" strokeweight=".48pt"/>
            <v:rect id="_x0000_s2181" style="position:absolute;left:7065;top:98;width:10;height:10" fillcolor="black" stroked="f"/>
            <v:line id="_x0000_s2180" style="position:absolute" from="7075,104" to="9091,104" strokeweight=".48pt"/>
            <v:rect id="_x0000_s2179" style="position:absolute;left:9091;top:98;width:10;height:10" fillcolor="black" stroked="f"/>
            <v:line id="_x0000_s2178" style="position:absolute" from="9101,104" to="10459,104" strokeweight=".48pt"/>
            <w10:wrap anchorx="page"/>
          </v:group>
        </w:pict>
      </w:r>
      <w:r>
        <w:rPr>
          <w:position w:val="1"/>
          <w:sz w:val="20"/>
        </w:rPr>
        <w:t>BF</w:t>
      </w:r>
      <w:r>
        <w:rPr>
          <w:position w:val="1"/>
          <w:sz w:val="20"/>
          <w:vertAlign w:val="subscript"/>
        </w:rPr>
        <w:t>10</w:t>
      </w:r>
      <w:r>
        <w:rPr>
          <w:position w:val="1"/>
          <w:sz w:val="20"/>
        </w:rPr>
        <w:tab/>
        <w:t>0.26</w:t>
      </w:r>
      <w:r>
        <w:rPr>
          <w:position w:val="1"/>
          <w:sz w:val="20"/>
        </w:rPr>
        <w:tab/>
        <w:t>2.68</w:t>
      </w:r>
      <w:r>
        <w:rPr>
          <w:position w:val="1"/>
          <w:sz w:val="20"/>
        </w:rPr>
        <w:tab/>
        <w:t>0.27</w:t>
      </w:r>
      <w:r>
        <w:rPr>
          <w:position w:val="1"/>
          <w:sz w:val="20"/>
        </w:rPr>
        <w:tab/>
        <w:t>0.36</w:t>
      </w:r>
    </w:p>
    <w:p w14:paraId="14FCCE91" w14:textId="77777777" w:rsidR="00C75312" w:rsidRDefault="00BB293A">
      <w:pPr>
        <w:tabs>
          <w:tab w:val="left" w:pos="1243"/>
          <w:tab w:val="left" w:pos="2122"/>
          <w:tab w:val="left" w:pos="3399"/>
          <w:tab w:val="left" w:pos="5088"/>
          <w:tab w:val="left" w:pos="6749"/>
        </w:tabs>
        <w:spacing w:before="164"/>
        <w:ind w:left="245"/>
        <w:rPr>
          <w:sz w:val="20"/>
        </w:rPr>
      </w:pPr>
      <w:r>
        <w:pict w14:anchorId="5CA53FC2">
          <v:group id="_x0000_s2165" style="position:absolute;left:0;text-align:left;margin-left:150pt;margin-top:5.8pt;width:373pt;height:.5pt;z-index:251812864;mso-position-horizontal-relative:page" coordorigin="3000,116" coordsize="7460,10">
            <v:line id="_x0000_s2176" style="position:absolute" from="3000,120" to="3850,120" strokeweight=".48pt"/>
            <v:rect id="_x0000_s2175" style="position:absolute;left:3849;top:115;width:10;height:10" fillcolor="black" stroked="f"/>
            <v:line id="_x0000_s2174" style="position:absolute" from="3859,120" to="4440,120" strokeweight=".48pt"/>
            <v:rect id="_x0000_s2173" style="position:absolute;left:4440;top:115;width:10;height:10" fillcolor="black" stroked="f"/>
            <v:line id="_x0000_s2172" style="position:absolute" from="4450,120" to="5779,120" strokeweight=".48pt"/>
            <v:rect id="_x0000_s2171" style="position:absolute;left:5779;top:115;width:10;height:10" fillcolor="black" stroked="f"/>
            <v:line id="_x0000_s2170" style="position:absolute" from="5789,120" to="7066,120" strokeweight=".48pt"/>
            <v:rect id="_x0000_s2169" style="position:absolute;left:7065;top:115;width:10;height:10" fillcolor="black" stroked="f"/>
            <v:line id="_x0000_s2168" style="position:absolute" from="7075,120" to="9091,120" strokeweight=".48pt"/>
            <v:rect id="_x0000_s2167" style="position:absolute;left:9091;top:115;width:10;height:10" fillcolor="black" stroked="f"/>
            <v:line id="_x0000_s2166" style="position:absolute" from="9101,120" to="10459,120" strokeweight=".48pt"/>
            <w10:wrap anchorx="page"/>
          </v:group>
        </w:pict>
      </w:r>
      <w:r>
        <w:rPr>
          <w:i/>
          <w:position w:val="-3"/>
          <w:sz w:val="20"/>
        </w:rPr>
        <w:t>NT</w:t>
      </w:r>
      <w:r>
        <w:rPr>
          <w:i/>
          <w:position w:val="-3"/>
          <w:sz w:val="20"/>
        </w:rPr>
        <w:tab/>
      </w:r>
      <w:r>
        <w:rPr>
          <w:i/>
          <w:sz w:val="20"/>
        </w:rPr>
        <w:t>r</w:t>
      </w:r>
      <w:r>
        <w:rPr>
          <w:i/>
          <w:sz w:val="20"/>
        </w:rPr>
        <w:tab/>
      </w:r>
      <w:r>
        <w:rPr>
          <w:sz w:val="20"/>
        </w:rPr>
        <w:t>.09</w:t>
      </w:r>
      <w:r>
        <w:rPr>
          <w:sz w:val="20"/>
        </w:rPr>
        <w:tab/>
        <w:t>-.37</w:t>
      </w:r>
      <w:r>
        <w:rPr>
          <w:sz w:val="20"/>
        </w:rPr>
        <w:tab/>
        <w:t>.02</w:t>
      </w:r>
      <w:r>
        <w:rPr>
          <w:sz w:val="20"/>
        </w:rPr>
        <w:tab/>
        <w:t>-.08</w:t>
      </w:r>
    </w:p>
    <w:p w14:paraId="418D5576" w14:textId="77777777" w:rsidR="00C75312" w:rsidRDefault="00BB293A">
      <w:pPr>
        <w:tabs>
          <w:tab w:val="left" w:pos="2069"/>
          <w:tab w:val="left" w:pos="3384"/>
          <w:tab w:val="left" w:pos="5035"/>
          <w:tab w:val="right" w:pos="7090"/>
        </w:tabs>
        <w:spacing w:before="137"/>
        <w:ind w:left="1095"/>
        <w:rPr>
          <w:sz w:val="20"/>
        </w:rPr>
      </w:pPr>
      <w:r>
        <w:pict w14:anchorId="4A8BDA54">
          <v:group id="_x0000_s2155" style="position:absolute;left:0;text-align:left;margin-left:192.5pt;margin-top:4.45pt;width:330.5pt;height:.5pt;z-index:251813888;mso-position-horizontal-relative:page" coordorigin="3850,89" coordsize="6610,10">
            <v:line id="_x0000_s2164" style="position:absolute" from="3850,94" to="4440,94" strokeweight=".48pt"/>
            <v:rect id="_x0000_s2163" style="position:absolute;left:4440;top:88;width:10;height:10" fillcolor="black" stroked="f"/>
            <v:line id="_x0000_s2162" style="position:absolute" from="4450,94" to="5779,94" strokeweight=".48pt"/>
            <v:rect id="_x0000_s2161" style="position:absolute;left:5779;top:88;width:10;height:10" fillcolor="black" stroked="f"/>
            <v:line id="_x0000_s2160" style="position:absolute" from="5789,94" to="7066,94" strokeweight=".48pt"/>
            <v:rect id="_x0000_s2159" style="position:absolute;left:7065;top:88;width:10;height:10" fillcolor="black" stroked="f"/>
            <v:line id="_x0000_s2158" style="position:absolute" from="7075,94" to="9091,94" strokeweight=".48pt"/>
            <v:rect id="_x0000_s2157" style="position:absolute;left:9091;top:88;width:10;height:10" fillcolor="black" stroked="f"/>
            <v:line id="_x0000_s2156" style="position:absolute" from="9101,94" to="10459,94" strokeweight=".48pt"/>
            <w10:wrap anchorx="page"/>
          </v:group>
        </w:pict>
      </w:r>
      <w:r>
        <w:rPr>
          <w:position w:val="1"/>
          <w:sz w:val="20"/>
        </w:rPr>
        <w:t>BF</w:t>
      </w:r>
      <w:r>
        <w:rPr>
          <w:position w:val="1"/>
          <w:sz w:val="20"/>
          <w:vertAlign w:val="subscript"/>
        </w:rPr>
        <w:t>10</w:t>
      </w:r>
      <w:r>
        <w:rPr>
          <w:position w:val="1"/>
          <w:sz w:val="20"/>
        </w:rPr>
        <w:tab/>
        <w:t>0.29</w:t>
      </w:r>
      <w:r>
        <w:rPr>
          <w:position w:val="1"/>
          <w:sz w:val="20"/>
        </w:rPr>
        <w:tab/>
        <w:t>0.28</w:t>
      </w:r>
      <w:r>
        <w:rPr>
          <w:position w:val="1"/>
          <w:sz w:val="20"/>
        </w:rPr>
        <w:tab/>
        <w:t>0.26</w:t>
      </w:r>
      <w:r>
        <w:rPr>
          <w:position w:val="1"/>
          <w:sz w:val="20"/>
        </w:rPr>
        <w:tab/>
        <w:t>0.27</w:t>
      </w:r>
    </w:p>
    <w:p w14:paraId="66145FF7" w14:textId="77777777" w:rsidR="00C75312" w:rsidRDefault="00C75312">
      <w:pPr>
        <w:rPr>
          <w:sz w:val="20"/>
        </w:rPr>
        <w:sectPr w:rsidR="00C75312">
          <w:type w:val="continuous"/>
          <w:pgSz w:w="11900" w:h="16840"/>
          <w:pgMar w:top="700" w:right="0" w:bottom="280" w:left="1300" w:header="720" w:footer="720" w:gutter="0"/>
          <w:cols w:num="2" w:space="720" w:equalWidth="0">
            <w:col w:w="1512" w:space="53"/>
            <w:col w:w="9035"/>
          </w:cols>
        </w:sectPr>
      </w:pPr>
    </w:p>
    <w:p w14:paraId="36B2673D" w14:textId="77777777" w:rsidR="00C75312" w:rsidRDefault="00BB293A">
      <w:pPr>
        <w:spacing w:before="126"/>
        <w:ind w:left="140"/>
        <w:rPr>
          <w:i/>
          <w:sz w:val="20"/>
        </w:rPr>
      </w:pPr>
      <w:r>
        <w:pict w14:anchorId="7243B515">
          <v:group id="_x0000_s2141" style="position:absolute;left:0;text-align:left;margin-left:1in;margin-top:6.05pt;width:451pt;height:.5pt;z-index:251814912;mso-position-horizontal-relative:page" coordorigin="1440,121" coordsize="9020,10">
            <v:line id="_x0000_s2154" style="position:absolute" from="1440,125" to="3000,125" strokeweight=".48pt"/>
            <v:rect id="_x0000_s2153" style="position:absolute;left:3000;top:120;width:10;height:10" fillcolor="black" stroked="f"/>
            <v:line id="_x0000_s2152" style="position:absolute" from="3010,125" to="3850,125" strokeweight=".48pt"/>
            <v:rect id="_x0000_s2151" style="position:absolute;left:3849;top:120;width:10;height:10" fillcolor="black" stroked="f"/>
            <v:line id="_x0000_s2150" style="position:absolute" from="3859,125" to="4440,125" strokeweight=".48pt"/>
            <v:rect id="_x0000_s2149" style="position:absolute;left:4440;top:120;width:10;height:10" fillcolor="black" stroked="f"/>
            <v:line id="_x0000_s2148" style="position:absolute" from="4450,125" to="5779,125" strokeweight=".48pt"/>
            <v:rect id="_x0000_s2147" style="position:absolute;left:5779;top:120;width:10;height:10" fillcolor="black" stroked="f"/>
            <v:line id="_x0000_s2146" style="position:absolute" from="5789,125" to="7066,125" strokeweight=".48pt"/>
            <v:rect id="_x0000_s2145" style="position:absolute;left:7065;top:120;width:10;height:10" fillcolor="black" stroked="f"/>
            <v:line id="_x0000_s2144" style="position:absolute" from="7075,125" to="9091,125" strokeweight=".48pt"/>
            <v:rect id="_x0000_s2143" style="position:absolute;left:9091;top:120;width:10;height:10" fillcolor="black" stroked="f"/>
            <v:line id="_x0000_s2142" style="position:absolute" from="9101,125" to="10459,125" strokeweight=".48pt"/>
            <w10:wrap anchorx="page"/>
          </v:group>
        </w:pict>
      </w:r>
      <w:r>
        <w:rPr>
          <w:i/>
          <w:sz w:val="20"/>
        </w:rPr>
        <w:t xml:space="preserve">Correlations significant two-tailed </w:t>
      </w:r>
      <w:r>
        <w:rPr>
          <w:i/>
          <w:position w:val="7"/>
          <w:sz w:val="13"/>
        </w:rPr>
        <w:t xml:space="preserve">† </w:t>
      </w:r>
      <w:r>
        <w:rPr>
          <w:i/>
          <w:sz w:val="20"/>
        </w:rPr>
        <w:t>p ≤ .06, * p ≤ .05, *** p ≤ .001</w:t>
      </w:r>
    </w:p>
    <w:p w14:paraId="752F6733" w14:textId="77777777" w:rsidR="00C75312" w:rsidRDefault="00C75312">
      <w:pPr>
        <w:rPr>
          <w:sz w:val="20"/>
        </w:rPr>
        <w:sectPr w:rsidR="00C75312">
          <w:type w:val="continuous"/>
          <w:pgSz w:w="11900" w:h="16840"/>
          <w:pgMar w:top="700" w:right="0" w:bottom="280" w:left="1300" w:header="720" w:footer="720" w:gutter="0"/>
          <w:cols w:space="720"/>
        </w:sectPr>
      </w:pPr>
    </w:p>
    <w:p w14:paraId="3696F9C7" w14:textId="77777777" w:rsidR="00C75312" w:rsidRDefault="00C75312">
      <w:pPr>
        <w:pStyle w:val="BodyText"/>
        <w:spacing w:before="2"/>
        <w:rPr>
          <w:i/>
          <w:sz w:val="13"/>
        </w:rPr>
      </w:pPr>
    </w:p>
    <w:p w14:paraId="58F910A6" w14:textId="77777777" w:rsidR="00C75312" w:rsidRDefault="00BB293A">
      <w:pPr>
        <w:pStyle w:val="BodyText"/>
        <w:ind w:left="212"/>
        <w:rPr>
          <w:sz w:val="20"/>
        </w:rPr>
      </w:pPr>
      <w:r>
        <w:rPr>
          <w:noProof/>
          <w:sz w:val="20"/>
        </w:rPr>
        <w:drawing>
          <wp:inline distT="0" distB="0" distL="0" distR="0" wp14:anchorId="2A86EE67" wp14:editId="15749DFE">
            <wp:extent cx="5662797" cy="2310288"/>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44" cstate="print"/>
                    <a:stretch>
                      <a:fillRect/>
                    </a:stretch>
                  </pic:blipFill>
                  <pic:spPr>
                    <a:xfrm>
                      <a:off x="0" y="0"/>
                      <a:ext cx="5662797" cy="2310288"/>
                    </a:xfrm>
                    <a:prstGeom prst="rect">
                      <a:avLst/>
                    </a:prstGeom>
                  </pic:spPr>
                </pic:pic>
              </a:graphicData>
            </a:graphic>
          </wp:inline>
        </w:drawing>
      </w:r>
    </w:p>
    <w:p w14:paraId="66008379" w14:textId="77777777" w:rsidR="00C75312" w:rsidRDefault="00C75312">
      <w:pPr>
        <w:pStyle w:val="BodyText"/>
        <w:rPr>
          <w:i/>
          <w:sz w:val="22"/>
        </w:rPr>
      </w:pPr>
    </w:p>
    <w:p w14:paraId="3CC0AAA0" w14:textId="77777777" w:rsidR="00C75312" w:rsidRDefault="00C75312">
      <w:pPr>
        <w:pStyle w:val="BodyText"/>
        <w:rPr>
          <w:i/>
        </w:rPr>
      </w:pPr>
    </w:p>
    <w:p w14:paraId="465E84A8" w14:textId="77777777" w:rsidR="00C75312" w:rsidRDefault="00BB293A">
      <w:pPr>
        <w:ind w:left="140" w:right="1433"/>
        <w:jc w:val="both"/>
        <w:rPr>
          <w:i/>
          <w:sz w:val="20"/>
        </w:rPr>
      </w:pPr>
      <w:r>
        <w:rPr>
          <w:i/>
          <w:sz w:val="20"/>
        </w:rPr>
        <w:t>Figure 10. Scatterplots illustrating the relationship between the change in time-checks in the critical fourth interval and PM performance in the ASD group.</w:t>
      </w:r>
    </w:p>
    <w:p w14:paraId="3313F447" w14:textId="77777777" w:rsidR="00C75312" w:rsidRDefault="00BB293A">
      <w:pPr>
        <w:pStyle w:val="BodyText"/>
        <w:spacing w:before="3"/>
        <w:rPr>
          <w:i/>
          <w:sz w:val="15"/>
        </w:rPr>
      </w:pPr>
      <w:r>
        <w:rPr>
          <w:noProof/>
        </w:rPr>
        <w:drawing>
          <wp:anchor distT="0" distB="0" distL="0" distR="0" simplePos="0" relativeHeight="154" behindDoc="0" locked="0" layoutInCell="1" allowOverlap="1" wp14:anchorId="35DDD212" wp14:editId="19D0CA3E">
            <wp:simplePos x="0" y="0"/>
            <wp:positionH relativeFrom="page">
              <wp:posOffset>946019</wp:posOffset>
            </wp:positionH>
            <wp:positionV relativeFrom="paragraph">
              <wp:posOffset>136493</wp:posOffset>
            </wp:positionV>
            <wp:extent cx="5608577" cy="1925002"/>
            <wp:effectExtent l="0" t="0" r="0" b="0"/>
            <wp:wrapTopAndBottom/>
            <wp:docPr id="2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jpeg"/>
                    <pic:cNvPicPr/>
                  </pic:nvPicPr>
                  <pic:blipFill>
                    <a:blip r:embed="rId45" cstate="print"/>
                    <a:stretch>
                      <a:fillRect/>
                    </a:stretch>
                  </pic:blipFill>
                  <pic:spPr>
                    <a:xfrm>
                      <a:off x="0" y="0"/>
                      <a:ext cx="5608577" cy="1925002"/>
                    </a:xfrm>
                    <a:prstGeom prst="rect">
                      <a:avLst/>
                    </a:prstGeom>
                  </pic:spPr>
                </pic:pic>
              </a:graphicData>
            </a:graphic>
          </wp:anchor>
        </w:drawing>
      </w:r>
    </w:p>
    <w:p w14:paraId="1F8F1A11" w14:textId="77777777" w:rsidR="00C75312" w:rsidRDefault="00C75312">
      <w:pPr>
        <w:pStyle w:val="BodyText"/>
        <w:rPr>
          <w:i/>
          <w:sz w:val="22"/>
        </w:rPr>
      </w:pPr>
    </w:p>
    <w:p w14:paraId="4FE7C296" w14:textId="77777777" w:rsidR="00C75312" w:rsidRDefault="00BB293A">
      <w:pPr>
        <w:spacing w:before="164"/>
        <w:ind w:left="140" w:right="1432"/>
        <w:jc w:val="both"/>
        <w:rPr>
          <w:i/>
          <w:sz w:val="20"/>
        </w:rPr>
      </w:pPr>
      <w:r>
        <w:rPr>
          <w:i/>
          <w:sz w:val="20"/>
        </w:rPr>
        <w:t>Figure</w:t>
      </w:r>
      <w:r>
        <w:rPr>
          <w:i/>
          <w:spacing w:val="-7"/>
          <w:sz w:val="20"/>
        </w:rPr>
        <w:t xml:space="preserve"> </w:t>
      </w:r>
      <w:r>
        <w:rPr>
          <w:i/>
          <w:sz w:val="20"/>
        </w:rPr>
        <w:t>11.</w:t>
      </w:r>
      <w:r>
        <w:rPr>
          <w:i/>
          <w:spacing w:val="-6"/>
          <w:sz w:val="20"/>
        </w:rPr>
        <w:t xml:space="preserve"> </w:t>
      </w:r>
      <w:r>
        <w:rPr>
          <w:i/>
          <w:sz w:val="20"/>
        </w:rPr>
        <w:t>(Partial)</w:t>
      </w:r>
      <w:r>
        <w:rPr>
          <w:i/>
          <w:spacing w:val="-13"/>
          <w:sz w:val="20"/>
        </w:rPr>
        <w:t xml:space="preserve"> </w:t>
      </w:r>
      <w:r>
        <w:rPr>
          <w:i/>
          <w:sz w:val="20"/>
        </w:rPr>
        <w:t>correlations</w:t>
      </w:r>
      <w:r>
        <w:rPr>
          <w:i/>
          <w:spacing w:val="-10"/>
          <w:sz w:val="20"/>
        </w:rPr>
        <w:t xml:space="preserve"> </w:t>
      </w:r>
      <w:r>
        <w:rPr>
          <w:i/>
          <w:sz w:val="20"/>
        </w:rPr>
        <w:t>scatterplots</w:t>
      </w:r>
      <w:r>
        <w:rPr>
          <w:i/>
          <w:spacing w:val="-9"/>
          <w:sz w:val="20"/>
        </w:rPr>
        <w:t xml:space="preserve"> </w:t>
      </w:r>
      <w:r>
        <w:rPr>
          <w:i/>
          <w:sz w:val="20"/>
        </w:rPr>
        <w:t>depicting</w:t>
      </w:r>
      <w:r>
        <w:rPr>
          <w:i/>
          <w:spacing w:val="-8"/>
          <w:sz w:val="20"/>
        </w:rPr>
        <w:t xml:space="preserve"> </w:t>
      </w:r>
      <w:r>
        <w:rPr>
          <w:i/>
          <w:sz w:val="20"/>
        </w:rPr>
        <w:t>correlations</w:t>
      </w:r>
      <w:r>
        <w:rPr>
          <w:i/>
          <w:spacing w:val="-15"/>
          <w:sz w:val="20"/>
        </w:rPr>
        <w:t xml:space="preserve"> </w:t>
      </w:r>
      <w:r>
        <w:rPr>
          <w:i/>
          <w:sz w:val="20"/>
        </w:rPr>
        <w:t>for</w:t>
      </w:r>
      <w:r>
        <w:rPr>
          <w:i/>
          <w:spacing w:val="-10"/>
          <w:sz w:val="20"/>
        </w:rPr>
        <w:t xml:space="preserve"> </w:t>
      </w:r>
      <w:r>
        <w:rPr>
          <w:i/>
          <w:sz w:val="20"/>
        </w:rPr>
        <w:t>cognitive</w:t>
      </w:r>
      <w:r>
        <w:rPr>
          <w:i/>
          <w:spacing w:val="-10"/>
          <w:sz w:val="20"/>
        </w:rPr>
        <w:t xml:space="preserve"> </w:t>
      </w:r>
      <w:r>
        <w:rPr>
          <w:i/>
          <w:sz w:val="20"/>
        </w:rPr>
        <w:t>correlates</w:t>
      </w:r>
      <w:r>
        <w:rPr>
          <w:i/>
          <w:spacing w:val="-10"/>
          <w:sz w:val="20"/>
        </w:rPr>
        <w:t xml:space="preserve"> </w:t>
      </w:r>
      <w:r>
        <w:rPr>
          <w:i/>
          <w:sz w:val="20"/>
        </w:rPr>
        <w:t>of</w:t>
      </w:r>
      <w:r>
        <w:rPr>
          <w:i/>
          <w:spacing w:val="-12"/>
          <w:sz w:val="20"/>
        </w:rPr>
        <w:t xml:space="preserve"> </w:t>
      </w:r>
      <w:r>
        <w:rPr>
          <w:i/>
          <w:sz w:val="20"/>
        </w:rPr>
        <w:t>interest</w:t>
      </w:r>
      <w:r>
        <w:rPr>
          <w:i/>
          <w:spacing w:val="-11"/>
          <w:sz w:val="20"/>
        </w:rPr>
        <w:t xml:space="preserve"> </w:t>
      </w:r>
      <w:r>
        <w:rPr>
          <w:i/>
          <w:sz w:val="20"/>
        </w:rPr>
        <w:t>in</w:t>
      </w:r>
      <w:r>
        <w:rPr>
          <w:i/>
          <w:spacing w:val="-12"/>
          <w:sz w:val="20"/>
        </w:rPr>
        <w:t xml:space="preserve"> </w:t>
      </w:r>
      <w:r>
        <w:rPr>
          <w:i/>
          <w:sz w:val="20"/>
        </w:rPr>
        <w:t>the</w:t>
      </w:r>
      <w:r>
        <w:rPr>
          <w:i/>
          <w:spacing w:val="-11"/>
          <w:sz w:val="20"/>
        </w:rPr>
        <w:t xml:space="preserve"> </w:t>
      </w:r>
      <w:r>
        <w:rPr>
          <w:i/>
          <w:sz w:val="20"/>
        </w:rPr>
        <w:t>ASD group.</w:t>
      </w:r>
    </w:p>
    <w:p w14:paraId="0920C81E" w14:textId="77777777" w:rsidR="00C75312" w:rsidRDefault="00C75312">
      <w:pPr>
        <w:pStyle w:val="BodyText"/>
        <w:spacing w:before="9"/>
        <w:rPr>
          <w:i/>
        </w:rPr>
      </w:pPr>
    </w:p>
    <w:p w14:paraId="49A9CF49" w14:textId="77777777" w:rsidR="00C75312" w:rsidRDefault="00BB293A">
      <w:pPr>
        <w:pStyle w:val="BodyText"/>
        <w:spacing w:line="475" w:lineRule="auto"/>
        <w:ind w:left="140" w:right="1432" w:firstLine="720"/>
        <w:jc w:val="both"/>
      </w:pPr>
      <w:r>
        <w:t>The partial correlation between change in PM proportion hits and perseverative errors on</w:t>
      </w:r>
      <w:r>
        <w:rPr>
          <w:spacing w:val="-1"/>
        </w:rPr>
        <w:t xml:space="preserve"> </w:t>
      </w:r>
      <w:r>
        <w:t>the</w:t>
      </w:r>
      <w:r>
        <w:rPr>
          <w:spacing w:val="-6"/>
        </w:rPr>
        <w:t xml:space="preserve"> </w:t>
      </w:r>
      <w:r>
        <w:t>WCST</w:t>
      </w:r>
      <w:r>
        <w:rPr>
          <w:spacing w:val="2"/>
        </w:rPr>
        <w:t xml:space="preserve"> </w:t>
      </w:r>
      <w:r>
        <w:t>controlling</w:t>
      </w:r>
      <w:r>
        <w:rPr>
          <w:spacing w:val="-5"/>
        </w:rPr>
        <w:t xml:space="preserve"> </w:t>
      </w:r>
      <w:r>
        <w:t>for</w:t>
      </w:r>
      <w:r>
        <w:rPr>
          <w:spacing w:val="2"/>
        </w:rPr>
        <w:t xml:space="preserve"> </w:t>
      </w:r>
      <w:r>
        <w:t>non-perseverative</w:t>
      </w:r>
      <w:r>
        <w:rPr>
          <w:spacing w:val="-1"/>
        </w:rPr>
        <w:t xml:space="preserve"> </w:t>
      </w:r>
      <w:r>
        <w:t>errors</w:t>
      </w:r>
      <w:r>
        <w:rPr>
          <w:spacing w:val="-2"/>
        </w:rPr>
        <w:t xml:space="preserve"> </w:t>
      </w:r>
      <w:r>
        <w:t>was</w:t>
      </w:r>
      <w:r>
        <w:rPr>
          <w:spacing w:val="-2"/>
        </w:rPr>
        <w:t xml:space="preserve"> </w:t>
      </w:r>
      <w:r>
        <w:t>significant</w:t>
      </w:r>
      <w:r>
        <w:rPr>
          <w:spacing w:val="-4"/>
        </w:rPr>
        <w:t xml:space="preserve"> </w:t>
      </w:r>
      <w:r>
        <w:t>in</w:t>
      </w:r>
      <w:r>
        <w:rPr>
          <w:spacing w:val="-5"/>
        </w:rPr>
        <w:t xml:space="preserve"> </w:t>
      </w:r>
      <w:r>
        <w:t>the</w:t>
      </w:r>
      <w:r>
        <w:rPr>
          <w:spacing w:val="-2"/>
        </w:rPr>
        <w:t xml:space="preserve"> </w:t>
      </w:r>
      <w:r>
        <w:t>ASD</w:t>
      </w:r>
      <w:r>
        <w:rPr>
          <w:spacing w:val="-5"/>
        </w:rPr>
        <w:t xml:space="preserve"> </w:t>
      </w:r>
      <w:r>
        <w:t>(</w:t>
      </w:r>
      <w:r>
        <w:rPr>
          <w:i/>
        </w:rPr>
        <w:t>r</w:t>
      </w:r>
      <w:r>
        <w:rPr>
          <w:i/>
          <w:spacing w:val="-6"/>
        </w:rPr>
        <w:t xml:space="preserve"> </w:t>
      </w:r>
      <w:r>
        <w:t>=</w:t>
      </w:r>
      <w:r>
        <w:rPr>
          <w:spacing w:val="-6"/>
        </w:rPr>
        <w:t xml:space="preserve"> </w:t>
      </w:r>
      <w:r>
        <w:t>.47,</w:t>
      </w:r>
      <w:r>
        <w:rPr>
          <w:spacing w:val="-2"/>
        </w:rPr>
        <w:t xml:space="preserve"> </w:t>
      </w:r>
      <w:r>
        <w:rPr>
          <w:i/>
        </w:rPr>
        <w:t>p</w:t>
      </w:r>
      <w:r>
        <w:rPr>
          <w:i/>
          <w:spacing w:val="-5"/>
        </w:rPr>
        <w:t xml:space="preserve"> </w:t>
      </w:r>
      <w:r>
        <w:t>=</w:t>
      </w:r>
    </w:p>
    <w:p w14:paraId="1281F9B1" w14:textId="77777777" w:rsidR="00C75312" w:rsidRDefault="00BB293A">
      <w:pPr>
        <w:pStyle w:val="BodyText"/>
        <w:spacing w:before="6" w:line="475" w:lineRule="auto"/>
        <w:ind w:left="140" w:right="1434"/>
        <w:jc w:val="both"/>
      </w:pPr>
      <w:r>
        <w:rPr>
          <w:position w:val="2"/>
        </w:rPr>
        <w:t>.04, BF</w:t>
      </w:r>
      <w:r>
        <w:rPr>
          <w:position w:val="2"/>
          <w:vertAlign w:val="subscript"/>
        </w:rPr>
        <w:t>10</w:t>
      </w:r>
      <w:r>
        <w:rPr>
          <w:position w:val="2"/>
        </w:rPr>
        <w:t xml:space="preserve"> = 2.36) but not in the NT group (</w:t>
      </w:r>
      <w:r>
        <w:rPr>
          <w:i/>
          <w:position w:val="2"/>
        </w:rPr>
        <w:t xml:space="preserve">r </w:t>
      </w:r>
      <w:r>
        <w:rPr>
          <w:position w:val="2"/>
        </w:rPr>
        <w:t xml:space="preserve">= .25, </w:t>
      </w:r>
      <w:r>
        <w:rPr>
          <w:i/>
          <w:position w:val="2"/>
        </w:rPr>
        <w:t xml:space="preserve">p </w:t>
      </w:r>
      <w:r>
        <w:rPr>
          <w:position w:val="2"/>
        </w:rPr>
        <w:t>= .29, BF</w:t>
      </w:r>
      <w:r>
        <w:rPr>
          <w:position w:val="2"/>
          <w:vertAlign w:val="subscript"/>
        </w:rPr>
        <w:t>10</w:t>
      </w:r>
      <w:r>
        <w:rPr>
          <w:position w:val="2"/>
        </w:rPr>
        <w:t xml:space="preserve"> = 0.47). However, a Fisher </w:t>
      </w:r>
      <w:r>
        <w:rPr>
          <w:i/>
          <w:position w:val="2"/>
        </w:rPr>
        <w:t>z</w:t>
      </w:r>
      <w:r>
        <w:rPr>
          <w:position w:val="2"/>
        </w:rPr>
        <w:t xml:space="preserve">- </w:t>
      </w:r>
      <w:r>
        <w:t>test revealed that the size of the correlation in the ASD group was not significantly different from the one in the NT group (</w:t>
      </w:r>
      <w:r>
        <w:rPr>
          <w:i/>
        </w:rPr>
        <w:t xml:space="preserve">z </w:t>
      </w:r>
      <w:r>
        <w:t xml:space="preserve">= 0.76, </w:t>
      </w:r>
      <w:r>
        <w:rPr>
          <w:i/>
        </w:rPr>
        <w:t xml:space="preserve">p </w:t>
      </w:r>
      <w:r>
        <w:t xml:space="preserve">= .45). The partial correlation between change in PM proportion hits and mindreading controlling (Animations task theory </w:t>
      </w:r>
      <w:r>
        <w:rPr>
          <w:spacing w:val="-3"/>
        </w:rPr>
        <w:t xml:space="preserve">of </w:t>
      </w:r>
      <w:r>
        <w:t xml:space="preserve">mind score) </w:t>
      </w:r>
      <w:r>
        <w:rPr>
          <w:spacing w:val="-3"/>
        </w:rPr>
        <w:t xml:space="preserve">for </w:t>
      </w:r>
      <w:r>
        <w:t xml:space="preserve">overall ongoing task performance was not significant in either group (ASD: </w:t>
      </w:r>
      <w:r>
        <w:rPr>
          <w:i/>
        </w:rPr>
        <w:t xml:space="preserve">r </w:t>
      </w:r>
      <w:r>
        <w:t xml:space="preserve">= </w:t>
      </w:r>
      <w:r>
        <w:rPr>
          <w:b/>
        </w:rPr>
        <w:t>-</w:t>
      </w:r>
      <w:r>
        <w:t xml:space="preserve">.33, </w:t>
      </w:r>
      <w:r>
        <w:rPr>
          <w:i/>
        </w:rPr>
        <w:t xml:space="preserve">p </w:t>
      </w:r>
      <w:r>
        <w:t xml:space="preserve">= .11, </w:t>
      </w:r>
      <w:r>
        <w:rPr>
          <w:position w:val="2"/>
        </w:rPr>
        <w:t>BF</w:t>
      </w:r>
      <w:r>
        <w:rPr>
          <w:position w:val="2"/>
          <w:vertAlign w:val="subscript"/>
        </w:rPr>
        <w:t>10</w:t>
      </w:r>
      <w:r>
        <w:rPr>
          <w:position w:val="2"/>
        </w:rPr>
        <w:t xml:space="preserve"> = 0.88; NT: </w:t>
      </w:r>
      <w:r>
        <w:rPr>
          <w:i/>
          <w:position w:val="2"/>
        </w:rPr>
        <w:t xml:space="preserve">r </w:t>
      </w:r>
      <w:r>
        <w:rPr>
          <w:position w:val="2"/>
        </w:rPr>
        <w:t xml:space="preserve">= .16, </w:t>
      </w:r>
      <w:r>
        <w:rPr>
          <w:i/>
          <w:position w:val="2"/>
        </w:rPr>
        <w:t xml:space="preserve">p </w:t>
      </w:r>
      <w:r>
        <w:rPr>
          <w:position w:val="2"/>
        </w:rPr>
        <w:t>= .47, BF</w:t>
      </w:r>
      <w:r>
        <w:rPr>
          <w:position w:val="2"/>
          <w:vertAlign w:val="subscript"/>
        </w:rPr>
        <w:t>10</w:t>
      </w:r>
      <w:r>
        <w:rPr>
          <w:position w:val="2"/>
        </w:rPr>
        <w:t xml:space="preserve"> = 0.34). Finally, self-report problems of executive </w:t>
      </w:r>
      <w:r>
        <w:t>functions on the several clinical scales of the BRIEF-A correlated with PM target accuracy</w:t>
      </w:r>
      <w:r>
        <w:rPr>
          <w:spacing w:val="30"/>
        </w:rPr>
        <w:t xml:space="preserve"> </w:t>
      </w:r>
      <w:r>
        <w:t>in</w:t>
      </w:r>
    </w:p>
    <w:p w14:paraId="1F54AA6F" w14:textId="77777777" w:rsidR="00C75312" w:rsidRDefault="00C75312">
      <w:pPr>
        <w:spacing w:line="475" w:lineRule="auto"/>
        <w:jc w:val="both"/>
        <w:sectPr w:rsidR="00C75312">
          <w:pgSz w:w="11900" w:h="16840"/>
          <w:pgMar w:top="1140" w:right="0" w:bottom="280" w:left="1300" w:header="720" w:footer="0" w:gutter="0"/>
          <w:cols w:space="720"/>
        </w:sectPr>
      </w:pPr>
    </w:p>
    <w:p w14:paraId="0E1B2178" w14:textId="77777777" w:rsidR="00C75312" w:rsidRDefault="00BB293A">
      <w:pPr>
        <w:pStyle w:val="BodyText"/>
        <w:spacing w:before="107" w:line="480" w:lineRule="auto"/>
        <w:ind w:left="140" w:right="1431"/>
        <w:jc w:val="both"/>
      </w:pPr>
      <w:r>
        <w:lastRenderedPageBreak/>
        <w:t>the ASD group but not the NT group (see Figure 11 for scatterplots of the above correlations in the ASD group). Additionally, PM target accuracy in the ASD group correlated with self- rated PM (although only marginally) as well as self-rated retrospective memory.</w:t>
      </w:r>
    </w:p>
    <w:p w14:paraId="41DFB476" w14:textId="77777777" w:rsidR="00C75312" w:rsidRDefault="00C75312">
      <w:pPr>
        <w:pStyle w:val="BodyText"/>
        <w:spacing w:before="10"/>
        <w:rPr>
          <w:sz w:val="20"/>
        </w:rPr>
      </w:pPr>
    </w:p>
    <w:p w14:paraId="3E1AF1BA" w14:textId="77777777" w:rsidR="00C75312" w:rsidRDefault="00BB293A">
      <w:pPr>
        <w:pStyle w:val="Heading1"/>
        <w:ind w:left="25" w:right="1329"/>
        <w:jc w:val="center"/>
      </w:pPr>
      <w:bookmarkStart w:id="20" w:name="_TOC_250013"/>
      <w:bookmarkEnd w:id="20"/>
      <w:r>
        <w:t>Discussion</w:t>
      </w:r>
    </w:p>
    <w:p w14:paraId="2AB844C3" w14:textId="77777777" w:rsidR="00C75312" w:rsidRDefault="00C75312">
      <w:pPr>
        <w:pStyle w:val="BodyText"/>
        <w:rPr>
          <w:b/>
        </w:rPr>
      </w:pPr>
    </w:p>
    <w:p w14:paraId="7A32BEA9" w14:textId="77777777" w:rsidR="00C75312" w:rsidRDefault="00BB293A">
      <w:pPr>
        <w:pStyle w:val="BodyText"/>
        <w:spacing w:line="480" w:lineRule="auto"/>
        <w:ind w:left="140" w:right="1433" w:firstLine="720"/>
        <w:jc w:val="both"/>
      </w:pPr>
      <w:r>
        <w:t>Time-based PM has consistently been found to be impaired in individuals with ASD. However, only little evidence exists tackling the question of how this impairment could be alleviated. Only one previous study (Kretschmer et al., 2014) has explored whether the use of implementation intentions as an explicit encoding strategy might improve time-based PM in ASD. However, beneficial effects on time-based PM in ASD could not be observed (see Chapter 1 for a detailed discussion). To address this issue further, th</w:t>
      </w:r>
      <w:r>
        <w:t>is study investigated how instructions of relative importance affected time-based PM in ASD and how changes in performance related to standard self-report and objective measures of executive functions, memory and mindreading. There were several key findings.</w:t>
      </w:r>
    </w:p>
    <w:p w14:paraId="07C940B9" w14:textId="77777777" w:rsidR="00C75312" w:rsidRDefault="00BB293A">
      <w:pPr>
        <w:pStyle w:val="Heading1"/>
        <w:spacing w:before="120"/>
        <w:jc w:val="both"/>
      </w:pPr>
      <w:r>
        <w:t>Beneficial effects of importance instruction on time-based PM</w:t>
      </w:r>
    </w:p>
    <w:p w14:paraId="4EC4BF44" w14:textId="77777777" w:rsidR="00C75312" w:rsidRDefault="00C75312">
      <w:pPr>
        <w:pStyle w:val="BodyText"/>
        <w:rPr>
          <w:b/>
        </w:rPr>
      </w:pPr>
    </w:p>
    <w:p w14:paraId="6CEA672C" w14:textId="77777777" w:rsidR="00C75312" w:rsidRDefault="00BB293A">
      <w:pPr>
        <w:pStyle w:val="BodyText"/>
        <w:spacing w:before="1" w:line="480" w:lineRule="auto"/>
        <w:ind w:left="140" w:right="1433" w:firstLine="720"/>
        <w:jc w:val="both"/>
      </w:pPr>
      <w:proofErr w:type="spellStart"/>
      <w:r>
        <w:t>Emphasising</w:t>
      </w:r>
      <w:proofErr w:type="spellEnd"/>
      <w:r>
        <w:t xml:space="preserve"> the importance of the time-based PM over the ongoing task (PM high importance condition) had, as predicted, significantly greater beneficial effects in the ASD group than in the NT control group. The Bayes factor analysis supported this conclusion. This increase in PM performance in ASD shrunk the between-group differences in PM hits from a large to a medium sized effect. Indeed, performance among ASD participants in the </w:t>
      </w:r>
      <w:r>
        <w:rPr>
          <w:i/>
        </w:rPr>
        <w:t xml:space="preserve">high </w:t>
      </w:r>
      <w:r>
        <w:t>importance condition was equivalent to performance among NT participants during t</w:t>
      </w:r>
      <w:r>
        <w:t xml:space="preserve">he </w:t>
      </w:r>
      <w:r>
        <w:rPr>
          <w:i/>
        </w:rPr>
        <w:t xml:space="preserve">low </w:t>
      </w:r>
      <w:r>
        <w:t>importance condition.</w:t>
      </w:r>
    </w:p>
    <w:p w14:paraId="7784EA28" w14:textId="77777777" w:rsidR="00C75312" w:rsidRDefault="00BB293A">
      <w:pPr>
        <w:pStyle w:val="BodyText"/>
        <w:spacing w:before="120" w:line="480" w:lineRule="auto"/>
        <w:ind w:left="140" w:right="1434" w:firstLine="720"/>
        <w:jc w:val="both"/>
      </w:pPr>
      <w:r>
        <w:t>However,</w:t>
      </w:r>
      <w:r>
        <w:rPr>
          <w:spacing w:val="-6"/>
        </w:rPr>
        <w:t xml:space="preserve"> </w:t>
      </w:r>
      <w:r>
        <w:t>conclusions</w:t>
      </w:r>
      <w:r>
        <w:rPr>
          <w:spacing w:val="-11"/>
        </w:rPr>
        <w:t xml:space="preserve"> </w:t>
      </w:r>
      <w:r>
        <w:t>about</w:t>
      </w:r>
      <w:r>
        <w:rPr>
          <w:spacing w:val="-7"/>
        </w:rPr>
        <w:t xml:space="preserve"> </w:t>
      </w:r>
      <w:r>
        <w:t>the</w:t>
      </w:r>
      <w:r>
        <w:rPr>
          <w:spacing w:val="-10"/>
        </w:rPr>
        <w:t xml:space="preserve"> </w:t>
      </w:r>
      <w:r>
        <w:t>improvement</w:t>
      </w:r>
      <w:r>
        <w:rPr>
          <w:spacing w:val="-8"/>
        </w:rPr>
        <w:t xml:space="preserve"> </w:t>
      </w:r>
      <w:r>
        <w:t>PM</w:t>
      </w:r>
      <w:r>
        <w:rPr>
          <w:spacing w:val="-10"/>
        </w:rPr>
        <w:t xml:space="preserve"> </w:t>
      </w:r>
      <w:r>
        <w:t>proportion</w:t>
      </w:r>
      <w:r>
        <w:rPr>
          <w:spacing w:val="-9"/>
        </w:rPr>
        <w:t xml:space="preserve"> </w:t>
      </w:r>
      <w:r>
        <w:t>hit</w:t>
      </w:r>
      <w:r>
        <w:rPr>
          <w:spacing w:val="-13"/>
        </w:rPr>
        <w:t xml:space="preserve"> </w:t>
      </w:r>
      <w:r>
        <w:t>rate</w:t>
      </w:r>
      <w:r>
        <w:rPr>
          <w:spacing w:val="-9"/>
        </w:rPr>
        <w:t xml:space="preserve"> </w:t>
      </w:r>
      <w:r>
        <w:t>in</w:t>
      </w:r>
      <w:r>
        <w:rPr>
          <w:spacing w:val="-9"/>
        </w:rPr>
        <w:t xml:space="preserve"> </w:t>
      </w:r>
      <w:r>
        <w:t>the</w:t>
      </w:r>
      <w:r>
        <w:rPr>
          <w:spacing w:val="-10"/>
        </w:rPr>
        <w:t xml:space="preserve"> </w:t>
      </w:r>
      <w:r>
        <w:t>ASD</w:t>
      </w:r>
      <w:r>
        <w:rPr>
          <w:spacing w:val="-8"/>
        </w:rPr>
        <w:t xml:space="preserve"> </w:t>
      </w:r>
      <w:r>
        <w:t xml:space="preserve">group </w:t>
      </w:r>
      <w:r>
        <w:rPr>
          <w:i/>
        </w:rPr>
        <w:t xml:space="preserve">relative to </w:t>
      </w:r>
      <w:r>
        <w:t>the NT control group should be interpreted with a degree of caution, given the fact that the NT group did not perform significantly below ceiling in the PM high importance condition.</w:t>
      </w:r>
      <w:r>
        <w:rPr>
          <w:spacing w:val="44"/>
        </w:rPr>
        <w:t xml:space="preserve"> </w:t>
      </w:r>
      <w:r>
        <w:t>Had</w:t>
      </w:r>
      <w:r>
        <w:rPr>
          <w:spacing w:val="-9"/>
        </w:rPr>
        <w:t xml:space="preserve"> </w:t>
      </w:r>
      <w:r>
        <w:t>the</w:t>
      </w:r>
      <w:r>
        <w:rPr>
          <w:spacing w:val="-11"/>
        </w:rPr>
        <w:t xml:space="preserve"> </w:t>
      </w:r>
      <w:r>
        <w:t>PM</w:t>
      </w:r>
      <w:r>
        <w:rPr>
          <w:spacing w:val="-12"/>
        </w:rPr>
        <w:t xml:space="preserve"> </w:t>
      </w:r>
      <w:r>
        <w:t>high</w:t>
      </w:r>
      <w:r>
        <w:rPr>
          <w:spacing w:val="-9"/>
        </w:rPr>
        <w:t xml:space="preserve"> </w:t>
      </w:r>
      <w:r>
        <w:t>importance</w:t>
      </w:r>
      <w:r>
        <w:rPr>
          <w:spacing w:val="-11"/>
        </w:rPr>
        <w:t xml:space="preserve"> </w:t>
      </w:r>
      <w:r>
        <w:t>condition</w:t>
      </w:r>
      <w:r>
        <w:rPr>
          <w:spacing w:val="-13"/>
        </w:rPr>
        <w:t xml:space="preserve"> </w:t>
      </w:r>
      <w:r>
        <w:t>been</w:t>
      </w:r>
      <w:r>
        <w:rPr>
          <w:spacing w:val="-10"/>
        </w:rPr>
        <w:t xml:space="preserve"> </w:t>
      </w:r>
      <w:r>
        <w:t>more</w:t>
      </w:r>
      <w:r>
        <w:rPr>
          <w:spacing w:val="-11"/>
        </w:rPr>
        <w:t xml:space="preserve"> </w:t>
      </w:r>
      <w:r>
        <w:t>demanding,</w:t>
      </w:r>
      <w:r>
        <w:rPr>
          <w:spacing w:val="-6"/>
        </w:rPr>
        <w:t xml:space="preserve"> </w:t>
      </w:r>
      <w:r>
        <w:t>NT</w:t>
      </w:r>
      <w:r>
        <w:rPr>
          <w:spacing w:val="-7"/>
        </w:rPr>
        <w:t xml:space="preserve"> </w:t>
      </w:r>
      <w:r>
        <w:t>participants</w:t>
      </w:r>
      <w:r>
        <w:rPr>
          <w:spacing w:val="-12"/>
        </w:rPr>
        <w:t xml:space="preserve"> </w:t>
      </w:r>
      <w:r>
        <w:t>may</w:t>
      </w:r>
    </w:p>
    <w:p w14:paraId="41180561" w14:textId="77777777" w:rsidR="00C75312" w:rsidRDefault="00C75312">
      <w:pPr>
        <w:spacing w:line="480" w:lineRule="auto"/>
        <w:jc w:val="both"/>
        <w:sectPr w:rsidR="00C75312">
          <w:pgSz w:w="11900" w:h="16840"/>
          <w:pgMar w:top="1140" w:right="0" w:bottom="280" w:left="1300" w:header="720" w:footer="0" w:gutter="0"/>
          <w:cols w:space="720"/>
        </w:sectPr>
      </w:pPr>
    </w:p>
    <w:p w14:paraId="51933606" w14:textId="77777777" w:rsidR="00C75312" w:rsidRDefault="00BB293A">
      <w:pPr>
        <w:pStyle w:val="BodyText"/>
        <w:spacing w:before="107" w:line="480" w:lineRule="auto"/>
        <w:ind w:left="140" w:right="1433"/>
        <w:jc w:val="both"/>
      </w:pPr>
      <w:r>
        <w:lastRenderedPageBreak/>
        <w:t xml:space="preserve">have shown a larger improvement across conditions than they were able to demonstrate in the current task. Having stated this, however, the finding that performance among ASD participants in the </w:t>
      </w:r>
      <w:r>
        <w:rPr>
          <w:i/>
        </w:rPr>
        <w:t xml:space="preserve">high </w:t>
      </w:r>
      <w:r>
        <w:t xml:space="preserve">importance condition was equivalent to performance among NT participants during the </w:t>
      </w:r>
      <w:r>
        <w:rPr>
          <w:i/>
        </w:rPr>
        <w:t xml:space="preserve">low </w:t>
      </w:r>
      <w:r>
        <w:t>importance condition is still highly important and not affected by the issue of ceiling effects among NT participants. Moreover, the ceiling effect in the NT group only emerged for PM hits but not PM target accuracy.</w:t>
      </w:r>
    </w:p>
    <w:p w14:paraId="178C7194" w14:textId="77777777" w:rsidR="00C75312" w:rsidRDefault="00BB293A">
      <w:pPr>
        <w:pStyle w:val="BodyText"/>
        <w:spacing w:before="120" w:line="480" w:lineRule="auto"/>
        <w:ind w:left="140" w:right="1433" w:firstLine="720"/>
        <w:jc w:val="both"/>
      </w:pPr>
      <w:r>
        <w:t xml:space="preserve">With regards to PM target accuracy, beneficial effects of </w:t>
      </w:r>
      <w:proofErr w:type="spellStart"/>
      <w:r>
        <w:t>emphasising</w:t>
      </w:r>
      <w:proofErr w:type="spellEnd"/>
      <w:r>
        <w:t xml:space="preserve"> the PM task</w:t>
      </w:r>
      <w:r>
        <w:rPr>
          <w:spacing w:val="-39"/>
        </w:rPr>
        <w:t xml:space="preserve"> </w:t>
      </w:r>
      <w:r>
        <w:t>had been predicted, especially in the ASD group. Previous research had shown that individuals with</w:t>
      </w:r>
      <w:r>
        <w:rPr>
          <w:spacing w:val="-10"/>
        </w:rPr>
        <w:t xml:space="preserve"> </w:t>
      </w:r>
      <w:r>
        <w:t>ASD</w:t>
      </w:r>
      <w:r>
        <w:rPr>
          <w:spacing w:val="-10"/>
        </w:rPr>
        <w:t xml:space="preserve"> </w:t>
      </w:r>
      <w:r>
        <w:t>responded</w:t>
      </w:r>
      <w:r>
        <w:rPr>
          <w:spacing w:val="-10"/>
        </w:rPr>
        <w:t xml:space="preserve"> </w:t>
      </w:r>
      <w:r>
        <w:t>less</w:t>
      </w:r>
      <w:r>
        <w:rPr>
          <w:spacing w:val="-12"/>
        </w:rPr>
        <w:t xml:space="preserve"> </w:t>
      </w:r>
      <w:r>
        <w:t>accurately</w:t>
      </w:r>
      <w:r>
        <w:rPr>
          <w:spacing w:val="-10"/>
        </w:rPr>
        <w:t xml:space="preserve"> </w:t>
      </w:r>
      <w:r>
        <w:t>under</w:t>
      </w:r>
      <w:r>
        <w:rPr>
          <w:spacing w:val="-7"/>
        </w:rPr>
        <w:t xml:space="preserve"> </w:t>
      </w:r>
      <w:r>
        <w:t>standard</w:t>
      </w:r>
      <w:r>
        <w:rPr>
          <w:spacing w:val="-14"/>
        </w:rPr>
        <w:t xml:space="preserve"> </w:t>
      </w:r>
      <w:r>
        <w:t>instructions</w:t>
      </w:r>
      <w:r>
        <w:rPr>
          <w:spacing w:val="-12"/>
        </w:rPr>
        <w:t xml:space="preserve"> </w:t>
      </w:r>
      <w:r>
        <w:t>(Williams</w:t>
      </w:r>
      <w:r>
        <w:rPr>
          <w:spacing w:val="-12"/>
        </w:rPr>
        <w:t xml:space="preserve"> </w:t>
      </w:r>
      <w:r>
        <w:t>et</w:t>
      </w:r>
      <w:r>
        <w:rPr>
          <w:spacing w:val="-13"/>
        </w:rPr>
        <w:t xml:space="preserve"> </w:t>
      </w:r>
      <w:r>
        <w:t>al.,</w:t>
      </w:r>
      <w:r>
        <w:rPr>
          <w:spacing w:val="-12"/>
        </w:rPr>
        <w:t xml:space="preserve"> </w:t>
      </w:r>
      <w:r>
        <w:t>2014).</w:t>
      </w:r>
      <w:r>
        <w:rPr>
          <w:spacing w:val="39"/>
        </w:rPr>
        <w:t xml:space="preserve"> </w:t>
      </w:r>
      <w:r>
        <w:t>In</w:t>
      </w:r>
      <w:r>
        <w:rPr>
          <w:spacing w:val="-13"/>
        </w:rPr>
        <w:t xml:space="preserve"> </w:t>
      </w:r>
      <w:r>
        <w:t>this study,</w:t>
      </w:r>
      <w:r>
        <w:rPr>
          <w:spacing w:val="-2"/>
        </w:rPr>
        <w:t xml:space="preserve"> </w:t>
      </w:r>
      <w:r>
        <w:t>although</w:t>
      </w:r>
      <w:r>
        <w:rPr>
          <w:spacing w:val="-10"/>
        </w:rPr>
        <w:t xml:space="preserve"> </w:t>
      </w:r>
      <w:r>
        <w:t>overall,</w:t>
      </w:r>
      <w:r>
        <w:rPr>
          <w:spacing w:val="-7"/>
        </w:rPr>
        <w:t xml:space="preserve"> </w:t>
      </w:r>
      <w:r>
        <w:t>both</w:t>
      </w:r>
      <w:r>
        <w:rPr>
          <w:spacing w:val="-10"/>
        </w:rPr>
        <w:t xml:space="preserve"> </w:t>
      </w:r>
      <w:r>
        <w:t>groups</w:t>
      </w:r>
      <w:r>
        <w:rPr>
          <w:spacing w:val="-11"/>
        </w:rPr>
        <w:t xml:space="preserve"> </w:t>
      </w:r>
      <w:r>
        <w:t>responded</w:t>
      </w:r>
      <w:r>
        <w:rPr>
          <w:spacing w:val="-5"/>
        </w:rPr>
        <w:t xml:space="preserve"> </w:t>
      </w:r>
      <w:r>
        <w:t>closer</w:t>
      </w:r>
      <w:r>
        <w:rPr>
          <w:spacing w:val="-3"/>
        </w:rPr>
        <w:t xml:space="preserve"> </w:t>
      </w:r>
      <w:r>
        <w:t>to</w:t>
      </w:r>
      <w:r>
        <w:rPr>
          <w:spacing w:val="-10"/>
        </w:rPr>
        <w:t xml:space="preserve"> </w:t>
      </w:r>
      <w:r>
        <w:t>target</w:t>
      </w:r>
      <w:r>
        <w:rPr>
          <w:spacing w:val="-8"/>
        </w:rPr>
        <w:t xml:space="preserve"> </w:t>
      </w:r>
      <w:r>
        <w:t>time</w:t>
      </w:r>
      <w:r>
        <w:rPr>
          <w:spacing w:val="-11"/>
        </w:rPr>
        <w:t xml:space="preserve"> </w:t>
      </w:r>
      <w:r>
        <w:t>in</w:t>
      </w:r>
      <w:r>
        <w:rPr>
          <w:spacing w:val="-10"/>
        </w:rPr>
        <w:t xml:space="preserve"> </w:t>
      </w:r>
      <w:r>
        <w:t>the</w:t>
      </w:r>
      <w:r>
        <w:rPr>
          <w:spacing w:val="-10"/>
        </w:rPr>
        <w:t xml:space="preserve"> </w:t>
      </w:r>
      <w:r>
        <w:t>PM</w:t>
      </w:r>
      <w:r>
        <w:rPr>
          <w:spacing w:val="-12"/>
        </w:rPr>
        <w:t xml:space="preserve"> </w:t>
      </w:r>
      <w:r>
        <w:t>high</w:t>
      </w:r>
      <w:r>
        <w:rPr>
          <w:spacing w:val="-10"/>
        </w:rPr>
        <w:t xml:space="preserve"> </w:t>
      </w:r>
      <w:r>
        <w:t xml:space="preserve">importance condition, the ASD group responded less accurately in comparison to the </w:t>
      </w:r>
      <w:r>
        <w:rPr>
          <w:spacing w:val="-3"/>
        </w:rPr>
        <w:t xml:space="preserve">NT </w:t>
      </w:r>
      <w:r>
        <w:t>group. Thus, the importance</w:t>
      </w:r>
      <w:r>
        <w:rPr>
          <w:spacing w:val="-11"/>
        </w:rPr>
        <w:t xml:space="preserve"> </w:t>
      </w:r>
      <w:r>
        <w:t>instruction</w:t>
      </w:r>
      <w:r>
        <w:rPr>
          <w:spacing w:val="-10"/>
        </w:rPr>
        <w:t xml:space="preserve"> </w:t>
      </w:r>
      <w:r>
        <w:t>did</w:t>
      </w:r>
      <w:r>
        <w:rPr>
          <w:spacing w:val="-9"/>
        </w:rPr>
        <w:t xml:space="preserve"> </w:t>
      </w:r>
      <w:r>
        <w:t>not</w:t>
      </w:r>
      <w:r>
        <w:rPr>
          <w:spacing w:val="-14"/>
        </w:rPr>
        <w:t xml:space="preserve"> </w:t>
      </w:r>
      <w:r>
        <w:t>enhance</w:t>
      </w:r>
      <w:r>
        <w:rPr>
          <w:spacing w:val="-10"/>
        </w:rPr>
        <w:t xml:space="preserve"> </w:t>
      </w:r>
      <w:r>
        <w:t>the</w:t>
      </w:r>
      <w:r>
        <w:rPr>
          <w:spacing w:val="-11"/>
        </w:rPr>
        <w:t xml:space="preserve"> </w:t>
      </w:r>
      <w:r>
        <w:t>accuracy</w:t>
      </w:r>
      <w:r>
        <w:rPr>
          <w:spacing w:val="-10"/>
        </w:rPr>
        <w:t xml:space="preserve"> </w:t>
      </w:r>
      <w:r>
        <w:t>of</w:t>
      </w:r>
      <w:r>
        <w:rPr>
          <w:spacing w:val="-7"/>
        </w:rPr>
        <w:t xml:space="preserve"> </w:t>
      </w:r>
      <w:r>
        <w:t>PM</w:t>
      </w:r>
      <w:r>
        <w:rPr>
          <w:spacing w:val="-12"/>
        </w:rPr>
        <w:t xml:space="preserve"> </w:t>
      </w:r>
      <w:r>
        <w:t>responses</w:t>
      </w:r>
      <w:r>
        <w:rPr>
          <w:spacing w:val="-12"/>
        </w:rPr>
        <w:t xml:space="preserve"> </w:t>
      </w:r>
      <w:r>
        <w:t>in</w:t>
      </w:r>
      <w:r>
        <w:rPr>
          <w:spacing w:val="-9"/>
        </w:rPr>
        <w:t xml:space="preserve"> </w:t>
      </w:r>
      <w:r>
        <w:t>individuals</w:t>
      </w:r>
      <w:r>
        <w:rPr>
          <w:spacing w:val="-12"/>
        </w:rPr>
        <w:t xml:space="preserve"> </w:t>
      </w:r>
      <w:r>
        <w:t>with</w:t>
      </w:r>
      <w:r>
        <w:rPr>
          <w:spacing w:val="-9"/>
        </w:rPr>
        <w:t xml:space="preserve"> </w:t>
      </w:r>
      <w:r>
        <w:t xml:space="preserve">ASD, so that it </w:t>
      </w:r>
      <w:proofErr w:type="spellStart"/>
      <w:r>
        <w:t>equalle</w:t>
      </w:r>
      <w:r>
        <w:t>d</w:t>
      </w:r>
      <w:proofErr w:type="spellEnd"/>
      <w:r>
        <w:t xml:space="preserve"> that of the comparison</w:t>
      </w:r>
      <w:r>
        <w:rPr>
          <w:spacing w:val="5"/>
        </w:rPr>
        <w:t xml:space="preserve"> </w:t>
      </w:r>
      <w:r>
        <w:t>group.</w:t>
      </w:r>
    </w:p>
    <w:p w14:paraId="01EDF5BD" w14:textId="77777777" w:rsidR="00C75312" w:rsidRDefault="00BB293A">
      <w:pPr>
        <w:pStyle w:val="BodyText"/>
        <w:spacing w:before="120" w:line="480" w:lineRule="auto"/>
        <w:ind w:left="140" w:right="1431" w:firstLine="720"/>
        <w:jc w:val="both"/>
      </w:pPr>
      <w:r>
        <w:t xml:space="preserve">This study did not include a baseline time-based </w:t>
      </w:r>
      <w:r>
        <w:rPr>
          <w:spacing w:val="2"/>
        </w:rPr>
        <w:t xml:space="preserve">PM </w:t>
      </w:r>
      <w:r>
        <w:t>condition where neither ongoing nor</w:t>
      </w:r>
      <w:r>
        <w:rPr>
          <w:spacing w:val="-14"/>
        </w:rPr>
        <w:t xml:space="preserve"> </w:t>
      </w:r>
      <w:r>
        <w:t>PM</w:t>
      </w:r>
      <w:r>
        <w:rPr>
          <w:spacing w:val="-13"/>
        </w:rPr>
        <w:t xml:space="preserve"> </w:t>
      </w:r>
      <w:r>
        <w:t>task</w:t>
      </w:r>
      <w:r>
        <w:rPr>
          <w:spacing w:val="-11"/>
        </w:rPr>
        <w:t xml:space="preserve"> </w:t>
      </w:r>
      <w:r>
        <w:t>were</w:t>
      </w:r>
      <w:r>
        <w:rPr>
          <w:spacing w:val="-12"/>
        </w:rPr>
        <w:t xml:space="preserve"> </w:t>
      </w:r>
      <w:r>
        <w:t>differentially</w:t>
      </w:r>
      <w:r>
        <w:rPr>
          <w:spacing w:val="-15"/>
        </w:rPr>
        <w:t xml:space="preserve"> </w:t>
      </w:r>
      <w:r>
        <w:t>emphasized.</w:t>
      </w:r>
      <w:r>
        <w:rPr>
          <w:spacing w:val="33"/>
        </w:rPr>
        <w:t xml:space="preserve"> </w:t>
      </w:r>
      <w:r>
        <w:t>As</w:t>
      </w:r>
      <w:r>
        <w:rPr>
          <w:spacing w:val="-13"/>
        </w:rPr>
        <w:t xml:space="preserve"> </w:t>
      </w:r>
      <w:r>
        <w:t>this</w:t>
      </w:r>
      <w:r>
        <w:rPr>
          <w:spacing w:val="-13"/>
        </w:rPr>
        <w:t xml:space="preserve"> </w:t>
      </w:r>
      <w:r>
        <w:t>study</w:t>
      </w:r>
      <w:r>
        <w:rPr>
          <w:spacing w:val="-11"/>
        </w:rPr>
        <w:t xml:space="preserve"> </w:t>
      </w:r>
      <w:r>
        <w:t>employed</w:t>
      </w:r>
      <w:r>
        <w:rPr>
          <w:spacing w:val="-15"/>
        </w:rPr>
        <w:t xml:space="preserve"> </w:t>
      </w:r>
      <w:r>
        <w:t>the</w:t>
      </w:r>
      <w:r>
        <w:rPr>
          <w:spacing w:val="-15"/>
        </w:rPr>
        <w:t xml:space="preserve"> </w:t>
      </w:r>
      <w:r>
        <w:t>same</w:t>
      </w:r>
      <w:r>
        <w:rPr>
          <w:spacing w:val="-12"/>
        </w:rPr>
        <w:t xml:space="preserve"> </w:t>
      </w:r>
      <w:r>
        <w:t>task</w:t>
      </w:r>
      <w:r>
        <w:rPr>
          <w:spacing w:val="-15"/>
        </w:rPr>
        <w:t xml:space="preserve"> </w:t>
      </w:r>
      <w:r>
        <w:t>as</w:t>
      </w:r>
      <w:r>
        <w:rPr>
          <w:spacing w:val="-13"/>
        </w:rPr>
        <w:t xml:space="preserve"> </w:t>
      </w:r>
      <w:r>
        <w:t>Williams et</w:t>
      </w:r>
      <w:r>
        <w:rPr>
          <w:spacing w:val="-5"/>
        </w:rPr>
        <w:t xml:space="preserve"> </w:t>
      </w:r>
      <w:r>
        <w:t>al.</w:t>
      </w:r>
      <w:r>
        <w:rPr>
          <w:spacing w:val="-12"/>
        </w:rPr>
        <w:t xml:space="preserve"> </w:t>
      </w:r>
      <w:r>
        <w:t>(2014),</w:t>
      </w:r>
      <w:r>
        <w:rPr>
          <w:spacing w:val="-12"/>
        </w:rPr>
        <w:t xml:space="preserve"> </w:t>
      </w:r>
      <w:r>
        <w:t>task</w:t>
      </w:r>
      <w:r>
        <w:rPr>
          <w:spacing w:val="-6"/>
        </w:rPr>
        <w:t xml:space="preserve"> </w:t>
      </w:r>
      <w:r>
        <w:t>performance</w:t>
      </w:r>
      <w:r>
        <w:rPr>
          <w:spacing w:val="-6"/>
        </w:rPr>
        <w:t xml:space="preserve"> </w:t>
      </w:r>
      <w:r>
        <w:t>was</w:t>
      </w:r>
      <w:r>
        <w:rPr>
          <w:spacing w:val="-8"/>
        </w:rPr>
        <w:t xml:space="preserve"> </w:t>
      </w:r>
      <w:r>
        <w:t>compared</w:t>
      </w:r>
      <w:r>
        <w:rPr>
          <w:spacing w:val="-10"/>
        </w:rPr>
        <w:t xml:space="preserve"> </w:t>
      </w:r>
      <w:r>
        <w:t>across</w:t>
      </w:r>
      <w:r>
        <w:rPr>
          <w:spacing w:val="-8"/>
        </w:rPr>
        <w:t xml:space="preserve"> </w:t>
      </w:r>
      <w:r>
        <w:t>studies</w:t>
      </w:r>
      <w:r>
        <w:rPr>
          <w:position w:val="8"/>
          <w:sz w:val="16"/>
        </w:rPr>
        <w:t>14</w:t>
      </w:r>
      <w:r>
        <w:t>.</w:t>
      </w:r>
      <w:r>
        <w:rPr>
          <w:spacing w:val="47"/>
        </w:rPr>
        <w:t xml:space="preserve"> </w:t>
      </w:r>
      <w:r>
        <w:t>In</w:t>
      </w:r>
      <w:r>
        <w:rPr>
          <w:spacing w:val="-10"/>
        </w:rPr>
        <w:t xml:space="preserve"> </w:t>
      </w:r>
      <w:r>
        <w:t>their</w:t>
      </w:r>
      <w:r>
        <w:rPr>
          <w:spacing w:val="-8"/>
        </w:rPr>
        <w:t xml:space="preserve"> </w:t>
      </w:r>
      <w:r>
        <w:t>study,</w:t>
      </w:r>
      <w:r>
        <w:rPr>
          <w:spacing w:val="-8"/>
        </w:rPr>
        <w:t xml:space="preserve"> </w:t>
      </w:r>
      <w:r>
        <w:t>the</w:t>
      </w:r>
      <w:r>
        <w:rPr>
          <w:spacing w:val="-11"/>
        </w:rPr>
        <w:t xml:space="preserve"> </w:t>
      </w:r>
      <w:r>
        <w:t>PM</w:t>
      </w:r>
      <w:r>
        <w:rPr>
          <w:spacing w:val="-7"/>
        </w:rPr>
        <w:t xml:space="preserve"> </w:t>
      </w:r>
      <w:r>
        <w:t>hits</w:t>
      </w:r>
      <w:r>
        <w:rPr>
          <w:spacing w:val="-8"/>
        </w:rPr>
        <w:t xml:space="preserve"> </w:t>
      </w:r>
      <w:r>
        <w:t xml:space="preserve">rates (ASD: </w:t>
      </w:r>
      <w:r>
        <w:rPr>
          <w:i/>
        </w:rPr>
        <w:t xml:space="preserve">M </w:t>
      </w:r>
      <w:r>
        <w:t xml:space="preserve">= 0.79, NT: </w:t>
      </w:r>
      <w:r>
        <w:rPr>
          <w:i/>
        </w:rPr>
        <w:t xml:space="preserve">M </w:t>
      </w:r>
      <w:r>
        <w:t xml:space="preserve">= 0.95) were similar to PM performance in this study’s PM low importance condition (ASD: </w:t>
      </w:r>
      <w:r>
        <w:rPr>
          <w:i/>
        </w:rPr>
        <w:t xml:space="preserve">M </w:t>
      </w:r>
      <w:r>
        <w:t xml:space="preserve">= 0.69, NT: </w:t>
      </w:r>
      <w:r>
        <w:rPr>
          <w:i/>
        </w:rPr>
        <w:t xml:space="preserve">M </w:t>
      </w:r>
      <w:r>
        <w:t>= 0.95). One sample t-tests comparing performance for each group indicated that the PM low importance condition was comparable to standard time-based PM task instructions in the ASD group (</w:t>
      </w:r>
      <w:r>
        <w:rPr>
          <w:i/>
        </w:rPr>
        <w:t>t</w:t>
      </w:r>
      <w:r>
        <w:t xml:space="preserve">(40) = 0.96, </w:t>
      </w:r>
      <w:r>
        <w:rPr>
          <w:i/>
        </w:rPr>
        <w:t xml:space="preserve">p </w:t>
      </w:r>
      <w:r>
        <w:t>= .34) and identical in the NT group. This is crucial as in most everyday situations a time-based task instruction/delayed intention is given informally without explicit emphasis on its importance relative to other tasks that need to be completed. This may well contribute to</w:t>
      </w:r>
      <w:r>
        <w:rPr>
          <w:spacing w:val="27"/>
        </w:rPr>
        <w:t xml:space="preserve"> </w:t>
      </w:r>
      <w:r>
        <w:t>communication</w:t>
      </w:r>
    </w:p>
    <w:p w14:paraId="20F90544" w14:textId="77777777" w:rsidR="00C75312" w:rsidRDefault="00BB293A">
      <w:pPr>
        <w:pStyle w:val="BodyText"/>
        <w:spacing w:before="5"/>
        <w:rPr>
          <w:sz w:val="29"/>
        </w:rPr>
      </w:pPr>
      <w:r>
        <w:pict w14:anchorId="79EB6DDC">
          <v:shape id="_x0000_s2140" style="position:absolute;margin-left:1in;margin-top:19.15pt;width:2in;height:.1pt;z-index:-251499520;mso-wrap-distance-left:0;mso-wrap-distance-right:0;mso-position-horizontal-relative:page" coordorigin="1440,383" coordsize="2880,0" path="m1440,383r2880,e" filled="f" strokeweight=".48pt">
            <v:path arrowok="t"/>
            <w10:wrap type="topAndBottom" anchorx="page"/>
          </v:shape>
        </w:pict>
      </w:r>
    </w:p>
    <w:p w14:paraId="0C4BBEA0" w14:textId="77777777" w:rsidR="00C75312" w:rsidRDefault="00BB293A">
      <w:pPr>
        <w:spacing w:before="62" w:line="480" w:lineRule="auto"/>
        <w:ind w:left="140" w:right="1538"/>
        <w:rPr>
          <w:sz w:val="20"/>
        </w:rPr>
      </w:pPr>
      <w:r>
        <w:rPr>
          <w:position w:val="7"/>
          <w:sz w:val="13"/>
        </w:rPr>
        <w:t xml:space="preserve">14 </w:t>
      </w:r>
      <w:r>
        <w:rPr>
          <w:sz w:val="20"/>
        </w:rPr>
        <w:t>The ASD sample in Williams et al.’s (2014) study featured higher intellectual abilities in comparison to the sample reported in this chapter.</w:t>
      </w:r>
    </w:p>
    <w:p w14:paraId="50DCBE17" w14:textId="77777777" w:rsidR="00C75312" w:rsidRDefault="00C75312">
      <w:pPr>
        <w:spacing w:line="480" w:lineRule="auto"/>
        <w:rPr>
          <w:sz w:val="20"/>
        </w:rPr>
        <w:sectPr w:rsidR="00C75312">
          <w:pgSz w:w="11900" w:h="16840"/>
          <w:pgMar w:top="1140" w:right="0" w:bottom="280" w:left="1300" w:header="720" w:footer="0" w:gutter="0"/>
          <w:cols w:space="720"/>
        </w:sectPr>
      </w:pPr>
    </w:p>
    <w:p w14:paraId="3F755A83" w14:textId="77777777" w:rsidR="00C75312" w:rsidRDefault="00BB293A">
      <w:pPr>
        <w:pStyle w:val="BodyText"/>
        <w:spacing w:before="107" w:line="480" w:lineRule="auto"/>
        <w:ind w:left="140" w:right="1433"/>
        <w:jc w:val="both"/>
      </w:pPr>
      <w:r>
        <w:lastRenderedPageBreak/>
        <w:t>and interactional difficulties (understanding directions or “reading between the lines”) of individuals with ASD, especially in a work setting (Hendricks, 2010). Therefore, the above results provide promising evidence that, importance instructions might be a simple strategy in everyday</w:t>
      </w:r>
      <w:r>
        <w:rPr>
          <w:spacing w:val="-14"/>
        </w:rPr>
        <w:t xml:space="preserve"> </w:t>
      </w:r>
      <w:r>
        <w:t>life</w:t>
      </w:r>
      <w:r>
        <w:rPr>
          <w:spacing w:val="-15"/>
        </w:rPr>
        <w:t xml:space="preserve"> </w:t>
      </w:r>
      <w:r>
        <w:t>for</w:t>
      </w:r>
      <w:r>
        <w:rPr>
          <w:spacing w:val="-13"/>
        </w:rPr>
        <w:t xml:space="preserve"> </w:t>
      </w:r>
      <w:r>
        <w:t>individuals</w:t>
      </w:r>
      <w:r>
        <w:rPr>
          <w:spacing w:val="-16"/>
        </w:rPr>
        <w:t xml:space="preserve"> </w:t>
      </w:r>
      <w:r>
        <w:t>with</w:t>
      </w:r>
      <w:r>
        <w:rPr>
          <w:spacing w:val="-14"/>
        </w:rPr>
        <w:t xml:space="preserve"> </w:t>
      </w:r>
      <w:r>
        <w:t>ASD</w:t>
      </w:r>
      <w:r>
        <w:rPr>
          <w:spacing w:val="-15"/>
        </w:rPr>
        <w:t xml:space="preserve"> </w:t>
      </w:r>
      <w:r>
        <w:t>to</w:t>
      </w:r>
      <w:r>
        <w:rPr>
          <w:spacing w:val="-14"/>
        </w:rPr>
        <w:t xml:space="preserve"> </w:t>
      </w:r>
      <w:r>
        <w:t>compensate</w:t>
      </w:r>
      <w:r>
        <w:rPr>
          <w:spacing w:val="-15"/>
        </w:rPr>
        <w:t xml:space="preserve"> </w:t>
      </w:r>
      <w:r>
        <w:t>for</w:t>
      </w:r>
      <w:r>
        <w:rPr>
          <w:spacing w:val="-12"/>
        </w:rPr>
        <w:t xml:space="preserve"> </w:t>
      </w:r>
      <w:r>
        <w:t>general</w:t>
      </w:r>
      <w:r>
        <w:rPr>
          <w:spacing w:val="-14"/>
        </w:rPr>
        <w:t xml:space="preserve"> </w:t>
      </w:r>
      <w:r>
        <w:t>time-based</w:t>
      </w:r>
      <w:r>
        <w:rPr>
          <w:spacing w:val="-14"/>
        </w:rPr>
        <w:t xml:space="preserve"> </w:t>
      </w:r>
      <w:r>
        <w:t>PM</w:t>
      </w:r>
      <w:r>
        <w:rPr>
          <w:spacing w:val="-17"/>
        </w:rPr>
        <w:t xml:space="preserve"> </w:t>
      </w:r>
      <w:r>
        <w:t>deficits.</w:t>
      </w:r>
      <w:r>
        <w:rPr>
          <w:spacing w:val="35"/>
        </w:rPr>
        <w:t xml:space="preserve"> </w:t>
      </w:r>
      <w:r>
        <w:t xml:space="preserve">This extends existing research into importance instructions effects and is in line with results from other studies that found beneficial effects </w:t>
      </w:r>
      <w:r>
        <w:rPr>
          <w:spacing w:val="-3"/>
        </w:rPr>
        <w:t xml:space="preserve">of </w:t>
      </w:r>
      <w:r>
        <w:t>explicit task instructions in ASD (Bowler et al., 2000). It may be that the explicit importance instruction provides useful structure and scaffolding in managing dual task demands for participants with ASD leading to improved performance. This could be particularly useful in employm</w:t>
      </w:r>
      <w:r>
        <w:t xml:space="preserve">ent settings for individuals with ASD to manage multi-tasking demands; e.g., finishing a work report and being on time for a work group meeting. It would be interesting to investigate whether an additional instruction with regards to the PM importance, (e.g., it is more important to press the pre-specified key within 5 seconds of the target time) might result </w:t>
      </w:r>
      <w:r>
        <w:rPr>
          <w:spacing w:val="-3"/>
        </w:rPr>
        <w:t xml:space="preserve">in </w:t>
      </w:r>
      <w:r>
        <w:t>further performance benefits in the ASD group.</w:t>
      </w:r>
    </w:p>
    <w:p w14:paraId="141E2B7C" w14:textId="77777777" w:rsidR="00C75312" w:rsidRDefault="00BB293A">
      <w:pPr>
        <w:pStyle w:val="BodyText"/>
        <w:spacing w:before="121" w:line="480" w:lineRule="auto"/>
        <w:ind w:left="140" w:right="1433" w:firstLine="720"/>
        <w:jc w:val="both"/>
      </w:pPr>
      <w:r>
        <w:t>The</w:t>
      </w:r>
      <w:r>
        <w:rPr>
          <w:spacing w:val="-12"/>
        </w:rPr>
        <w:t xml:space="preserve"> </w:t>
      </w:r>
      <w:r>
        <w:t>ASD</w:t>
      </w:r>
      <w:r>
        <w:rPr>
          <w:spacing w:val="-11"/>
        </w:rPr>
        <w:t xml:space="preserve"> </w:t>
      </w:r>
      <w:r>
        <w:t>group</w:t>
      </w:r>
      <w:r>
        <w:rPr>
          <w:spacing w:val="-10"/>
        </w:rPr>
        <w:t xml:space="preserve"> </w:t>
      </w:r>
      <w:r>
        <w:t>exhibited</w:t>
      </w:r>
      <w:r>
        <w:rPr>
          <w:spacing w:val="-11"/>
        </w:rPr>
        <w:t xml:space="preserve"> </w:t>
      </w:r>
      <w:r>
        <w:t>adaptive</w:t>
      </w:r>
      <w:r>
        <w:rPr>
          <w:spacing w:val="-12"/>
        </w:rPr>
        <w:t xml:space="preserve"> </w:t>
      </w:r>
      <w:r>
        <w:t>time-monitoring</w:t>
      </w:r>
      <w:r>
        <w:rPr>
          <w:spacing w:val="-10"/>
        </w:rPr>
        <w:t xml:space="preserve"> </w:t>
      </w:r>
      <w:r>
        <w:t>and</w:t>
      </w:r>
      <w:r>
        <w:rPr>
          <w:spacing w:val="-11"/>
        </w:rPr>
        <w:t xml:space="preserve"> </w:t>
      </w:r>
      <w:r>
        <w:t>modulated</w:t>
      </w:r>
      <w:r>
        <w:rPr>
          <w:spacing w:val="-11"/>
        </w:rPr>
        <w:t xml:space="preserve"> </w:t>
      </w:r>
      <w:r>
        <w:t>their</w:t>
      </w:r>
      <w:r>
        <w:rPr>
          <w:spacing w:val="-8"/>
        </w:rPr>
        <w:t xml:space="preserve"> </w:t>
      </w:r>
      <w:r>
        <w:t>time</w:t>
      </w:r>
      <w:r>
        <w:rPr>
          <w:spacing w:val="-12"/>
        </w:rPr>
        <w:t xml:space="preserve"> </w:t>
      </w:r>
      <w:r>
        <w:t xml:space="preserve">checking frequency for different time intervals depending </w:t>
      </w:r>
      <w:r>
        <w:rPr>
          <w:spacing w:val="-3"/>
        </w:rPr>
        <w:t xml:space="preserve">on </w:t>
      </w:r>
      <w:r>
        <w:t>the experimental condition. However, the NT group checked the time significantly more often in the critical time interval prior to target time in the PM high importance condition in comparison to the ASD group. Hence, the importance instruction did not lead to a large enough increase in monitoring in the critical interval</w:t>
      </w:r>
      <w:r>
        <w:rPr>
          <w:spacing w:val="-4"/>
        </w:rPr>
        <w:t xml:space="preserve"> </w:t>
      </w:r>
      <w:r>
        <w:t>in</w:t>
      </w:r>
      <w:r>
        <w:rPr>
          <w:spacing w:val="-10"/>
        </w:rPr>
        <w:t xml:space="preserve"> </w:t>
      </w:r>
      <w:r>
        <w:t>the</w:t>
      </w:r>
      <w:r>
        <w:rPr>
          <w:spacing w:val="-10"/>
        </w:rPr>
        <w:t xml:space="preserve"> </w:t>
      </w:r>
      <w:r>
        <w:t>ASD</w:t>
      </w:r>
      <w:r>
        <w:rPr>
          <w:spacing w:val="-9"/>
        </w:rPr>
        <w:t xml:space="preserve"> </w:t>
      </w:r>
      <w:r>
        <w:t>relative</w:t>
      </w:r>
      <w:r>
        <w:rPr>
          <w:spacing w:val="-11"/>
        </w:rPr>
        <w:t xml:space="preserve"> </w:t>
      </w:r>
      <w:r>
        <w:t>to</w:t>
      </w:r>
      <w:r>
        <w:rPr>
          <w:spacing w:val="-9"/>
        </w:rPr>
        <w:t xml:space="preserve"> </w:t>
      </w:r>
      <w:r>
        <w:t>the</w:t>
      </w:r>
      <w:r>
        <w:rPr>
          <w:spacing w:val="-6"/>
        </w:rPr>
        <w:t xml:space="preserve"> </w:t>
      </w:r>
      <w:r>
        <w:rPr>
          <w:spacing w:val="-3"/>
        </w:rPr>
        <w:t>NT</w:t>
      </w:r>
      <w:r>
        <w:rPr>
          <w:spacing w:val="-6"/>
        </w:rPr>
        <w:t xml:space="preserve"> </w:t>
      </w:r>
      <w:r>
        <w:t>group.</w:t>
      </w:r>
      <w:r>
        <w:rPr>
          <w:spacing w:val="45"/>
        </w:rPr>
        <w:t xml:space="preserve"> </w:t>
      </w:r>
      <w:r>
        <w:t>The</w:t>
      </w:r>
      <w:r>
        <w:rPr>
          <w:spacing w:val="-11"/>
        </w:rPr>
        <w:t xml:space="preserve"> </w:t>
      </w:r>
      <w:r>
        <w:t>between-group</w:t>
      </w:r>
      <w:r>
        <w:rPr>
          <w:spacing w:val="-4"/>
        </w:rPr>
        <w:t xml:space="preserve"> </w:t>
      </w:r>
      <w:r>
        <w:t>d</w:t>
      </w:r>
      <w:r>
        <w:t>ifferences</w:t>
      </w:r>
      <w:r>
        <w:rPr>
          <w:spacing w:val="-7"/>
        </w:rPr>
        <w:t xml:space="preserve"> </w:t>
      </w:r>
      <w:r>
        <w:t>in</w:t>
      </w:r>
      <w:r>
        <w:rPr>
          <w:spacing w:val="-9"/>
        </w:rPr>
        <w:t xml:space="preserve"> </w:t>
      </w:r>
      <w:r>
        <w:t>strategic</w:t>
      </w:r>
      <w:r>
        <w:rPr>
          <w:spacing w:val="-6"/>
        </w:rPr>
        <w:t xml:space="preserve"> </w:t>
      </w:r>
      <w:r>
        <w:t>time- monitoring in the high importance condition likely played a key role to explain this lack of an interaction effect for PM target accuracy. Nonetheless, significantly increasing time- monitoring in the critical period before target time seems to be crucial for time-based PM success in ASD. The present results indicated that a positive increase in time-monitoring in this interval from the low to the high importance condition was associated with a positive change in PM hits and more accurate responses. T</w:t>
      </w:r>
      <w:r>
        <w:t>hese results are generally in line with</w:t>
      </w:r>
      <w:r>
        <w:rPr>
          <w:spacing w:val="-6"/>
        </w:rPr>
        <w:t xml:space="preserve"> </w:t>
      </w:r>
      <w:r>
        <w:t>other</w:t>
      </w:r>
    </w:p>
    <w:p w14:paraId="6476E9FE" w14:textId="77777777" w:rsidR="00C75312" w:rsidRDefault="00C75312">
      <w:pPr>
        <w:spacing w:line="480" w:lineRule="auto"/>
        <w:jc w:val="both"/>
        <w:sectPr w:rsidR="00C75312">
          <w:pgSz w:w="11900" w:h="16840"/>
          <w:pgMar w:top="1140" w:right="0" w:bottom="280" w:left="1300" w:header="720" w:footer="0" w:gutter="0"/>
          <w:cols w:space="720"/>
        </w:sectPr>
      </w:pPr>
    </w:p>
    <w:p w14:paraId="40FBAD16" w14:textId="77777777" w:rsidR="00C75312" w:rsidRDefault="00BB293A">
      <w:pPr>
        <w:pStyle w:val="BodyText"/>
        <w:spacing w:before="107" w:line="480" w:lineRule="auto"/>
        <w:ind w:left="140" w:right="1434"/>
        <w:jc w:val="both"/>
      </w:pPr>
      <w:r>
        <w:lastRenderedPageBreak/>
        <w:t>studies</w:t>
      </w:r>
      <w:r>
        <w:rPr>
          <w:spacing w:val="-3"/>
        </w:rPr>
        <w:t xml:space="preserve"> </w:t>
      </w:r>
      <w:r>
        <w:t>that found</w:t>
      </w:r>
      <w:r>
        <w:rPr>
          <w:spacing w:val="-5"/>
        </w:rPr>
        <w:t xml:space="preserve"> </w:t>
      </w:r>
      <w:r>
        <w:t>positive</w:t>
      </w:r>
      <w:r>
        <w:rPr>
          <w:spacing w:val="-6"/>
        </w:rPr>
        <w:t xml:space="preserve"> </w:t>
      </w:r>
      <w:r>
        <w:t>correlations</w:t>
      </w:r>
      <w:r>
        <w:rPr>
          <w:spacing w:val="-3"/>
        </w:rPr>
        <w:t xml:space="preserve"> </w:t>
      </w:r>
      <w:r>
        <w:t>between</w:t>
      </w:r>
      <w:r>
        <w:rPr>
          <w:spacing w:val="-5"/>
        </w:rPr>
        <w:t xml:space="preserve"> </w:t>
      </w:r>
      <w:r>
        <w:t>the</w:t>
      </w:r>
      <w:r>
        <w:rPr>
          <w:spacing w:val="-1"/>
        </w:rPr>
        <w:t xml:space="preserve"> </w:t>
      </w:r>
      <w:r>
        <w:t>total</w:t>
      </w:r>
      <w:r>
        <w:rPr>
          <w:spacing w:val="-4"/>
        </w:rPr>
        <w:t xml:space="preserve"> </w:t>
      </w:r>
      <w:r>
        <w:t>number</w:t>
      </w:r>
      <w:r>
        <w:rPr>
          <w:spacing w:val="-4"/>
        </w:rPr>
        <w:t xml:space="preserve"> </w:t>
      </w:r>
      <w:r>
        <w:t>of</w:t>
      </w:r>
      <w:r>
        <w:rPr>
          <w:spacing w:val="-8"/>
        </w:rPr>
        <w:t xml:space="preserve"> </w:t>
      </w:r>
      <w:r>
        <w:t>time</w:t>
      </w:r>
      <w:r>
        <w:rPr>
          <w:spacing w:val="-6"/>
        </w:rPr>
        <w:t xml:space="preserve"> </w:t>
      </w:r>
      <w:r>
        <w:t>checks</w:t>
      </w:r>
      <w:r>
        <w:rPr>
          <w:spacing w:val="-2"/>
        </w:rPr>
        <w:t xml:space="preserve"> </w:t>
      </w:r>
      <w:r>
        <w:t>prior</w:t>
      </w:r>
      <w:r>
        <w:rPr>
          <w:spacing w:val="-3"/>
        </w:rPr>
        <w:t xml:space="preserve"> </w:t>
      </w:r>
      <w:r>
        <w:t>to</w:t>
      </w:r>
      <w:r>
        <w:rPr>
          <w:spacing w:val="-5"/>
        </w:rPr>
        <w:t xml:space="preserve"> </w:t>
      </w:r>
      <w:r>
        <w:t>target time and PM success (</w:t>
      </w:r>
      <w:proofErr w:type="spellStart"/>
      <w:r>
        <w:t>Altgassen</w:t>
      </w:r>
      <w:proofErr w:type="spellEnd"/>
      <w:r>
        <w:t xml:space="preserve"> et al., 2009; Williams et al., 2013) as well as the assumption that</w:t>
      </w:r>
      <w:r>
        <w:rPr>
          <w:spacing w:val="-4"/>
        </w:rPr>
        <w:t xml:space="preserve"> </w:t>
      </w:r>
      <w:r>
        <w:t>relative</w:t>
      </w:r>
      <w:r>
        <w:rPr>
          <w:spacing w:val="-6"/>
        </w:rPr>
        <w:t xml:space="preserve"> </w:t>
      </w:r>
      <w:r>
        <w:t>importance</w:t>
      </w:r>
      <w:r>
        <w:rPr>
          <w:spacing w:val="-6"/>
        </w:rPr>
        <w:t xml:space="preserve"> </w:t>
      </w:r>
      <w:r>
        <w:t>instruction</w:t>
      </w:r>
      <w:r>
        <w:rPr>
          <w:spacing w:val="-9"/>
        </w:rPr>
        <w:t xml:space="preserve"> </w:t>
      </w:r>
      <w:r>
        <w:t>results</w:t>
      </w:r>
      <w:r>
        <w:rPr>
          <w:spacing w:val="-7"/>
        </w:rPr>
        <w:t xml:space="preserve"> </w:t>
      </w:r>
      <w:r>
        <w:t>in</w:t>
      </w:r>
      <w:r>
        <w:rPr>
          <w:spacing w:val="-5"/>
        </w:rPr>
        <w:t xml:space="preserve"> </w:t>
      </w:r>
      <w:r>
        <w:t>changes</w:t>
      </w:r>
      <w:r>
        <w:rPr>
          <w:spacing w:val="-7"/>
        </w:rPr>
        <w:t xml:space="preserve"> </w:t>
      </w:r>
      <w:r>
        <w:t>of</w:t>
      </w:r>
      <w:r>
        <w:rPr>
          <w:spacing w:val="-2"/>
        </w:rPr>
        <w:t xml:space="preserve"> </w:t>
      </w:r>
      <w:r>
        <w:t>strategic</w:t>
      </w:r>
      <w:r>
        <w:rPr>
          <w:spacing w:val="-6"/>
        </w:rPr>
        <w:t xml:space="preserve"> </w:t>
      </w:r>
      <w:r>
        <w:t>monitoring</w:t>
      </w:r>
      <w:r>
        <w:rPr>
          <w:spacing w:val="-10"/>
        </w:rPr>
        <w:t xml:space="preserve"> </w:t>
      </w:r>
      <w:r>
        <w:t>(Walter</w:t>
      </w:r>
      <w:r>
        <w:rPr>
          <w:spacing w:val="-3"/>
        </w:rPr>
        <w:t xml:space="preserve"> </w:t>
      </w:r>
      <w:r>
        <w:t>&amp;</w:t>
      </w:r>
      <w:r>
        <w:rPr>
          <w:spacing w:val="-4"/>
        </w:rPr>
        <w:t xml:space="preserve"> </w:t>
      </w:r>
      <w:r>
        <w:t>Meier 2014).</w:t>
      </w:r>
    </w:p>
    <w:p w14:paraId="122BE97B" w14:textId="77777777" w:rsidR="00C75312" w:rsidRDefault="00BB293A">
      <w:pPr>
        <w:pStyle w:val="BodyText"/>
        <w:spacing w:before="120" w:line="480" w:lineRule="auto"/>
        <w:ind w:left="140" w:right="1433" w:firstLine="720"/>
        <w:jc w:val="both"/>
      </w:pPr>
      <w:r>
        <w:t>Interestingly, there is a clear discrepancy between what previous studies concluded on the role of time monitoring in time-based PM in ASD in comparison to this study. Using standard task instructions Williams and colleagues (2013, 2014) found equivalent patterns of time checks between groups. Thus, they concluded that time-monitoring performance cannot explain impaired time-based PM in ASD. This study found similar results in the low importance condition. Here, the ASD group does not significantly differ t</w:t>
      </w:r>
      <w:r>
        <w:t>o the control group in the mean number of time checks prior to target time, however time-based PM is poorer in the ASD group. Despite this, a clear relationship between the increase in time checks and the increase in PM hits in the ASD group across conditions was found in this study. Thus, time monitoring seems to be important to alleviate time-based PM impairments even if it may not cause them in the first place. It may be that the distribution of time checks within the critical time interval might have di</w:t>
      </w:r>
      <w:r>
        <w:t xml:space="preserve">ffered between groups. It may be that the ASD group checked the time further away from target time than the NT group leading to less accurate PM responses and hence fewer hits in the low importance condition, and thus despite time checks being of similar quantity they were not of similar quality. This might have masked the importance of time-monitoring for PM success under standard conditions. To assess the role of time perception for time-based PM, it would be crucial to explore how timing abilities </w:t>
      </w:r>
      <w:r>
        <w:rPr>
          <w:i/>
        </w:rPr>
        <w:t>indepe</w:t>
      </w:r>
      <w:r>
        <w:rPr>
          <w:i/>
        </w:rPr>
        <w:t xml:space="preserve">ndent </w:t>
      </w:r>
      <w:r>
        <w:t>of the experimental task are contributing to time-based PM in ASD.</w:t>
      </w:r>
    </w:p>
    <w:p w14:paraId="39A8C7E9" w14:textId="77777777" w:rsidR="00C75312" w:rsidRDefault="00BB293A">
      <w:pPr>
        <w:pStyle w:val="BodyText"/>
        <w:spacing w:before="121" w:line="480" w:lineRule="auto"/>
        <w:ind w:left="140" w:right="1433" w:firstLine="720"/>
        <w:jc w:val="both"/>
      </w:pPr>
      <w:r>
        <w:t xml:space="preserve">Finally, it is important to explore whether the ongoing task costs outweighed the benefits of the PM high importance condition. For ongoing task performance, the main effect of condition was of moderate size across groups. Thus, explicit task instruction may be a simple strategy to alleviate time-based PM in ASD in everyday life </w:t>
      </w:r>
      <w:r>
        <w:rPr>
          <w:i/>
        </w:rPr>
        <w:t xml:space="preserve">without </w:t>
      </w:r>
      <w:r>
        <w:t>a large negative</w:t>
      </w:r>
    </w:p>
    <w:p w14:paraId="1B0A0047" w14:textId="77777777" w:rsidR="00C75312" w:rsidRDefault="00C75312">
      <w:pPr>
        <w:spacing w:line="480" w:lineRule="auto"/>
        <w:jc w:val="both"/>
        <w:sectPr w:rsidR="00C75312">
          <w:pgSz w:w="11900" w:h="16840"/>
          <w:pgMar w:top="1140" w:right="0" w:bottom="280" w:left="1300" w:header="720" w:footer="0" w:gutter="0"/>
          <w:cols w:space="720"/>
        </w:sectPr>
      </w:pPr>
    </w:p>
    <w:p w14:paraId="69B953F8" w14:textId="77777777" w:rsidR="00C75312" w:rsidRDefault="00BB293A">
      <w:pPr>
        <w:pStyle w:val="BodyText"/>
        <w:spacing w:before="107" w:line="480" w:lineRule="auto"/>
        <w:ind w:left="140" w:right="1432"/>
        <w:jc w:val="both"/>
      </w:pPr>
      <w:r>
        <w:lastRenderedPageBreak/>
        <w:t>impact</w:t>
      </w:r>
      <w:r>
        <w:rPr>
          <w:spacing w:val="-15"/>
        </w:rPr>
        <w:t xml:space="preserve"> </w:t>
      </w:r>
      <w:r>
        <w:t>on</w:t>
      </w:r>
      <w:r>
        <w:rPr>
          <w:spacing w:val="-14"/>
        </w:rPr>
        <w:t xml:space="preserve"> </w:t>
      </w:r>
      <w:r>
        <w:t>other</w:t>
      </w:r>
      <w:r>
        <w:rPr>
          <w:spacing w:val="-18"/>
        </w:rPr>
        <w:t xml:space="preserve"> </w:t>
      </w:r>
      <w:r>
        <w:t>activities.</w:t>
      </w:r>
      <w:r>
        <w:rPr>
          <w:spacing w:val="28"/>
        </w:rPr>
        <w:t xml:space="preserve"> </w:t>
      </w:r>
      <w:r>
        <w:t>Of</w:t>
      </w:r>
      <w:r>
        <w:rPr>
          <w:spacing w:val="-18"/>
        </w:rPr>
        <w:t xml:space="preserve"> </w:t>
      </w:r>
      <w:r>
        <w:t>course,</w:t>
      </w:r>
      <w:r>
        <w:rPr>
          <w:spacing w:val="-17"/>
        </w:rPr>
        <w:t xml:space="preserve"> </w:t>
      </w:r>
      <w:r>
        <w:t>it</w:t>
      </w:r>
      <w:r>
        <w:rPr>
          <w:spacing w:val="-14"/>
        </w:rPr>
        <w:t xml:space="preserve"> </w:t>
      </w:r>
      <w:r>
        <w:t>would</w:t>
      </w:r>
      <w:r>
        <w:rPr>
          <w:spacing w:val="-19"/>
        </w:rPr>
        <w:t xml:space="preserve"> </w:t>
      </w:r>
      <w:r>
        <w:t>be</w:t>
      </w:r>
      <w:r>
        <w:rPr>
          <w:spacing w:val="-15"/>
        </w:rPr>
        <w:t xml:space="preserve"> </w:t>
      </w:r>
      <w:r>
        <w:t>useful</w:t>
      </w:r>
      <w:r>
        <w:rPr>
          <w:spacing w:val="-15"/>
        </w:rPr>
        <w:t xml:space="preserve"> </w:t>
      </w:r>
      <w:r>
        <w:t>to</w:t>
      </w:r>
      <w:r>
        <w:rPr>
          <w:spacing w:val="-19"/>
        </w:rPr>
        <w:t xml:space="preserve"> </w:t>
      </w:r>
      <w:r>
        <w:t>further</w:t>
      </w:r>
      <w:r>
        <w:rPr>
          <w:spacing w:val="-13"/>
        </w:rPr>
        <w:t xml:space="preserve"> </w:t>
      </w:r>
      <w:r>
        <w:t>explore</w:t>
      </w:r>
      <w:r>
        <w:rPr>
          <w:spacing w:val="-15"/>
        </w:rPr>
        <w:t xml:space="preserve"> </w:t>
      </w:r>
      <w:r>
        <w:t>this</w:t>
      </w:r>
      <w:r>
        <w:rPr>
          <w:spacing w:val="-18"/>
        </w:rPr>
        <w:t xml:space="preserve"> </w:t>
      </w:r>
      <w:r>
        <w:t>issue</w:t>
      </w:r>
      <w:r>
        <w:rPr>
          <w:spacing w:val="-15"/>
        </w:rPr>
        <w:t xml:space="preserve"> </w:t>
      </w:r>
      <w:r>
        <w:t>in</w:t>
      </w:r>
      <w:r>
        <w:rPr>
          <w:spacing w:val="-14"/>
        </w:rPr>
        <w:t xml:space="preserve"> </w:t>
      </w:r>
      <w:r>
        <w:t>everyday settings, but the clear implication from the current results is that providing instructions regarding importance would provide a useful strategy for enhancing time-based PM functioning in</w:t>
      </w:r>
      <w:r>
        <w:rPr>
          <w:spacing w:val="-2"/>
        </w:rPr>
        <w:t xml:space="preserve"> </w:t>
      </w:r>
      <w:r>
        <w:t>ASD.</w:t>
      </w:r>
    </w:p>
    <w:p w14:paraId="05D7496F" w14:textId="77777777" w:rsidR="00C75312" w:rsidRDefault="00BB293A">
      <w:pPr>
        <w:pStyle w:val="Heading1"/>
        <w:spacing w:before="120"/>
        <w:jc w:val="both"/>
      </w:pPr>
      <w:r>
        <w:t>Correlates of performance change with background measures</w:t>
      </w:r>
    </w:p>
    <w:p w14:paraId="2F28CFDD" w14:textId="77777777" w:rsidR="00C75312" w:rsidRDefault="00C75312">
      <w:pPr>
        <w:pStyle w:val="BodyText"/>
        <w:rPr>
          <w:b/>
        </w:rPr>
      </w:pPr>
    </w:p>
    <w:p w14:paraId="4BBB0F07" w14:textId="77777777" w:rsidR="00C75312" w:rsidRDefault="00BB293A">
      <w:pPr>
        <w:pStyle w:val="BodyText"/>
        <w:spacing w:line="480" w:lineRule="auto"/>
        <w:ind w:left="140" w:right="1433" w:firstLine="720"/>
        <w:jc w:val="both"/>
      </w:pPr>
      <w:r>
        <w:t>With regard to what underpins changes in performance, this study explored three different factors: time-monitoring, executive functions, and mindreading. This discussion will focus on correlates of ASD performance as, due to ceiling effects, the NT group did not significantly improve their performance from the PM low to high importance condition. Therefore, the reported correlation coefficients in the NT group should be interpreted with caution and regarded as exploratory with the need for further investiga</w:t>
      </w:r>
      <w:r>
        <w:t>tion.</w:t>
      </w:r>
    </w:p>
    <w:p w14:paraId="623C4CCB" w14:textId="77777777" w:rsidR="00C75312" w:rsidRDefault="00BB293A">
      <w:pPr>
        <w:pStyle w:val="BodyText"/>
        <w:spacing w:before="120" w:line="480" w:lineRule="auto"/>
        <w:ind w:left="140" w:right="1431" w:firstLine="720"/>
        <w:jc w:val="both"/>
      </w:pPr>
      <w:r>
        <w:t>In the ASD group, PM performance change was associated with two of three factors: time-monitoring (see discussion above) and executive functions. The results revealed that greater</w:t>
      </w:r>
      <w:r>
        <w:rPr>
          <w:spacing w:val="-15"/>
        </w:rPr>
        <w:t xml:space="preserve"> </w:t>
      </w:r>
      <w:r>
        <w:t>self-reported</w:t>
      </w:r>
      <w:r>
        <w:rPr>
          <w:spacing w:val="-16"/>
        </w:rPr>
        <w:t xml:space="preserve"> </w:t>
      </w:r>
      <w:r>
        <w:t>difficulties</w:t>
      </w:r>
      <w:r>
        <w:rPr>
          <w:spacing w:val="-18"/>
        </w:rPr>
        <w:t xml:space="preserve"> </w:t>
      </w:r>
      <w:r>
        <w:t>with</w:t>
      </w:r>
      <w:r>
        <w:rPr>
          <w:spacing w:val="-16"/>
        </w:rPr>
        <w:t xml:space="preserve"> </w:t>
      </w:r>
      <w:r>
        <w:t>inhibitory</w:t>
      </w:r>
      <w:r>
        <w:rPr>
          <w:spacing w:val="-20"/>
        </w:rPr>
        <w:t xml:space="preserve"> </w:t>
      </w:r>
      <w:r>
        <w:t>control</w:t>
      </w:r>
      <w:r>
        <w:rPr>
          <w:spacing w:val="-15"/>
        </w:rPr>
        <w:t xml:space="preserve"> </w:t>
      </w:r>
      <w:r>
        <w:t>were</w:t>
      </w:r>
      <w:r>
        <w:rPr>
          <w:spacing w:val="-17"/>
        </w:rPr>
        <w:t xml:space="preserve"> </w:t>
      </w:r>
      <w:r>
        <w:t>strongly</w:t>
      </w:r>
      <w:r>
        <w:rPr>
          <w:spacing w:val="-15"/>
        </w:rPr>
        <w:t xml:space="preserve"> </w:t>
      </w:r>
      <w:r>
        <w:t>associated</w:t>
      </w:r>
      <w:r>
        <w:rPr>
          <w:spacing w:val="-16"/>
        </w:rPr>
        <w:t xml:space="preserve"> </w:t>
      </w:r>
      <w:r>
        <w:t>with</w:t>
      </w:r>
      <w:r>
        <w:rPr>
          <w:spacing w:val="-16"/>
        </w:rPr>
        <w:t xml:space="preserve"> </w:t>
      </w:r>
      <w:r>
        <w:t>a</w:t>
      </w:r>
      <w:r>
        <w:rPr>
          <w:spacing w:val="-16"/>
        </w:rPr>
        <w:t xml:space="preserve"> </w:t>
      </w:r>
      <w:r>
        <w:t>positive change</w:t>
      </w:r>
      <w:r>
        <w:rPr>
          <w:spacing w:val="-7"/>
        </w:rPr>
        <w:t xml:space="preserve"> </w:t>
      </w:r>
      <w:r>
        <w:t>in</w:t>
      </w:r>
      <w:r>
        <w:rPr>
          <w:spacing w:val="-5"/>
        </w:rPr>
        <w:t xml:space="preserve"> </w:t>
      </w:r>
      <w:r>
        <w:t>PM</w:t>
      </w:r>
      <w:r>
        <w:rPr>
          <w:spacing w:val="-7"/>
        </w:rPr>
        <w:t xml:space="preserve"> </w:t>
      </w:r>
      <w:r>
        <w:t>target</w:t>
      </w:r>
      <w:r>
        <w:rPr>
          <w:spacing w:val="-5"/>
        </w:rPr>
        <w:t xml:space="preserve"> </w:t>
      </w:r>
      <w:r>
        <w:t>accuracy</w:t>
      </w:r>
      <w:r>
        <w:rPr>
          <w:spacing w:val="-5"/>
        </w:rPr>
        <w:t xml:space="preserve"> </w:t>
      </w:r>
      <w:r>
        <w:t>(more</w:t>
      </w:r>
      <w:r>
        <w:rPr>
          <w:spacing w:val="-6"/>
        </w:rPr>
        <w:t xml:space="preserve"> </w:t>
      </w:r>
      <w:r>
        <w:t>accurate</w:t>
      </w:r>
      <w:r>
        <w:rPr>
          <w:spacing w:val="-7"/>
        </w:rPr>
        <w:t xml:space="preserve"> </w:t>
      </w:r>
      <w:r>
        <w:t>responses</w:t>
      </w:r>
      <w:r>
        <w:rPr>
          <w:spacing w:val="-7"/>
        </w:rPr>
        <w:t xml:space="preserve"> </w:t>
      </w:r>
      <w:r>
        <w:t>in</w:t>
      </w:r>
      <w:r>
        <w:rPr>
          <w:spacing w:val="-5"/>
        </w:rPr>
        <w:t xml:space="preserve"> </w:t>
      </w:r>
      <w:r>
        <w:t>the</w:t>
      </w:r>
      <w:r>
        <w:rPr>
          <w:spacing w:val="-6"/>
        </w:rPr>
        <w:t xml:space="preserve"> </w:t>
      </w:r>
      <w:r>
        <w:t>PM</w:t>
      </w:r>
      <w:r>
        <w:rPr>
          <w:spacing w:val="-8"/>
        </w:rPr>
        <w:t xml:space="preserve"> </w:t>
      </w:r>
      <w:r>
        <w:t>high</w:t>
      </w:r>
      <w:r>
        <w:rPr>
          <w:spacing w:val="-5"/>
        </w:rPr>
        <w:t xml:space="preserve"> </w:t>
      </w:r>
      <w:r>
        <w:t>importance</w:t>
      </w:r>
      <w:r>
        <w:rPr>
          <w:spacing w:val="-6"/>
        </w:rPr>
        <w:t xml:space="preserve"> </w:t>
      </w:r>
      <w:r>
        <w:t xml:space="preserve">condition). Thus, individuals reporting more inhibitory control problems did benefit from the importance instruction. Self-report executive problems have been linked to poorer adaptive </w:t>
      </w:r>
      <w:proofErr w:type="spellStart"/>
      <w:r>
        <w:t>behaviour</w:t>
      </w:r>
      <w:proofErr w:type="spellEnd"/>
      <w:r>
        <w:rPr>
          <w:spacing w:val="-34"/>
        </w:rPr>
        <w:t xml:space="preserve"> </w:t>
      </w:r>
      <w:r>
        <w:t>and daily</w:t>
      </w:r>
      <w:r>
        <w:rPr>
          <w:spacing w:val="-15"/>
        </w:rPr>
        <w:t xml:space="preserve"> </w:t>
      </w:r>
      <w:r>
        <w:t>living</w:t>
      </w:r>
      <w:r>
        <w:rPr>
          <w:spacing w:val="-14"/>
        </w:rPr>
        <w:t xml:space="preserve"> </w:t>
      </w:r>
      <w:r>
        <w:t>skills</w:t>
      </w:r>
      <w:r>
        <w:rPr>
          <w:spacing w:val="-21"/>
        </w:rPr>
        <w:t xml:space="preserve"> </w:t>
      </w:r>
      <w:r>
        <w:t>(Pugliese</w:t>
      </w:r>
      <w:r>
        <w:rPr>
          <w:spacing w:val="-15"/>
        </w:rPr>
        <w:t xml:space="preserve"> </w:t>
      </w:r>
      <w:r>
        <w:t>et</w:t>
      </w:r>
      <w:r>
        <w:rPr>
          <w:spacing w:val="-14"/>
        </w:rPr>
        <w:t xml:space="preserve"> </w:t>
      </w:r>
      <w:r>
        <w:t>al.,</w:t>
      </w:r>
      <w:r>
        <w:rPr>
          <w:spacing w:val="-17"/>
        </w:rPr>
        <w:t xml:space="preserve"> </w:t>
      </w:r>
      <w:r>
        <w:t>2016).</w:t>
      </w:r>
      <w:r>
        <w:rPr>
          <w:spacing w:val="29"/>
        </w:rPr>
        <w:t xml:space="preserve"> </w:t>
      </w:r>
      <w:r>
        <w:t>Thus,</w:t>
      </w:r>
      <w:r>
        <w:rPr>
          <w:spacing w:val="-17"/>
        </w:rPr>
        <w:t xml:space="preserve"> </w:t>
      </w:r>
      <w:r>
        <w:t>elevated</w:t>
      </w:r>
      <w:r>
        <w:rPr>
          <w:spacing w:val="-14"/>
        </w:rPr>
        <w:t xml:space="preserve"> </w:t>
      </w:r>
      <w:r>
        <w:t>scores</w:t>
      </w:r>
      <w:r>
        <w:rPr>
          <w:spacing w:val="-17"/>
        </w:rPr>
        <w:t xml:space="preserve"> </w:t>
      </w:r>
      <w:r>
        <w:t>on</w:t>
      </w:r>
      <w:r>
        <w:rPr>
          <w:spacing w:val="-14"/>
        </w:rPr>
        <w:t xml:space="preserve"> </w:t>
      </w:r>
      <w:r>
        <w:t>this</w:t>
      </w:r>
      <w:r>
        <w:rPr>
          <w:spacing w:val="-17"/>
        </w:rPr>
        <w:t xml:space="preserve"> </w:t>
      </w:r>
      <w:r>
        <w:t>scale</w:t>
      </w:r>
      <w:r>
        <w:rPr>
          <w:spacing w:val="-15"/>
        </w:rPr>
        <w:t xml:space="preserve"> </w:t>
      </w:r>
      <w:r>
        <w:t>above</w:t>
      </w:r>
      <w:r>
        <w:rPr>
          <w:spacing w:val="-15"/>
        </w:rPr>
        <w:t xml:space="preserve"> </w:t>
      </w:r>
      <w:r>
        <w:t>the</w:t>
      </w:r>
      <w:r>
        <w:rPr>
          <w:spacing w:val="-15"/>
        </w:rPr>
        <w:t xml:space="preserve"> </w:t>
      </w:r>
      <w:r>
        <w:t>clinically interesting cut-off might be a tool to identify individuals with ASD who need more support with time-based PM. This outcome maps onto Henry et al.’s (2014) finding that poorer time- based PM is associated with s</w:t>
      </w:r>
      <w:r>
        <w:t>maller levels of functional independence in everyday life. This finding was not reflected in a similar correlation with the Stroop inhibition index. It may be that</w:t>
      </w:r>
      <w:r>
        <w:rPr>
          <w:spacing w:val="-14"/>
        </w:rPr>
        <w:t xml:space="preserve"> </w:t>
      </w:r>
      <w:r>
        <w:t>the</w:t>
      </w:r>
      <w:r>
        <w:rPr>
          <w:spacing w:val="-15"/>
        </w:rPr>
        <w:t xml:space="preserve"> </w:t>
      </w:r>
      <w:r>
        <w:t>self-report</w:t>
      </w:r>
      <w:r>
        <w:rPr>
          <w:spacing w:val="-13"/>
        </w:rPr>
        <w:t xml:space="preserve"> </w:t>
      </w:r>
      <w:r>
        <w:t>measure</w:t>
      </w:r>
      <w:r>
        <w:rPr>
          <w:spacing w:val="-15"/>
        </w:rPr>
        <w:t xml:space="preserve"> </w:t>
      </w:r>
      <w:r>
        <w:t>picked</w:t>
      </w:r>
      <w:r>
        <w:rPr>
          <w:spacing w:val="-14"/>
        </w:rPr>
        <w:t xml:space="preserve"> </w:t>
      </w:r>
      <w:r>
        <w:t>up</w:t>
      </w:r>
      <w:r>
        <w:rPr>
          <w:spacing w:val="-13"/>
        </w:rPr>
        <w:t xml:space="preserve"> </w:t>
      </w:r>
      <w:r>
        <w:t>on</w:t>
      </w:r>
      <w:r>
        <w:rPr>
          <w:spacing w:val="-14"/>
        </w:rPr>
        <w:t xml:space="preserve"> </w:t>
      </w:r>
      <w:r>
        <w:t>everyday</w:t>
      </w:r>
      <w:r>
        <w:rPr>
          <w:spacing w:val="-14"/>
        </w:rPr>
        <w:t xml:space="preserve"> </w:t>
      </w:r>
      <w:r>
        <w:t>relevant</w:t>
      </w:r>
      <w:r>
        <w:rPr>
          <w:spacing w:val="-13"/>
        </w:rPr>
        <w:t xml:space="preserve"> </w:t>
      </w:r>
      <w:r>
        <w:t>inhibitory</w:t>
      </w:r>
      <w:r>
        <w:rPr>
          <w:spacing w:val="-14"/>
        </w:rPr>
        <w:t xml:space="preserve"> </w:t>
      </w:r>
      <w:r>
        <w:t>control</w:t>
      </w:r>
      <w:r>
        <w:rPr>
          <w:spacing w:val="-18"/>
        </w:rPr>
        <w:t xml:space="preserve"> </w:t>
      </w:r>
      <w:r>
        <w:t>problems</w:t>
      </w:r>
      <w:r>
        <w:rPr>
          <w:spacing w:val="-17"/>
        </w:rPr>
        <w:t xml:space="preserve"> </w:t>
      </w:r>
      <w:r>
        <w:t>in</w:t>
      </w:r>
      <w:r>
        <w:rPr>
          <w:spacing w:val="-14"/>
        </w:rPr>
        <w:t xml:space="preserve"> </w:t>
      </w:r>
      <w:r>
        <w:t>ASD that do not become evident in a structured lab-based inhibition task (and on which the ASD group was not impaired on in this</w:t>
      </w:r>
      <w:r>
        <w:rPr>
          <w:spacing w:val="4"/>
        </w:rPr>
        <w:t xml:space="preserve"> </w:t>
      </w:r>
      <w:r>
        <w:t>study).</w:t>
      </w:r>
    </w:p>
    <w:p w14:paraId="3E5AEC00" w14:textId="77777777" w:rsidR="00C75312" w:rsidRDefault="00C75312">
      <w:pPr>
        <w:spacing w:line="480" w:lineRule="auto"/>
        <w:jc w:val="both"/>
        <w:sectPr w:rsidR="00C75312">
          <w:pgSz w:w="11900" w:h="16840"/>
          <w:pgMar w:top="1140" w:right="0" w:bottom="280" w:left="1300" w:header="720" w:footer="0" w:gutter="0"/>
          <w:cols w:space="720"/>
        </w:sectPr>
      </w:pPr>
    </w:p>
    <w:p w14:paraId="411C9730" w14:textId="77777777" w:rsidR="00C75312" w:rsidRDefault="00BB293A">
      <w:pPr>
        <w:pStyle w:val="BodyText"/>
        <w:spacing w:before="107" w:line="480" w:lineRule="auto"/>
        <w:ind w:left="140" w:right="1431" w:firstLine="720"/>
        <w:jc w:val="both"/>
      </w:pPr>
      <w:r>
        <w:lastRenderedPageBreak/>
        <w:t>With respect to cognitive flexibility, the BRIEF-shifting self-report score was not significantly associated with PM performance. In contrast, perseverative errors on the Wisconsin Card Sorting Task, a task that is difficult for people with ASD (Landry &amp; Al-Taie, 2016),</w:t>
      </w:r>
      <w:r>
        <w:rPr>
          <w:spacing w:val="-2"/>
        </w:rPr>
        <w:t xml:space="preserve"> </w:t>
      </w:r>
      <w:r>
        <w:t>were</w:t>
      </w:r>
      <w:r>
        <w:rPr>
          <w:spacing w:val="-6"/>
        </w:rPr>
        <w:t xml:space="preserve"> </w:t>
      </w:r>
      <w:r>
        <w:t>positively</w:t>
      </w:r>
      <w:r>
        <w:rPr>
          <w:spacing w:val="1"/>
        </w:rPr>
        <w:t xml:space="preserve"> </w:t>
      </w:r>
      <w:r>
        <w:t>associated with</w:t>
      </w:r>
      <w:r>
        <w:rPr>
          <w:spacing w:val="-5"/>
        </w:rPr>
        <w:t xml:space="preserve"> </w:t>
      </w:r>
      <w:r>
        <w:t>an</w:t>
      </w:r>
      <w:r>
        <w:rPr>
          <w:spacing w:val="-4"/>
        </w:rPr>
        <w:t xml:space="preserve"> </w:t>
      </w:r>
      <w:r>
        <w:t>increase</w:t>
      </w:r>
      <w:r>
        <w:rPr>
          <w:spacing w:val="-6"/>
        </w:rPr>
        <w:t xml:space="preserve"> </w:t>
      </w:r>
      <w:r>
        <w:t>in PM</w:t>
      </w:r>
      <w:r>
        <w:rPr>
          <w:spacing w:val="-6"/>
        </w:rPr>
        <w:t xml:space="preserve"> </w:t>
      </w:r>
      <w:r>
        <w:t>hits</w:t>
      </w:r>
      <w:r>
        <w:rPr>
          <w:spacing w:val="-7"/>
        </w:rPr>
        <w:t xml:space="preserve"> </w:t>
      </w:r>
      <w:r>
        <w:t>from</w:t>
      </w:r>
      <w:r>
        <w:rPr>
          <w:spacing w:val="-3"/>
        </w:rPr>
        <w:t xml:space="preserve"> </w:t>
      </w:r>
      <w:r>
        <w:t>the</w:t>
      </w:r>
      <w:r>
        <w:rPr>
          <w:spacing w:val="-6"/>
        </w:rPr>
        <w:t xml:space="preserve"> </w:t>
      </w:r>
      <w:r>
        <w:t>low</w:t>
      </w:r>
      <w:r>
        <w:rPr>
          <w:spacing w:val="-4"/>
        </w:rPr>
        <w:t xml:space="preserve"> </w:t>
      </w:r>
      <w:r>
        <w:t>to</w:t>
      </w:r>
      <w:r>
        <w:rPr>
          <w:spacing w:val="-5"/>
        </w:rPr>
        <w:t xml:space="preserve"> </w:t>
      </w:r>
      <w:r>
        <w:t>high</w:t>
      </w:r>
      <w:r>
        <w:rPr>
          <w:spacing w:val="-5"/>
        </w:rPr>
        <w:t xml:space="preserve"> </w:t>
      </w:r>
      <w:r>
        <w:t>importance condition, even when controlling for other executive demands. Confirming the study’s prediction, this indicates that individuals with lower cognitive flexibility benefitted most from the importance instruction. This supports the idea that the explicit instruction enhances the structure</w:t>
      </w:r>
      <w:r>
        <w:rPr>
          <w:spacing w:val="-12"/>
        </w:rPr>
        <w:t xml:space="preserve"> </w:t>
      </w:r>
      <w:r>
        <w:t>of</w:t>
      </w:r>
      <w:r>
        <w:rPr>
          <w:spacing w:val="-13"/>
        </w:rPr>
        <w:t xml:space="preserve"> </w:t>
      </w:r>
      <w:r>
        <w:t>the</w:t>
      </w:r>
      <w:r>
        <w:rPr>
          <w:spacing w:val="-11"/>
        </w:rPr>
        <w:t xml:space="preserve"> </w:t>
      </w:r>
      <w:r>
        <w:t>task</w:t>
      </w:r>
      <w:r>
        <w:rPr>
          <w:spacing w:val="-10"/>
        </w:rPr>
        <w:t xml:space="preserve"> </w:t>
      </w:r>
      <w:r>
        <w:t>and</w:t>
      </w:r>
      <w:r>
        <w:rPr>
          <w:spacing w:val="-15"/>
        </w:rPr>
        <w:t xml:space="preserve"> </w:t>
      </w:r>
      <w:r>
        <w:t>hence</w:t>
      </w:r>
      <w:r>
        <w:rPr>
          <w:spacing w:val="-11"/>
        </w:rPr>
        <w:t xml:space="preserve"> </w:t>
      </w:r>
      <w:r>
        <w:t>individuals</w:t>
      </w:r>
      <w:r>
        <w:rPr>
          <w:spacing w:val="-12"/>
        </w:rPr>
        <w:t xml:space="preserve"> </w:t>
      </w:r>
      <w:r>
        <w:t>with</w:t>
      </w:r>
      <w:r>
        <w:rPr>
          <w:spacing w:val="-10"/>
        </w:rPr>
        <w:t xml:space="preserve"> </w:t>
      </w:r>
      <w:r>
        <w:t>ASD</w:t>
      </w:r>
      <w:r>
        <w:rPr>
          <w:spacing w:val="-11"/>
        </w:rPr>
        <w:t xml:space="preserve"> </w:t>
      </w:r>
      <w:r>
        <w:t>who</w:t>
      </w:r>
      <w:r>
        <w:rPr>
          <w:spacing w:val="-10"/>
        </w:rPr>
        <w:t xml:space="preserve"> </w:t>
      </w:r>
      <w:r>
        <w:t>are</w:t>
      </w:r>
      <w:r>
        <w:rPr>
          <w:spacing w:val="-15"/>
        </w:rPr>
        <w:t xml:space="preserve"> </w:t>
      </w:r>
      <w:r>
        <w:t>less</w:t>
      </w:r>
      <w:r>
        <w:rPr>
          <w:spacing w:val="-12"/>
        </w:rPr>
        <w:t xml:space="preserve"> </w:t>
      </w:r>
      <w:r>
        <w:t>flexible</w:t>
      </w:r>
      <w:r>
        <w:rPr>
          <w:spacing w:val="-11"/>
        </w:rPr>
        <w:t xml:space="preserve"> </w:t>
      </w:r>
      <w:r>
        <w:t>to</w:t>
      </w:r>
      <w:r>
        <w:rPr>
          <w:spacing w:val="-11"/>
        </w:rPr>
        <w:t xml:space="preserve"> </w:t>
      </w:r>
      <w:r>
        <w:t>adjust</w:t>
      </w:r>
      <w:r>
        <w:rPr>
          <w:spacing w:val="-9"/>
        </w:rPr>
        <w:t xml:space="preserve"> </w:t>
      </w:r>
      <w:r>
        <w:t>to</w:t>
      </w:r>
      <w:r>
        <w:rPr>
          <w:spacing w:val="-14"/>
        </w:rPr>
        <w:t xml:space="preserve"> </w:t>
      </w:r>
      <w:r>
        <w:t>changing demands are more aware of what task to focus on and how to allocate their resources. This might resolve switching problems in A</w:t>
      </w:r>
      <w:r>
        <w:t xml:space="preserve">SD. This finding aligns with evidence from Henry et al.’s (2014) study that found better time-based PM related to better switching. Yet, Williams et al. (2013) had found no associations with cognitive flexibility and time-based PM in ASD, although Fisher </w:t>
      </w:r>
      <w:r>
        <w:rPr>
          <w:i/>
        </w:rPr>
        <w:t>z</w:t>
      </w:r>
      <w:r>
        <w:t>-tests indicate that the size of their correlation was not significantly different from the one found in this study (</w:t>
      </w:r>
      <w:r>
        <w:rPr>
          <w:i/>
        </w:rPr>
        <w:t xml:space="preserve">z </w:t>
      </w:r>
      <w:r>
        <w:t xml:space="preserve">= 1.08, </w:t>
      </w:r>
      <w:r>
        <w:rPr>
          <w:i/>
        </w:rPr>
        <w:t xml:space="preserve">p </w:t>
      </w:r>
      <w:r>
        <w:t xml:space="preserve">= .28). Another way in which the current results differed from Williams et al. (2013) and contrary </w:t>
      </w:r>
      <w:r>
        <w:rPr>
          <w:spacing w:val="-3"/>
        </w:rPr>
        <w:t xml:space="preserve">to </w:t>
      </w:r>
      <w:r>
        <w:t>what was predicted, mindr</w:t>
      </w:r>
      <w:r>
        <w:t>eading was not associated with changes in time-based PM performance. This finding is contrary to the predictions</w:t>
      </w:r>
      <w:r>
        <w:rPr>
          <w:spacing w:val="-11"/>
        </w:rPr>
        <w:t xml:space="preserve"> </w:t>
      </w:r>
      <w:r>
        <w:t>of</w:t>
      </w:r>
      <w:r>
        <w:rPr>
          <w:spacing w:val="-7"/>
        </w:rPr>
        <w:t xml:space="preserve"> </w:t>
      </w:r>
      <w:r>
        <w:t>the</w:t>
      </w:r>
      <w:r>
        <w:rPr>
          <w:spacing w:val="-10"/>
        </w:rPr>
        <w:t xml:space="preserve"> </w:t>
      </w:r>
      <w:r>
        <w:t>Triple</w:t>
      </w:r>
      <w:r>
        <w:rPr>
          <w:spacing w:val="-10"/>
        </w:rPr>
        <w:t xml:space="preserve"> </w:t>
      </w:r>
      <w:r>
        <w:t>I</w:t>
      </w:r>
      <w:r>
        <w:rPr>
          <w:spacing w:val="-11"/>
        </w:rPr>
        <w:t xml:space="preserve"> </w:t>
      </w:r>
      <w:r>
        <w:t>hypothesis</w:t>
      </w:r>
      <w:r>
        <w:rPr>
          <w:spacing w:val="-11"/>
        </w:rPr>
        <w:t xml:space="preserve"> </w:t>
      </w:r>
      <w:r>
        <w:t>(White,</w:t>
      </w:r>
      <w:r>
        <w:rPr>
          <w:spacing w:val="-6"/>
        </w:rPr>
        <w:t xml:space="preserve"> </w:t>
      </w:r>
      <w:r>
        <w:t>2013)</w:t>
      </w:r>
      <w:r>
        <w:rPr>
          <w:spacing w:val="-12"/>
        </w:rPr>
        <w:t xml:space="preserve"> </w:t>
      </w:r>
      <w:r>
        <w:t>as</w:t>
      </w:r>
      <w:r>
        <w:rPr>
          <w:spacing w:val="-10"/>
        </w:rPr>
        <w:t xml:space="preserve"> </w:t>
      </w:r>
      <w:r>
        <w:t>mindreading</w:t>
      </w:r>
      <w:r>
        <w:rPr>
          <w:spacing w:val="-9"/>
        </w:rPr>
        <w:t xml:space="preserve"> </w:t>
      </w:r>
      <w:r>
        <w:t>ability</w:t>
      </w:r>
      <w:r>
        <w:rPr>
          <w:spacing w:val="-9"/>
        </w:rPr>
        <w:t xml:space="preserve"> </w:t>
      </w:r>
      <w:r>
        <w:t>did</w:t>
      </w:r>
      <w:r>
        <w:rPr>
          <w:spacing w:val="-9"/>
        </w:rPr>
        <w:t xml:space="preserve"> </w:t>
      </w:r>
      <w:r>
        <w:t>not</w:t>
      </w:r>
      <w:r>
        <w:rPr>
          <w:spacing w:val="-12"/>
        </w:rPr>
        <w:t xml:space="preserve"> </w:t>
      </w:r>
      <w:r>
        <w:t>relate</w:t>
      </w:r>
      <w:r>
        <w:rPr>
          <w:spacing w:val="-10"/>
        </w:rPr>
        <w:t xml:space="preserve"> </w:t>
      </w:r>
      <w:r>
        <w:t>to</w:t>
      </w:r>
      <w:r>
        <w:rPr>
          <w:spacing w:val="-9"/>
        </w:rPr>
        <w:t xml:space="preserve"> </w:t>
      </w:r>
      <w:r>
        <w:t>PM in</w:t>
      </w:r>
      <w:r>
        <w:rPr>
          <w:spacing w:val="-10"/>
        </w:rPr>
        <w:t xml:space="preserve"> </w:t>
      </w:r>
      <w:r>
        <w:t>ASD</w:t>
      </w:r>
      <w:r>
        <w:rPr>
          <w:spacing w:val="-10"/>
        </w:rPr>
        <w:t xml:space="preserve"> </w:t>
      </w:r>
      <w:r>
        <w:t>or</w:t>
      </w:r>
      <w:r>
        <w:rPr>
          <w:spacing w:val="-13"/>
        </w:rPr>
        <w:t xml:space="preserve"> </w:t>
      </w:r>
      <w:r>
        <w:t>increase</w:t>
      </w:r>
      <w:r>
        <w:rPr>
          <w:spacing w:val="-11"/>
        </w:rPr>
        <w:t xml:space="preserve"> </w:t>
      </w:r>
      <w:r>
        <w:t>in</w:t>
      </w:r>
      <w:r>
        <w:rPr>
          <w:spacing w:val="-10"/>
        </w:rPr>
        <w:t xml:space="preserve"> </w:t>
      </w:r>
      <w:r>
        <w:t>PM</w:t>
      </w:r>
      <w:r>
        <w:rPr>
          <w:spacing w:val="-12"/>
        </w:rPr>
        <w:t xml:space="preserve"> </w:t>
      </w:r>
      <w:r>
        <w:t>performance</w:t>
      </w:r>
      <w:r>
        <w:rPr>
          <w:spacing w:val="-11"/>
        </w:rPr>
        <w:t xml:space="preserve"> </w:t>
      </w:r>
      <w:r>
        <w:t>whereas</w:t>
      </w:r>
      <w:r>
        <w:rPr>
          <w:spacing w:val="-12"/>
        </w:rPr>
        <w:t xml:space="preserve"> </w:t>
      </w:r>
      <w:r>
        <w:t>executive</w:t>
      </w:r>
      <w:r>
        <w:rPr>
          <w:spacing w:val="-11"/>
        </w:rPr>
        <w:t xml:space="preserve"> </w:t>
      </w:r>
      <w:r>
        <w:t>function</w:t>
      </w:r>
      <w:r>
        <w:rPr>
          <w:spacing w:val="-9"/>
        </w:rPr>
        <w:t xml:space="preserve"> </w:t>
      </w:r>
      <w:r>
        <w:t>problems</w:t>
      </w:r>
      <w:r>
        <w:rPr>
          <w:spacing w:val="-12"/>
        </w:rPr>
        <w:t xml:space="preserve"> </w:t>
      </w:r>
      <w:r>
        <w:t>did.</w:t>
      </w:r>
      <w:r>
        <w:rPr>
          <w:spacing w:val="39"/>
        </w:rPr>
        <w:t xml:space="preserve"> </w:t>
      </w:r>
      <w:r>
        <w:t>Importantly, the</w:t>
      </w:r>
      <w:r>
        <w:rPr>
          <w:spacing w:val="-15"/>
        </w:rPr>
        <w:t xml:space="preserve"> </w:t>
      </w:r>
      <w:r>
        <w:t>ASD</w:t>
      </w:r>
      <w:r>
        <w:rPr>
          <w:spacing w:val="-15"/>
        </w:rPr>
        <w:t xml:space="preserve"> </w:t>
      </w:r>
      <w:r>
        <w:t>group</w:t>
      </w:r>
      <w:r>
        <w:rPr>
          <w:spacing w:val="-14"/>
        </w:rPr>
        <w:t xml:space="preserve"> </w:t>
      </w:r>
      <w:r>
        <w:t>did</w:t>
      </w:r>
      <w:r>
        <w:rPr>
          <w:spacing w:val="-19"/>
        </w:rPr>
        <w:t xml:space="preserve"> </w:t>
      </w:r>
      <w:r>
        <w:t>not</w:t>
      </w:r>
      <w:r>
        <w:rPr>
          <w:spacing w:val="-13"/>
        </w:rPr>
        <w:t xml:space="preserve"> </w:t>
      </w:r>
      <w:r>
        <w:t>show</w:t>
      </w:r>
      <w:r>
        <w:rPr>
          <w:spacing w:val="-15"/>
        </w:rPr>
        <w:t xml:space="preserve"> </w:t>
      </w:r>
      <w:r>
        <w:t>reduced</w:t>
      </w:r>
      <w:r>
        <w:rPr>
          <w:spacing w:val="-14"/>
        </w:rPr>
        <w:t xml:space="preserve"> </w:t>
      </w:r>
      <w:r>
        <w:t>mindreading</w:t>
      </w:r>
      <w:r>
        <w:rPr>
          <w:spacing w:val="-14"/>
        </w:rPr>
        <w:t xml:space="preserve"> </w:t>
      </w:r>
      <w:r>
        <w:t>ability</w:t>
      </w:r>
      <w:r>
        <w:rPr>
          <w:spacing w:val="-14"/>
        </w:rPr>
        <w:t xml:space="preserve"> </w:t>
      </w:r>
      <w:r>
        <w:t>in</w:t>
      </w:r>
      <w:r>
        <w:rPr>
          <w:spacing w:val="-14"/>
        </w:rPr>
        <w:t xml:space="preserve"> </w:t>
      </w:r>
      <w:r>
        <w:t>the</w:t>
      </w:r>
      <w:r>
        <w:rPr>
          <w:spacing w:val="-19"/>
        </w:rPr>
        <w:t xml:space="preserve"> </w:t>
      </w:r>
      <w:r>
        <w:t>Animations</w:t>
      </w:r>
      <w:r>
        <w:rPr>
          <w:spacing w:val="-17"/>
        </w:rPr>
        <w:t xml:space="preserve"> </w:t>
      </w:r>
      <w:r>
        <w:t>task.</w:t>
      </w:r>
      <w:r>
        <w:rPr>
          <w:spacing w:val="30"/>
        </w:rPr>
        <w:t xml:space="preserve"> </w:t>
      </w:r>
      <w:r>
        <w:t>This</w:t>
      </w:r>
      <w:r>
        <w:rPr>
          <w:spacing w:val="-17"/>
        </w:rPr>
        <w:t xml:space="preserve"> </w:t>
      </w:r>
      <w:r>
        <w:t>suggests a dissociation between mindreading (which was not impaired in the current sample) and time- based PM (which was impaired in the current sample), implying that mindreading deficits are not what drives time-based PM impairment in adults with</w:t>
      </w:r>
      <w:r>
        <w:rPr>
          <w:spacing w:val="7"/>
        </w:rPr>
        <w:t xml:space="preserve"> </w:t>
      </w:r>
      <w:r>
        <w:t>ASD.</w:t>
      </w:r>
    </w:p>
    <w:p w14:paraId="00E0E874" w14:textId="77777777" w:rsidR="00C75312" w:rsidRDefault="00BB293A">
      <w:pPr>
        <w:pStyle w:val="BodyText"/>
        <w:spacing w:before="121" w:line="480" w:lineRule="auto"/>
        <w:ind w:left="140" w:right="1434" w:firstLine="720"/>
        <w:jc w:val="both"/>
      </w:pPr>
      <w:r>
        <w:t>These findings on associations with cognitive flexibility and mindreading are directly opposite</w:t>
      </w:r>
      <w:r>
        <w:rPr>
          <w:spacing w:val="-6"/>
        </w:rPr>
        <w:t xml:space="preserve"> </w:t>
      </w:r>
      <w:r>
        <w:t>to</w:t>
      </w:r>
      <w:r>
        <w:rPr>
          <w:spacing w:val="-4"/>
        </w:rPr>
        <w:t xml:space="preserve"> </w:t>
      </w:r>
      <w:r>
        <w:t>the</w:t>
      </w:r>
      <w:r>
        <w:rPr>
          <w:spacing w:val="-10"/>
        </w:rPr>
        <w:t xml:space="preserve"> </w:t>
      </w:r>
      <w:r>
        <w:t>correlations</w:t>
      </w:r>
      <w:r>
        <w:rPr>
          <w:spacing w:val="-11"/>
        </w:rPr>
        <w:t xml:space="preserve"> </w:t>
      </w:r>
      <w:r>
        <w:t>found</w:t>
      </w:r>
      <w:r>
        <w:rPr>
          <w:spacing w:val="-10"/>
        </w:rPr>
        <w:t xml:space="preserve"> </w:t>
      </w:r>
      <w:r>
        <w:t>by</w:t>
      </w:r>
      <w:r>
        <w:rPr>
          <w:spacing w:val="-9"/>
        </w:rPr>
        <w:t xml:space="preserve"> </w:t>
      </w:r>
      <w:r>
        <w:t>Williams</w:t>
      </w:r>
      <w:r>
        <w:rPr>
          <w:spacing w:val="-6"/>
        </w:rPr>
        <w:t xml:space="preserve"> </w:t>
      </w:r>
      <w:r>
        <w:t>et</w:t>
      </w:r>
      <w:r>
        <w:rPr>
          <w:spacing w:val="-8"/>
        </w:rPr>
        <w:t xml:space="preserve"> </w:t>
      </w:r>
      <w:r>
        <w:t>al.</w:t>
      </w:r>
      <w:r>
        <w:rPr>
          <w:spacing w:val="-6"/>
        </w:rPr>
        <w:t xml:space="preserve"> </w:t>
      </w:r>
      <w:r>
        <w:t>(2013).</w:t>
      </w:r>
      <w:r>
        <w:rPr>
          <w:spacing w:val="45"/>
        </w:rPr>
        <w:t xml:space="preserve"> </w:t>
      </w:r>
      <w:r>
        <w:t>One</w:t>
      </w:r>
      <w:r>
        <w:rPr>
          <w:spacing w:val="-10"/>
        </w:rPr>
        <w:t xml:space="preserve"> </w:t>
      </w:r>
      <w:r>
        <w:t>major</w:t>
      </w:r>
      <w:r>
        <w:rPr>
          <w:spacing w:val="-7"/>
        </w:rPr>
        <w:t xml:space="preserve"> </w:t>
      </w:r>
      <w:r>
        <w:t>difference</w:t>
      </w:r>
      <w:r>
        <w:rPr>
          <w:spacing w:val="-6"/>
        </w:rPr>
        <w:t xml:space="preserve"> </w:t>
      </w:r>
      <w:r>
        <w:t>to</w:t>
      </w:r>
      <w:r>
        <w:rPr>
          <w:spacing w:val="-9"/>
        </w:rPr>
        <w:t xml:space="preserve"> </w:t>
      </w:r>
      <w:r>
        <w:t>Williams and colleagues’ study is that they studied time-based PM in children. It may be that mindreading</w:t>
      </w:r>
      <w:r>
        <w:rPr>
          <w:spacing w:val="34"/>
        </w:rPr>
        <w:t xml:space="preserve"> </w:t>
      </w:r>
      <w:r>
        <w:t>plays</w:t>
      </w:r>
      <w:r>
        <w:rPr>
          <w:spacing w:val="32"/>
        </w:rPr>
        <w:t xml:space="preserve"> </w:t>
      </w:r>
      <w:r>
        <w:t>a</w:t>
      </w:r>
      <w:r>
        <w:rPr>
          <w:spacing w:val="34"/>
        </w:rPr>
        <w:t xml:space="preserve"> </w:t>
      </w:r>
      <w:r>
        <w:t>role</w:t>
      </w:r>
      <w:r>
        <w:rPr>
          <w:spacing w:val="34"/>
        </w:rPr>
        <w:t xml:space="preserve"> </w:t>
      </w:r>
      <w:r>
        <w:t>alongside</w:t>
      </w:r>
      <w:r>
        <w:rPr>
          <w:spacing w:val="34"/>
        </w:rPr>
        <w:t xml:space="preserve"> </w:t>
      </w:r>
      <w:r>
        <w:t>executive</w:t>
      </w:r>
      <w:r>
        <w:rPr>
          <w:spacing w:val="34"/>
        </w:rPr>
        <w:t xml:space="preserve"> </w:t>
      </w:r>
      <w:r>
        <w:t>functions</w:t>
      </w:r>
      <w:r>
        <w:rPr>
          <w:spacing w:val="32"/>
        </w:rPr>
        <w:t xml:space="preserve"> </w:t>
      </w:r>
      <w:r>
        <w:t>during</w:t>
      </w:r>
      <w:r>
        <w:rPr>
          <w:spacing w:val="35"/>
        </w:rPr>
        <w:t xml:space="preserve"> </w:t>
      </w:r>
      <w:r>
        <w:t>PM</w:t>
      </w:r>
      <w:r>
        <w:rPr>
          <w:spacing w:val="32"/>
        </w:rPr>
        <w:t xml:space="preserve"> </w:t>
      </w:r>
      <w:r>
        <w:t>development</w:t>
      </w:r>
      <w:r>
        <w:rPr>
          <w:spacing w:val="35"/>
        </w:rPr>
        <w:t xml:space="preserve"> </w:t>
      </w:r>
      <w:r>
        <w:t>given</w:t>
      </w:r>
      <w:r>
        <w:rPr>
          <w:spacing w:val="35"/>
        </w:rPr>
        <w:t xml:space="preserve"> </w:t>
      </w:r>
      <w:r>
        <w:t>the</w:t>
      </w:r>
    </w:p>
    <w:p w14:paraId="4F425FB7" w14:textId="77777777" w:rsidR="00C75312" w:rsidRDefault="00C75312">
      <w:pPr>
        <w:spacing w:line="480" w:lineRule="auto"/>
        <w:jc w:val="both"/>
        <w:sectPr w:rsidR="00C75312">
          <w:pgSz w:w="11900" w:h="16840"/>
          <w:pgMar w:top="1140" w:right="0" w:bottom="280" w:left="1300" w:header="720" w:footer="0" w:gutter="0"/>
          <w:cols w:space="720"/>
        </w:sectPr>
      </w:pPr>
    </w:p>
    <w:p w14:paraId="405EC473" w14:textId="77777777" w:rsidR="00C75312" w:rsidRDefault="00BB293A">
      <w:pPr>
        <w:pStyle w:val="BodyText"/>
        <w:spacing w:before="107" w:line="480" w:lineRule="auto"/>
        <w:ind w:left="140" w:right="1434"/>
        <w:jc w:val="both"/>
      </w:pPr>
      <w:r>
        <w:lastRenderedPageBreak/>
        <w:t>overlapping brain network involving prospection and mindreading (Buckner &amp; Carroll, 2007; Spreng &amp; Grady, 2009) but loses relevance in later life. A recent study has found both cognitive flexibility and mindreading predicting event-based PM in adolescents but not adults (</w:t>
      </w:r>
      <w:proofErr w:type="spellStart"/>
      <w:r>
        <w:t>Altgassen</w:t>
      </w:r>
      <w:proofErr w:type="spellEnd"/>
      <w:r>
        <w:t>, Vetter, et al., 2014), which may provide tentative support for this claim.</w:t>
      </w:r>
    </w:p>
    <w:p w14:paraId="0EA35456" w14:textId="77777777" w:rsidR="00C75312" w:rsidRDefault="00BB293A">
      <w:pPr>
        <w:pStyle w:val="Heading1"/>
        <w:spacing w:before="120"/>
        <w:jc w:val="both"/>
      </w:pPr>
      <w:r>
        <w:t>Conclusion and future directions</w:t>
      </w:r>
    </w:p>
    <w:p w14:paraId="2AE71194" w14:textId="77777777" w:rsidR="00C75312" w:rsidRDefault="00C75312">
      <w:pPr>
        <w:pStyle w:val="BodyText"/>
        <w:rPr>
          <w:b/>
        </w:rPr>
      </w:pPr>
    </w:p>
    <w:p w14:paraId="7D9A264A" w14:textId="77777777" w:rsidR="00C75312" w:rsidRDefault="00BB293A">
      <w:pPr>
        <w:pStyle w:val="BodyText"/>
        <w:spacing w:line="480" w:lineRule="auto"/>
        <w:ind w:left="140" w:right="1434" w:firstLine="720"/>
        <w:jc w:val="both"/>
      </w:pPr>
      <w:r>
        <w:t>Altogether,</w:t>
      </w:r>
      <w:r>
        <w:rPr>
          <w:spacing w:val="-3"/>
        </w:rPr>
        <w:t xml:space="preserve"> </w:t>
      </w:r>
      <w:r>
        <w:t>the</w:t>
      </w:r>
      <w:r>
        <w:rPr>
          <w:spacing w:val="-6"/>
        </w:rPr>
        <w:t xml:space="preserve"> </w:t>
      </w:r>
      <w:r>
        <w:t>results</w:t>
      </w:r>
      <w:r>
        <w:rPr>
          <w:spacing w:val="-7"/>
        </w:rPr>
        <w:t xml:space="preserve"> </w:t>
      </w:r>
      <w:r>
        <w:t>of</w:t>
      </w:r>
      <w:r>
        <w:rPr>
          <w:spacing w:val="-3"/>
        </w:rPr>
        <w:t xml:space="preserve"> </w:t>
      </w:r>
      <w:r>
        <w:t>this</w:t>
      </w:r>
      <w:r>
        <w:rPr>
          <w:spacing w:val="-7"/>
        </w:rPr>
        <w:t xml:space="preserve"> </w:t>
      </w:r>
      <w:r>
        <w:t>study</w:t>
      </w:r>
      <w:r>
        <w:rPr>
          <w:spacing w:val="-5"/>
        </w:rPr>
        <w:t xml:space="preserve"> </w:t>
      </w:r>
      <w:r>
        <w:t>provide</w:t>
      </w:r>
      <w:r>
        <w:rPr>
          <w:spacing w:val="-7"/>
        </w:rPr>
        <w:t xml:space="preserve"> </w:t>
      </w:r>
      <w:r>
        <w:t>initial</w:t>
      </w:r>
      <w:r>
        <w:rPr>
          <w:spacing w:val="-9"/>
        </w:rPr>
        <w:t xml:space="preserve"> </w:t>
      </w:r>
      <w:r>
        <w:t>evidence</w:t>
      </w:r>
      <w:r>
        <w:rPr>
          <w:spacing w:val="-6"/>
        </w:rPr>
        <w:t xml:space="preserve"> </w:t>
      </w:r>
      <w:r>
        <w:t>that</w:t>
      </w:r>
      <w:r>
        <w:rPr>
          <w:spacing w:val="-4"/>
        </w:rPr>
        <w:t xml:space="preserve"> </w:t>
      </w:r>
      <w:r>
        <w:t>the</w:t>
      </w:r>
      <w:r>
        <w:rPr>
          <w:spacing w:val="-6"/>
        </w:rPr>
        <w:t xml:space="preserve"> </w:t>
      </w:r>
      <w:r>
        <w:t>explicit</w:t>
      </w:r>
      <w:r>
        <w:rPr>
          <w:spacing w:val="-4"/>
        </w:rPr>
        <w:t xml:space="preserve"> </w:t>
      </w:r>
      <w:r>
        <w:t>instruction of the importance of a delayed intention plays a key role in time-based PM success in ASD, facilitated through executive and strategic monitoring processes. Future research should explore this finding in several ways. The current study found beneficial effects of explicit importance instruction under controlled laboratory conditions. However, a previous study (</w:t>
      </w:r>
      <w:proofErr w:type="spellStart"/>
      <w:r>
        <w:t>Altgassen</w:t>
      </w:r>
      <w:proofErr w:type="spellEnd"/>
      <w:r>
        <w:t xml:space="preserve"> et al., 2012) found strong PM impairments during a naturalistic breakfast preparation task. Thus, it is crucial to further inve</w:t>
      </w:r>
      <w:r>
        <w:t>stigate whether the effect of importance instructions</w:t>
      </w:r>
      <w:r>
        <w:rPr>
          <w:spacing w:val="-8"/>
        </w:rPr>
        <w:t xml:space="preserve"> </w:t>
      </w:r>
      <w:r>
        <w:t>equally</w:t>
      </w:r>
      <w:r>
        <w:rPr>
          <w:spacing w:val="-6"/>
        </w:rPr>
        <w:t xml:space="preserve"> </w:t>
      </w:r>
      <w:r>
        <w:t>applies</w:t>
      </w:r>
      <w:r>
        <w:rPr>
          <w:spacing w:val="-8"/>
        </w:rPr>
        <w:t xml:space="preserve"> </w:t>
      </w:r>
      <w:r>
        <w:t>under</w:t>
      </w:r>
      <w:r>
        <w:rPr>
          <w:spacing w:val="-4"/>
        </w:rPr>
        <w:t xml:space="preserve"> </w:t>
      </w:r>
      <w:r>
        <w:t>real-life/naturalistic</w:t>
      </w:r>
      <w:r>
        <w:rPr>
          <w:spacing w:val="-7"/>
        </w:rPr>
        <w:t xml:space="preserve"> </w:t>
      </w:r>
      <w:r>
        <w:t>task</w:t>
      </w:r>
      <w:r>
        <w:rPr>
          <w:spacing w:val="-6"/>
        </w:rPr>
        <w:t xml:space="preserve"> </w:t>
      </w:r>
      <w:r>
        <w:t>demands</w:t>
      </w:r>
      <w:r>
        <w:rPr>
          <w:spacing w:val="-8"/>
        </w:rPr>
        <w:t xml:space="preserve"> </w:t>
      </w:r>
      <w:r>
        <w:t>in</w:t>
      </w:r>
      <w:r>
        <w:rPr>
          <w:spacing w:val="-5"/>
        </w:rPr>
        <w:t xml:space="preserve"> </w:t>
      </w:r>
      <w:r>
        <w:t>ASD</w:t>
      </w:r>
      <w:r>
        <w:rPr>
          <w:spacing w:val="-6"/>
        </w:rPr>
        <w:t xml:space="preserve"> </w:t>
      </w:r>
      <w:r>
        <w:t>when</w:t>
      </w:r>
      <w:r>
        <w:rPr>
          <w:spacing w:val="-6"/>
        </w:rPr>
        <w:t xml:space="preserve"> </w:t>
      </w:r>
      <w:r>
        <w:t>time</w:t>
      </w:r>
      <w:r>
        <w:rPr>
          <w:spacing w:val="-12"/>
        </w:rPr>
        <w:t xml:space="preserve"> </w:t>
      </w:r>
      <w:r>
        <w:t>delays and</w:t>
      </w:r>
      <w:r>
        <w:rPr>
          <w:spacing w:val="-15"/>
        </w:rPr>
        <w:t xml:space="preserve"> </w:t>
      </w:r>
      <w:r>
        <w:t>situational</w:t>
      </w:r>
      <w:r>
        <w:rPr>
          <w:spacing w:val="-15"/>
        </w:rPr>
        <w:t xml:space="preserve"> </w:t>
      </w:r>
      <w:r>
        <w:t>demands</w:t>
      </w:r>
      <w:r>
        <w:rPr>
          <w:spacing w:val="-18"/>
        </w:rPr>
        <w:t xml:space="preserve"> </w:t>
      </w:r>
      <w:r>
        <w:t>are</w:t>
      </w:r>
      <w:r>
        <w:rPr>
          <w:spacing w:val="-16"/>
        </w:rPr>
        <w:t xml:space="preserve"> </w:t>
      </w:r>
      <w:r>
        <w:t>more</w:t>
      </w:r>
      <w:r>
        <w:rPr>
          <w:spacing w:val="-20"/>
        </w:rPr>
        <w:t xml:space="preserve"> </w:t>
      </w:r>
      <w:r>
        <w:t>complex.</w:t>
      </w:r>
      <w:r>
        <w:rPr>
          <w:spacing w:val="32"/>
        </w:rPr>
        <w:t xml:space="preserve"> </w:t>
      </w:r>
      <w:r>
        <w:t>If</w:t>
      </w:r>
      <w:r>
        <w:rPr>
          <w:spacing w:val="-14"/>
        </w:rPr>
        <w:t xml:space="preserve"> </w:t>
      </w:r>
      <w:r>
        <w:t>such</w:t>
      </w:r>
      <w:r>
        <w:rPr>
          <w:spacing w:val="-19"/>
        </w:rPr>
        <w:t xml:space="preserve"> </w:t>
      </w:r>
      <w:r>
        <w:t>a</w:t>
      </w:r>
      <w:r>
        <w:rPr>
          <w:spacing w:val="-16"/>
        </w:rPr>
        <w:t xml:space="preserve"> </w:t>
      </w:r>
      <w:r>
        <w:t>study</w:t>
      </w:r>
      <w:r>
        <w:rPr>
          <w:spacing w:val="-15"/>
        </w:rPr>
        <w:t xml:space="preserve"> </w:t>
      </w:r>
      <w:r>
        <w:t>would</w:t>
      </w:r>
      <w:r>
        <w:rPr>
          <w:spacing w:val="-15"/>
        </w:rPr>
        <w:t xml:space="preserve"> </w:t>
      </w:r>
      <w:r>
        <w:t>find</w:t>
      </w:r>
      <w:r>
        <w:rPr>
          <w:spacing w:val="-14"/>
        </w:rPr>
        <w:t xml:space="preserve"> </w:t>
      </w:r>
      <w:r>
        <w:t>similar</w:t>
      </w:r>
      <w:r>
        <w:rPr>
          <w:spacing w:val="-19"/>
        </w:rPr>
        <w:t xml:space="preserve"> </w:t>
      </w:r>
      <w:r>
        <w:t>beneficial</w:t>
      </w:r>
      <w:r>
        <w:rPr>
          <w:spacing w:val="-15"/>
        </w:rPr>
        <w:t xml:space="preserve"> </w:t>
      </w:r>
      <w:r>
        <w:t xml:space="preserve">effects to this study, the usage of explicit importance instruction as a minimal intervention strategy could prove very useful to employers, families, </w:t>
      </w:r>
      <w:r>
        <w:rPr>
          <w:spacing w:val="-3"/>
        </w:rPr>
        <w:t xml:space="preserve">or </w:t>
      </w:r>
      <w:r>
        <w:t>care takers to facilitate a higher level of independent functioning in both adults and children with</w:t>
      </w:r>
      <w:r>
        <w:rPr>
          <w:spacing w:val="1"/>
        </w:rPr>
        <w:t xml:space="preserve"> </w:t>
      </w:r>
      <w:r>
        <w:t>ASD.</w:t>
      </w:r>
    </w:p>
    <w:p w14:paraId="1DBBE8AF" w14:textId="77777777" w:rsidR="00C75312" w:rsidRDefault="00BB293A">
      <w:pPr>
        <w:pStyle w:val="BodyText"/>
        <w:spacing w:before="121" w:line="480" w:lineRule="auto"/>
        <w:ind w:left="140" w:right="1433" w:firstLine="720"/>
        <w:jc w:val="both"/>
      </w:pPr>
      <w:r>
        <w:t xml:space="preserve">Furthermore, </w:t>
      </w:r>
      <w:r>
        <w:rPr>
          <w:spacing w:val="-3"/>
        </w:rPr>
        <w:t xml:space="preserve">it </w:t>
      </w:r>
      <w:r>
        <w:t>may be worth investigating the roles of social and personal importance of</w:t>
      </w:r>
      <w:r>
        <w:rPr>
          <w:spacing w:val="-8"/>
        </w:rPr>
        <w:t xml:space="preserve"> </w:t>
      </w:r>
      <w:r>
        <w:t>delayed</w:t>
      </w:r>
      <w:r>
        <w:rPr>
          <w:spacing w:val="-9"/>
        </w:rPr>
        <w:t xml:space="preserve"> </w:t>
      </w:r>
      <w:r>
        <w:t>intentions</w:t>
      </w:r>
      <w:r>
        <w:rPr>
          <w:spacing w:val="-12"/>
        </w:rPr>
        <w:t xml:space="preserve"> </w:t>
      </w:r>
      <w:r>
        <w:t>in</w:t>
      </w:r>
      <w:r>
        <w:rPr>
          <w:spacing w:val="-13"/>
        </w:rPr>
        <w:t xml:space="preserve"> </w:t>
      </w:r>
      <w:r>
        <w:t>ASD.</w:t>
      </w:r>
      <w:r>
        <w:rPr>
          <w:spacing w:val="40"/>
        </w:rPr>
        <w:t xml:space="preserve"> </w:t>
      </w:r>
      <w:r>
        <w:t>It</w:t>
      </w:r>
      <w:r>
        <w:rPr>
          <w:spacing w:val="-13"/>
        </w:rPr>
        <w:t xml:space="preserve"> </w:t>
      </w:r>
      <w:r>
        <w:t>would</w:t>
      </w:r>
      <w:r>
        <w:rPr>
          <w:spacing w:val="-9"/>
        </w:rPr>
        <w:t xml:space="preserve"> </w:t>
      </w:r>
      <w:r>
        <w:t>be</w:t>
      </w:r>
      <w:r>
        <w:rPr>
          <w:spacing w:val="-15"/>
        </w:rPr>
        <w:t xml:space="preserve"> </w:t>
      </w:r>
      <w:r>
        <w:t>interesting</w:t>
      </w:r>
      <w:r>
        <w:rPr>
          <w:spacing w:val="-9"/>
        </w:rPr>
        <w:t xml:space="preserve"> </w:t>
      </w:r>
      <w:r>
        <w:t>to</w:t>
      </w:r>
      <w:r>
        <w:rPr>
          <w:spacing w:val="-9"/>
        </w:rPr>
        <w:t xml:space="preserve"> </w:t>
      </w:r>
      <w:r>
        <w:t>explore</w:t>
      </w:r>
      <w:r>
        <w:rPr>
          <w:spacing w:val="-11"/>
        </w:rPr>
        <w:t xml:space="preserve"> </w:t>
      </w:r>
      <w:r>
        <w:t>whether</w:t>
      </w:r>
      <w:r>
        <w:rPr>
          <w:spacing w:val="-7"/>
        </w:rPr>
        <w:t xml:space="preserve"> </w:t>
      </w:r>
      <w:r>
        <w:t>individuals</w:t>
      </w:r>
      <w:r>
        <w:rPr>
          <w:spacing w:val="-11"/>
        </w:rPr>
        <w:t xml:space="preserve"> </w:t>
      </w:r>
      <w:r>
        <w:t>with</w:t>
      </w:r>
      <w:r>
        <w:rPr>
          <w:spacing w:val="-14"/>
        </w:rPr>
        <w:t xml:space="preserve"> </w:t>
      </w:r>
      <w:r>
        <w:t>ASD respond to manipulations of social importance despite their social-communicative and mindreading problems and other evidence that reports reduced responsiveness to social rewards</w:t>
      </w:r>
      <w:r>
        <w:rPr>
          <w:spacing w:val="-11"/>
        </w:rPr>
        <w:t xml:space="preserve"> </w:t>
      </w:r>
      <w:r>
        <w:t>(Delmonte</w:t>
      </w:r>
      <w:r>
        <w:rPr>
          <w:spacing w:val="-10"/>
        </w:rPr>
        <w:t xml:space="preserve"> </w:t>
      </w:r>
      <w:r>
        <w:t>et</w:t>
      </w:r>
      <w:r>
        <w:rPr>
          <w:spacing w:val="-8"/>
        </w:rPr>
        <w:t xml:space="preserve"> </w:t>
      </w:r>
      <w:r>
        <w:t>al.,</w:t>
      </w:r>
      <w:r>
        <w:rPr>
          <w:spacing w:val="-6"/>
        </w:rPr>
        <w:t xml:space="preserve"> </w:t>
      </w:r>
      <w:r>
        <w:t>2012;</w:t>
      </w:r>
      <w:r>
        <w:rPr>
          <w:spacing w:val="-8"/>
        </w:rPr>
        <w:t xml:space="preserve"> </w:t>
      </w:r>
      <w:r>
        <w:t>Stavropoulos</w:t>
      </w:r>
      <w:r>
        <w:rPr>
          <w:spacing w:val="-10"/>
        </w:rPr>
        <w:t xml:space="preserve"> </w:t>
      </w:r>
      <w:r>
        <w:t>&amp;</w:t>
      </w:r>
      <w:r>
        <w:rPr>
          <w:spacing w:val="-8"/>
        </w:rPr>
        <w:t xml:space="preserve"> </w:t>
      </w:r>
      <w:r>
        <w:t>Carver,</w:t>
      </w:r>
      <w:r>
        <w:rPr>
          <w:spacing w:val="-6"/>
        </w:rPr>
        <w:t xml:space="preserve"> </w:t>
      </w:r>
      <w:r>
        <w:t>2014).</w:t>
      </w:r>
      <w:r>
        <w:rPr>
          <w:spacing w:val="41"/>
        </w:rPr>
        <w:t xml:space="preserve"> </w:t>
      </w:r>
      <w:r>
        <w:t>Equally,</w:t>
      </w:r>
      <w:r>
        <w:rPr>
          <w:spacing w:val="-6"/>
        </w:rPr>
        <w:t xml:space="preserve"> </w:t>
      </w:r>
      <w:r>
        <w:t>it</w:t>
      </w:r>
      <w:r>
        <w:rPr>
          <w:spacing w:val="-8"/>
        </w:rPr>
        <w:t xml:space="preserve"> </w:t>
      </w:r>
      <w:r>
        <w:t>would</w:t>
      </w:r>
      <w:r>
        <w:rPr>
          <w:spacing w:val="-12"/>
        </w:rPr>
        <w:t xml:space="preserve"> </w:t>
      </w:r>
      <w:r>
        <w:t>be</w:t>
      </w:r>
      <w:r>
        <w:rPr>
          <w:spacing w:val="-10"/>
        </w:rPr>
        <w:t xml:space="preserve"> </w:t>
      </w:r>
      <w:r>
        <w:t>important to explore whether fulfilling self-generated compared to other-generated (family, work colleague, experimenter) intentions differs in ASD, as well as how self-rated (personal) importance</w:t>
      </w:r>
      <w:r>
        <w:rPr>
          <w:spacing w:val="-8"/>
        </w:rPr>
        <w:t xml:space="preserve"> </w:t>
      </w:r>
      <w:r>
        <w:t>of</w:t>
      </w:r>
      <w:r>
        <w:rPr>
          <w:spacing w:val="-13"/>
        </w:rPr>
        <w:t xml:space="preserve"> </w:t>
      </w:r>
      <w:r>
        <w:t>intentions</w:t>
      </w:r>
      <w:r>
        <w:rPr>
          <w:spacing w:val="-13"/>
        </w:rPr>
        <w:t xml:space="preserve"> </w:t>
      </w:r>
      <w:r>
        <w:t>(Ihle,</w:t>
      </w:r>
      <w:r>
        <w:rPr>
          <w:spacing w:val="-13"/>
        </w:rPr>
        <w:t xml:space="preserve"> </w:t>
      </w:r>
      <w:proofErr w:type="spellStart"/>
      <w:r>
        <w:t>Schnitzspahn</w:t>
      </w:r>
      <w:proofErr w:type="spellEnd"/>
      <w:r>
        <w:t>,</w:t>
      </w:r>
      <w:r>
        <w:rPr>
          <w:spacing w:val="-3"/>
        </w:rPr>
        <w:t xml:space="preserve"> </w:t>
      </w:r>
      <w:r>
        <w:t>Rendell,</w:t>
      </w:r>
      <w:r>
        <w:rPr>
          <w:spacing w:val="-8"/>
        </w:rPr>
        <w:t xml:space="preserve"> </w:t>
      </w:r>
      <w:r>
        <w:t>Luong,</w:t>
      </w:r>
      <w:r>
        <w:rPr>
          <w:spacing w:val="-8"/>
        </w:rPr>
        <w:t xml:space="preserve"> </w:t>
      </w:r>
      <w:r>
        <w:t>&amp;</w:t>
      </w:r>
      <w:r>
        <w:rPr>
          <w:spacing w:val="-10"/>
        </w:rPr>
        <w:t xml:space="preserve"> </w:t>
      </w:r>
      <w:proofErr w:type="spellStart"/>
      <w:r>
        <w:t>Kliegel</w:t>
      </w:r>
      <w:proofErr w:type="spellEnd"/>
      <w:r>
        <w:t>,</w:t>
      </w:r>
      <w:r>
        <w:rPr>
          <w:spacing w:val="-8"/>
        </w:rPr>
        <w:t xml:space="preserve"> </w:t>
      </w:r>
      <w:r>
        <w:t>2012;</w:t>
      </w:r>
      <w:r>
        <w:rPr>
          <w:spacing w:val="-10"/>
        </w:rPr>
        <w:t xml:space="preserve"> </w:t>
      </w:r>
      <w:proofErr w:type="spellStart"/>
      <w:r>
        <w:t>Niedźwieńska</w:t>
      </w:r>
      <w:proofErr w:type="spellEnd"/>
      <w:r>
        <w:t>, Janik,</w:t>
      </w:r>
      <w:r>
        <w:rPr>
          <w:spacing w:val="45"/>
        </w:rPr>
        <w:t xml:space="preserve"> </w:t>
      </w:r>
      <w:r>
        <w:t>&amp;</w:t>
      </w:r>
      <w:r>
        <w:rPr>
          <w:spacing w:val="44"/>
        </w:rPr>
        <w:t xml:space="preserve"> </w:t>
      </w:r>
      <w:proofErr w:type="spellStart"/>
      <w:r>
        <w:t>Jarczyńska</w:t>
      </w:r>
      <w:proofErr w:type="spellEnd"/>
      <w:r>
        <w:t>,</w:t>
      </w:r>
      <w:r>
        <w:rPr>
          <w:spacing w:val="46"/>
        </w:rPr>
        <w:t xml:space="preserve"> </w:t>
      </w:r>
      <w:r>
        <w:t>2013)</w:t>
      </w:r>
      <w:r>
        <w:rPr>
          <w:spacing w:val="44"/>
        </w:rPr>
        <w:t xml:space="preserve"> </w:t>
      </w:r>
      <w:r>
        <w:t>affects</w:t>
      </w:r>
      <w:r>
        <w:rPr>
          <w:spacing w:val="41"/>
        </w:rPr>
        <w:t xml:space="preserve"> </w:t>
      </w:r>
      <w:r>
        <w:t>PM</w:t>
      </w:r>
      <w:r>
        <w:rPr>
          <w:spacing w:val="41"/>
        </w:rPr>
        <w:t xml:space="preserve"> </w:t>
      </w:r>
      <w:r>
        <w:t>performance.</w:t>
      </w:r>
      <w:r>
        <w:rPr>
          <w:spacing w:val="28"/>
        </w:rPr>
        <w:t xml:space="preserve"> </w:t>
      </w:r>
      <w:r>
        <w:t>Exploration</w:t>
      </w:r>
      <w:r>
        <w:rPr>
          <w:spacing w:val="43"/>
        </w:rPr>
        <w:t xml:space="preserve"> </w:t>
      </w:r>
      <w:r>
        <w:t>of</w:t>
      </w:r>
      <w:r>
        <w:rPr>
          <w:spacing w:val="45"/>
        </w:rPr>
        <w:t xml:space="preserve"> </w:t>
      </w:r>
      <w:r>
        <w:t>these</w:t>
      </w:r>
      <w:r>
        <w:rPr>
          <w:spacing w:val="41"/>
        </w:rPr>
        <w:t xml:space="preserve"> </w:t>
      </w:r>
      <w:r>
        <w:t>factors</w:t>
      </w:r>
      <w:r>
        <w:rPr>
          <w:spacing w:val="41"/>
        </w:rPr>
        <w:t xml:space="preserve"> </w:t>
      </w:r>
      <w:r>
        <w:t>would</w:t>
      </w:r>
    </w:p>
    <w:p w14:paraId="4CDA4888" w14:textId="77777777" w:rsidR="00C75312" w:rsidRDefault="00C75312">
      <w:pPr>
        <w:spacing w:line="480" w:lineRule="auto"/>
        <w:jc w:val="both"/>
        <w:sectPr w:rsidR="00C75312">
          <w:pgSz w:w="11900" w:h="16840"/>
          <w:pgMar w:top="1140" w:right="0" w:bottom="280" w:left="1300" w:header="720" w:footer="0" w:gutter="0"/>
          <w:cols w:space="720"/>
        </w:sectPr>
      </w:pPr>
    </w:p>
    <w:p w14:paraId="6D1D63C4" w14:textId="77777777" w:rsidR="00C75312" w:rsidRDefault="00BB293A">
      <w:pPr>
        <w:pStyle w:val="BodyText"/>
        <w:spacing w:before="107" w:line="480" w:lineRule="auto"/>
        <w:ind w:left="140" w:right="1538"/>
      </w:pPr>
      <w:r>
        <w:lastRenderedPageBreak/>
        <w:t>provide a greater insight into how to tailor task instructions for the needs of individuals with ASD.</w:t>
      </w:r>
    </w:p>
    <w:p w14:paraId="1B8958A8" w14:textId="77777777" w:rsidR="00C75312" w:rsidRDefault="00C75312">
      <w:pPr>
        <w:spacing w:line="480" w:lineRule="auto"/>
        <w:sectPr w:rsidR="00C75312">
          <w:pgSz w:w="11900" w:h="16840"/>
          <w:pgMar w:top="1140" w:right="0" w:bottom="280" w:left="1300" w:header="720" w:footer="0" w:gutter="0"/>
          <w:cols w:space="720"/>
        </w:sectPr>
      </w:pPr>
    </w:p>
    <w:p w14:paraId="7F1AE1A5" w14:textId="77777777" w:rsidR="00C75312" w:rsidRDefault="00C75312">
      <w:pPr>
        <w:pStyle w:val="BodyText"/>
        <w:rPr>
          <w:sz w:val="20"/>
        </w:rPr>
      </w:pPr>
    </w:p>
    <w:p w14:paraId="454F751F" w14:textId="77777777" w:rsidR="00C75312" w:rsidRDefault="00C75312">
      <w:pPr>
        <w:pStyle w:val="BodyText"/>
        <w:rPr>
          <w:sz w:val="19"/>
        </w:rPr>
      </w:pPr>
    </w:p>
    <w:p w14:paraId="144CFB9C" w14:textId="77777777" w:rsidR="00C75312" w:rsidRDefault="00BB293A">
      <w:pPr>
        <w:pStyle w:val="Heading1"/>
        <w:spacing w:before="90"/>
        <w:ind w:left="25" w:right="1319"/>
        <w:jc w:val="center"/>
      </w:pPr>
      <w:r>
        <w:t>CHAPTER 5</w:t>
      </w:r>
    </w:p>
    <w:p w14:paraId="685D3EE0" w14:textId="77777777" w:rsidR="00C75312" w:rsidRDefault="00C75312">
      <w:pPr>
        <w:pStyle w:val="BodyText"/>
        <w:rPr>
          <w:b/>
          <w:sz w:val="26"/>
        </w:rPr>
      </w:pPr>
    </w:p>
    <w:p w14:paraId="5C4201D9" w14:textId="77777777" w:rsidR="00C75312" w:rsidRDefault="00BB293A">
      <w:pPr>
        <w:spacing w:before="217" w:line="480" w:lineRule="auto"/>
        <w:ind w:left="157" w:right="1457"/>
        <w:jc w:val="center"/>
        <w:rPr>
          <w:b/>
          <w:sz w:val="24"/>
        </w:rPr>
      </w:pPr>
      <w:r>
        <w:rPr>
          <w:b/>
          <w:sz w:val="24"/>
        </w:rPr>
        <w:t>ASSESSING THE COGNITIVE COMPONENTS OF TIME- AND EVENT-BASED PROSPECTIVE MEMORY AMONG PEOPLE WITH AUTISM AND THE GENERAL POPULATION: RELATIONS WITH INTEROCEPTION, ALEXITHYMIA, AND AUTISM TRAITS</w:t>
      </w:r>
    </w:p>
    <w:p w14:paraId="6B4DBFF1" w14:textId="77777777" w:rsidR="00C75312" w:rsidRDefault="00C75312">
      <w:pPr>
        <w:pStyle w:val="BodyText"/>
        <w:spacing w:before="10"/>
        <w:rPr>
          <w:b/>
          <w:sz w:val="20"/>
        </w:rPr>
      </w:pPr>
    </w:p>
    <w:p w14:paraId="20C95FC9" w14:textId="77777777" w:rsidR="00C75312" w:rsidRDefault="00BB293A">
      <w:pPr>
        <w:pStyle w:val="Heading1"/>
        <w:spacing w:before="1"/>
        <w:ind w:left="25" w:right="1315"/>
        <w:jc w:val="center"/>
      </w:pPr>
      <w:bookmarkStart w:id="21" w:name="_TOC_250012"/>
      <w:bookmarkEnd w:id="21"/>
      <w:r>
        <w:t>Introduction</w:t>
      </w:r>
    </w:p>
    <w:p w14:paraId="686C76C3" w14:textId="77777777" w:rsidR="00C75312" w:rsidRDefault="00C75312">
      <w:pPr>
        <w:pStyle w:val="BodyText"/>
        <w:rPr>
          <w:b/>
        </w:rPr>
      </w:pPr>
    </w:p>
    <w:p w14:paraId="24150164" w14:textId="77777777" w:rsidR="00C75312" w:rsidRDefault="00BB293A">
      <w:pPr>
        <w:pStyle w:val="BodyText"/>
        <w:spacing w:line="480" w:lineRule="auto"/>
        <w:ind w:left="140" w:right="1428" w:firstLine="720"/>
        <w:jc w:val="both"/>
      </w:pPr>
      <w:r>
        <w:t>In the previous chapters, the nature of event- and time-based PM impairments in individuals</w:t>
      </w:r>
      <w:r>
        <w:rPr>
          <w:spacing w:val="-17"/>
        </w:rPr>
        <w:t xml:space="preserve"> </w:t>
      </w:r>
      <w:r>
        <w:t>with</w:t>
      </w:r>
      <w:r>
        <w:rPr>
          <w:spacing w:val="-13"/>
        </w:rPr>
        <w:t xml:space="preserve"> </w:t>
      </w:r>
      <w:r>
        <w:t>ASD</w:t>
      </w:r>
      <w:r>
        <w:rPr>
          <w:spacing w:val="-15"/>
        </w:rPr>
        <w:t xml:space="preserve"> </w:t>
      </w:r>
      <w:r>
        <w:t>was</w:t>
      </w:r>
      <w:r>
        <w:rPr>
          <w:spacing w:val="-16"/>
        </w:rPr>
        <w:t xml:space="preserve"> </w:t>
      </w:r>
      <w:r>
        <w:t>investigated</w:t>
      </w:r>
      <w:r>
        <w:rPr>
          <w:spacing w:val="-13"/>
        </w:rPr>
        <w:t xml:space="preserve"> </w:t>
      </w:r>
      <w:r>
        <w:t>in</w:t>
      </w:r>
      <w:r>
        <w:rPr>
          <w:spacing w:val="-14"/>
        </w:rPr>
        <w:t xml:space="preserve"> </w:t>
      </w:r>
      <w:r>
        <w:t>comparison</w:t>
      </w:r>
      <w:r>
        <w:rPr>
          <w:spacing w:val="-13"/>
        </w:rPr>
        <w:t xml:space="preserve"> </w:t>
      </w:r>
      <w:r>
        <w:t>to</w:t>
      </w:r>
      <w:r>
        <w:rPr>
          <w:spacing w:val="-13"/>
        </w:rPr>
        <w:t xml:space="preserve"> </w:t>
      </w:r>
      <w:r>
        <w:t>typically</w:t>
      </w:r>
      <w:r>
        <w:rPr>
          <w:spacing w:val="-14"/>
        </w:rPr>
        <w:t xml:space="preserve"> </w:t>
      </w:r>
      <w:r>
        <w:t>developing</w:t>
      </w:r>
      <w:r>
        <w:rPr>
          <w:spacing w:val="-13"/>
        </w:rPr>
        <w:t xml:space="preserve"> </w:t>
      </w:r>
      <w:r>
        <w:t>participants.</w:t>
      </w:r>
      <w:r>
        <w:rPr>
          <w:spacing w:val="30"/>
        </w:rPr>
        <w:t xml:space="preserve"> </w:t>
      </w:r>
      <w:r>
        <w:t xml:space="preserve">The aim of this chapter was to investigate PM in typical development in the light of emerging theories on the links between autism, alexithymia, and interoception. Clarifying these links will extend our understanding </w:t>
      </w:r>
      <w:r>
        <w:rPr>
          <w:spacing w:val="-3"/>
        </w:rPr>
        <w:t xml:space="preserve">of </w:t>
      </w:r>
      <w:r>
        <w:t>whether associations with interoception and alexithymia provide a new perspective on PM research in</w:t>
      </w:r>
      <w:r>
        <w:rPr>
          <w:spacing w:val="-2"/>
        </w:rPr>
        <w:t xml:space="preserve"> </w:t>
      </w:r>
      <w:r>
        <w:t>ASD.</w:t>
      </w:r>
    </w:p>
    <w:p w14:paraId="54E3180B" w14:textId="77777777" w:rsidR="00C75312" w:rsidRDefault="00BB293A">
      <w:pPr>
        <w:pStyle w:val="BodyText"/>
        <w:spacing w:before="120" w:line="480" w:lineRule="auto"/>
        <w:ind w:left="140" w:right="1427" w:firstLine="720"/>
        <w:jc w:val="both"/>
      </w:pPr>
      <w:r>
        <w:t xml:space="preserve">Several theories attempt to capture the processes and mechanisms underpinning PM (see Chapter 1). Whereas the </w:t>
      </w:r>
      <w:proofErr w:type="spellStart"/>
      <w:r>
        <w:t>multiprocess</w:t>
      </w:r>
      <w:proofErr w:type="spellEnd"/>
      <w:r>
        <w:t xml:space="preserve"> framework (McDaniel &amp; Einstein, 2000, 2007), as well</w:t>
      </w:r>
      <w:r>
        <w:rPr>
          <w:spacing w:val="-5"/>
        </w:rPr>
        <w:t xml:space="preserve"> </w:t>
      </w:r>
      <w:r>
        <w:t>as</w:t>
      </w:r>
      <w:r>
        <w:rPr>
          <w:spacing w:val="-7"/>
        </w:rPr>
        <w:t xml:space="preserve"> </w:t>
      </w:r>
      <w:r>
        <w:t>the</w:t>
      </w:r>
      <w:r>
        <w:rPr>
          <w:spacing w:val="-10"/>
        </w:rPr>
        <w:t xml:space="preserve"> </w:t>
      </w:r>
      <w:r>
        <w:t>PAM</w:t>
      </w:r>
      <w:r>
        <w:rPr>
          <w:spacing w:val="-8"/>
        </w:rPr>
        <w:t xml:space="preserve"> </w:t>
      </w:r>
      <w:r>
        <w:t>theory</w:t>
      </w:r>
      <w:r>
        <w:rPr>
          <w:spacing w:val="-13"/>
        </w:rPr>
        <w:t xml:space="preserve"> </w:t>
      </w:r>
      <w:r>
        <w:t>(R.</w:t>
      </w:r>
      <w:r>
        <w:rPr>
          <w:spacing w:val="-7"/>
        </w:rPr>
        <w:t xml:space="preserve"> </w:t>
      </w:r>
      <w:r>
        <w:t>E.</w:t>
      </w:r>
      <w:r>
        <w:rPr>
          <w:spacing w:val="-7"/>
        </w:rPr>
        <w:t xml:space="preserve"> </w:t>
      </w:r>
      <w:r>
        <w:t>Smith,</w:t>
      </w:r>
      <w:r>
        <w:rPr>
          <w:spacing w:val="-7"/>
        </w:rPr>
        <w:t xml:space="preserve"> </w:t>
      </w:r>
      <w:r>
        <w:t>2003;</w:t>
      </w:r>
      <w:r>
        <w:rPr>
          <w:spacing w:val="-9"/>
        </w:rPr>
        <w:t xml:space="preserve"> </w:t>
      </w:r>
      <w:r>
        <w:t>R.</w:t>
      </w:r>
      <w:r>
        <w:rPr>
          <w:spacing w:val="-7"/>
        </w:rPr>
        <w:t xml:space="preserve"> </w:t>
      </w:r>
      <w:r>
        <w:t>E.</w:t>
      </w:r>
      <w:r>
        <w:rPr>
          <w:spacing w:val="-7"/>
        </w:rPr>
        <w:t xml:space="preserve"> </w:t>
      </w:r>
      <w:r>
        <w:t>Smith</w:t>
      </w:r>
      <w:r>
        <w:rPr>
          <w:spacing w:val="-5"/>
        </w:rPr>
        <w:t xml:space="preserve"> </w:t>
      </w:r>
      <w:r>
        <w:t>&amp;</w:t>
      </w:r>
      <w:r>
        <w:rPr>
          <w:spacing w:val="-9"/>
        </w:rPr>
        <w:t xml:space="preserve"> </w:t>
      </w:r>
      <w:r>
        <w:t>Bayen,</w:t>
      </w:r>
      <w:r>
        <w:rPr>
          <w:spacing w:val="-7"/>
        </w:rPr>
        <w:t xml:space="preserve"> </w:t>
      </w:r>
      <w:r>
        <w:t>2004),</w:t>
      </w:r>
      <w:r>
        <w:rPr>
          <w:spacing w:val="-7"/>
        </w:rPr>
        <w:t xml:space="preserve"> </w:t>
      </w:r>
      <w:r>
        <w:t>focus</w:t>
      </w:r>
      <w:r>
        <w:rPr>
          <w:spacing w:val="-7"/>
        </w:rPr>
        <w:t xml:space="preserve"> </w:t>
      </w:r>
      <w:r>
        <w:t>on</w:t>
      </w:r>
      <w:r>
        <w:rPr>
          <w:spacing w:val="-10"/>
        </w:rPr>
        <w:t xml:space="preserve"> </w:t>
      </w:r>
      <w:r>
        <w:t xml:space="preserve">event-based PM, the attentional gate model (Block &amp; Zakay, 2006) provides a specific account of time- based PM. Regardless of what aspect/type </w:t>
      </w:r>
      <w:r>
        <w:rPr>
          <w:spacing w:val="-3"/>
        </w:rPr>
        <w:t xml:space="preserve">of </w:t>
      </w:r>
      <w:r>
        <w:t>PM is under consideration, there is agreement that</w:t>
      </w:r>
      <w:r>
        <w:rPr>
          <w:spacing w:val="-14"/>
        </w:rPr>
        <w:t xml:space="preserve"> </w:t>
      </w:r>
      <w:r>
        <w:t>executive</w:t>
      </w:r>
      <w:r>
        <w:rPr>
          <w:spacing w:val="-14"/>
        </w:rPr>
        <w:t xml:space="preserve"> </w:t>
      </w:r>
      <w:r>
        <w:t>functions</w:t>
      </w:r>
      <w:r>
        <w:rPr>
          <w:spacing w:val="-16"/>
        </w:rPr>
        <w:t xml:space="preserve"> </w:t>
      </w:r>
      <w:r>
        <w:t>play</w:t>
      </w:r>
      <w:r>
        <w:rPr>
          <w:spacing w:val="-14"/>
        </w:rPr>
        <w:t xml:space="preserve"> </w:t>
      </w:r>
      <w:r>
        <w:t>a</w:t>
      </w:r>
      <w:r>
        <w:rPr>
          <w:spacing w:val="-10"/>
        </w:rPr>
        <w:t xml:space="preserve"> </w:t>
      </w:r>
      <w:r>
        <w:t>crucial</w:t>
      </w:r>
      <w:r>
        <w:rPr>
          <w:spacing w:val="-13"/>
        </w:rPr>
        <w:t xml:space="preserve"> </w:t>
      </w:r>
      <w:r>
        <w:t>role</w:t>
      </w:r>
      <w:r>
        <w:rPr>
          <w:spacing w:val="-15"/>
        </w:rPr>
        <w:t xml:space="preserve"> </w:t>
      </w:r>
      <w:r>
        <w:t>in</w:t>
      </w:r>
      <w:r>
        <w:rPr>
          <w:spacing w:val="-13"/>
        </w:rPr>
        <w:t xml:space="preserve"> </w:t>
      </w:r>
      <w:r>
        <w:t>PM</w:t>
      </w:r>
      <w:r>
        <w:rPr>
          <w:spacing w:val="-16"/>
        </w:rPr>
        <w:t xml:space="preserve"> </w:t>
      </w:r>
      <w:r>
        <w:t>development</w:t>
      </w:r>
      <w:r>
        <w:rPr>
          <w:spacing w:val="-14"/>
        </w:rPr>
        <w:t xml:space="preserve"> </w:t>
      </w:r>
      <w:r>
        <w:t>(Mahy</w:t>
      </w:r>
      <w:r>
        <w:rPr>
          <w:spacing w:val="-13"/>
        </w:rPr>
        <w:t xml:space="preserve"> </w:t>
      </w:r>
      <w:r>
        <w:t>et</w:t>
      </w:r>
      <w:r>
        <w:rPr>
          <w:spacing w:val="-13"/>
        </w:rPr>
        <w:t xml:space="preserve"> </w:t>
      </w:r>
      <w:r>
        <w:t>al.,</w:t>
      </w:r>
      <w:r>
        <w:rPr>
          <w:spacing w:val="-12"/>
        </w:rPr>
        <w:t xml:space="preserve"> </w:t>
      </w:r>
      <w:r>
        <w:t>2014).</w:t>
      </w:r>
      <w:r>
        <w:rPr>
          <w:spacing w:val="36"/>
        </w:rPr>
        <w:t xml:space="preserve"> </w:t>
      </w:r>
      <w:r>
        <w:t>On</w:t>
      </w:r>
      <w:r>
        <w:rPr>
          <w:spacing w:val="-14"/>
        </w:rPr>
        <w:t xml:space="preserve"> </w:t>
      </w:r>
      <w:r>
        <w:t>a</w:t>
      </w:r>
      <w:r>
        <w:rPr>
          <w:spacing w:val="-14"/>
        </w:rPr>
        <w:t xml:space="preserve"> </w:t>
      </w:r>
      <w:r>
        <w:t>neural level,</w:t>
      </w:r>
      <w:r>
        <w:rPr>
          <w:spacing w:val="-2"/>
        </w:rPr>
        <w:t xml:space="preserve"> </w:t>
      </w:r>
      <w:r>
        <w:t>neuroimaging</w:t>
      </w:r>
      <w:r>
        <w:rPr>
          <w:spacing w:val="-4"/>
        </w:rPr>
        <w:t xml:space="preserve"> </w:t>
      </w:r>
      <w:r>
        <w:t>studies</w:t>
      </w:r>
      <w:r>
        <w:rPr>
          <w:spacing w:val="-7"/>
        </w:rPr>
        <w:t xml:space="preserve"> </w:t>
      </w:r>
      <w:r>
        <w:t>have</w:t>
      </w:r>
      <w:r>
        <w:rPr>
          <w:spacing w:val="-5"/>
        </w:rPr>
        <w:t xml:space="preserve"> </w:t>
      </w:r>
      <w:r>
        <w:t>identified</w:t>
      </w:r>
      <w:r>
        <w:rPr>
          <w:spacing w:val="-5"/>
        </w:rPr>
        <w:t xml:space="preserve"> </w:t>
      </w:r>
      <w:r>
        <w:t>shared,</w:t>
      </w:r>
      <w:r>
        <w:rPr>
          <w:spacing w:val="-6"/>
        </w:rPr>
        <w:t xml:space="preserve"> </w:t>
      </w:r>
      <w:r>
        <w:t>as</w:t>
      </w:r>
      <w:r>
        <w:rPr>
          <w:spacing w:val="-7"/>
        </w:rPr>
        <w:t xml:space="preserve"> </w:t>
      </w:r>
      <w:r>
        <w:t>well</w:t>
      </w:r>
      <w:r>
        <w:rPr>
          <w:spacing w:val="-3"/>
        </w:rPr>
        <w:t xml:space="preserve"> </w:t>
      </w:r>
      <w:r>
        <w:t>as</w:t>
      </w:r>
      <w:r>
        <w:rPr>
          <w:spacing w:val="-6"/>
        </w:rPr>
        <w:t xml:space="preserve"> </w:t>
      </w:r>
      <w:r>
        <w:t>distinct,</w:t>
      </w:r>
      <w:r>
        <w:rPr>
          <w:spacing w:val="-2"/>
        </w:rPr>
        <w:t xml:space="preserve"> </w:t>
      </w:r>
      <w:r>
        <w:t>regions</w:t>
      </w:r>
      <w:r>
        <w:rPr>
          <w:spacing w:val="-6"/>
        </w:rPr>
        <w:t xml:space="preserve"> </w:t>
      </w:r>
      <w:r>
        <w:t>of</w:t>
      </w:r>
      <w:r>
        <w:rPr>
          <w:spacing w:val="-3"/>
        </w:rPr>
        <w:t xml:space="preserve"> </w:t>
      </w:r>
      <w:r>
        <w:t>the</w:t>
      </w:r>
      <w:r>
        <w:rPr>
          <w:spacing w:val="-5"/>
        </w:rPr>
        <w:t xml:space="preserve"> </w:t>
      </w:r>
      <w:proofErr w:type="spellStart"/>
      <w:r>
        <w:t>rPFC</w:t>
      </w:r>
      <w:proofErr w:type="spellEnd"/>
      <w:r>
        <w:rPr>
          <w:spacing w:val="-7"/>
        </w:rPr>
        <w:t xml:space="preserve"> </w:t>
      </w:r>
      <w:r>
        <w:t xml:space="preserve">that are engaged when an individual is engaged in one of the two PM types (Burgess et al., 2011; </w:t>
      </w:r>
      <w:proofErr w:type="spellStart"/>
      <w:r>
        <w:t>Gonneaud</w:t>
      </w:r>
      <w:proofErr w:type="spellEnd"/>
      <w:r>
        <w:t xml:space="preserve"> et al., 2014; Okuda et al., 2007). This evidence supports the need for separate theoretical accounts of event-based PM and time-based PM and further exploration how </w:t>
      </w:r>
      <w:proofErr w:type="spellStart"/>
      <w:r>
        <w:t>behavioural</w:t>
      </w:r>
      <w:proofErr w:type="spellEnd"/>
      <w:r>
        <w:t xml:space="preserve"> observation of PM translate into distinct patterns </w:t>
      </w:r>
      <w:r>
        <w:rPr>
          <w:spacing w:val="-3"/>
        </w:rPr>
        <w:t xml:space="preserve">of </w:t>
      </w:r>
      <w:r>
        <w:t>brain</w:t>
      </w:r>
      <w:r>
        <w:rPr>
          <w:spacing w:val="54"/>
        </w:rPr>
        <w:t xml:space="preserve"> </w:t>
      </w:r>
      <w:r>
        <w:t>activation. The</w:t>
      </w:r>
    </w:p>
    <w:p w14:paraId="271E391C" w14:textId="77777777" w:rsidR="00C75312" w:rsidRDefault="00C75312">
      <w:pPr>
        <w:spacing w:line="480" w:lineRule="auto"/>
        <w:jc w:val="both"/>
        <w:sectPr w:rsidR="00C75312">
          <w:headerReference w:type="default" r:id="rId46"/>
          <w:pgSz w:w="11900" w:h="16840"/>
          <w:pgMar w:top="1140" w:right="0" w:bottom="280" w:left="1300" w:header="715" w:footer="0" w:gutter="0"/>
          <w:pgNumType w:start="123"/>
          <w:cols w:space="720"/>
        </w:sectPr>
      </w:pPr>
    </w:p>
    <w:p w14:paraId="4D81BC37" w14:textId="77777777" w:rsidR="00C75312" w:rsidRDefault="00C75312">
      <w:pPr>
        <w:pStyle w:val="BodyText"/>
        <w:spacing w:before="2"/>
        <w:rPr>
          <w:sz w:val="18"/>
        </w:rPr>
      </w:pPr>
    </w:p>
    <w:p w14:paraId="051E6A0B" w14:textId="77777777" w:rsidR="00C75312" w:rsidRDefault="00BB293A">
      <w:pPr>
        <w:pStyle w:val="BodyText"/>
        <w:spacing w:before="90" w:line="480" w:lineRule="auto"/>
        <w:ind w:left="140" w:right="1430"/>
        <w:jc w:val="both"/>
      </w:pPr>
      <w:r>
        <w:t>exploration of autonomous and psychophysiological processes may therefore provide further insight into PM mechanisms.</w:t>
      </w:r>
    </w:p>
    <w:p w14:paraId="7AD6D639" w14:textId="77777777" w:rsidR="00C75312" w:rsidRDefault="00BB293A">
      <w:pPr>
        <w:pStyle w:val="BodyText"/>
        <w:spacing w:before="120" w:line="480" w:lineRule="auto"/>
        <w:ind w:left="140" w:right="1426" w:firstLine="720"/>
        <w:jc w:val="both"/>
      </w:pPr>
      <w:r>
        <w:t>Relatively little is known about the potential influence of psychophysiological processes involved in PM. A few studies have reported a role for autonomous responses in attention, response inhibition, or target detection which are relevant for PM (e.g., Jennings, 1992; Jennings, van der Molen, Brock, &amp; Somsen, 1991; Ramírez, Ortega, &amp; Reyes Del</w:t>
      </w:r>
      <w:r>
        <w:rPr>
          <w:spacing w:val="-36"/>
        </w:rPr>
        <w:t xml:space="preserve"> </w:t>
      </w:r>
      <w:r>
        <w:t xml:space="preserve">Paso, 2015). Furthermore, </w:t>
      </w:r>
      <w:proofErr w:type="spellStart"/>
      <w:r>
        <w:t>Kliegel</w:t>
      </w:r>
      <w:proofErr w:type="spellEnd"/>
      <w:r>
        <w:t>, Guynn, and Zimmer (2007) have found that skin conductance response</w:t>
      </w:r>
      <w:r>
        <w:rPr>
          <w:spacing w:val="-15"/>
        </w:rPr>
        <w:t xml:space="preserve"> </w:t>
      </w:r>
      <w:r>
        <w:t>as</w:t>
      </w:r>
      <w:r>
        <w:rPr>
          <w:spacing w:val="-16"/>
        </w:rPr>
        <w:t xml:space="preserve"> </w:t>
      </w:r>
      <w:r>
        <w:t>a</w:t>
      </w:r>
      <w:r>
        <w:rPr>
          <w:spacing w:val="-15"/>
        </w:rPr>
        <w:t xml:space="preserve"> </w:t>
      </w:r>
      <w:r>
        <w:t>measure</w:t>
      </w:r>
      <w:r>
        <w:rPr>
          <w:spacing w:val="-14"/>
        </w:rPr>
        <w:t xml:space="preserve"> </w:t>
      </w:r>
      <w:r>
        <w:t>of</w:t>
      </w:r>
      <w:r>
        <w:rPr>
          <w:spacing w:val="-13"/>
        </w:rPr>
        <w:t xml:space="preserve"> </w:t>
      </w:r>
      <w:r>
        <w:t>autonomous</w:t>
      </w:r>
      <w:r>
        <w:rPr>
          <w:spacing w:val="-16"/>
        </w:rPr>
        <w:t xml:space="preserve"> </w:t>
      </w:r>
      <w:r>
        <w:t>arousal</w:t>
      </w:r>
      <w:r>
        <w:rPr>
          <w:spacing w:val="-14"/>
        </w:rPr>
        <w:t xml:space="preserve"> </w:t>
      </w:r>
      <w:r>
        <w:t>increases</w:t>
      </w:r>
      <w:r>
        <w:rPr>
          <w:spacing w:val="-16"/>
        </w:rPr>
        <w:t xml:space="preserve"> </w:t>
      </w:r>
      <w:r>
        <w:t>in</w:t>
      </w:r>
      <w:r>
        <w:rPr>
          <w:spacing w:val="-14"/>
        </w:rPr>
        <w:t xml:space="preserve"> </w:t>
      </w:r>
      <w:r>
        <w:t>response</w:t>
      </w:r>
      <w:r>
        <w:rPr>
          <w:spacing w:val="-15"/>
        </w:rPr>
        <w:t xml:space="preserve"> </w:t>
      </w:r>
      <w:r>
        <w:t>to</w:t>
      </w:r>
      <w:r>
        <w:rPr>
          <w:spacing w:val="-13"/>
        </w:rPr>
        <w:t xml:space="preserve"> </w:t>
      </w:r>
      <w:r>
        <w:t>the</w:t>
      </w:r>
      <w:r>
        <w:rPr>
          <w:spacing w:val="-15"/>
        </w:rPr>
        <w:t xml:space="preserve"> </w:t>
      </w:r>
      <w:r>
        <w:t>detection</w:t>
      </w:r>
      <w:r>
        <w:rPr>
          <w:spacing w:val="-13"/>
        </w:rPr>
        <w:t xml:space="preserve"> </w:t>
      </w:r>
      <w:r>
        <w:t>of</w:t>
      </w:r>
      <w:r>
        <w:rPr>
          <w:spacing w:val="-13"/>
        </w:rPr>
        <w:t xml:space="preserve"> </w:t>
      </w:r>
      <w:r>
        <w:t>PM</w:t>
      </w:r>
      <w:r>
        <w:rPr>
          <w:spacing w:val="-16"/>
        </w:rPr>
        <w:t xml:space="preserve"> </w:t>
      </w:r>
      <w:r>
        <w:t xml:space="preserve">cues, regardless of PM hit rate per se. This was interpreted to reflect the noticing a PM cue without necessarily triggering the retrieval </w:t>
      </w:r>
      <w:r>
        <w:rPr>
          <w:spacing w:val="-3"/>
        </w:rPr>
        <w:t xml:space="preserve">of </w:t>
      </w:r>
      <w:r>
        <w:t>the content of an intention from retrospective memory. Importantly,</w:t>
      </w:r>
      <w:r>
        <w:rPr>
          <w:spacing w:val="-6"/>
        </w:rPr>
        <w:t xml:space="preserve"> </w:t>
      </w:r>
      <w:r>
        <w:t>the</w:t>
      </w:r>
      <w:r>
        <w:rPr>
          <w:spacing w:val="-5"/>
        </w:rPr>
        <w:t xml:space="preserve"> </w:t>
      </w:r>
      <w:r>
        <w:t>role</w:t>
      </w:r>
      <w:r>
        <w:rPr>
          <w:spacing w:val="-5"/>
        </w:rPr>
        <w:t xml:space="preserve"> </w:t>
      </w:r>
      <w:r>
        <w:rPr>
          <w:spacing w:val="-3"/>
        </w:rPr>
        <w:t>of</w:t>
      </w:r>
      <w:r>
        <w:rPr>
          <w:spacing w:val="-2"/>
        </w:rPr>
        <w:t xml:space="preserve"> </w:t>
      </w:r>
      <w:r>
        <w:t>“interoception”</w:t>
      </w:r>
      <w:r>
        <w:rPr>
          <w:spacing w:val="-5"/>
        </w:rPr>
        <w:t xml:space="preserve"> </w:t>
      </w:r>
      <w:r>
        <w:t>has</w:t>
      </w:r>
      <w:r>
        <w:rPr>
          <w:spacing w:val="-5"/>
        </w:rPr>
        <w:t xml:space="preserve"> </w:t>
      </w:r>
      <w:r>
        <w:t>gained</w:t>
      </w:r>
      <w:r>
        <w:rPr>
          <w:spacing w:val="-4"/>
        </w:rPr>
        <w:t xml:space="preserve"> </w:t>
      </w:r>
      <w:r>
        <w:t>recent</w:t>
      </w:r>
      <w:r>
        <w:rPr>
          <w:spacing w:val="-3"/>
        </w:rPr>
        <w:t xml:space="preserve"> </w:t>
      </w:r>
      <w:r>
        <w:t>interest</w:t>
      </w:r>
      <w:r>
        <w:rPr>
          <w:spacing w:val="-3"/>
        </w:rPr>
        <w:t xml:space="preserve"> </w:t>
      </w:r>
      <w:r>
        <w:t>as</w:t>
      </w:r>
      <w:r>
        <w:rPr>
          <w:spacing w:val="-6"/>
        </w:rPr>
        <w:t xml:space="preserve"> </w:t>
      </w:r>
      <w:r>
        <w:t>a</w:t>
      </w:r>
      <w:r>
        <w:rPr>
          <w:spacing w:val="-5"/>
        </w:rPr>
        <w:t xml:space="preserve"> </w:t>
      </w:r>
      <w:r>
        <w:t>mediator</w:t>
      </w:r>
      <w:r>
        <w:rPr>
          <w:spacing w:val="-2"/>
        </w:rPr>
        <w:t xml:space="preserve"> </w:t>
      </w:r>
      <w:r>
        <w:t>in</w:t>
      </w:r>
      <w:r>
        <w:rPr>
          <w:spacing w:val="-3"/>
        </w:rPr>
        <w:t xml:space="preserve"> </w:t>
      </w:r>
      <w:r>
        <w:t>the</w:t>
      </w:r>
      <w:r>
        <w:rPr>
          <w:spacing w:val="-5"/>
        </w:rPr>
        <w:t xml:space="preserve"> </w:t>
      </w:r>
      <w:r>
        <w:t>effect</w:t>
      </w:r>
      <w:r>
        <w:rPr>
          <w:spacing w:val="-3"/>
        </w:rPr>
        <w:t xml:space="preserve"> </w:t>
      </w:r>
      <w:r>
        <w:t>of physiological arousal on cognitio</w:t>
      </w:r>
      <w:r>
        <w:t>n (Craig, 2003; Tsakiris &amp; Critchley, 2016). Interoception refers to the perception of internal bodily states (thus the conscious perception of afferent autonomous reactions), such as hunger, thirst, heartbeat etc. Interoceptive processes are commonly</w:t>
      </w:r>
      <w:r>
        <w:rPr>
          <w:spacing w:val="-6"/>
        </w:rPr>
        <w:t xml:space="preserve"> </w:t>
      </w:r>
      <w:r>
        <w:t>classified</w:t>
      </w:r>
      <w:r>
        <w:rPr>
          <w:spacing w:val="-5"/>
        </w:rPr>
        <w:t xml:space="preserve"> </w:t>
      </w:r>
      <w:r>
        <w:t>into</w:t>
      </w:r>
      <w:r>
        <w:rPr>
          <w:spacing w:val="-6"/>
        </w:rPr>
        <w:t xml:space="preserve"> </w:t>
      </w:r>
      <w:r>
        <w:t>three</w:t>
      </w:r>
      <w:r>
        <w:rPr>
          <w:spacing w:val="-6"/>
        </w:rPr>
        <w:t xml:space="preserve"> </w:t>
      </w:r>
      <w:r>
        <w:t>partially</w:t>
      </w:r>
      <w:r>
        <w:rPr>
          <w:spacing w:val="-5"/>
        </w:rPr>
        <w:t xml:space="preserve"> </w:t>
      </w:r>
      <w:r>
        <w:t>distinct</w:t>
      </w:r>
      <w:r>
        <w:rPr>
          <w:spacing w:val="-5"/>
        </w:rPr>
        <w:t xml:space="preserve"> </w:t>
      </w:r>
      <w:r>
        <w:t>components</w:t>
      </w:r>
      <w:r>
        <w:rPr>
          <w:spacing w:val="-7"/>
        </w:rPr>
        <w:t xml:space="preserve"> </w:t>
      </w:r>
      <w:r>
        <w:t>(Garfinkel,</w:t>
      </w:r>
      <w:r>
        <w:rPr>
          <w:spacing w:val="-2"/>
        </w:rPr>
        <w:t xml:space="preserve"> </w:t>
      </w:r>
      <w:r>
        <w:t>Seth,</w:t>
      </w:r>
      <w:r>
        <w:rPr>
          <w:spacing w:val="-3"/>
        </w:rPr>
        <w:t xml:space="preserve"> </w:t>
      </w:r>
      <w:r>
        <w:t>Barrett,</w:t>
      </w:r>
      <w:r>
        <w:rPr>
          <w:spacing w:val="-7"/>
        </w:rPr>
        <w:t xml:space="preserve"> </w:t>
      </w:r>
      <w:r>
        <w:t>Suzuki, &amp; Critchley, 2015). Interoceptive sensitivity represents the subjective experience of autonomous processes and is usually measured using self-report assessments. Interocepti</w:t>
      </w:r>
      <w:r>
        <w:t>ve accuracy</w:t>
      </w:r>
      <w:r>
        <w:rPr>
          <w:spacing w:val="-11"/>
        </w:rPr>
        <w:t xml:space="preserve"> </w:t>
      </w:r>
      <w:r>
        <w:t>was</w:t>
      </w:r>
      <w:r>
        <w:rPr>
          <w:spacing w:val="-12"/>
        </w:rPr>
        <w:t xml:space="preserve"> </w:t>
      </w:r>
      <w:r>
        <w:t>defined</w:t>
      </w:r>
      <w:r>
        <w:rPr>
          <w:spacing w:val="-11"/>
        </w:rPr>
        <w:t xml:space="preserve"> </w:t>
      </w:r>
      <w:r>
        <w:t>as</w:t>
      </w:r>
      <w:r>
        <w:rPr>
          <w:spacing w:val="-17"/>
        </w:rPr>
        <w:t xml:space="preserve"> </w:t>
      </w:r>
      <w:r>
        <w:t>the</w:t>
      </w:r>
      <w:r>
        <w:rPr>
          <w:spacing w:val="-11"/>
        </w:rPr>
        <w:t xml:space="preserve"> </w:t>
      </w:r>
      <w:r>
        <w:t>ability</w:t>
      </w:r>
      <w:r>
        <w:rPr>
          <w:spacing w:val="-15"/>
        </w:rPr>
        <w:t xml:space="preserve"> </w:t>
      </w:r>
      <w:r>
        <w:t>to</w:t>
      </w:r>
      <w:r>
        <w:rPr>
          <w:spacing w:val="-14"/>
        </w:rPr>
        <w:t xml:space="preserve"> </w:t>
      </w:r>
      <w:r>
        <w:t>correctly</w:t>
      </w:r>
      <w:r>
        <w:rPr>
          <w:spacing w:val="-11"/>
        </w:rPr>
        <w:t xml:space="preserve"> </w:t>
      </w:r>
      <w:r>
        <w:t>detect</w:t>
      </w:r>
      <w:r>
        <w:rPr>
          <w:spacing w:val="-9"/>
        </w:rPr>
        <w:t xml:space="preserve"> </w:t>
      </w:r>
      <w:r>
        <w:t>and</w:t>
      </w:r>
      <w:r>
        <w:rPr>
          <w:spacing w:val="-14"/>
        </w:rPr>
        <w:t xml:space="preserve"> </w:t>
      </w:r>
      <w:r>
        <w:t>track</w:t>
      </w:r>
      <w:r>
        <w:rPr>
          <w:spacing w:val="-11"/>
        </w:rPr>
        <w:t xml:space="preserve"> </w:t>
      </w:r>
      <w:r>
        <w:t>measurable</w:t>
      </w:r>
      <w:r>
        <w:rPr>
          <w:spacing w:val="-15"/>
        </w:rPr>
        <w:t xml:space="preserve"> </w:t>
      </w:r>
      <w:r>
        <w:t>indicators</w:t>
      </w:r>
      <w:r>
        <w:rPr>
          <w:spacing w:val="-12"/>
        </w:rPr>
        <w:t xml:space="preserve"> </w:t>
      </w:r>
      <w:r>
        <w:rPr>
          <w:spacing w:val="-3"/>
        </w:rPr>
        <w:t>of</w:t>
      </w:r>
      <w:r>
        <w:rPr>
          <w:spacing w:val="-9"/>
        </w:rPr>
        <w:t xml:space="preserve"> </w:t>
      </w:r>
      <w:r>
        <w:t>bodily sensations, e.g., heart rate. It is most frequently measured objectively using a heartbeat detection</w:t>
      </w:r>
      <w:r>
        <w:rPr>
          <w:spacing w:val="-6"/>
        </w:rPr>
        <w:t xml:space="preserve"> </w:t>
      </w:r>
      <w:r>
        <w:t>task</w:t>
      </w:r>
      <w:r>
        <w:rPr>
          <w:spacing w:val="-6"/>
        </w:rPr>
        <w:t xml:space="preserve"> </w:t>
      </w:r>
      <w:r>
        <w:t>(</w:t>
      </w:r>
      <w:proofErr w:type="spellStart"/>
      <w:r>
        <w:t>Schandry</w:t>
      </w:r>
      <w:proofErr w:type="spellEnd"/>
      <w:r>
        <w:t>,</w:t>
      </w:r>
      <w:r>
        <w:rPr>
          <w:spacing w:val="-8"/>
        </w:rPr>
        <w:t xml:space="preserve"> </w:t>
      </w:r>
      <w:r>
        <w:t>1981).</w:t>
      </w:r>
      <w:r>
        <w:rPr>
          <w:spacing w:val="42"/>
        </w:rPr>
        <w:t xml:space="preserve"> </w:t>
      </w:r>
      <w:r>
        <w:t>In</w:t>
      </w:r>
      <w:r>
        <w:rPr>
          <w:spacing w:val="-10"/>
        </w:rPr>
        <w:t xml:space="preserve"> </w:t>
      </w:r>
      <w:r>
        <w:t>this</w:t>
      </w:r>
      <w:r>
        <w:rPr>
          <w:spacing w:val="-8"/>
        </w:rPr>
        <w:t xml:space="preserve"> </w:t>
      </w:r>
      <w:r>
        <w:t>task</w:t>
      </w:r>
      <w:r>
        <w:rPr>
          <w:spacing w:val="-11"/>
        </w:rPr>
        <w:t xml:space="preserve"> </w:t>
      </w:r>
      <w:r>
        <w:t>participants</w:t>
      </w:r>
      <w:r>
        <w:rPr>
          <w:spacing w:val="-8"/>
        </w:rPr>
        <w:t xml:space="preserve"> </w:t>
      </w:r>
      <w:r>
        <w:t>have</w:t>
      </w:r>
      <w:r>
        <w:rPr>
          <w:spacing w:val="-7"/>
        </w:rPr>
        <w:t xml:space="preserve"> </w:t>
      </w:r>
      <w:r>
        <w:t>to</w:t>
      </w:r>
      <w:r>
        <w:rPr>
          <w:spacing w:val="-10"/>
        </w:rPr>
        <w:t xml:space="preserve"> </w:t>
      </w:r>
      <w:r>
        <w:t>silently</w:t>
      </w:r>
      <w:r>
        <w:rPr>
          <w:spacing w:val="-6"/>
        </w:rPr>
        <w:t xml:space="preserve"> </w:t>
      </w:r>
      <w:r>
        <w:t>count</w:t>
      </w:r>
      <w:r>
        <w:rPr>
          <w:spacing w:val="-10"/>
        </w:rPr>
        <w:t xml:space="preserve"> </w:t>
      </w:r>
      <w:r>
        <w:t>their</w:t>
      </w:r>
      <w:r>
        <w:rPr>
          <w:spacing w:val="-9"/>
        </w:rPr>
        <w:t xml:space="preserve"> </w:t>
      </w:r>
      <w:r>
        <w:t xml:space="preserve">heartbeats without feeling their own pulse during different time intervals. Finally, interoceptive awareness was defined as the ability to reflect on one’s own accuracy to correctly perceive interoceptive signals and can be </w:t>
      </w:r>
      <w:proofErr w:type="spellStart"/>
      <w:r>
        <w:t>operationalised</w:t>
      </w:r>
      <w:proofErr w:type="spellEnd"/>
      <w:r>
        <w:t xml:space="preserve"> as how strongly subjective interoceptive sensitivity and objective interoceptive accur</w:t>
      </w:r>
      <w:r>
        <w:t>acy</w:t>
      </w:r>
      <w:r>
        <w:rPr>
          <w:spacing w:val="6"/>
        </w:rPr>
        <w:t xml:space="preserve"> </w:t>
      </w:r>
      <w:r>
        <w:t>match.</w:t>
      </w:r>
    </w:p>
    <w:p w14:paraId="1EE54BAF" w14:textId="77777777" w:rsidR="00C75312" w:rsidRDefault="00C75312">
      <w:pPr>
        <w:spacing w:line="480" w:lineRule="auto"/>
        <w:jc w:val="both"/>
        <w:sectPr w:rsidR="00C75312">
          <w:pgSz w:w="11900" w:h="16840"/>
          <w:pgMar w:top="1140" w:right="0" w:bottom="280" w:left="1300" w:header="715" w:footer="0" w:gutter="0"/>
          <w:cols w:space="720"/>
        </w:sectPr>
      </w:pPr>
    </w:p>
    <w:p w14:paraId="5D953F88" w14:textId="77777777" w:rsidR="00C75312" w:rsidRDefault="00C75312">
      <w:pPr>
        <w:pStyle w:val="BodyText"/>
        <w:spacing w:before="2"/>
        <w:rPr>
          <w:sz w:val="18"/>
        </w:rPr>
      </w:pPr>
    </w:p>
    <w:p w14:paraId="41B31EC5" w14:textId="77777777" w:rsidR="00C75312" w:rsidRDefault="00BB293A">
      <w:pPr>
        <w:pStyle w:val="BodyText"/>
        <w:spacing w:before="90" w:line="480" w:lineRule="auto"/>
        <w:ind w:left="140" w:right="1427" w:firstLine="720"/>
        <w:jc w:val="both"/>
      </w:pPr>
      <w:r>
        <w:t>Interoceptive</w:t>
      </w:r>
      <w:r>
        <w:rPr>
          <w:spacing w:val="-8"/>
        </w:rPr>
        <w:t xml:space="preserve"> </w:t>
      </w:r>
      <w:r>
        <w:t>signals</w:t>
      </w:r>
      <w:r>
        <w:rPr>
          <w:spacing w:val="-12"/>
        </w:rPr>
        <w:t xml:space="preserve"> </w:t>
      </w:r>
      <w:r>
        <w:t>represent</w:t>
      </w:r>
      <w:r>
        <w:rPr>
          <w:spacing w:val="-5"/>
        </w:rPr>
        <w:t xml:space="preserve"> </w:t>
      </w:r>
      <w:r>
        <w:t>salient</w:t>
      </w:r>
      <w:r>
        <w:rPr>
          <w:spacing w:val="-10"/>
        </w:rPr>
        <w:t xml:space="preserve"> </w:t>
      </w:r>
      <w:r>
        <w:t>information</w:t>
      </w:r>
      <w:r>
        <w:rPr>
          <w:spacing w:val="-15"/>
        </w:rPr>
        <w:t xml:space="preserve"> </w:t>
      </w:r>
      <w:r>
        <w:t>about</w:t>
      </w:r>
      <w:r>
        <w:rPr>
          <w:spacing w:val="-5"/>
        </w:rPr>
        <w:t xml:space="preserve"> </w:t>
      </w:r>
      <w:r>
        <w:t>the</w:t>
      </w:r>
      <w:r>
        <w:rPr>
          <w:spacing w:val="-12"/>
        </w:rPr>
        <w:t xml:space="preserve"> </w:t>
      </w:r>
      <w:r>
        <w:t>current</w:t>
      </w:r>
      <w:r>
        <w:rPr>
          <w:spacing w:val="-10"/>
        </w:rPr>
        <w:t xml:space="preserve"> </w:t>
      </w:r>
      <w:r>
        <w:t>bodily</w:t>
      </w:r>
      <w:r>
        <w:rPr>
          <w:spacing w:val="-6"/>
        </w:rPr>
        <w:t xml:space="preserve"> </w:t>
      </w:r>
      <w:r>
        <w:t>state,</w:t>
      </w:r>
      <w:r>
        <w:rPr>
          <w:spacing w:val="-8"/>
        </w:rPr>
        <w:t xml:space="preserve"> </w:t>
      </w:r>
      <w:r>
        <w:t xml:space="preserve">which are integrated together with information on environmentally salient stimuli, as well as motivational, social, and cognitive conditions into a higher-order re-representation of the current state of self, influencing cognitive processes and </w:t>
      </w:r>
      <w:proofErr w:type="spellStart"/>
      <w:r>
        <w:t>behaviour</w:t>
      </w:r>
      <w:proofErr w:type="spellEnd"/>
      <w:r>
        <w:t xml:space="preserve"> (Craig, 2009; Critchley &amp; Garfinkel,</w:t>
      </w:r>
      <w:r>
        <w:rPr>
          <w:spacing w:val="-13"/>
        </w:rPr>
        <w:t xml:space="preserve"> </w:t>
      </w:r>
      <w:r>
        <w:t>2018).</w:t>
      </w:r>
      <w:r>
        <w:rPr>
          <w:spacing w:val="37"/>
        </w:rPr>
        <w:t xml:space="preserve"> </w:t>
      </w:r>
      <w:r>
        <w:t>A</w:t>
      </w:r>
      <w:r>
        <w:rPr>
          <w:spacing w:val="-16"/>
        </w:rPr>
        <w:t xml:space="preserve"> </w:t>
      </w:r>
      <w:r>
        <w:t>few</w:t>
      </w:r>
      <w:r>
        <w:rPr>
          <w:spacing w:val="-16"/>
        </w:rPr>
        <w:t xml:space="preserve"> </w:t>
      </w:r>
      <w:r>
        <w:t>studies</w:t>
      </w:r>
      <w:r>
        <w:rPr>
          <w:spacing w:val="-13"/>
        </w:rPr>
        <w:t xml:space="preserve"> </w:t>
      </w:r>
      <w:r>
        <w:t>have</w:t>
      </w:r>
      <w:r>
        <w:rPr>
          <w:spacing w:val="-12"/>
        </w:rPr>
        <w:t xml:space="preserve"> </w:t>
      </w:r>
      <w:r>
        <w:t>implicated</w:t>
      </w:r>
      <w:r>
        <w:rPr>
          <w:spacing w:val="-11"/>
        </w:rPr>
        <w:t xml:space="preserve"> </w:t>
      </w:r>
      <w:r>
        <w:t>interoception</w:t>
      </w:r>
      <w:r>
        <w:rPr>
          <w:spacing w:val="-11"/>
        </w:rPr>
        <w:t xml:space="preserve"> </w:t>
      </w:r>
      <w:r>
        <w:t>in</w:t>
      </w:r>
      <w:r>
        <w:rPr>
          <w:spacing w:val="-15"/>
        </w:rPr>
        <w:t xml:space="preserve"> </w:t>
      </w:r>
      <w:r>
        <w:t>memory</w:t>
      </w:r>
      <w:r>
        <w:rPr>
          <w:spacing w:val="-15"/>
        </w:rPr>
        <w:t xml:space="preserve"> </w:t>
      </w:r>
      <w:r>
        <w:t>processes</w:t>
      </w:r>
      <w:r>
        <w:rPr>
          <w:spacing w:val="-13"/>
        </w:rPr>
        <w:t xml:space="preserve"> </w:t>
      </w:r>
      <w:r>
        <w:t>in</w:t>
      </w:r>
      <w:r>
        <w:rPr>
          <w:spacing w:val="-11"/>
        </w:rPr>
        <w:t xml:space="preserve"> </w:t>
      </w:r>
      <w:r>
        <w:t>general, and recently also in PM in particular. It has been suggested that bodily signals might act as facilitating cues for memory retrieval; thus greater interoceptive accuracy would enable better use of these cues leading to better memory performance (Critchley &amp; Harrison, 2013). This is supported by evidence that greater interoceptive accuracy was related to better word memory when tested in a surprise free recall test (Garfinkel et al., 2013) or during an implicit memory test (Werner, Peres, Duschek, &amp;</w:t>
      </w:r>
      <w:r>
        <w:t xml:space="preserve"> </w:t>
      </w:r>
      <w:proofErr w:type="spellStart"/>
      <w:r>
        <w:t>Schandry</w:t>
      </w:r>
      <w:proofErr w:type="spellEnd"/>
      <w:r>
        <w:t xml:space="preserve">, 2010). Furthermore, a recent study has found the first evidence for associations between interoception as well as heart rate variability (the variation in the time interval between consecutive heartbeats) and event-based PM (Umeda, </w:t>
      </w:r>
      <w:proofErr w:type="spellStart"/>
      <w:r>
        <w:t>Tochizawa</w:t>
      </w:r>
      <w:proofErr w:type="spellEnd"/>
      <w:r>
        <w:t xml:space="preserve">, Shibata, &amp; Terasawa, 2016). In their study, they explored how interoceptive accuracy (measured using the heart rate detection task) as well as cardiac activity recorded during the performance of an event-based </w:t>
      </w:r>
      <w:r>
        <w:rPr>
          <w:spacing w:val="2"/>
        </w:rPr>
        <w:t xml:space="preserve">PM </w:t>
      </w:r>
      <w:r>
        <w:t xml:space="preserve">task related to PM accuracy. They found that </w:t>
      </w:r>
      <w:r>
        <w:t>better PM performance was associated with greater interoceptive accuracy (</w:t>
      </w:r>
      <w:r>
        <w:rPr>
          <w:i/>
        </w:rPr>
        <w:t xml:space="preserve">r </w:t>
      </w:r>
      <w:r>
        <w:t xml:space="preserve">= .35) and accompanied by a greater increase in heart rate during the onset </w:t>
      </w:r>
      <w:r>
        <w:rPr>
          <w:spacing w:val="-3"/>
        </w:rPr>
        <w:t xml:space="preserve">of </w:t>
      </w:r>
      <w:r>
        <w:t>a PM cue (</w:t>
      </w:r>
      <w:r>
        <w:rPr>
          <w:i/>
        </w:rPr>
        <w:t xml:space="preserve">r </w:t>
      </w:r>
      <w:r>
        <w:t xml:space="preserve">= -.42). The findings of </w:t>
      </w:r>
      <w:proofErr w:type="spellStart"/>
      <w:r>
        <w:t>Kliegel</w:t>
      </w:r>
      <w:proofErr w:type="spellEnd"/>
      <w:r>
        <w:t xml:space="preserve"> et al. (2007) and Umeda et al. (2016) indicate that physiological processes might mediate PM performance by being associated with the noticing of PM target cues. Therefore, greater interoceptive accuracy might lead to a significantly greater amount of noticing PM cues and hence a higher probability of engaging </w:t>
      </w:r>
      <w:r>
        <w:t>in retrieving the associated intention content from</w:t>
      </w:r>
      <w:r>
        <w:rPr>
          <w:spacing w:val="1"/>
        </w:rPr>
        <w:t xml:space="preserve"> </w:t>
      </w:r>
      <w:r>
        <w:t>memory.</w:t>
      </w:r>
    </w:p>
    <w:p w14:paraId="0FB047A8" w14:textId="77777777" w:rsidR="00C75312" w:rsidRDefault="00BB293A">
      <w:pPr>
        <w:pStyle w:val="BodyText"/>
        <w:spacing w:before="121" w:line="480" w:lineRule="auto"/>
        <w:ind w:left="140" w:right="1429" w:firstLine="720"/>
        <w:jc w:val="both"/>
      </w:pPr>
      <w:r>
        <w:t>Importantly,</w:t>
      </w:r>
      <w:r>
        <w:rPr>
          <w:spacing w:val="-14"/>
        </w:rPr>
        <w:t xml:space="preserve"> </w:t>
      </w:r>
      <w:r>
        <w:t>physiological</w:t>
      </w:r>
      <w:r>
        <w:rPr>
          <w:spacing w:val="-15"/>
        </w:rPr>
        <w:t xml:space="preserve"> </w:t>
      </w:r>
      <w:r>
        <w:t>and</w:t>
      </w:r>
      <w:r>
        <w:rPr>
          <w:spacing w:val="-15"/>
        </w:rPr>
        <w:t xml:space="preserve"> </w:t>
      </w:r>
      <w:r>
        <w:t>interoceptive</w:t>
      </w:r>
      <w:r>
        <w:rPr>
          <w:spacing w:val="-12"/>
        </w:rPr>
        <w:t xml:space="preserve"> </w:t>
      </w:r>
      <w:r>
        <w:t>processes</w:t>
      </w:r>
      <w:r>
        <w:rPr>
          <w:spacing w:val="-13"/>
        </w:rPr>
        <w:t xml:space="preserve"> </w:t>
      </w:r>
      <w:r>
        <w:t>should</w:t>
      </w:r>
      <w:r>
        <w:rPr>
          <w:spacing w:val="-12"/>
        </w:rPr>
        <w:t xml:space="preserve"> </w:t>
      </w:r>
      <w:r>
        <w:t>also</w:t>
      </w:r>
      <w:r>
        <w:rPr>
          <w:spacing w:val="-10"/>
        </w:rPr>
        <w:t xml:space="preserve"> </w:t>
      </w:r>
      <w:r>
        <w:t>be</w:t>
      </w:r>
      <w:r>
        <w:rPr>
          <w:spacing w:val="-16"/>
        </w:rPr>
        <w:t xml:space="preserve"> </w:t>
      </w:r>
      <w:r>
        <w:t>relevant</w:t>
      </w:r>
      <w:r>
        <w:rPr>
          <w:spacing w:val="-11"/>
        </w:rPr>
        <w:t xml:space="preserve"> </w:t>
      </w:r>
      <w:r>
        <w:t>for</w:t>
      </w:r>
      <w:r>
        <w:rPr>
          <w:spacing w:val="-14"/>
        </w:rPr>
        <w:t xml:space="preserve"> </w:t>
      </w:r>
      <w:r>
        <w:t>time- based PM, although no study has so far explored this link. Originally it was proposed</w:t>
      </w:r>
      <w:r>
        <w:rPr>
          <w:spacing w:val="39"/>
        </w:rPr>
        <w:t xml:space="preserve"> </w:t>
      </w:r>
      <w:r>
        <w:t>that</w:t>
      </w:r>
    </w:p>
    <w:p w14:paraId="78B9B492" w14:textId="77777777" w:rsidR="00C75312" w:rsidRDefault="00C75312">
      <w:pPr>
        <w:spacing w:line="480" w:lineRule="auto"/>
        <w:jc w:val="both"/>
        <w:sectPr w:rsidR="00C75312">
          <w:pgSz w:w="11900" w:h="16840"/>
          <w:pgMar w:top="1140" w:right="0" w:bottom="280" w:left="1300" w:header="715" w:footer="0" w:gutter="0"/>
          <w:cols w:space="720"/>
        </w:sectPr>
      </w:pPr>
    </w:p>
    <w:p w14:paraId="07513C41" w14:textId="77777777" w:rsidR="00C75312" w:rsidRDefault="00C75312">
      <w:pPr>
        <w:pStyle w:val="BodyText"/>
        <w:spacing w:before="2"/>
        <w:rPr>
          <w:sz w:val="18"/>
        </w:rPr>
      </w:pPr>
    </w:p>
    <w:p w14:paraId="52813CCA" w14:textId="77777777" w:rsidR="00C75312" w:rsidRDefault="00BB293A">
      <w:pPr>
        <w:pStyle w:val="BodyText"/>
        <w:spacing w:before="90" w:line="480" w:lineRule="auto"/>
        <w:ind w:left="140" w:right="1426"/>
        <w:jc w:val="both"/>
      </w:pPr>
      <w:r>
        <w:t>physiological processes might influence time perception mediated through arousal effects (</w:t>
      </w:r>
      <w:proofErr w:type="spellStart"/>
      <w:r>
        <w:t>Mella</w:t>
      </w:r>
      <w:proofErr w:type="spellEnd"/>
      <w:r>
        <w:t xml:space="preserve">, Conty, &amp; </w:t>
      </w:r>
      <w:proofErr w:type="spellStart"/>
      <w:r>
        <w:t>Pouthas</w:t>
      </w:r>
      <w:proofErr w:type="spellEnd"/>
      <w:r>
        <w:t xml:space="preserve">, 2011; </w:t>
      </w:r>
      <w:proofErr w:type="spellStart"/>
      <w:r>
        <w:t>Pollatos</w:t>
      </w:r>
      <w:proofErr w:type="spellEnd"/>
      <w:r>
        <w:t xml:space="preserve">, </w:t>
      </w:r>
      <w:proofErr w:type="spellStart"/>
      <w:r>
        <w:t>Laubrock</w:t>
      </w:r>
      <w:proofErr w:type="spellEnd"/>
      <w:r>
        <w:t>, &amp; Wittmann, 2014; Wittmann, 2009). The common finding is that increased arousal modulates attention to time processing biasing time perception (usually resulting in overestimation of time). Craig (2009) has suggested that time perception may be directly related to physiological processes due to shared neural representations in the insular cortex. Using the pace-maker or attentional gate models of time perception/prospective timing (see Chapter 1), bodily si</w:t>
      </w:r>
      <w:r>
        <w:t>gnals may have a time-keeping function themselves, encoding duration by serving as direct input/beats into the pacemaker when timing an interval (Wittmann, 2009, 2013). Since then, several studies have explored how physiological signals (heart rate variability or skin conductance) as well as interoception relate to the perception of time. Several studies have reported positive associations between heart</w:t>
      </w:r>
      <w:r>
        <w:rPr>
          <w:spacing w:val="-9"/>
        </w:rPr>
        <w:t xml:space="preserve"> </w:t>
      </w:r>
      <w:r>
        <w:t>rate</w:t>
      </w:r>
      <w:r>
        <w:rPr>
          <w:spacing w:val="-15"/>
        </w:rPr>
        <w:t xml:space="preserve"> </w:t>
      </w:r>
      <w:r>
        <w:t>variability</w:t>
      </w:r>
      <w:r>
        <w:rPr>
          <w:spacing w:val="-13"/>
        </w:rPr>
        <w:t xml:space="preserve"> </w:t>
      </w:r>
      <w:r>
        <w:t>and</w:t>
      </w:r>
      <w:r>
        <w:rPr>
          <w:spacing w:val="-14"/>
        </w:rPr>
        <w:t xml:space="preserve"> </w:t>
      </w:r>
      <w:r>
        <w:t>time</w:t>
      </w:r>
      <w:r>
        <w:rPr>
          <w:spacing w:val="-15"/>
        </w:rPr>
        <w:t xml:space="preserve"> </w:t>
      </w:r>
      <w:r>
        <w:t>perception</w:t>
      </w:r>
      <w:r>
        <w:rPr>
          <w:spacing w:val="-13"/>
        </w:rPr>
        <w:t xml:space="preserve"> </w:t>
      </w:r>
      <w:r>
        <w:t>(Cellini</w:t>
      </w:r>
      <w:r>
        <w:rPr>
          <w:spacing w:val="-14"/>
        </w:rPr>
        <w:t xml:space="preserve"> </w:t>
      </w:r>
      <w:r>
        <w:t>et</w:t>
      </w:r>
      <w:r>
        <w:rPr>
          <w:spacing w:val="-18"/>
        </w:rPr>
        <w:t xml:space="preserve"> </w:t>
      </w:r>
      <w:r>
        <w:t>al.,</w:t>
      </w:r>
      <w:r>
        <w:rPr>
          <w:spacing w:val="-12"/>
        </w:rPr>
        <w:t xml:space="preserve"> </w:t>
      </w:r>
      <w:r>
        <w:t>2015;</w:t>
      </w:r>
      <w:r>
        <w:rPr>
          <w:spacing w:val="-14"/>
        </w:rPr>
        <w:t xml:space="preserve"> </w:t>
      </w:r>
      <w:r>
        <w:t>Fung,</w:t>
      </w:r>
      <w:r>
        <w:rPr>
          <w:spacing w:val="-11"/>
        </w:rPr>
        <w:t xml:space="preserve"> </w:t>
      </w:r>
      <w:r>
        <w:t>Crone,</w:t>
      </w:r>
      <w:r>
        <w:rPr>
          <w:spacing w:val="-12"/>
        </w:rPr>
        <w:t xml:space="preserve"> </w:t>
      </w:r>
      <w:r>
        <w:t>Bode,</w:t>
      </w:r>
      <w:r>
        <w:rPr>
          <w:spacing w:val="-7"/>
        </w:rPr>
        <w:t xml:space="preserve"> </w:t>
      </w:r>
      <w:r>
        <w:t>&amp;</w:t>
      </w:r>
      <w:r>
        <w:rPr>
          <w:spacing w:val="-13"/>
        </w:rPr>
        <w:t xml:space="preserve"> </w:t>
      </w:r>
      <w:r>
        <w:t xml:space="preserve">Murawski, 2017; </w:t>
      </w:r>
      <w:proofErr w:type="spellStart"/>
      <w:r>
        <w:t>Pollatos</w:t>
      </w:r>
      <w:proofErr w:type="spellEnd"/>
      <w:r>
        <w:t xml:space="preserve">, </w:t>
      </w:r>
      <w:proofErr w:type="spellStart"/>
      <w:r>
        <w:t>Laubrock</w:t>
      </w:r>
      <w:proofErr w:type="spellEnd"/>
      <w:r>
        <w:t>, et al., 2014). Importantly there is also some evidence supporting a link between interoceptive accuracy and prospective timing estimates involved in time-based PM. For instance, Meissner and Wittmann (2011) found that greater interoceptive accuracy was associated with higher accuracy in a time reproduction task, which required participants to</w:t>
      </w:r>
      <w:r>
        <w:rPr>
          <w:spacing w:val="-14"/>
        </w:rPr>
        <w:t xml:space="preserve"> </w:t>
      </w:r>
      <w:r>
        <w:t>reproduce</w:t>
      </w:r>
      <w:r>
        <w:rPr>
          <w:spacing w:val="-14"/>
        </w:rPr>
        <w:t xml:space="preserve"> </w:t>
      </w:r>
      <w:r>
        <w:t>durations</w:t>
      </w:r>
      <w:r>
        <w:rPr>
          <w:spacing w:val="-17"/>
        </w:rPr>
        <w:t xml:space="preserve"> </w:t>
      </w:r>
      <w:r>
        <w:t>by</w:t>
      </w:r>
      <w:r>
        <w:rPr>
          <w:spacing w:val="-18"/>
        </w:rPr>
        <w:t xml:space="preserve"> </w:t>
      </w:r>
      <w:r>
        <w:t>indicating</w:t>
      </w:r>
      <w:r>
        <w:rPr>
          <w:spacing w:val="-14"/>
        </w:rPr>
        <w:t xml:space="preserve"> </w:t>
      </w:r>
      <w:r>
        <w:t>when</w:t>
      </w:r>
      <w:r>
        <w:rPr>
          <w:spacing w:val="-13"/>
        </w:rPr>
        <w:t xml:space="preserve"> </w:t>
      </w:r>
      <w:r>
        <w:t>a</w:t>
      </w:r>
      <w:r>
        <w:rPr>
          <w:spacing w:val="-15"/>
        </w:rPr>
        <w:t xml:space="preserve"> </w:t>
      </w:r>
      <w:r>
        <w:t>comparison</w:t>
      </w:r>
      <w:r>
        <w:rPr>
          <w:spacing w:val="-13"/>
        </w:rPr>
        <w:t xml:space="preserve"> </w:t>
      </w:r>
      <w:r>
        <w:t>tone</w:t>
      </w:r>
      <w:r>
        <w:rPr>
          <w:spacing w:val="-15"/>
        </w:rPr>
        <w:t xml:space="preserve"> </w:t>
      </w:r>
      <w:r>
        <w:t>was</w:t>
      </w:r>
      <w:r>
        <w:rPr>
          <w:spacing w:val="-16"/>
        </w:rPr>
        <w:t xml:space="preserve"> </w:t>
      </w:r>
      <w:r>
        <w:t>the</w:t>
      </w:r>
      <w:r>
        <w:rPr>
          <w:spacing w:val="-15"/>
        </w:rPr>
        <w:t xml:space="preserve"> </w:t>
      </w:r>
      <w:r>
        <w:t>same</w:t>
      </w:r>
      <w:r>
        <w:rPr>
          <w:spacing w:val="-14"/>
        </w:rPr>
        <w:t xml:space="preserve"> </w:t>
      </w:r>
      <w:r>
        <w:t>length</w:t>
      </w:r>
      <w:r>
        <w:rPr>
          <w:spacing w:val="-14"/>
        </w:rPr>
        <w:t xml:space="preserve"> </w:t>
      </w:r>
      <w:r>
        <w:t>as</w:t>
      </w:r>
      <w:r>
        <w:rPr>
          <w:spacing w:val="-16"/>
        </w:rPr>
        <w:t xml:space="preserve"> </w:t>
      </w:r>
      <w:r>
        <w:t>an</w:t>
      </w:r>
      <w:r>
        <w:rPr>
          <w:spacing w:val="-14"/>
        </w:rPr>
        <w:t xml:space="preserve"> </w:t>
      </w:r>
      <w:r>
        <w:t>initially presented first tone (</w:t>
      </w:r>
      <w:r>
        <w:rPr>
          <w:i/>
        </w:rPr>
        <w:t xml:space="preserve">r </w:t>
      </w:r>
      <w:r>
        <w:t>= .45). Furthe</w:t>
      </w:r>
      <w:r>
        <w:t xml:space="preserve">rmore, </w:t>
      </w:r>
      <w:proofErr w:type="spellStart"/>
      <w:r>
        <w:t>Pollatos</w:t>
      </w:r>
      <w:proofErr w:type="spellEnd"/>
      <w:r>
        <w:t xml:space="preserve">, </w:t>
      </w:r>
      <w:proofErr w:type="spellStart"/>
      <w:r>
        <w:t>Yeldesbay</w:t>
      </w:r>
      <w:proofErr w:type="spellEnd"/>
      <w:r>
        <w:t xml:space="preserve">, </w:t>
      </w:r>
      <w:proofErr w:type="spellStart"/>
      <w:r>
        <w:t>Pikovsky</w:t>
      </w:r>
      <w:proofErr w:type="spellEnd"/>
      <w:r>
        <w:t>, and Rosenblum (2014) found heart rate variability associated with both interoceptive accuracy and time reproduction. In sum, the above evidence supports the idea that interoception may not only be associated with event-based PM but also time-based PM</w:t>
      </w:r>
      <w:r>
        <w:rPr>
          <w:spacing w:val="5"/>
        </w:rPr>
        <w:t xml:space="preserve"> </w:t>
      </w:r>
      <w:r>
        <w:t>processes.</w:t>
      </w:r>
    </w:p>
    <w:p w14:paraId="4305ED8B" w14:textId="77777777" w:rsidR="00C75312" w:rsidRDefault="00BB293A">
      <w:pPr>
        <w:pStyle w:val="BodyText"/>
        <w:spacing w:before="121" w:line="480" w:lineRule="auto"/>
        <w:ind w:left="140" w:right="1427" w:firstLine="720"/>
        <w:jc w:val="both"/>
      </w:pPr>
      <w:r>
        <w:t xml:space="preserve">A personality trait that is thought </w:t>
      </w:r>
      <w:r>
        <w:rPr>
          <w:spacing w:val="-3"/>
        </w:rPr>
        <w:t xml:space="preserve">to </w:t>
      </w:r>
      <w:r>
        <w:t xml:space="preserve">be inversely associated with interoception is alexithymia. Alexithymia is </w:t>
      </w:r>
      <w:proofErr w:type="spellStart"/>
      <w:r>
        <w:t>characterised</w:t>
      </w:r>
      <w:proofErr w:type="spellEnd"/>
      <w:r>
        <w:t xml:space="preserve"> by difficulties in describing and identifying emotions,</w:t>
      </w:r>
      <w:r>
        <w:rPr>
          <w:spacing w:val="-4"/>
        </w:rPr>
        <w:t xml:space="preserve"> </w:t>
      </w:r>
      <w:r>
        <w:t>distinguishing</w:t>
      </w:r>
      <w:r>
        <w:rPr>
          <w:spacing w:val="-6"/>
        </w:rPr>
        <w:t xml:space="preserve"> </w:t>
      </w:r>
      <w:r>
        <w:t>between</w:t>
      </w:r>
      <w:r>
        <w:rPr>
          <w:spacing w:val="-6"/>
        </w:rPr>
        <w:t xml:space="preserve"> </w:t>
      </w:r>
      <w:r>
        <w:t>emotions</w:t>
      </w:r>
      <w:r>
        <w:rPr>
          <w:spacing w:val="-9"/>
        </w:rPr>
        <w:t xml:space="preserve"> </w:t>
      </w:r>
      <w:r>
        <w:t>and</w:t>
      </w:r>
      <w:r>
        <w:rPr>
          <w:spacing w:val="-6"/>
        </w:rPr>
        <w:t xml:space="preserve"> </w:t>
      </w:r>
      <w:r>
        <w:t>physiological</w:t>
      </w:r>
      <w:r>
        <w:rPr>
          <w:spacing w:val="-5"/>
        </w:rPr>
        <w:t xml:space="preserve"> </w:t>
      </w:r>
      <w:r>
        <w:t>sensations</w:t>
      </w:r>
      <w:r>
        <w:rPr>
          <w:spacing w:val="-8"/>
        </w:rPr>
        <w:t xml:space="preserve"> </w:t>
      </w:r>
      <w:r>
        <w:t>of</w:t>
      </w:r>
      <w:r>
        <w:rPr>
          <w:spacing w:val="-5"/>
        </w:rPr>
        <w:t xml:space="preserve"> </w:t>
      </w:r>
      <w:r>
        <w:t>emotional</w:t>
      </w:r>
      <w:r>
        <w:rPr>
          <w:spacing w:val="-5"/>
        </w:rPr>
        <w:t xml:space="preserve"> </w:t>
      </w:r>
      <w:r>
        <w:t>arousal, as</w:t>
      </w:r>
      <w:r>
        <w:rPr>
          <w:spacing w:val="27"/>
        </w:rPr>
        <w:t xml:space="preserve"> </w:t>
      </w:r>
      <w:r>
        <w:t>well</w:t>
      </w:r>
      <w:r>
        <w:rPr>
          <w:spacing w:val="29"/>
        </w:rPr>
        <w:t xml:space="preserve"> </w:t>
      </w:r>
      <w:r>
        <w:t>as</w:t>
      </w:r>
      <w:r>
        <w:rPr>
          <w:spacing w:val="27"/>
        </w:rPr>
        <w:t xml:space="preserve"> </w:t>
      </w:r>
      <w:r>
        <w:t>problems</w:t>
      </w:r>
      <w:r>
        <w:rPr>
          <w:spacing w:val="27"/>
        </w:rPr>
        <w:t xml:space="preserve"> </w:t>
      </w:r>
      <w:r>
        <w:t>in</w:t>
      </w:r>
      <w:r>
        <w:rPr>
          <w:spacing w:val="29"/>
        </w:rPr>
        <w:t xml:space="preserve"> </w:t>
      </w:r>
      <w:r>
        <w:t>thinking</w:t>
      </w:r>
      <w:r>
        <w:rPr>
          <w:spacing w:val="29"/>
        </w:rPr>
        <w:t xml:space="preserve"> </w:t>
      </w:r>
      <w:r>
        <w:t>about</w:t>
      </w:r>
      <w:r>
        <w:rPr>
          <w:spacing w:val="29"/>
        </w:rPr>
        <w:t xml:space="preserve"> </w:t>
      </w:r>
      <w:r>
        <w:t>one’s</w:t>
      </w:r>
      <w:r>
        <w:rPr>
          <w:spacing w:val="27"/>
        </w:rPr>
        <w:t xml:space="preserve"> </w:t>
      </w:r>
      <w:r>
        <w:t>own</w:t>
      </w:r>
      <w:r>
        <w:rPr>
          <w:spacing w:val="29"/>
        </w:rPr>
        <w:t xml:space="preserve"> </w:t>
      </w:r>
      <w:r>
        <w:t>emotional</w:t>
      </w:r>
      <w:r>
        <w:rPr>
          <w:spacing w:val="29"/>
        </w:rPr>
        <w:t xml:space="preserve"> </w:t>
      </w:r>
      <w:r>
        <w:t>state</w:t>
      </w:r>
      <w:r>
        <w:rPr>
          <w:spacing w:val="28"/>
        </w:rPr>
        <w:t xml:space="preserve"> </w:t>
      </w:r>
      <w:r>
        <w:t>resulting</w:t>
      </w:r>
      <w:r>
        <w:rPr>
          <w:spacing w:val="29"/>
        </w:rPr>
        <w:t xml:space="preserve"> </w:t>
      </w:r>
      <w:r>
        <w:t>in</w:t>
      </w:r>
      <w:r>
        <w:rPr>
          <w:spacing w:val="29"/>
        </w:rPr>
        <w:t xml:space="preserve"> </w:t>
      </w:r>
      <w:r>
        <w:t>an</w:t>
      </w:r>
      <w:r>
        <w:rPr>
          <w:spacing w:val="29"/>
        </w:rPr>
        <w:t xml:space="preserve"> </w:t>
      </w:r>
      <w:r>
        <w:t>externally</w:t>
      </w:r>
    </w:p>
    <w:p w14:paraId="5576D75E" w14:textId="77777777" w:rsidR="00C75312" w:rsidRDefault="00C75312">
      <w:pPr>
        <w:spacing w:line="480" w:lineRule="auto"/>
        <w:jc w:val="both"/>
        <w:sectPr w:rsidR="00C75312">
          <w:pgSz w:w="11900" w:h="16840"/>
          <w:pgMar w:top="1140" w:right="0" w:bottom="280" w:left="1300" w:header="715" w:footer="0" w:gutter="0"/>
          <w:cols w:space="720"/>
        </w:sectPr>
      </w:pPr>
    </w:p>
    <w:p w14:paraId="4B31243D" w14:textId="77777777" w:rsidR="00C75312" w:rsidRDefault="00C75312">
      <w:pPr>
        <w:pStyle w:val="BodyText"/>
        <w:spacing w:before="2"/>
        <w:rPr>
          <w:sz w:val="18"/>
        </w:rPr>
      </w:pPr>
    </w:p>
    <w:p w14:paraId="37481200" w14:textId="77777777" w:rsidR="00C75312" w:rsidRDefault="00BB293A">
      <w:pPr>
        <w:pStyle w:val="BodyText"/>
        <w:spacing w:before="90" w:line="480" w:lineRule="auto"/>
        <w:ind w:left="140" w:right="1427"/>
        <w:jc w:val="both"/>
      </w:pPr>
      <w:r>
        <w:t>oriented cognitive style (Larsen, Brand, Bermond, &amp; Hijman, 2003; Taylor, 2000). As reviewed</w:t>
      </w:r>
      <w:r>
        <w:rPr>
          <w:spacing w:val="-6"/>
        </w:rPr>
        <w:t xml:space="preserve"> </w:t>
      </w:r>
      <w:r>
        <w:t>by</w:t>
      </w:r>
      <w:r>
        <w:rPr>
          <w:spacing w:val="-10"/>
        </w:rPr>
        <w:t xml:space="preserve"> </w:t>
      </w:r>
      <w:r>
        <w:t>Taylor</w:t>
      </w:r>
      <w:r>
        <w:rPr>
          <w:spacing w:val="-8"/>
        </w:rPr>
        <w:t xml:space="preserve"> </w:t>
      </w:r>
      <w:r>
        <w:t>(2000),</w:t>
      </w:r>
      <w:r>
        <w:rPr>
          <w:spacing w:val="-7"/>
        </w:rPr>
        <w:t xml:space="preserve"> </w:t>
      </w:r>
      <w:r>
        <w:t>individuals</w:t>
      </w:r>
      <w:r>
        <w:rPr>
          <w:spacing w:val="-7"/>
        </w:rPr>
        <w:t xml:space="preserve"> </w:t>
      </w:r>
      <w:r>
        <w:t>high</w:t>
      </w:r>
      <w:r>
        <w:rPr>
          <w:spacing w:val="-10"/>
        </w:rPr>
        <w:t xml:space="preserve"> </w:t>
      </w:r>
      <w:r>
        <w:t>in</w:t>
      </w:r>
      <w:r>
        <w:rPr>
          <w:spacing w:val="-10"/>
        </w:rPr>
        <w:t xml:space="preserve"> </w:t>
      </w:r>
      <w:proofErr w:type="spellStart"/>
      <w:r>
        <w:t>alexithymic</w:t>
      </w:r>
      <w:proofErr w:type="spellEnd"/>
      <w:r>
        <w:rPr>
          <w:spacing w:val="-6"/>
        </w:rPr>
        <w:t xml:space="preserve"> </w:t>
      </w:r>
      <w:r>
        <w:t>traits</w:t>
      </w:r>
      <w:r>
        <w:rPr>
          <w:spacing w:val="-7"/>
        </w:rPr>
        <w:t xml:space="preserve"> </w:t>
      </w:r>
      <w:r>
        <w:t>show</w:t>
      </w:r>
      <w:r>
        <w:rPr>
          <w:spacing w:val="-10"/>
        </w:rPr>
        <w:t xml:space="preserve"> </w:t>
      </w:r>
      <w:r>
        <w:t>deficits</w:t>
      </w:r>
      <w:r>
        <w:rPr>
          <w:spacing w:val="-12"/>
        </w:rPr>
        <w:t xml:space="preserve"> </w:t>
      </w:r>
      <w:r>
        <w:t>in</w:t>
      </w:r>
      <w:r>
        <w:rPr>
          <w:spacing w:val="-10"/>
        </w:rPr>
        <w:t xml:space="preserve"> </w:t>
      </w:r>
      <w:r>
        <w:t>the</w:t>
      </w:r>
      <w:r>
        <w:rPr>
          <w:spacing w:val="-11"/>
        </w:rPr>
        <w:t xml:space="preserve"> </w:t>
      </w:r>
      <w:r>
        <w:t xml:space="preserve">cognitive processing and regulation </w:t>
      </w:r>
      <w:r>
        <w:rPr>
          <w:spacing w:val="-3"/>
        </w:rPr>
        <w:t xml:space="preserve">of </w:t>
      </w:r>
      <w:r>
        <w:t>emotions, as evidenced by poorer emotion regulation, low “emotional intelligence”, and reduced emotional awareness. Importantly, the interpretation</w:t>
      </w:r>
      <w:r>
        <w:rPr>
          <w:spacing w:val="-38"/>
        </w:rPr>
        <w:t xml:space="preserve"> </w:t>
      </w:r>
      <w:r>
        <w:t>of bodily signals is involved in the identification of one’s emotions and emotional awareness (Craig,</w:t>
      </w:r>
      <w:r>
        <w:rPr>
          <w:spacing w:val="-8"/>
        </w:rPr>
        <w:t xml:space="preserve"> </w:t>
      </w:r>
      <w:r>
        <w:t>2009);</w:t>
      </w:r>
      <w:r>
        <w:rPr>
          <w:spacing w:val="-10"/>
        </w:rPr>
        <w:t xml:space="preserve"> </w:t>
      </w:r>
      <w:r>
        <w:t>e.g.,</w:t>
      </w:r>
      <w:r>
        <w:rPr>
          <w:spacing w:val="-8"/>
        </w:rPr>
        <w:t xml:space="preserve"> </w:t>
      </w:r>
      <w:r>
        <w:t>NT</w:t>
      </w:r>
      <w:r>
        <w:rPr>
          <w:spacing w:val="-8"/>
        </w:rPr>
        <w:t xml:space="preserve"> </w:t>
      </w:r>
      <w:r>
        <w:t>individuals</w:t>
      </w:r>
      <w:r>
        <w:rPr>
          <w:spacing w:val="-7"/>
        </w:rPr>
        <w:t xml:space="preserve"> </w:t>
      </w:r>
      <w:r>
        <w:t>with</w:t>
      </w:r>
      <w:r>
        <w:rPr>
          <w:spacing w:val="-11"/>
        </w:rPr>
        <w:t xml:space="preserve"> </w:t>
      </w:r>
      <w:r>
        <w:t>better</w:t>
      </w:r>
      <w:r>
        <w:rPr>
          <w:spacing w:val="-9"/>
        </w:rPr>
        <w:t xml:space="preserve"> </w:t>
      </w:r>
      <w:r>
        <w:t>interoceptive</w:t>
      </w:r>
      <w:r>
        <w:rPr>
          <w:spacing w:val="-7"/>
        </w:rPr>
        <w:t xml:space="preserve"> </w:t>
      </w:r>
      <w:r>
        <w:t>accuracy</w:t>
      </w:r>
      <w:r>
        <w:rPr>
          <w:spacing w:val="-6"/>
        </w:rPr>
        <w:t xml:space="preserve"> </w:t>
      </w:r>
      <w:r>
        <w:t>seem</w:t>
      </w:r>
      <w:r>
        <w:rPr>
          <w:spacing w:val="-5"/>
        </w:rPr>
        <w:t xml:space="preserve"> </w:t>
      </w:r>
      <w:r>
        <w:t>to</w:t>
      </w:r>
      <w:r>
        <w:rPr>
          <w:spacing w:val="-10"/>
        </w:rPr>
        <w:t xml:space="preserve"> </w:t>
      </w:r>
      <w:r>
        <w:t>experience</w:t>
      </w:r>
      <w:r>
        <w:rPr>
          <w:spacing w:val="-7"/>
        </w:rPr>
        <w:t xml:space="preserve"> </w:t>
      </w:r>
      <w:r>
        <w:t xml:space="preserve">more intense emotional experiences (Critchley, Wiens, </w:t>
      </w:r>
      <w:proofErr w:type="spellStart"/>
      <w:r>
        <w:t>Rotshtei</w:t>
      </w:r>
      <w:r>
        <w:t>n</w:t>
      </w:r>
      <w:proofErr w:type="spellEnd"/>
      <w:r>
        <w:t>, Öhman, &amp; Dolan, 2004;</w:t>
      </w:r>
      <w:r>
        <w:rPr>
          <w:spacing w:val="-33"/>
        </w:rPr>
        <w:t xml:space="preserve"> </w:t>
      </w:r>
      <w:proofErr w:type="spellStart"/>
      <w:r>
        <w:t>Pollatos</w:t>
      </w:r>
      <w:proofErr w:type="spellEnd"/>
      <w:r>
        <w:t xml:space="preserve">, Traut-Mattausch, Schroeder, &amp; </w:t>
      </w:r>
      <w:proofErr w:type="spellStart"/>
      <w:r>
        <w:t>Schandry</w:t>
      </w:r>
      <w:proofErr w:type="spellEnd"/>
      <w:r>
        <w:t xml:space="preserve">, 2007). Consequently, it seems plausible that reduced cognitive-affective processing in alexithymia should be accompanied by decreased interoceptive processing. Based on associations found between interoceptive sensibility (R. Brewer, Cook, &amp; Bird, 2016), as well as interoceptive accuracy (Herbert, Herbert, &amp; </w:t>
      </w:r>
      <w:proofErr w:type="spellStart"/>
      <w:r>
        <w:t>Pollatos</w:t>
      </w:r>
      <w:proofErr w:type="spellEnd"/>
      <w:r>
        <w:t xml:space="preserve">, 2011), and levels alexithymia, researchers have suggested that alexithymia is </w:t>
      </w:r>
      <w:proofErr w:type="spellStart"/>
      <w:r>
        <w:t>characterised</w:t>
      </w:r>
      <w:proofErr w:type="spellEnd"/>
      <w:r>
        <w:t xml:space="preserve"> by a </w:t>
      </w:r>
      <w:proofErr w:type="spellStart"/>
      <w:r>
        <w:t>generalised</w:t>
      </w:r>
      <w:proofErr w:type="spellEnd"/>
      <w:r>
        <w:t xml:space="preserve"> impairme</w:t>
      </w:r>
      <w:r>
        <w:t xml:space="preserve">nt </w:t>
      </w:r>
      <w:r>
        <w:rPr>
          <w:spacing w:val="-3"/>
        </w:rPr>
        <w:t>of</w:t>
      </w:r>
      <w:r>
        <w:rPr>
          <w:spacing w:val="8"/>
        </w:rPr>
        <w:t xml:space="preserve"> </w:t>
      </w:r>
      <w:r>
        <w:t>interoception.</w:t>
      </w:r>
    </w:p>
    <w:p w14:paraId="62E75BAC" w14:textId="77777777" w:rsidR="00C75312" w:rsidRDefault="00BB293A">
      <w:pPr>
        <w:pStyle w:val="BodyText"/>
        <w:spacing w:before="120" w:line="480" w:lineRule="auto"/>
        <w:ind w:left="140" w:right="1429" w:firstLine="720"/>
        <w:jc w:val="both"/>
      </w:pPr>
      <w:r>
        <w:t xml:space="preserve">These findings might further inform our understanding of PM both in typical and atypical development. If interoceptive abilities drive the level of </w:t>
      </w:r>
      <w:proofErr w:type="spellStart"/>
      <w:r>
        <w:t>alexithymic</w:t>
      </w:r>
      <w:proofErr w:type="spellEnd"/>
      <w:r>
        <w:t xml:space="preserve"> traits, then one would expect that alexithymia is linked to cognitive abilities that are associated with interoception. For the study of PM, the association between alexithymia and interoception suggests that difficulties with PM might be the result of high alexithymia traits mediating the effective use of interoceptive signals to influence the detection of and readiness to respond to PM cues. Importantly, a neurodevelopmental disorder which is </w:t>
      </w:r>
      <w:proofErr w:type="spellStart"/>
      <w:r>
        <w:t>characterised</w:t>
      </w:r>
      <w:proofErr w:type="spellEnd"/>
      <w:r>
        <w:t xml:space="preserve"> by specific impairments of PM (impair</w:t>
      </w:r>
      <w:r>
        <w:t xml:space="preserve">ed time-based but undiminished event-based PM, see Chapter 1) and a high prevalence </w:t>
      </w:r>
      <w:r>
        <w:rPr>
          <w:spacing w:val="-3"/>
        </w:rPr>
        <w:t xml:space="preserve">of </w:t>
      </w:r>
      <w:r>
        <w:t>alexithymia (</w:t>
      </w:r>
      <w:proofErr w:type="spellStart"/>
      <w:r>
        <w:t>Berthoz</w:t>
      </w:r>
      <w:proofErr w:type="spellEnd"/>
      <w:r>
        <w:t xml:space="preserve"> &amp; Hill, 2005; Hill, </w:t>
      </w:r>
      <w:proofErr w:type="spellStart"/>
      <w:r>
        <w:t>Berthoz</w:t>
      </w:r>
      <w:proofErr w:type="spellEnd"/>
      <w:r>
        <w:t xml:space="preserve">, &amp; Frith, 2004) is ASD. A recently emerging view is that many social-affective difficulties (difficulties with empathy and emotion processing) observed in </w:t>
      </w:r>
      <w:r>
        <w:rPr>
          <w:spacing w:val="-4"/>
        </w:rPr>
        <w:t xml:space="preserve">ASD </w:t>
      </w:r>
      <w:r>
        <w:t>are not core features of ASD, but rather the</w:t>
      </w:r>
      <w:r>
        <w:rPr>
          <w:spacing w:val="-12"/>
        </w:rPr>
        <w:t xml:space="preserve"> </w:t>
      </w:r>
      <w:r>
        <w:t>result</w:t>
      </w:r>
      <w:r>
        <w:rPr>
          <w:spacing w:val="-9"/>
        </w:rPr>
        <w:t xml:space="preserve"> </w:t>
      </w:r>
      <w:r>
        <w:t>of</w:t>
      </w:r>
      <w:r>
        <w:rPr>
          <w:spacing w:val="-13"/>
        </w:rPr>
        <w:t xml:space="preserve"> </w:t>
      </w:r>
      <w:r>
        <w:t>high</w:t>
      </w:r>
      <w:r>
        <w:rPr>
          <w:spacing w:val="-14"/>
        </w:rPr>
        <w:t xml:space="preserve"> </w:t>
      </w:r>
      <w:r>
        <w:t>levels</w:t>
      </w:r>
      <w:r>
        <w:rPr>
          <w:spacing w:val="-12"/>
        </w:rPr>
        <w:t xml:space="preserve"> </w:t>
      </w:r>
      <w:r>
        <w:t>of</w:t>
      </w:r>
      <w:r>
        <w:rPr>
          <w:spacing w:val="-13"/>
        </w:rPr>
        <w:t xml:space="preserve"> </w:t>
      </w:r>
      <w:r>
        <w:t>alexithymia</w:t>
      </w:r>
      <w:r>
        <w:rPr>
          <w:spacing w:val="-10"/>
        </w:rPr>
        <w:t xml:space="preserve"> </w:t>
      </w:r>
      <w:r>
        <w:t>(the</w:t>
      </w:r>
      <w:r>
        <w:rPr>
          <w:spacing w:val="-11"/>
        </w:rPr>
        <w:t xml:space="preserve"> </w:t>
      </w:r>
      <w:r>
        <w:t>“alexithymia</w:t>
      </w:r>
      <w:r>
        <w:rPr>
          <w:spacing w:val="-12"/>
        </w:rPr>
        <w:t xml:space="preserve"> </w:t>
      </w:r>
      <w:r>
        <w:t>hypothesis”;</w:t>
      </w:r>
      <w:r>
        <w:rPr>
          <w:spacing w:val="-9"/>
        </w:rPr>
        <w:t xml:space="preserve"> </w:t>
      </w:r>
      <w:r>
        <w:t>Bird</w:t>
      </w:r>
      <w:r>
        <w:rPr>
          <w:spacing w:val="-10"/>
        </w:rPr>
        <w:t xml:space="preserve"> </w:t>
      </w:r>
      <w:r>
        <w:t>&amp;</w:t>
      </w:r>
      <w:r>
        <w:rPr>
          <w:spacing w:val="-14"/>
        </w:rPr>
        <w:t xml:space="preserve"> </w:t>
      </w:r>
      <w:r>
        <w:t>Cook,</w:t>
      </w:r>
      <w:r>
        <w:rPr>
          <w:spacing w:val="-7"/>
        </w:rPr>
        <w:t xml:space="preserve"> </w:t>
      </w:r>
      <w:r>
        <w:t>2013;</w:t>
      </w:r>
      <w:r>
        <w:rPr>
          <w:spacing w:val="-14"/>
        </w:rPr>
        <w:t xml:space="preserve"> </w:t>
      </w:r>
      <w:r>
        <w:t>Bird</w:t>
      </w:r>
    </w:p>
    <w:p w14:paraId="60B4AEDF" w14:textId="77777777" w:rsidR="00C75312" w:rsidRDefault="00C75312">
      <w:pPr>
        <w:spacing w:line="480" w:lineRule="auto"/>
        <w:jc w:val="both"/>
        <w:sectPr w:rsidR="00C75312">
          <w:pgSz w:w="11900" w:h="16840"/>
          <w:pgMar w:top="1140" w:right="0" w:bottom="280" w:left="1300" w:header="715" w:footer="0" w:gutter="0"/>
          <w:cols w:space="720"/>
        </w:sectPr>
      </w:pPr>
    </w:p>
    <w:p w14:paraId="0EA5959A" w14:textId="77777777" w:rsidR="00C75312" w:rsidRDefault="00C75312">
      <w:pPr>
        <w:pStyle w:val="BodyText"/>
        <w:spacing w:before="2"/>
        <w:rPr>
          <w:sz w:val="18"/>
        </w:rPr>
      </w:pPr>
    </w:p>
    <w:p w14:paraId="016900B4" w14:textId="77777777" w:rsidR="00C75312" w:rsidRDefault="00BB293A">
      <w:pPr>
        <w:pStyle w:val="BodyText"/>
        <w:spacing w:before="90" w:line="480" w:lineRule="auto"/>
        <w:ind w:left="140" w:right="1428"/>
        <w:jc w:val="both"/>
      </w:pPr>
      <w:r>
        <w:t xml:space="preserve">et al, 2010; Cook, Brewer, Shah, &amp; Bird, 2013; Milosavljevic et al. 2016). Furthermore, there is tentative evidence for diminished interoceptive accuracy in ASD (for a review DuBois, </w:t>
      </w:r>
      <w:proofErr w:type="spellStart"/>
      <w:r>
        <w:t>Ameis</w:t>
      </w:r>
      <w:proofErr w:type="spellEnd"/>
      <w:r>
        <w:t xml:space="preserve">, Lai, Casanova, &amp; </w:t>
      </w:r>
      <w:proofErr w:type="spellStart"/>
      <w:r>
        <w:t>Desarkar</w:t>
      </w:r>
      <w:proofErr w:type="spellEnd"/>
      <w:r>
        <w:t xml:space="preserve">, 2016). However, there is some debate whether interoceptive difficulties are specific to ASD </w:t>
      </w:r>
      <w:r>
        <w:rPr>
          <w:spacing w:val="-3"/>
        </w:rPr>
        <w:t xml:space="preserve">or </w:t>
      </w:r>
      <w:r>
        <w:t xml:space="preserve">due to alexithymia (Shah, Hall, et al., 2016). In their study, Shah et al. (2016) asked participants to count their own heartbeats using </w:t>
      </w:r>
      <w:proofErr w:type="spellStart"/>
      <w:r>
        <w:t>Schandry’s</w:t>
      </w:r>
      <w:proofErr w:type="spellEnd"/>
      <w:r>
        <w:rPr>
          <w:spacing w:val="-12"/>
        </w:rPr>
        <w:t xml:space="preserve"> </w:t>
      </w:r>
      <w:r>
        <w:t>(1981)</w:t>
      </w:r>
      <w:r>
        <w:rPr>
          <w:spacing w:val="-13"/>
        </w:rPr>
        <w:t xml:space="preserve"> </w:t>
      </w:r>
      <w:r>
        <w:t>heartbeat</w:t>
      </w:r>
      <w:r>
        <w:rPr>
          <w:spacing w:val="-8"/>
        </w:rPr>
        <w:t xml:space="preserve"> </w:t>
      </w:r>
      <w:r>
        <w:t>detection</w:t>
      </w:r>
      <w:r>
        <w:rPr>
          <w:spacing w:val="-14"/>
        </w:rPr>
        <w:t xml:space="preserve"> </w:t>
      </w:r>
      <w:r>
        <w:t>task.</w:t>
      </w:r>
      <w:r>
        <w:rPr>
          <w:spacing w:val="40"/>
        </w:rPr>
        <w:t xml:space="preserve"> </w:t>
      </w:r>
      <w:r>
        <w:t>Crucially,</w:t>
      </w:r>
      <w:r>
        <w:rPr>
          <w:spacing w:val="-7"/>
        </w:rPr>
        <w:t xml:space="preserve"> </w:t>
      </w:r>
      <w:r>
        <w:rPr>
          <w:spacing w:val="-3"/>
        </w:rPr>
        <w:t>NT</w:t>
      </w:r>
      <w:r>
        <w:rPr>
          <w:spacing w:val="-7"/>
        </w:rPr>
        <w:t xml:space="preserve"> </w:t>
      </w:r>
      <w:r>
        <w:t>and</w:t>
      </w:r>
      <w:r>
        <w:rPr>
          <w:spacing w:val="-13"/>
        </w:rPr>
        <w:t xml:space="preserve"> </w:t>
      </w:r>
      <w:r>
        <w:t>ASD</w:t>
      </w:r>
      <w:r>
        <w:rPr>
          <w:spacing w:val="-10"/>
        </w:rPr>
        <w:t xml:space="preserve"> </w:t>
      </w:r>
      <w:r>
        <w:t>participants</w:t>
      </w:r>
      <w:r>
        <w:rPr>
          <w:spacing w:val="-11"/>
        </w:rPr>
        <w:t xml:space="preserve"> </w:t>
      </w:r>
      <w:r>
        <w:t>were</w:t>
      </w:r>
      <w:r>
        <w:rPr>
          <w:spacing w:val="-15"/>
        </w:rPr>
        <w:t xml:space="preserve"> </w:t>
      </w:r>
      <w:r>
        <w:t>matched on alexithymia, which means that the study did not actually assess interoceptive accuracy in a representative</w:t>
      </w:r>
      <w:r>
        <w:rPr>
          <w:spacing w:val="-12"/>
        </w:rPr>
        <w:t xml:space="preserve"> </w:t>
      </w:r>
      <w:r>
        <w:t>group</w:t>
      </w:r>
      <w:r>
        <w:rPr>
          <w:spacing w:val="-10"/>
        </w:rPr>
        <w:t xml:space="preserve"> </w:t>
      </w:r>
      <w:r>
        <w:t>of</w:t>
      </w:r>
      <w:r>
        <w:rPr>
          <w:spacing w:val="-14"/>
        </w:rPr>
        <w:t xml:space="preserve"> </w:t>
      </w:r>
      <w:r>
        <w:t>autistic</w:t>
      </w:r>
      <w:r>
        <w:rPr>
          <w:spacing w:val="-11"/>
        </w:rPr>
        <w:t xml:space="preserve"> </w:t>
      </w:r>
      <w:r>
        <w:t>individuals</w:t>
      </w:r>
      <w:r>
        <w:rPr>
          <w:spacing w:val="-12"/>
        </w:rPr>
        <w:t xml:space="preserve"> </w:t>
      </w:r>
      <w:r>
        <w:t>who</w:t>
      </w:r>
      <w:r>
        <w:rPr>
          <w:spacing w:val="-10"/>
        </w:rPr>
        <w:t xml:space="preserve"> </w:t>
      </w:r>
      <w:r>
        <w:t>had</w:t>
      </w:r>
      <w:r>
        <w:rPr>
          <w:spacing w:val="-10"/>
        </w:rPr>
        <w:t xml:space="preserve"> </w:t>
      </w:r>
      <w:r>
        <w:t>high</w:t>
      </w:r>
      <w:r>
        <w:rPr>
          <w:spacing w:val="-11"/>
        </w:rPr>
        <w:t xml:space="preserve"> </w:t>
      </w:r>
      <w:r>
        <w:t>l</w:t>
      </w:r>
      <w:r>
        <w:t>evels</w:t>
      </w:r>
      <w:r>
        <w:rPr>
          <w:spacing w:val="-12"/>
        </w:rPr>
        <w:t xml:space="preserve"> </w:t>
      </w:r>
      <w:r>
        <w:t>of</w:t>
      </w:r>
      <w:r>
        <w:rPr>
          <w:spacing w:val="-9"/>
        </w:rPr>
        <w:t xml:space="preserve"> </w:t>
      </w:r>
      <w:r>
        <w:t>alexithymia.</w:t>
      </w:r>
      <w:r>
        <w:rPr>
          <w:spacing w:val="38"/>
        </w:rPr>
        <w:t xml:space="preserve"> </w:t>
      </w:r>
      <w:r>
        <w:t>No</w:t>
      </w:r>
      <w:r>
        <w:rPr>
          <w:spacing w:val="-10"/>
        </w:rPr>
        <w:t xml:space="preserve"> </w:t>
      </w:r>
      <w:r>
        <w:t>differences in</w:t>
      </w:r>
      <w:r>
        <w:rPr>
          <w:spacing w:val="-6"/>
        </w:rPr>
        <w:t xml:space="preserve"> </w:t>
      </w:r>
      <w:r>
        <w:t>interoceptive</w:t>
      </w:r>
      <w:r>
        <w:rPr>
          <w:spacing w:val="-5"/>
        </w:rPr>
        <w:t xml:space="preserve"> </w:t>
      </w:r>
      <w:r>
        <w:t>accuracy</w:t>
      </w:r>
      <w:r>
        <w:rPr>
          <w:spacing w:val="-6"/>
        </w:rPr>
        <w:t xml:space="preserve"> </w:t>
      </w:r>
      <w:r>
        <w:t>were</w:t>
      </w:r>
      <w:r>
        <w:rPr>
          <w:spacing w:val="-5"/>
        </w:rPr>
        <w:t xml:space="preserve"> </w:t>
      </w:r>
      <w:r>
        <w:t>found</w:t>
      </w:r>
      <w:r>
        <w:rPr>
          <w:spacing w:val="-5"/>
        </w:rPr>
        <w:t xml:space="preserve"> </w:t>
      </w:r>
      <w:r>
        <w:t>between</w:t>
      </w:r>
      <w:r>
        <w:rPr>
          <w:spacing w:val="-6"/>
        </w:rPr>
        <w:t xml:space="preserve"> </w:t>
      </w:r>
      <w:r>
        <w:t>groups,</w:t>
      </w:r>
      <w:r>
        <w:rPr>
          <w:spacing w:val="-2"/>
        </w:rPr>
        <w:t xml:space="preserve"> </w:t>
      </w:r>
      <w:r>
        <w:t>which</w:t>
      </w:r>
      <w:r>
        <w:rPr>
          <w:spacing w:val="-5"/>
        </w:rPr>
        <w:t xml:space="preserve"> </w:t>
      </w:r>
      <w:r>
        <w:t>was</w:t>
      </w:r>
      <w:r>
        <w:rPr>
          <w:spacing w:val="-7"/>
        </w:rPr>
        <w:t xml:space="preserve"> </w:t>
      </w:r>
      <w:r>
        <w:t>interpreted</w:t>
      </w:r>
      <w:r>
        <w:rPr>
          <w:spacing w:val="-5"/>
        </w:rPr>
        <w:t xml:space="preserve"> </w:t>
      </w:r>
      <w:r>
        <w:t>as</w:t>
      </w:r>
      <w:r>
        <w:rPr>
          <w:spacing w:val="-7"/>
        </w:rPr>
        <w:t xml:space="preserve"> </w:t>
      </w:r>
      <w:r>
        <w:t>supporting</w:t>
      </w:r>
      <w:r>
        <w:rPr>
          <w:spacing w:val="-5"/>
        </w:rPr>
        <w:t xml:space="preserve"> </w:t>
      </w:r>
      <w:r>
        <w:t>the alexithymia hypothesis. Based on this alexithymia account of ASD, PM problems might not be</w:t>
      </w:r>
      <w:r>
        <w:rPr>
          <w:spacing w:val="-12"/>
        </w:rPr>
        <w:t xml:space="preserve"> </w:t>
      </w:r>
      <w:r>
        <w:t>ASD-specific.</w:t>
      </w:r>
      <w:r>
        <w:rPr>
          <w:spacing w:val="44"/>
        </w:rPr>
        <w:t xml:space="preserve"> </w:t>
      </w:r>
      <w:r>
        <w:t>For</w:t>
      </w:r>
      <w:r>
        <w:rPr>
          <w:spacing w:val="-13"/>
        </w:rPr>
        <w:t xml:space="preserve"> </w:t>
      </w:r>
      <w:r>
        <w:t>the</w:t>
      </w:r>
      <w:r>
        <w:rPr>
          <w:spacing w:val="-11"/>
        </w:rPr>
        <w:t xml:space="preserve"> </w:t>
      </w:r>
      <w:r>
        <w:t>study</w:t>
      </w:r>
      <w:r>
        <w:rPr>
          <w:spacing w:val="-10"/>
        </w:rPr>
        <w:t xml:space="preserve"> </w:t>
      </w:r>
      <w:r>
        <w:t>of</w:t>
      </w:r>
      <w:r>
        <w:rPr>
          <w:spacing w:val="-13"/>
        </w:rPr>
        <w:t xml:space="preserve"> </w:t>
      </w:r>
      <w:r>
        <w:t>PM</w:t>
      </w:r>
      <w:r>
        <w:rPr>
          <w:spacing w:val="-12"/>
        </w:rPr>
        <w:t xml:space="preserve"> </w:t>
      </w:r>
      <w:r>
        <w:t>in</w:t>
      </w:r>
      <w:r>
        <w:rPr>
          <w:spacing w:val="-14"/>
        </w:rPr>
        <w:t xml:space="preserve"> </w:t>
      </w:r>
      <w:r>
        <w:t>ASD</w:t>
      </w:r>
      <w:r>
        <w:rPr>
          <w:spacing w:val="-10"/>
        </w:rPr>
        <w:t xml:space="preserve"> </w:t>
      </w:r>
      <w:r>
        <w:t>it</w:t>
      </w:r>
      <w:r>
        <w:rPr>
          <w:spacing w:val="-14"/>
        </w:rPr>
        <w:t xml:space="preserve"> </w:t>
      </w:r>
      <w:r>
        <w:t>could</w:t>
      </w:r>
      <w:r>
        <w:rPr>
          <w:spacing w:val="-10"/>
        </w:rPr>
        <w:t xml:space="preserve"> </w:t>
      </w:r>
      <w:r>
        <w:t>mean</w:t>
      </w:r>
      <w:r>
        <w:rPr>
          <w:spacing w:val="-10"/>
        </w:rPr>
        <w:t xml:space="preserve"> </w:t>
      </w:r>
      <w:r>
        <w:t>that</w:t>
      </w:r>
      <w:r>
        <w:rPr>
          <w:spacing w:val="-9"/>
        </w:rPr>
        <w:t xml:space="preserve"> </w:t>
      </w:r>
      <w:r>
        <w:t>conflicting</w:t>
      </w:r>
      <w:r>
        <w:rPr>
          <w:spacing w:val="-10"/>
        </w:rPr>
        <w:t xml:space="preserve"> </w:t>
      </w:r>
      <w:r>
        <w:t>findings</w:t>
      </w:r>
      <w:r>
        <w:rPr>
          <w:spacing w:val="-12"/>
        </w:rPr>
        <w:t xml:space="preserve"> </w:t>
      </w:r>
      <w:r>
        <w:t>on</w:t>
      </w:r>
      <w:r>
        <w:rPr>
          <w:spacing w:val="-10"/>
        </w:rPr>
        <w:t xml:space="preserve"> </w:t>
      </w:r>
      <w:r>
        <w:t>event- based PM might be the result of biased samples. That is, previous studies (including those reported in Chapters 2 and 3) might have failed to find event-based PM problems in ASD because</w:t>
      </w:r>
      <w:r>
        <w:rPr>
          <w:spacing w:val="-12"/>
        </w:rPr>
        <w:t xml:space="preserve"> </w:t>
      </w:r>
      <w:r>
        <w:t>the</w:t>
      </w:r>
      <w:r>
        <w:rPr>
          <w:spacing w:val="-12"/>
        </w:rPr>
        <w:t xml:space="preserve"> </w:t>
      </w:r>
      <w:r>
        <w:t>sample</w:t>
      </w:r>
      <w:r>
        <w:rPr>
          <w:spacing w:val="-11"/>
        </w:rPr>
        <w:t xml:space="preserve"> </w:t>
      </w:r>
      <w:r>
        <w:t>might</w:t>
      </w:r>
      <w:r>
        <w:rPr>
          <w:spacing w:val="-10"/>
        </w:rPr>
        <w:t xml:space="preserve"> </w:t>
      </w:r>
      <w:r>
        <w:t>have</w:t>
      </w:r>
      <w:r>
        <w:rPr>
          <w:spacing w:val="-16"/>
        </w:rPr>
        <w:t xml:space="preserve"> </w:t>
      </w:r>
      <w:r>
        <w:t>consisted</w:t>
      </w:r>
      <w:r>
        <w:rPr>
          <w:spacing w:val="-10"/>
        </w:rPr>
        <w:t xml:space="preserve"> </w:t>
      </w:r>
      <w:r>
        <w:t>of</w:t>
      </w:r>
      <w:r>
        <w:rPr>
          <w:spacing w:val="-9"/>
        </w:rPr>
        <w:t xml:space="preserve"> </w:t>
      </w:r>
      <w:r>
        <w:t>an</w:t>
      </w:r>
      <w:r>
        <w:rPr>
          <w:spacing w:val="-15"/>
        </w:rPr>
        <w:t xml:space="preserve"> </w:t>
      </w:r>
      <w:r>
        <w:t>unrepresentative</w:t>
      </w:r>
      <w:r>
        <w:rPr>
          <w:spacing w:val="-11"/>
        </w:rPr>
        <w:t xml:space="preserve"> </w:t>
      </w:r>
      <w:r>
        <w:t>group</w:t>
      </w:r>
      <w:r>
        <w:rPr>
          <w:spacing w:val="-11"/>
        </w:rPr>
        <w:t xml:space="preserve"> </w:t>
      </w:r>
      <w:r>
        <w:rPr>
          <w:spacing w:val="-3"/>
        </w:rPr>
        <w:t>of</w:t>
      </w:r>
      <w:r>
        <w:rPr>
          <w:spacing w:val="-9"/>
        </w:rPr>
        <w:t xml:space="preserve"> </w:t>
      </w:r>
      <w:r>
        <w:t>individuals</w:t>
      </w:r>
      <w:r>
        <w:rPr>
          <w:spacing w:val="-13"/>
        </w:rPr>
        <w:t xml:space="preserve"> </w:t>
      </w:r>
      <w:r>
        <w:t>with</w:t>
      </w:r>
      <w:r>
        <w:rPr>
          <w:spacing w:val="-14"/>
        </w:rPr>
        <w:t xml:space="preserve"> </w:t>
      </w:r>
      <w:r>
        <w:t>ASD who had low levels of</w:t>
      </w:r>
      <w:r>
        <w:rPr>
          <w:spacing w:val="3"/>
        </w:rPr>
        <w:t xml:space="preserve"> </w:t>
      </w:r>
      <w:r>
        <w:t>alexithymia.</w:t>
      </w:r>
    </w:p>
    <w:p w14:paraId="344C9F01" w14:textId="77777777" w:rsidR="00C75312" w:rsidRDefault="00BB293A">
      <w:pPr>
        <w:pStyle w:val="BodyText"/>
        <w:spacing w:before="121" w:line="480" w:lineRule="auto"/>
        <w:ind w:left="140" w:right="1428" w:firstLine="720"/>
        <w:jc w:val="both"/>
      </w:pPr>
      <w:r>
        <w:t xml:space="preserve">Despite, the emerging evidence in support </w:t>
      </w:r>
      <w:r>
        <w:rPr>
          <w:spacing w:val="-3"/>
        </w:rPr>
        <w:t xml:space="preserve">of </w:t>
      </w:r>
      <w:r>
        <w:t xml:space="preserve">the alexithymia hypothesis of interoception in autism, it is incompatible with findings on self-awareness in ASD. These suggest that the physical self-knowledge (the awareness of one’s own bodily states, appearance, and actions) in ASD is intact whereas the psychological self-knowledge (the awareness of one’s own mental states, knowledge of one’s personality, and autobiographical memory) is reduced (Lind, 2010; Uddin, 2011; Williams, 2010). This view would predict that ASD traits are not associated with </w:t>
      </w:r>
      <w:r>
        <w:t>deficits in interoception, thus an association between interoceptive</w:t>
      </w:r>
      <w:r>
        <w:rPr>
          <w:spacing w:val="-12"/>
        </w:rPr>
        <w:t xml:space="preserve"> </w:t>
      </w:r>
      <w:r>
        <w:t>accuracy</w:t>
      </w:r>
      <w:r>
        <w:rPr>
          <w:spacing w:val="-12"/>
        </w:rPr>
        <w:t xml:space="preserve"> </w:t>
      </w:r>
      <w:r>
        <w:t>and</w:t>
      </w:r>
      <w:r>
        <w:rPr>
          <w:spacing w:val="-11"/>
        </w:rPr>
        <w:t xml:space="preserve"> </w:t>
      </w:r>
      <w:r>
        <w:t>PM</w:t>
      </w:r>
      <w:r>
        <w:rPr>
          <w:spacing w:val="-12"/>
        </w:rPr>
        <w:t xml:space="preserve"> </w:t>
      </w:r>
      <w:r>
        <w:t>should</w:t>
      </w:r>
      <w:r>
        <w:rPr>
          <w:spacing w:val="-11"/>
        </w:rPr>
        <w:t xml:space="preserve"> </w:t>
      </w:r>
      <w:r>
        <w:t>be</w:t>
      </w:r>
      <w:r>
        <w:rPr>
          <w:spacing w:val="-16"/>
        </w:rPr>
        <w:t xml:space="preserve"> </w:t>
      </w:r>
      <w:r>
        <w:t>found</w:t>
      </w:r>
      <w:r>
        <w:rPr>
          <w:spacing w:val="-15"/>
        </w:rPr>
        <w:t xml:space="preserve"> </w:t>
      </w:r>
      <w:r>
        <w:t>regardless</w:t>
      </w:r>
      <w:r>
        <w:rPr>
          <w:spacing w:val="-13"/>
        </w:rPr>
        <w:t xml:space="preserve"> </w:t>
      </w:r>
      <w:r>
        <w:t>of</w:t>
      </w:r>
      <w:r>
        <w:rPr>
          <w:spacing w:val="-9"/>
        </w:rPr>
        <w:t xml:space="preserve"> </w:t>
      </w:r>
      <w:r>
        <w:t>autism</w:t>
      </w:r>
      <w:r>
        <w:rPr>
          <w:spacing w:val="-10"/>
        </w:rPr>
        <w:t xml:space="preserve"> </w:t>
      </w:r>
      <w:r>
        <w:t>traits.</w:t>
      </w:r>
      <w:r>
        <w:rPr>
          <w:spacing w:val="37"/>
        </w:rPr>
        <w:t xml:space="preserve"> </w:t>
      </w:r>
      <w:r>
        <w:t>Furthermore,</w:t>
      </w:r>
      <w:r>
        <w:rPr>
          <w:spacing w:val="-8"/>
        </w:rPr>
        <w:t xml:space="preserve"> </w:t>
      </w:r>
      <w:r>
        <w:t>intact physical self-awareness in ASD would also question the association between alexithymia and interoception</w:t>
      </w:r>
      <w:r>
        <w:rPr>
          <w:spacing w:val="13"/>
        </w:rPr>
        <w:t xml:space="preserve"> </w:t>
      </w:r>
      <w:r>
        <w:t>itself;</w:t>
      </w:r>
      <w:r>
        <w:rPr>
          <w:spacing w:val="15"/>
        </w:rPr>
        <w:t xml:space="preserve"> </w:t>
      </w:r>
      <w:r>
        <w:t>according</w:t>
      </w:r>
      <w:r>
        <w:rPr>
          <w:spacing w:val="10"/>
        </w:rPr>
        <w:t xml:space="preserve"> </w:t>
      </w:r>
      <w:r>
        <w:t>to</w:t>
      </w:r>
      <w:r>
        <w:rPr>
          <w:spacing w:val="13"/>
        </w:rPr>
        <w:t xml:space="preserve"> </w:t>
      </w:r>
      <w:r>
        <w:t>this</w:t>
      </w:r>
      <w:r>
        <w:rPr>
          <w:spacing w:val="12"/>
        </w:rPr>
        <w:t xml:space="preserve"> </w:t>
      </w:r>
      <w:r>
        <w:t>account</w:t>
      </w:r>
      <w:r>
        <w:rPr>
          <w:spacing w:val="15"/>
        </w:rPr>
        <w:t xml:space="preserve"> </w:t>
      </w:r>
      <w:r>
        <w:t>people</w:t>
      </w:r>
      <w:r>
        <w:rPr>
          <w:spacing w:val="13"/>
        </w:rPr>
        <w:t xml:space="preserve"> </w:t>
      </w:r>
      <w:r>
        <w:t>with</w:t>
      </w:r>
      <w:r>
        <w:rPr>
          <w:spacing w:val="13"/>
        </w:rPr>
        <w:t xml:space="preserve"> </w:t>
      </w:r>
      <w:r>
        <w:t>ASD/high</w:t>
      </w:r>
      <w:r>
        <w:rPr>
          <w:spacing w:val="10"/>
        </w:rPr>
        <w:t xml:space="preserve"> </w:t>
      </w:r>
      <w:r>
        <w:t>ASD</w:t>
      </w:r>
      <w:r>
        <w:rPr>
          <w:spacing w:val="14"/>
        </w:rPr>
        <w:t xml:space="preserve"> </w:t>
      </w:r>
      <w:r>
        <w:t>traits</w:t>
      </w:r>
      <w:r>
        <w:rPr>
          <w:spacing w:val="12"/>
        </w:rPr>
        <w:t xml:space="preserve"> </w:t>
      </w:r>
      <w:r>
        <w:t>should</w:t>
      </w:r>
      <w:r>
        <w:rPr>
          <w:spacing w:val="13"/>
        </w:rPr>
        <w:t xml:space="preserve"> </w:t>
      </w:r>
      <w:r>
        <w:t>have</w:t>
      </w:r>
    </w:p>
    <w:p w14:paraId="7A7CCA3E" w14:textId="77777777" w:rsidR="00C75312" w:rsidRDefault="00C75312">
      <w:pPr>
        <w:spacing w:line="480" w:lineRule="auto"/>
        <w:jc w:val="both"/>
        <w:sectPr w:rsidR="00C75312">
          <w:pgSz w:w="11900" w:h="16840"/>
          <w:pgMar w:top="1140" w:right="0" w:bottom="280" w:left="1300" w:header="715" w:footer="0" w:gutter="0"/>
          <w:cols w:space="720"/>
        </w:sectPr>
      </w:pPr>
    </w:p>
    <w:p w14:paraId="2067B2E9" w14:textId="77777777" w:rsidR="00C75312" w:rsidRDefault="00C75312">
      <w:pPr>
        <w:pStyle w:val="BodyText"/>
        <w:spacing w:before="2"/>
        <w:rPr>
          <w:sz w:val="18"/>
        </w:rPr>
      </w:pPr>
    </w:p>
    <w:p w14:paraId="4547529C" w14:textId="77777777" w:rsidR="00C75312" w:rsidRDefault="00BB293A">
      <w:pPr>
        <w:pStyle w:val="BodyText"/>
        <w:spacing w:before="90" w:line="480" w:lineRule="auto"/>
        <w:ind w:left="140" w:right="1428"/>
        <w:jc w:val="both"/>
      </w:pPr>
      <w:r>
        <w:t>difficulties interpreting their physiological states (alexithymia), basic detection of states (interoceptive accuracy) should not be diminished. Based on the above described association between interoception and PM, interoceptive signals require merely detection to serve as cues for PM; thus, alexithymia should not be involved in the relationship between interoceptive accuracy and PM.</w:t>
      </w:r>
    </w:p>
    <w:p w14:paraId="5C390CD4" w14:textId="77777777" w:rsidR="00C75312" w:rsidRDefault="00BB293A">
      <w:pPr>
        <w:pStyle w:val="BodyText"/>
        <w:spacing w:before="120" w:line="480" w:lineRule="auto"/>
        <w:ind w:left="140" w:right="1424" w:firstLine="720"/>
        <w:jc w:val="both"/>
      </w:pPr>
      <w:r>
        <w:t xml:space="preserve">Therefore, the current study aimed to investigate specific associations between both types of PM, interoception, ASD traits and alexithymia traits in typically developing individuals using an individual differences approach. Autism traits are thought to be normally distributed in the general population (Nishiyama et al., 2014), thus one cannot divide individuals in two categories reflecting the presence/absence of autism traits. Instead, all individuals in the general population can be </w:t>
      </w:r>
      <w:proofErr w:type="spellStart"/>
      <w:r>
        <w:t>characterised</w:t>
      </w:r>
      <w:proofErr w:type="spellEnd"/>
      <w:r>
        <w:t xml:space="preserve"> in terms of their </w:t>
      </w:r>
      <w:proofErr w:type="spellStart"/>
      <w:r>
        <w:t>behaviour</w:t>
      </w:r>
      <w:proofErr w:type="spellEnd"/>
      <w:r>
        <w:t xml:space="preserve"> along a continuum of autism traits (Baron-Cohen et al., 2001). For instance, family members of individuals diagnosed with ASD might show difficulties in social cognition but not executive functions (Losh et al., 2009). Equally, neurotypical individuals might be </w:t>
      </w:r>
      <w:proofErr w:type="spellStart"/>
      <w:r>
        <w:t>characterised</w:t>
      </w:r>
      <w:proofErr w:type="spellEnd"/>
      <w:r>
        <w:t xml:space="preserve"> by isolated autistic traits in a specific domain which are higher than the population average but nonetheless are not clinically significant. Thus, given that ASD features are likely to be distr</w:t>
      </w:r>
      <w:r>
        <w:t>ibuted continuously throughout the general population (Frazier et al., 2014), investigating how autism traits in the general population relate to PM, alexithymia, and interoception can further extend our understanding what underpins PM difficulties in ASD itself. Additionally, in Appendix 4 we will report results from a pilot study which collected interoceptive</w:t>
      </w:r>
      <w:r>
        <w:rPr>
          <w:spacing w:val="-32"/>
        </w:rPr>
        <w:t xml:space="preserve"> </w:t>
      </w:r>
      <w:r>
        <w:t>accuracy and alexithymia data from a subsample of participants reported in Chapter</w:t>
      </w:r>
      <w:r>
        <w:rPr>
          <w:spacing w:val="2"/>
        </w:rPr>
        <w:t xml:space="preserve"> </w:t>
      </w:r>
      <w:r>
        <w:t>4.</w:t>
      </w:r>
    </w:p>
    <w:p w14:paraId="13ADF8E9" w14:textId="77777777" w:rsidR="00C75312" w:rsidRDefault="00BB293A">
      <w:pPr>
        <w:pStyle w:val="BodyText"/>
        <w:spacing w:before="121" w:line="480" w:lineRule="auto"/>
        <w:ind w:left="140" w:right="1428" w:firstLine="720"/>
        <w:jc w:val="both"/>
      </w:pPr>
      <w:r>
        <w:t>The first aim of this study was to establish the associations between PM and interoceptive accuracy. It was predicted that interoceptive accuracy would positively correlate with event-based PM, replicating Umeda et al.’s (2016) findings. Furthermore, based on the associations between time perception and interoception, it was predicted that interoceptive</w:t>
      </w:r>
    </w:p>
    <w:p w14:paraId="1432B899" w14:textId="77777777" w:rsidR="00C75312" w:rsidRDefault="00C75312">
      <w:pPr>
        <w:spacing w:line="480" w:lineRule="auto"/>
        <w:jc w:val="both"/>
        <w:sectPr w:rsidR="00C75312">
          <w:pgSz w:w="11900" w:h="16840"/>
          <w:pgMar w:top="1140" w:right="0" w:bottom="280" w:left="1300" w:header="715" w:footer="0" w:gutter="0"/>
          <w:cols w:space="720"/>
        </w:sectPr>
      </w:pPr>
    </w:p>
    <w:p w14:paraId="78E070AA" w14:textId="77777777" w:rsidR="00C75312" w:rsidRDefault="00C75312">
      <w:pPr>
        <w:pStyle w:val="BodyText"/>
        <w:spacing w:before="2"/>
        <w:rPr>
          <w:sz w:val="18"/>
        </w:rPr>
      </w:pPr>
    </w:p>
    <w:p w14:paraId="554F149B" w14:textId="77777777" w:rsidR="00C75312" w:rsidRDefault="00BB293A">
      <w:pPr>
        <w:pStyle w:val="BodyText"/>
        <w:spacing w:before="90" w:line="480" w:lineRule="auto"/>
        <w:ind w:left="140" w:right="1426"/>
        <w:jc w:val="both"/>
      </w:pPr>
      <w:r>
        <w:t>accuracy would correlate with time-based PM. Specifically, greater interoceptive accuracy might be predictive of the accuracy of PM responses (one might imagine that individuals who can</w:t>
      </w:r>
      <w:r>
        <w:rPr>
          <w:spacing w:val="-10"/>
        </w:rPr>
        <w:t xml:space="preserve"> </w:t>
      </w:r>
      <w:r>
        <w:t>keep</w:t>
      </w:r>
      <w:r>
        <w:rPr>
          <w:spacing w:val="-10"/>
        </w:rPr>
        <w:t xml:space="preserve"> </w:t>
      </w:r>
      <w:r>
        <w:t>accurately</w:t>
      </w:r>
      <w:r>
        <w:rPr>
          <w:spacing w:val="-10"/>
        </w:rPr>
        <w:t xml:space="preserve"> </w:t>
      </w:r>
      <w:r>
        <w:t>track</w:t>
      </w:r>
      <w:r>
        <w:rPr>
          <w:spacing w:val="-10"/>
        </w:rPr>
        <w:t xml:space="preserve"> </w:t>
      </w:r>
      <w:r>
        <w:t>of</w:t>
      </w:r>
      <w:r>
        <w:rPr>
          <w:spacing w:val="-8"/>
        </w:rPr>
        <w:t xml:space="preserve"> </w:t>
      </w:r>
      <w:r>
        <w:t>their</w:t>
      </w:r>
      <w:r>
        <w:rPr>
          <w:spacing w:val="-8"/>
        </w:rPr>
        <w:t xml:space="preserve"> </w:t>
      </w:r>
      <w:r>
        <w:t>bodily</w:t>
      </w:r>
      <w:r>
        <w:rPr>
          <w:spacing w:val="-10"/>
        </w:rPr>
        <w:t xml:space="preserve"> </w:t>
      </w:r>
      <w:r>
        <w:t>signals,</w:t>
      </w:r>
      <w:r>
        <w:rPr>
          <w:spacing w:val="-7"/>
        </w:rPr>
        <w:t xml:space="preserve"> </w:t>
      </w:r>
      <w:r>
        <w:t>can</w:t>
      </w:r>
      <w:r>
        <w:rPr>
          <w:spacing w:val="-10"/>
        </w:rPr>
        <w:t xml:space="preserve"> </w:t>
      </w:r>
      <w:r>
        <w:t>better</w:t>
      </w:r>
      <w:r>
        <w:rPr>
          <w:spacing w:val="-8"/>
        </w:rPr>
        <w:t xml:space="preserve"> </w:t>
      </w:r>
      <w:r>
        <w:t>use</w:t>
      </w:r>
      <w:r>
        <w:rPr>
          <w:spacing w:val="-11"/>
        </w:rPr>
        <w:t xml:space="preserve"> </w:t>
      </w:r>
      <w:r>
        <w:t>the</w:t>
      </w:r>
      <w:r>
        <w:rPr>
          <w:spacing w:val="-11"/>
        </w:rPr>
        <w:t xml:space="preserve"> </w:t>
      </w:r>
      <w:r>
        <w:t>autonomic</w:t>
      </w:r>
      <w:r>
        <w:rPr>
          <w:spacing w:val="-10"/>
        </w:rPr>
        <w:t xml:space="preserve"> </w:t>
      </w:r>
      <w:r>
        <w:t>feedback</w:t>
      </w:r>
      <w:r>
        <w:rPr>
          <w:spacing w:val="-10"/>
        </w:rPr>
        <w:t xml:space="preserve"> </w:t>
      </w:r>
      <w:r>
        <w:t>to</w:t>
      </w:r>
      <w:r>
        <w:rPr>
          <w:spacing w:val="-10"/>
        </w:rPr>
        <w:t xml:space="preserve"> </w:t>
      </w:r>
      <w:r>
        <w:t xml:space="preserve">keep track of time and thus respond more accurately in the PM response interval) rather than PM hits per se. The second aim of this study was to clarify the role of ASD and </w:t>
      </w:r>
      <w:proofErr w:type="spellStart"/>
      <w:r>
        <w:t>alexithymic</w:t>
      </w:r>
      <w:proofErr w:type="spellEnd"/>
      <w:r>
        <w:t xml:space="preserve"> traits in this relationship. In line with the view of intact physical self-awareness in ASD, it was predicted that autism traits would not be associated with interoceptive accuracy. Furthermore, due to </w:t>
      </w:r>
      <w:proofErr w:type="spellStart"/>
      <w:r>
        <w:t>scepticism</w:t>
      </w:r>
      <w:proofErr w:type="spellEnd"/>
      <w:r>
        <w:t xml:space="preserve"> with regard to the alexithymia hypothesis of ASD, in combination with the specific pattern </w:t>
      </w:r>
      <w:r>
        <w:rPr>
          <w:spacing w:val="-3"/>
        </w:rPr>
        <w:t xml:space="preserve">of </w:t>
      </w:r>
      <w:r>
        <w:t>PM impairment in ASD</w:t>
      </w:r>
      <w:r>
        <w:t>, it was predicted that associations between PM</w:t>
      </w:r>
      <w:r>
        <w:rPr>
          <w:spacing w:val="-37"/>
        </w:rPr>
        <w:t xml:space="preserve"> </w:t>
      </w:r>
      <w:r>
        <w:t xml:space="preserve">and interoceptive accuracy would be found regardless of the level of </w:t>
      </w:r>
      <w:proofErr w:type="spellStart"/>
      <w:r>
        <w:t>alexithymic</w:t>
      </w:r>
      <w:proofErr w:type="spellEnd"/>
      <w:r>
        <w:t xml:space="preserve"> traits. Furthermore, it was predicted that ASD traits would be correlated with time-based PM but</w:t>
      </w:r>
      <w:r>
        <w:rPr>
          <w:spacing w:val="-43"/>
        </w:rPr>
        <w:t xml:space="preserve"> </w:t>
      </w:r>
      <w:r>
        <w:t xml:space="preserve">not event-based PM performance, independently of alexithymia traits or interoceptive ability. Finally, the role of top-down cognitive control </w:t>
      </w:r>
      <w:r>
        <w:rPr>
          <w:spacing w:val="-3"/>
        </w:rPr>
        <w:t xml:space="preserve">was </w:t>
      </w:r>
      <w:r>
        <w:t>explored. The importance of executive functions for PM functioning is widely agreed upon (see Chapter 1 and results from Chapter 4). Critchl</w:t>
      </w:r>
      <w:r>
        <w:t xml:space="preserve">ey and Garfinkel (2017) proposed that executive processes can be viewed as a higher-order dimension </w:t>
      </w:r>
      <w:r>
        <w:rPr>
          <w:spacing w:val="-3"/>
        </w:rPr>
        <w:t xml:space="preserve">of </w:t>
      </w:r>
      <w:r>
        <w:t xml:space="preserve">interoception. Specifically, </w:t>
      </w:r>
      <w:r>
        <w:rPr>
          <w:spacing w:val="-3"/>
        </w:rPr>
        <w:t xml:space="preserve">it </w:t>
      </w:r>
      <w:r>
        <w:t xml:space="preserve">could be argued that the concept </w:t>
      </w:r>
      <w:r>
        <w:rPr>
          <w:spacing w:val="-3"/>
        </w:rPr>
        <w:t xml:space="preserve">of </w:t>
      </w:r>
      <w:r>
        <w:t>cognitive flexibility might be applicable to shifts of attention between salient interoceptive signals and exteroceptive stimuli. Therefore, cognitive flexibility might influence the efficient use of interoceptive signals when responding to external stimuli. This aligns with the idea that the detection of salient stimuli (facilitated throu</w:t>
      </w:r>
      <w:r>
        <w:t>gh interoception) guides the allocation of attention and flexible responding (Dajani &amp; Uddin, 2015). Therefore, cognitive flexibility might have a mediating role in relationship between interoceptive accuracy and</w:t>
      </w:r>
      <w:r>
        <w:rPr>
          <w:spacing w:val="-4"/>
        </w:rPr>
        <w:t xml:space="preserve"> </w:t>
      </w:r>
      <w:r>
        <w:rPr>
          <w:spacing w:val="-3"/>
        </w:rPr>
        <w:t>PM.</w:t>
      </w:r>
    </w:p>
    <w:p w14:paraId="55D6590C" w14:textId="77777777" w:rsidR="00C75312" w:rsidRDefault="00C75312">
      <w:pPr>
        <w:spacing w:line="480" w:lineRule="auto"/>
        <w:jc w:val="both"/>
        <w:sectPr w:rsidR="00C75312">
          <w:pgSz w:w="11900" w:h="16840"/>
          <w:pgMar w:top="1140" w:right="0" w:bottom="280" w:left="1300" w:header="715" w:footer="0" w:gutter="0"/>
          <w:cols w:space="720"/>
        </w:sectPr>
      </w:pPr>
    </w:p>
    <w:p w14:paraId="1B22F9ED" w14:textId="77777777" w:rsidR="00C75312" w:rsidRDefault="00C75312">
      <w:pPr>
        <w:pStyle w:val="BodyText"/>
        <w:spacing w:before="2"/>
        <w:rPr>
          <w:sz w:val="18"/>
        </w:rPr>
      </w:pPr>
    </w:p>
    <w:p w14:paraId="27DAC766" w14:textId="77777777" w:rsidR="00C75312" w:rsidRDefault="00BB293A">
      <w:pPr>
        <w:pStyle w:val="Heading1"/>
        <w:spacing w:before="90"/>
        <w:ind w:left="25" w:right="1316"/>
        <w:jc w:val="center"/>
      </w:pPr>
      <w:bookmarkStart w:id="22" w:name="_TOC_250011"/>
      <w:bookmarkEnd w:id="22"/>
      <w:r>
        <w:t>Methods</w:t>
      </w:r>
    </w:p>
    <w:p w14:paraId="0F2066C7" w14:textId="77777777" w:rsidR="00C75312" w:rsidRDefault="00C75312">
      <w:pPr>
        <w:pStyle w:val="BodyText"/>
        <w:spacing w:before="6"/>
        <w:rPr>
          <w:b/>
          <w:sz w:val="19"/>
        </w:rPr>
      </w:pPr>
    </w:p>
    <w:p w14:paraId="6913A826" w14:textId="77777777" w:rsidR="00C75312" w:rsidRDefault="00BB293A">
      <w:pPr>
        <w:spacing w:before="90"/>
        <w:ind w:left="140"/>
        <w:rPr>
          <w:b/>
          <w:sz w:val="24"/>
        </w:rPr>
      </w:pPr>
      <w:r>
        <w:rPr>
          <w:b/>
          <w:sz w:val="24"/>
        </w:rPr>
        <w:t>Participants</w:t>
      </w:r>
    </w:p>
    <w:p w14:paraId="32269B10" w14:textId="77777777" w:rsidR="00C75312" w:rsidRDefault="00C75312">
      <w:pPr>
        <w:pStyle w:val="BodyText"/>
        <w:rPr>
          <w:b/>
        </w:rPr>
      </w:pPr>
    </w:p>
    <w:p w14:paraId="0E1785D0" w14:textId="77777777" w:rsidR="00C75312" w:rsidRDefault="00BB293A">
      <w:pPr>
        <w:pStyle w:val="BodyText"/>
        <w:spacing w:line="480" w:lineRule="auto"/>
        <w:ind w:left="140" w:right="1428" w:firstLine="720"/>
        <w:jc w:val="both"/>
      </w:pPr>
      <w:r>
        <w:t xml:space="preserve">Sixty participants were recruited to take part in this study. All participants were students at the University of Kent and participated via the Research Participation Scheme in exchange of course credits. The study was approved by the ethics committee </w:t>
      </w:r>
      <w:r>
        <w:rPr>
          <w:spacing w:val="-3"/>
        </w:rPr>
        <w:t xml:space="preserve">of </w:t>
      </w:r>
      <w:r>
        <w:t>the</w:t>
      </w:r>
      <w:r>
        <w:rPr>
          <w:spacing w:val="-31"/>
        </w:rPr>
        <w:t xml:space="preserve"> </w:t>
      </w:r>
      <w:r>
        <w:t>University of Kent and all participants gave written informed consent prior to taking part in the study. Five participants were excluded from further data analyses after data collection was complete due to a) misunderstanding task instructions in the key experimental PM condition (</w:t>
      </w:r>
      <w:r>
        <w:rPr>
          <w:i/>
        </w:rPr>
        <w:t xml:space="preserve">n </w:t>
      </w:r>
      <w:r>
        <w:t>= 2),</w:t>
      </w:r>
      <w:r>
        <w:rPr>
          <w:spacing w:val="44"/>
        </w:rPr>
        <w:t xml:space="preserve"> </w:t>
      </w:r>
      <w:r>
        <w:t>or</w:t>
      </w:r>
    </w:p>
    <w:p w14:paraId="37753D9A" w14:textId="77777777" w:rsidR="00C75312" w:rsidRDefault="00BB293A">
      <w:pPr>
        <w:pStyle w:val="ListParagraph"/>
        <w:numPr>
          <w:ilvl w:val="2"/>
          <w:numId w:val="2"/>
        </w:numPr>
        <w:tabs>
          <w:tab w:val="left" w:pos="409"/>
        </w:tabs>
        <w:spacing w:line="477" w:lineRule="auto"/>
        <w:ind w:left="140" w:right="1428" w:firstLine="0"/>
        <w:jc w:val="both"/>
        <w:rPr>
          <w:sz w:val="24"/>
        </w:rPr>
      </w:pPr>
      <w:r>
        <w:rPr>
          <w:sz w:val="24"/>
        </w:rPr>
        <w:t>being identified as influential cases (</w:t>
      </w:r>
      <w:r>
        <w:rPr>
          <w:i/>
          <w:sz w:val="24"/>
        </w:rPr>
        <w:t xml:space="preserve">n </w:t>
      </w:r>
      <w:r>
        <w:rPr>
          <w:sz w:val="24"/>
        </w:rPr>
        <w:t>= 3, see Statistical analysis section). Thus, the final sample comprised of 55 participants. Participants were randomly assigned to one of two conditions completing either a time-based (</w:t>
      </w:r>
      <w:r>
        <w:rPr>
          <w:i/>
          <w:sz w:val="24"/>
        </w:rPr>
        <w:t xml:space="preserve">n </w:t>
      </w:r>
      <w:r>
        <w:rPr>
          <w:sz w:val="24"/>
        </w:rPr>
        <w:t>= 27) or an event-based (</w:t>
      </w:r>
      <w:r>
        <w:rPr>
          <w:i/>
          <w:sz w:val="24"/>
        </w:rPr>
        <w:t xml:space="preserve">n </w:t>
      </w:r>
      <w:r>
        <w:rPr>
          <w:sz w:val="24"/>
        </w:rPr>
        <w:t>= 28) PM task. Participants</w:t>
      </w:r>
      <w:r>
        <w:rPr>
          <w:spacing w:val="-1"/>
          <w:sz w:val="24"/>
        </w:rPr>
        <w:t xml:space="preserve"> </w:t>
      </w:r>
      <w:r>
        <w:rPr>
          <w:sz w:val="24"/>
        </w:rPr>
        <w:t>in</w:t>
      </w:r>
      <w:r>
        <w:rPr>
          <w:spacing w:val="-4"/>
          <w:sz w:val="24"/>
        </w:rPr>
        <w:t xml:space="preserve"> </w:t>
      </w:r>
      <w:r>
        <w:rPr>
          <w:sz w:val="24"/>
        </w:rPr>
        <w:t>the</w:t>
      </w:r>
      <w:r>
        <w:rPr>
          <w:spacing w:val="-5"/>
          <w:sz w:val="24"/>
        </w:rPr>
        <w:t xml:space="preserve"> </w:t>
      </w:r>
      <w:r>
        <w:rPr>
          <w:sz w:val="24"/>
        </w:rPr>
        <w:t>two</w:t>
      </w:r>
      <w:r>
        <w:rPr>
          <w:spacing w:val="-4"/>
          <w:sz w:val="24"/>
        </w:rPr>
        <w:t xml:space="preserve"> </w:t>
      </w:r>
      <w:r>
        <w:rPr>
          <w:sz w:val="24"/>
        </w:rPr>
        <w:t>conditions</w:t>
      </w:r>
      <w:r>
        <w:rPr>
          <w:spacing w:val="-1"/>
          <w:sz w:val="24"/>
        </w:rPr>
        <w:t xml:space="preserve"> </w:t>
      </w:r>
      <w:r>
        <w:rPr>
          <w:sz w:val="24"/>
        </w:rPr>
        <w:t>were</w:t>
      </w:r>
      <w:r>
        <w:rPr>
          <w:spacing w:val="-5"/>
          <w:sz w:val="24"/>
        </w:rPr>
        <w:t xml:space="preserve"> </w:t>
      </w:r>
      <w:r>
        <w:rPr>
          <w:sz w:val="24"/>
        </w:rPr>
        <w:t>matched</w:t>
      </w:r>
      <w:r>
        <w:rPr>
          <w:spacing w:val="1"/>
          <w:sz w:val="24"/>
        </w:rPr>
        <w:t xml:space="preserve"> </w:t>
      </w:r>
      <w:r>
        <w:rPr>
          <w:sz w:val="24"/>
        </w:rPr>
        <w:t>on</w:t>
      </w:r>
      <w:r>
        <w:rPr>
          <w:spacing w:val="-4"/>
          <w:sz w:val="24"/>
        </w:rPr>
        <w:t xml:space="preserve"> </w:t>
      </w:r>
      <w:r>
        <w:rPr>
          <w:sz w:val="24"/>
        </w:rPr>
        <w:t>chronological</w:t>
      </w:r>
      <w:r>
        <w:rPr>
          <w:spacing w:val="-3"/>
          <w:sz w:val="24"/>
        </w:rPr>
        <w:t xml:space="preserve"> </w:t>
      </w:r>
      <w:r>
        <w:rPr>
          <w:sz w:val="24"/>
        </w:rPr>
        <w:t>age,</w:t>
      </w:r>
      <w:r>
        <w:rPr>
          <w:spacing w:val="-1"/>
          <w:sz w:val="24"/>
        </w:rPr>
        <w:t xml:space="preserve"> </w:t>
      </w:r>
      <w:r>
        <w:rPr>
          <w:i/>
          <w:sz w:val="24"/>
        </w:rPr>
        <w:t>t</w:t>
      </w:r>
      <w:r>
        <w:rPr>
          <w:sz w:val="24"/>
        </w:rPr>
        <w:t>(53)</w:t>
      </w:r>
      <w:r>
        <w:rPr>
          <w:spacing w:val="-2"/>
          <w:sz w:val="24"/>
        </w:rPr>
        <w:t xml:space="preserve"> </w:t>
      </w:r>
      <w:r>
        <w:rPr>
          <w:sz w:val="24"/>
        </w:rPr>
        <w:t>=</w:t>
      </w:r>
      <w:r>
        <w:rPr>
          <w:spacing w:val="-5"/>
          <w:sz w:val="24"/>
        </w:rPr>
        <w:t xml:space="preserve"> </w:t>
      </w:r>
      <w:r>
        <w:rPr>
          <w:sz w:val="24"/>
        </w:rPr>
        <w:t>.83,</w:t>
      </w:r>
      <w:r>
        <w:rPr>
          <w:spacing w:val="-1"/>
          <w:sz w:val="24"/>
        </w:rPr>
        <w:t xml:space="preserve"> </w:t>
      </w:r>
      <w:r>
        <w:rPr>
          <w:i/>
          <w:sz w:val="24"/>
        </w:rPr>
        <w:t>p</w:t>
      </w:r>
      <w:r>
        <w:rPr>
          <w:i/>
          <w:spacing w:val="-4"/>
          <w:sz w:val="24"/>
        </w:rPr>
        <w:t xml:space="preserve"> </w:t>
      </w:r>
      <w:r>
        <w:rPr>
          <w:sz w:val="24"/>
        </w:rPr>
        <w:t>=</w:t>
      </w:r>
      <w:r>
        <w:rPr>
          <w:spacing w:val="-5"/>
          <w:sz w:val="24"/>
        </w:rPr>
        <w:t xml:space="preserve"> </w:t>
      </w:r>
      <w:r>
        <w:rPr>
          <w:sz w:val="24"/>
        </w:rPr>
        <w:t>.41,</w:t>
      </w:r>
      <w:r>
        <w:rPr>
          <w:spacing w:val="-1"/>
          <w:sz w:val="24"/>
        </w:rPr>
        <w:t xml:space="preserve"> </w:t>
      </w:r>
      <w:r>
        <w:rPr>
          <w:i/>
          <w:sz w:val="24"/>
        </w:rPr>
        <w:t>d</w:t>
      </w:r>
      <w:r>
        <w:rPr>
          <w:i/>
          <w:spacing w:val="-4"/>
          <w:sz w:val="24"/>
        </w:rPr>
        <w:t xml:space="preserve"> </w:t>
      </w:r>
      <w:r>
        <w:rPr>
          <w:sz w:val="24"/>
        </w:rPr>
        <w:t>=</w:t>
      </w:r>
      <w:r>
        <w:rPr>
          <w:position w:val="2"/>
          <w:sz w:val="24"/>
        </w:rPr>
        <w:t xml:space="preserve"> 0.23, BF</w:t>
      </w:r>
      <w:r>
        <w:rPr>
          <w:position w:val="2"/>
          <w:sz w:val="24"/>
          <w:vertAlign w:val="subscript"/>
        </w:rPr>
        <w:t>10</w:t>
      </w:r>
      <w:r>
        <w:rPr>
          <w:position w:val="2"/>
          <w:sz w:val="24"/>
        </w:rPr>
        <w:t xml:space="preserve"> = 0.36 (event-based PM: </w:t>
      </w:r>
      <w:r>
        <w:rPr>
          <w:i/>
          <w:position w:val="2"/>
          <w:sz w:val="24"/>
        </w:rPr>
        <w:t xml:space="preserve">M </w:t>
      </w:r>
      <w:r>
        <w:rPr>
          <w:position w:val="2"/>
          <w:sz w:val="24"/>
        </w:rPr>
        <w:t xml:space="preserve">= 21.37, </w:t>
      </w:r>
      <w:r>
        <w:rPr>
          <w:i/>
          <w:spacing w:val="-3"/>
          <w:position w:val="2"/>
          <w:sz w:val="24"/>
        </w:rPr>
        <w:t xml:space="preserve">SD </w:t>
      </w:r>
      <w:r>
        <w:rPr>
          <w:position w:val="2"/>
          <w:sz w:val="24"/>
        </w:rPr>
        <w:t xml:space="preserve">= 5.44, time-based PM: </w:t>
      </w:r>
      <w:r>
        <w:rPr>
          <w:i/>
          <w:position w:val="2"/>
          <w:sz w:val="24"/>
        </w:rPr>
        <w:t xml:space="preserve">M </w:t>
      </w:r>
      <w:r>
        <w:rPr>
          <w:position w:val="2"/>
          <w:sz w:val="24"/>
        </w:rPr>
        <w:t xml:space="preserve">= 20.40, </w:t>
      </w:r>
      <w:r>
        <w:rPr>
          <w:i/>
          <w:position w:val="2"/>
          <w:sz w:val="24"/>
        </w:rPr>
        <w:t xml:space="preserve">SD </w:t>
      </w:r>
      <w:r>
        <w:rPr>
          <w:position w:val="2"/>
          <w:sz w:val="24"/>
        </w:rPr>
        <w:t>=</w:t>
      </w:r>
      <w:r>
        <w:rPr>
          <w:sz w:val="24"/>
        </w:rPr>
        <w:t xml:space="preserve"> 2.69).</w:t>
      </w:r>
    </w:p>
    <w:p w14:paraId="27C909E6" w14:textId="77777777" w:rsidR="00C75312" w:rsidRDefault="00BB293A">
      <w:pPr>
        <w:pStyle w:val="Heading1"/>
        <w:spacing w:before="117"/>
      </w:pPr>
      <w:r>
        <w:t>Tests and procedures</w:t>
      </w:r>
    </w:p>
    <w:p w14:paraId="668D84EF" w14:textId="77777777" w:rsidR="00C75312" w:rsidRDefault="00C75312">
      <w:pPr>
        <w:pStyle w:val="BodyText"/>
        <w:rPr>
          <w:b/>
        </w:rPr>
      </w:pPr>
    </w:p>
    <w:p w14:paraId="5E31B07F" w14:textId="77777777" w:rsidR="00C75312" w:rsidRDefault="00BB293A">
      <w:pPr>
        <w:pStyle w:val="BodyText"/>
        <w:spacing w:line="480" w:lineRule="auto"/>
        <w:ind w:left="140" w:right="1428" w:firstLine="720"/>
        <w:jc w:val="both"/>
      </w:pPr>
      <w:r>
        <w:rPr>
          <w:b/>
        </w:rPr>
        <w:t xml:space="preserve">PM task. </w:t>
      </w:r>
      <w:r>
        <w:t>Participants were randomly assigned to one of two conditions at the beginning of the experiment. Half the participants completed an event-based PM task</w:t>
      </w:r>
      <w:r>
        <w:rPr>
          <w:spacing w:val="-40"/>
        </w:rPr>
        <w:t xml:space="preserve"> </w:t>
      </w:r>
      <w:r>
        <w:t xml:space="preserve">whereas the other half completed a time-based PM task. Each condition lasted approximately 11 minutes. The experimental design </w:t>
      </w:r>
      <w:r>
        <w:rPr>
          <w:spacing w:val="-3"/>
        </w:rPr>
        <w:t xml:space="preserve">of </w:t>
      </w:r>
      <w:r>
        <w:t>the ongoing on PM task replicated the design and procedure of Umeda et al. (2016) who were the first to demonstrate the association between interoceptive accuracy and event-based PM. As the first aim of this study was to replicate</w:t>
      </w:r>
      <w:r>
        <w:t xml:space="preserve"> this finding</w:t>
      </w:r>
      <w:r>
        <w:rPr>
          <w:spacing w:val="-5"/>
        </w:rPr>
        <w:t xml:space="preserve"> </w:t>
      </w:r>
      <w:r>
        <w:t>and</w:t>
      </w:r>
      <w:r>
        <w:rPr>
          <w:spacing w:val="-5"/>
        </w:rPr>
        <w:t xml:space="preserve"> </w:t>
      </w:r>
      <w:r>
        <w:t>to</w:t>
      </w:r>
      <w:r>
        <w:rPr>
          <w:spacing w:val="-5"/>
        </w:rPr>
        <w:t xml:space="preserve"> </w:t>
      </w:r>
      <w:r>
        <w:t>extend</w:t>
      </w:r>
      <w:r>
        <w:rPr>
          <w:spacing w:val="-5"/>
        </w:rPr>
        <w:t xml:space="preserve"> </w:t>
      </w:r>
      <w:r>
        <w:t>it</w:t>
      </w:r>
      <w:r>
        <w:rPr>
          <w:spacing w:val="-4"/>
        </w:rPr>
        <w:t xml:space="preserve"> </w:t>
      </w:r>
      <w:r>
        <w:t>to</w:t>
      </w:r>
      <w:r>
        <w:rPr>
          <w:spacing w:val="-5"/>
        </w:rPr>
        <w:t xml:space="preserve"> </w:t>
      </w:r>
      <w:r>
        <w:t>explore</w:t>
      </w:r>
      <w:r>
        <w:rPr>
          <w:spacing w:val="-5"/>
        </w:rPr>
        <w:t xml:space="preserve"> </w:t>
      </w:r>
      <w:r>
        <w:t>it</w:t>
      </w:r>
      <w:r>
        <w:rPr>
          <w:spacing w:val="-4"/>
        </w:rPr>
        <w:t xml:space="preserve"> </w:t>
      </w:r>
      <w:r>
        <w:t>with</w:t>
      </w:r>
      <w:r>
        <w:rPr>
          <w:spacing w:val="-5"/>
        </w:rPr>
        <w:t xml:space="preserve"> </w:t>
      </w:r>
      <w:r>
        <w:t>regards</w:t>
      </w:r>
      <w:r>
        <w:rPr>
          <w:spacing w:val="-7"/>
        </w:rPr>
        <w:t xml:space="preserve"> </w:t>
      </w:r>
      <w:r>
        <w:t>to</w:t>
      </w:r>
      <w:r>
        <w:rPr>
          <w:spacing w:val="-5"/>
        </w:rPr>
        <w:t xml:space="preserve"> </w:t>
      </w:r>
      <w:r>
        <w:t>time-based</w:t>
      </w:r>
      <w:r>
        <w:rPr>
          <w:spacing w:val="-5"/>
        </w:rPr>
        <w:t xml:space="preserve"> </w:t>
      </w:r>
      <w:r>
        <w:t>PM,</w:t>
      </w:r>
      <w:r>
        <w:rPr>
          <w:spacing w:val="-2"/>
        </w:rPr>
        <w:t xml:space="preserve"> </w:t>
      </w:r>
      <w:r>
        <w:t>the</w:t>
      </w:r>
      <w:r>
        <w:rPr>
          <w:spacing w:val="-6"/>
        </w:rPr>
        <w:t xml:space="preserve"> </w:t>
      </w:r>
      <w:r>
        <w:t>present</w:t>
      </w:r>
      <w:r>
        <w:rPr>
          <w:spacing w:val="-3"/>
        </w:rPr>
        <w:t xml:space="preserve"> </w:t>
      </w:r>
      <w:r>
        <w:t>procedure</w:t>
      </w:r>
      <w:r>
        <w:rPr>
          <w:spacing w:val="-6"/>
        </w:rPr>
        <w:t xml:space="preserve"> </w:t>
      </w:r>
      <w:r>
        <w:t>and stimuli closely matched those of Umeda et al.</w:t>
      </w:r>
      <w:r>
        <w:rPr>
          <w:spacing w:val="6"/>
        </w:rPr>
        <w:t xml:space="preserve"> </w:t>
      </w:r>
      <w:r>
        <w:t>(2016).</w:t>
      </w:r>
    </w:p>
    <w:p w14:paraId="334CD2A7" w14:textId="77777777" w:rsidR="00C75312" w:rsidRDefault="00BB293A">
      <w:pPr>
        <w:pStyle w:val="BodyText"/>
        <w:spacing w:before="120" w:line="480" w:lineRule="auto"/>
        <w:ind w:left="140" w:right="1429" w:firstLine="720"/>
        <w:jc w:val="both"/>
      </w:pPr>
      <w:r>
        <w:t>The ongoing task consisted of a n-back task (2-back version) originally developed by Kirchner (1958) as widely used updating/working memory paradigm. Each trial consisted of</w:t>
      </w:r>
    </w:p>
    <w:p w14:paraId="253A1455" w14:textId="77777777" w:rsidR="00C75312" w:rsidRDefault="00C75312">
      <w:pPr>
        <w:spacing w:line="480" w:lineRule="auto"/>
        <w:jc w:val="both"/>
        <w:sectPr w:rsidR="00C75312">
          <w:pgSz w:w="11900" w:h="16840"/>
          <w:pgMar w:top="1140" w:right="0" w:bottom="280" w:left="1300" w:header="715" w:footer="0" w:gutter="0"/>
          <w:cols w:space="720"/>
        </w:sectPr>
      </w:pPr>
    </w:p>
    <w:p w14:paraId="402AB52E" w14:textId="77777777" w:rsidR="00C75312" w:rsidRDefault="00C75312">
      <w:pPr>
        <w:pStyle w:val="BodyText"/>
        <w:spacing w:before="2"/>
        <w:rPr>
          <w:sz w:val="18"/>
        </w:rPr>
      </w:pPr>
    </w:p>
    <w:p w14:paraId="4175774F" w14:textId="77777777" w:rsidR="00C75312" w:rsidRDefault="00BB293A">
      <w:pPr>
        <w:pStyle w:val="BodyText"/>
        <w:spacing w:before="90" w:line="480" w:lineRule="auto"/>
        <w:ind w:left="140" w:right="1424"/>
        <w:jc w:val="both"/>
      </w:pPr>
      <w:r>
        <w:t xml:space="preserve">a lower-case letter (one of 10 consonant letters: </w:t>
      </w:r>
      <w:r>
        <w:rPr>
          <w:spacing w:val="-3"/>
        </w:rPr>
        <w:t xml:space="preserve">b, </w:t>
      </w:r>
      <w:r>
        <w:t xml:space="preserve">c, </w:t>
      </w:r>
      <w:r>
        <w:rPr>
          <w:spacing w:val="-3"/>
        </w:rPr>
        <w:t xml:space="preserve">d, </w:t>
      </w:r>
      <w:r>
        <w:t xml:space="preserve">f, g, h, k, m, n, or p) presented in the </w:t>
      </w:r>
      <w:proofErr w:type="spellStart"/>
      <w:r>
        <w:t>centre</w:t>
      </w:r>
      <w:proofErr w:type="spellEnd"/>
      <w:r>
        <w:t xml:space="preserve"> of the screen for 500ms followed by a variable inter-stimulus interval (ISI, between 2 and 3s) during which the screen was left blank. Participants had to respond for each trial as quickly as possible whether or not the letter on-screen matched the letter that had been presented two trials previously (yes/no forced-choice response; see Figure 12). There were 204 ongoing trials in total; 30 % of the trials were n-back matches and 70% were mismatches. T</w:t>
      </w:r>
      <w:r>
        <w:t>he</w:t>
      </w:r>
      <w:r>
        <w:rPr>
          <w:spacing w:val="-11"/>
        </w:rPr>
        <w:t xml:space="preserve"> </w:t>
      </w:r>
      <w:r>
        <w:t>task</w:t>
      </w:r>
      <w:r>
        <w:rPr>
          <w:spacing w:val="-10"/>
        </w:rPr>
        <w:t xml:space="preserve"> </w:t>
      </w:r>
      <w:r>
        <w:t>did</w:t>
      </w:r>
      <w:r>
        <w:rPr>
          <w:spacing w:val="-10"/>
        </w:rPr>
        <w:t xml:space="preserve"> </w:t>
      </w:r>
      <w:r>
        <w:t>not</w:t>
      </w:r>
      <w:r>
        <w:rPr>
          <w:spacing w:val="-10"/>
        </w:rPr>
        <w:t xml:space="preserve"> </w:t>
      </w:r>
      <w:r>
        <w:t>contain</w:t>
      </w:r>
      <w:r>
        <w:rPr>
          <w:spacing w:val="-10"/>
        </w:rPr>
        <w:t xml:space="preserve"> </w:t>
      </w:r>
      <w:r>
        <w:t>any</w:t>
      </w:r>
      <w:r>
        <w:rPr>
          <w:spacing w:val="-10"/>
        </w:rPr>
        <w:t xml:space="preserve"> </w:t>
      </w:r>
      <w:r>
        <w:t>lure</w:t>
      </w:r>
      <w:r>
        <w:rPr>
          <w:spacing w:val="-11"/>
        </w:rPr>
        <w:t xml:space="preserve"> </w:t>
      </w:r>
      <w:r>
        <w:t>1-back</w:t>
      </w:r>
      <w:r>
        <w:rPr>
          <w:spacing w:val="-10"/>
        </w:rPr>
        <w:t xml:space="preserve"> </w:t>
      </w:r>
      <w:r>
        <w:t>or</w:t>
      </w:r>
      <w:r>
        <w:rPr>
          <w:spacing w:val="-8"/>
        </w:rPr>
        <w:t xml:space="preserve"> </w:t>
      </w:r>
      <w:r>
        <w:t>3-back</w:t>
      </w:r>
      <w:r>
        <w:rPr>
          <w:spacing w:val="-10"/>
        </w:rPr>
        <w:t xml:space="preserve"> </w:t>
      </w:r>
      <w:r>
        <w:t>trials.</w:t>
      </w:r>
      <w:r>
        <w:rPr>
          <w:spacing w:val="44"/>
        </w:rPr>
        <w:t xml:space="preserve"> </w:t>
      </w:r>
      <w:r>
        <w:t>Prior</w:t>
      </w:r>
      <w:r>
        <w:rPr>
          <w:spacing w:val="-8"/>
        </w:rPr>
        <w:t xml:space="preserve"> </w:t>
      </w:r>
      <w:r>
        <w:t>to</w:t>
      </w:r>
      <w:r>
        <w:rPr>
          <w:spacing w:val="-10"/>
        </w:rPr>
        <w:t xml:space="preserve"> </w:t>
      </w:r>
      <w:r>
        <w:t>instructing</w:t>
      </w:r>
      <w:r>
        <w:rPr>
          <w:spacing w:val="-10"/>
        </w:rPr>
        <w:t xml:space="preserve"> </w:t>
      </w:r>
      <w:r>
        <w:t>participants</w:t>
      </w:r>
      <w:r>
        <w:rPr>
          <w:spacing w:val="-12"/>
        </w:rPr>
        <w:t xml:space="preserve"> </w:t>
      </w:r>
      <w:r>
        <w:t xml:space="preserve">about the PM task, participants completed a short, 18-trial, practice block. Responses on each ongoing trial received a score of one </w:t>
      </w:r>
      <w:r>
        <w:rPr>
          <w:spacing w:val="-3"/>
        </w:rPr>
        <w:t xml:space="preserve">if </w:t>
      </w:r>
      <w:r>
        <w:t>they were correctly classified as 2-back match or mismatch (</w:t>
      </w:r>
      <w:r>
        <w:rPr>
          <w:i/>
        </w:rPr>
        <w:t>ongoing hit</w:t>
      </w:r>
      <w:r>
        <w:t>). The proportion accuracy of hit trials relative to the total number of ongoing trials was computed (</w:t>
      </w:r>
      <w:r>
        <w:rPr>
          <w:i/>
        </w:rPr>
        <w:t>ongoing hit proportion</w:t>
      </w:r>
      <w:r>
        <w:t>) across match and mismatch</w:t>
      </w:r>
      <w:r>
        <w:rPr>
          <w:spacing w:val="-6"/>
        </w:rPr>
        <w:t xml:space="preserve"> </w:t>
      </w:r>
      <w:r>
        <w:t>trials.</w:t>
      </w:r>
    </w:p>
    <w:p w14:paraId="526EE41F" w14:textId="77777777" w:rsidR="00C75312" w:rsidRDefault="00BB293A">
      <w:pPr>
        <w:pStyle w:val="BodyText"/>
        <w:spacing w:before="120" w:line="480" w:lineRule="auto"/>
        <w:ind w:left="140" w:right="1427" w:firstLine="720"/>
        <w:jc w:val="both"/>
      </w:pPr>
      <w:r>
        <w:t>For each condition, five PM trials were embedded into the above ongoing task. Incorrect</w:t>
      </w:r>
      <w:r>
        <w:rPr>
          <w:spacing w:val="-9"/>
        </w:rPr>
        <w:t xml:space="preserve"> </w:t>
      </w:r>
      <w:r>
        <w:t>responses</w:t>
      </w:r>
      <w:r>
        <w:rPr>
          <w:spacing w:val="-7"/>
        </w:rPr>
        <w:t xml:space="preserve"> </w:t>
      </w:r>
      <w:r>
        <w:t>to</w:t>
      </w:r>
      <w:r>
        <w:rPr>
          <w:spacing w:val="-5"/>
        </w:rPr>
        <w:t xml:space="preserve"> </w:t>
      </w:r>
      <w:r>
        <w:t>PM</w:t>
      </w:r>
      <w:r>
        <w:rPr>
          <w:spacing w:val="-6"/>
        </w:rPr>
        <w:t xml:space="preserve"> </w:t>
      </w:r>
      <w:r>
        <w:t>trials</w:t>
      </w:r>
      <w:r>
        <w:rPr>
          <w:spacing w:val="-7"/>
        </w:rPr>
        <w:t xml:space="preserve"> </w:t>
      </w:r>
      <w:r>
        <w:t>were</w:t>
      </w:r>
      <w:r>
        <w:rPr>
          <w:spacing w:val="-11"/>
        </w:rPr>
        <w:t xml:space="preserve"> </w:t>
      </w:r>
      <w:r>
        <w:t>not</w:t>
      </w:r>
      <w:r>
        <w:rPr>
          <w:spacing w:val="-8"/>
        </w:rPr>
        <w:t xml:space="preserve"> </w:t>
      </w:r>
      <w:r>
        <w:t>counted</w:t>
      </w:r>
      <w:r>
        <w:rPr>
          <w:spacing w:val="-5"/>
        </w:rPr>
        <w:t xml:space="preserve"> </w:t>
      </w:r>
      <w:r>
        <w:t>towards</w:t>
      </w:r>
      <w:r>
        <w:rPr>
          <w:spacing w:val="-7"/>
        </w:rPr>
        <w:t xml:space="preserve"> </w:t>
      </w:r>
      <w:r>
        <w:t>the</w:t>
      </w:r>
      <w:r>
        <w:rPr>
          <w:spacing w:val="-5"/>
        </w:rPr>
        <w:t xml:space="preserve"> </w:t>
      </w:r>
      <w:r>
        <w:t>ongoing</w:t>
      </w:r>
      <w:r>
        <w:rPr>
          <w:spacing w:val="-10"/>
        </w:rPr>
        <w:t xml:space="preserve"> </w:t>
      </w:r>
      <w:r>
        <w:t>hit</w:t>
      </w:r>
      <w:r>
        <w:rPr>
          <w:spacing w:val="-9"/>
        </w:rPr>
        <w:t xml:space="preserve"> </w:t>
      </w:r>
      <w:r>
        <w:t>proportion</w:t>
      </w:r>
      <w:r>
        <w:rPr>
          <w:spacing w:val="-9"/>
        </w:rPr>
        <w:t xml:space="preserve"> </w:t>
      </w:r>
      <w:r>
        <w:t>score.</w:t>
      </w:r>
      <w:r>
        <w:rPr>
          <w:spacing w:val="44"/>
        </w:rPr>
        <w:t xml:space="preserve"> </w:t>
      </w:r>
      <w:r>
        <w:t xml:space="preserve">In the </w:t>
      </w:r>
      <w:r>
        <w:rPr>
          <w:i/>
        </w:rPr>
        <w:t>event-based PM condition</w:t>
      </w:r>
      <w:r>
        <w:t>, participants had to remember to press a pre-specified keyboard key</w:t>
      </w:r>
      <w:r>
        <w:rPr>
          <w:spacing w:val="-6"/>
        </w:rPr>
        <w:t xml:space="preserve"> </w:t>
      </w:r>
      <w:r>
        <w:t>whenever</w:t>
      </w:r>
      <w:r>
        <w:rPr>
          <w:spacing w:val="-3"/>
        </w:rPr>
        <w:t xml:space="preserve"> </w:t>
      </w:r>
      <w:r>
        <w:t>noticing</w:t>
      </w:r>
      <w:r>
        <w:rPr>
          <w:spacing w:val="-10"/>
        </w:rPr>
        <w:t xml:space="preserve"> </w:t>
      </w:r>
      <w:r>
        <w:t>a</w:t>
      </w:r>
      <w:r>
        <w:rPr>
          <w:spacing w:val="-6"/>
        </w:rPr>
        <w:t xml:space="preserve"> </w:t>
      </w:r>
      <w:r>
        <w:t>letter</w:t>
      </w:r>
      <w:r>
        <w:rPr>
          <w:spacing w:val="-3"/>
        </w:rPr>
        <w:t xml:space="preserve"> </w:t>
      </w:r>
      <w:r>
        <w:t>on</w:t>
      </w:r>
      <w:r>
        <w:rPr>
          <w:spacing w:val="-10"/>
        </w:rPr>
        <w:t xml:space="preserve"> </w:t>
      </w:r>
      <w:r>
        <w:t>screen</w:t>
      </w:r>
      <w:r>
        <w:rPr>
          <w:spacing w:val="-5"/>
        </w:rPr>
        <w:t xml:space="preserve"> </w:t>
      </w:r>
      <w:r>
        <w:t>that</w:t>
      </w:r>
      <w:r>
        <w:rPr>
          <w:spacing w:val="-9"/>
        </w:rPr>
        <w:t xml:space="preserve"> </w:t>
      </w:r>
      <w:r>
        <w:t>was</w:t>
      </w:r>
      <w:r>
        <w:rPr>
          <w:spacing w:val="-8"/>
        </w:rPr>
        <w:t xml:space="preserve"> </w:t>
      </w:r>
      <w:r>
        <w:t>a</w:t>
      </w:r>
      <w:r>
        <w:rPr>
          <w:spacing w:val="-11"/>
        </w:rPr>
        <w:t xml:space="preserve"> </w:t>
      </w:r>
      <w:r>
        <w:t>vowel.</w:t>
      </w:r>
      <w:r>
        <w:rPr>
          <w:spacing w:val="48"/>
        </w:rPr>
        <w:t xml:space="preserve"> </w:t>
      </w:r>
      <w:r>
        <w:t>On</w:t>
      </w:r>
      <w:r>
        <w:rPr>
          <w:spacing w:val="-5"/>
        </w:rPr>
        <w:t xml:space="preserve"> </w:t>
      </w:r>
      <w:r>
        <w:t>each</w:t>
      </w:r>
      <w:r>
        <w:rPr>
          <w:spacing w:val="-10"/>
        </w:rPr>
        <w:t xml:space="preserve"> </w:t>
      </w:r>
      <w:r>
        <w:t>PM</w:t>
      </w:r>
      <w:r>
        <w:rPr>
          <w:spacing w:val="-7"/>
        </w:rPr>
        <w:t xml:space="preserve"> </w:t>
      </w:r>
      <w:r>
        <w:t>trial,</w:t>
      </w:r>
      <w:r>
        <w:rPr>
          <w:spacing w:val="-7"/>
        </w:rPr>
        <w:t xml:space="preserve"> </w:t>
      </w:r>
      <w:r>
        <w:t>a</w:t>
      </w:r>
      <w:r>
        <w:rPr>
          <w:spacing w:val="-6"/>
        </w:rPr>
        <w:t xml:space="preserve"> </w:t>
      </w:r>
      <w:r>
        <w:t>different</w:t>
      </w:r>
      <w:r>
        <w:rPr>
          <w:spacing w:val="-9"/>
        </w:rPr>
        <w:t xml:space="preserve"> </w:t>
      </w:r>
      <w:r>
        <w:t>vowel was</w:t>
      </w:r>
      <w:r>
        <w:rPr>
          <w:spacing w:val="-12"/>
        </w:rPr>
        <w:t xml:space="preserve"> </w:t>
      </w:r>
      <w:r>
        <w:t>used</w:t>
      </w:r>
      <w:r>
        <w:rPr>
          <w:spacing w:val="-9"/>
        </w:rPr>
        <w:t xml:space="preserve"> </w:t>
      </w:r>
      <w:r>
        <w:t>as</w:t>
      </w:r>
      <w:r>
        <w:rPr>
          <w:spacing w:val="-11"/>
        </w:rPr>
        <w:t xml:space="preserve"> </w:t>
      </w:r>
      <w:r>
        <w:t>PM</w:t>
      </w:r>
      <w:r>
        <w:rPr>
          <w:spacing w:val="-11"/>
        </w:rPr>
        <w:t xml:space="preserve"> </w:t>
      </w:r>
      <w:r>
        <w:t>target.</w:t>
      </w:r>
      <w:r>
        <w:rPr>
          <w:spacing w:val="35"/>
        </w:rPr>
        <w:t xml:space="preserve"> </w:t>
      </w:r>
      <w:r>
        <w:t>The</w:t>
      </w:r>
      <w:r>
        <w:rPr>
          <w:spacing w:val="-10"/>
        </w:rPr>
        <w:t xml:space="preserve"> </w:t>
      </w:r>
      <w:r>
        <w:t>order</w:t>
      </w:r>
      <w:r>
        <w:rPr>
          <w:spacing w:val="-12"/>
        </w:rPr>
        <w:t xml:space="preserve"> </w:t>
      </w:r>
      <w:r>
        <w:t>of</w:t>
      </w:r>
      <w:r>
        <w:rPr>
          <w:spacing w:val="-12"/>
        </w:rPr>
        <w:t xml:space="preserve"> </w:t>
      </w:r>
      <w:r>
        <w:t>the</w:t>
      </w:r>
      <w:r>
        <w:rPr>
          <w:spacing w:val="-10"/>
        </w:rPr>
        <w:t xml:space="preserve"> </w:t>
      </w:r>
      <w:r>
        <w:t>vowels</w:t>
      </w:r>
      <w:r>
        <w:rPr>
          <w:spacing w:val="-12"/>
        </w:rPr>
        <w:t xml:space="preserve"> </w:t>
      </w:r>
      <w:r>
        <w:rPr>
          <w:spacing w:val="-3"/>
        </w:rPr>
        <w:t>was</w:t>
      </w:r>
      <w:r>
        <w:rPr>
          <w:spacing w:val="-11"/>
        </w:rPr>
        <w:t xml:space="preserve"> </w:t>
      </w:r>
      <w:r>
        <w:t>random</w:t>
      </w:r>
      <w:r>
        <w:rPr>
          <w:spacing w:val="-8"/>
        </w:rPr>
        <w:t xml:space="preserve"> </w:t>
      </w:r>
      <w:r>
        <w:t>across</w:t>
      </w:r>
      <w:r>
        <w:rPr>
          <w:spacing w:val="-11"/>
        </w:rPr>
        <w:t xml:space="preserve"> </w:t>
      </w:r>
      <w:r>
        <w:t>participants.</w:t>
      </w:r>
      <w:r>
        <w:rPr>
          <w:spacing w:val="35"/>
        </w:rPr>
        <w:t xml:space="preserve"> </w:t>
      </w:r>
      <w:r>
        <w:t>If</w:t>
      </w:r>
      <w:r>
        <w:rPr>
          <w:spacing w:val="-12"/>
        </w:rPr>
        <w:t xml:space="preserve"> </w:t>
      </w:r>
      <w:r>
        <w:t>participants remembered correctly to press the pre-specified key upon encountering a vowel they received a score of one (</w:t>
      </w:r>
      <w:r>
        <w:rPr>
          <w:i/>
        </w:rPr>
        <w:t>PM hit</w:t>
      </w:r>
      <w:r>
        <w:t xml:space="preserve">). PM performance was measured as the proportion of PM hits relative to the total number </w:t>
      </w:r>
      <w:r>
        <w:rPr>
          <w:spacing w:val="-3"/>
        </w:rPr>
        <w:t xml:space="preserve">of </w:t>
      </w:r>
      <w:r>
        <w:t>PM</w:t>
      </w:r>
      <w:r>
        <w:rPr>
          <w:spacing w:val="6"/>
        </w:rPr>
        <w:t xml:space="preserve"> </w:t>
      </w:r>
      <w:r>
        <w:t>trials.</w:t>
      </w:r>
    </w:p>
    <w:p w14:paraId="03324B9D" w14:textId="77777777" w:rsidR="00C75312" w:rsidRDefault="00BB293A">
      <w:pPr>
        <w:pStyle w:val="BodyText"/>
        <w:spacing w:before="121" w:line="480" w:lineRule="auto"/>
        <w:ind w:left="140" w:right="1428" w:firstLine="720"/>
        <w:jc w:val="both"/>
      </w:pPr>
      <w:r>
        <w:t xml:space="preserve">In the </w:t>
      </w:r>
      <w:r>
        <w:rPr>
          <w:i/>
        </w:rPr>
        <w:t>time-based PM condition</w:t>
      </w:r>
      <w:r>
        <w:t xml:space="preserve">, participants had </w:t>
      </w:r>
      <w:r>
        <w:rPr>
          <w:spacing w:val="-3"/>
        </w:rPr>
        <w:t xml:space="preserve">to </w:t>
      </w:r>
      <w:r>
        <w:t>remember to press a pre-specified keyboard</w:t>
      </w:r>
      <w:r>
        <w:rPr>
          <w:spacing w:val="-9"/>
        </w:rPr>
        <w:t xml:space="preserve"> </w:t>
      </w:r>
      <w:r>
        <w:t>key</w:t>
      </w:r>
      <w:r>
        <w:rPr>
          <w:spacing w:val="-9"/>
        </w:rPr>
        <w:t xml:space="preserve"> </w:t>
      </w:r>
      <w:r>
        <w:t>in</w:t>
      </w:r>
      <w:r>
        <w:rPr>
          <w:spacing w:val="-9"/>
        </w:rPr>
        <w:t xml:space="preserve"> </w:t>
      </w:r>
      <w:r>
        <w:t>2-minute</w:t>
      </w:r>
      <w:r>
        <w:rPr>
          <w:spacing w:val="-10"/>
        </w:rPr>
        <w:t xml:space="preserve"> </w:t>
      </w:r>
      <w:r>
        <w:t>intervals</w:t>
      </w:r>
      <w:r>
        <w:rPr>
          <w:spacing w:val="-11"/>
        </w:rPr>
        <w:t xml:space="preserve"> </w:t>
      </w:r>
      <w:r>
        <w:t>while</w:t>
      </w:r>
      <w:r>
        <w:rPr>
          <w:spacing w:val="-10"/>
        </w:rPr>
        <w:t xml:space="preserve"> </w:t>
      </w:r>
      <w:r>
        <w:t>performing</w:t>
      </w:r>
      <w:r>
        <w:rPr>
          <w:spacing w:val="-9"/>
        </w:rPr>
        <w:t xml:space="preserve"> </w:t>
      </w:r>
      <w:r>
        <w:t>the</w:t>
      </w:r>
      <w:r>
        <w:rPr>
          <w:spacing w:val="-10"/>
        </w:rPr>
        <w:t xml:space="preserve"> </w:t>
      </w:r>
      <w:r>
        <w:t>ongoing</w:t>
      </w:r>
      <w:r>
        <w:rPr>
          <w:spacing w:val="-8"/>
        </w:rPr>
        <w:t xml:space="preserve"> </w:t>
      </w:r>
      <w:r>
        <w:t>task</w:t>
      </w:r>
      <w:r>
        <w:rPr>
          <w:spacing w:val="-8"/>
        </w:rPr>
        <w:t xml:space="preserve"> </w:t>
      </w:r>
      <w:r>
        <w:t>(thus</w:t>
      </w:r>
      <w:r>
        <w:rPr>
          <w:spacing w:val="-11"/>
        </w:rPr>
        <w:t xml:space="preserve"> </w:t>
      </w:r>
      <w:r>
        <w:t>after</w:t>
      </w:r>
      <w:r>
        <w:rPr>
          <w:spacing w:val="-7"/>
        </w:rPr>
        <w:t xml:space="preserve"> </w:t>
      </w:r>
      <w:r>
        <w:t>2,</w:t>
      </w:r>
      <w:r>
        <w:rPr>
          <w:spacing w:val="-6"/>
        </w:rPr>
        <w:t xml:space="preserve"> </w:t>
      </w:r>
      <w:r>
        <w:t>4,</w:t>
      </w:r>
      <w:r>
        <w:rPr>
          <w:spacing w:val="-6"/>
        </w:rPr>
        <w:t xml:space="preserve"> </w:t>
      </w:r>
      <w:r>
        <w:rPr>
          <w:spacing w:val="-3"/>
        </w:rPr>
        <w:t>6,</w:t>
      </w:r>
      <w:r>
        <w:rPr>
          <w:spacing w:val="-6"/>
        </w:rPr>
        <w:t xml:space="preserve"> </w:t>
      </w:r>
      <w:r>
        <w:t>8,</w:t>
      </w:r>
      <w:r>
        <w:rPr>
          <w:spacing w:val="-6"/>
        </w:rPr>
        <w:t xml:space="preserve"> </w:t>
      </w:r>
      <w:r>
        <w:t>and 10</w:t>
      </w:r>
      <w:r>
        <w:rPr>
          <w:spacing w:val="-14"/>
        </w:rPr>
        <w:t xml:space="preserve"> </w:t>
      </w:r>
      <w:r>
        <w:t>minutes).</w:t>
      </w:r>
      <w:r>
        <w:rPr>
          <w:spacing w:val="30"/>
        </w:rPr>
        <w:t xml:space="preserve"> </w:t>
      </w:r>
      <w:r>
        <w:t>They</w:t>
      </w:r>
      <w:r>
        <w:rPr>
          <w:spacing w:val="-13"/>
        </w:rPr>
        <w:t xml:space="preserve"> </w:t>
      </w:r>
      <w:r>
        <w:t>were</w:t>
      </w:r>
      <w:r>
        <w:rPr>
          <w:spacing w:val="-15"/>
        </w:rPr>
        <w:t xml:space="preserve"> </w:t>
      </w:r>
      <w:r>
        <w:t>able</w:t>
      </w:r>
      <w:r>
        <w:rPr>
          <w:spacing w:val="-14"/>
        </w:rPr>
        <w:t xml:space="preserve"> </w:t>
      </w:r>
      <w:r>
        <w:t>to</w:t>
      </w:r>
      <w:r>
        <w:rPr>
          <w:spacing w:val="-14"/>
        </w:rPr>
        <w:t xml:space="preserve"> </w:t>
      </w:r>
      <w:r>
        <w:t>check</w:t>
      </w:r>
      <w:r>
        <w:rPr>
          <w:spacing w:val="-14"/>
        </w:rPr>
        <w:t xml:space="preserve"> </w:t>
      </w:r>
      <w:r>
        <w:t>the</w:t>
      </w:r>
      <w:r>
        <w:rPr>
          <w:spacing w:val="-14"/>
        </w:rPr>
        <w:t xml:space="preserve"> </w:t>
      </w:r>
      <w:r>
        <w:t>elapsed</w:t>
      </w:r>
      <w:r>
        <w:rPr>
          <w:spacing w:val="-14"/>
        </w:rPr>
        <w:t xml:space="preserve"> </w:t>
      </w:r>
      <w:r>
        <w:t>time</w:t>
      </w:r>
      <w:r>
        <w:rPr>
          <w:spacing w:val="-14"/>
        </w:rPr>
        <w:t xml:space="preserve"> </w:t>
      </w:r>
      <w:r>
        <w:t>by</w:t>
      </w:r>
      <w:r>
        <w:rPr>
          <w:spacing w:val="-14"/>
        </w:rPr>
        <w:t xml:space="preserve"> </w:t>
      </w:r>
      <w:r>
        <w:t>pressing</w:t>
      </w:r>
      <w:r>
        <w:rPr>
          <w:spacing w:val="-13"/>
        </w:rPr>
        <w:t xml:space="preserve"> </w:t>
      </w:r>
      <w:r>
        <w:t>another</w:t>
      </w:r>
      <w:r>
        <w:rPr>
          <w:spacing w:val="-13"/>
        </w:rPr>
        <w:t xml:space="preserve"> </w:t>
      </w:r>
      <w:r>
        <w:t>keyboard</w:t>
      </w:r>
      <w:r>
        <w:rPr>
          <w:spacing w:val="-13"/>
        </w:rPr>
        <w:t xml:space="preserve"> </w:t>
      </w:r>
      <w:r>
        <w:t>key</w:t>
      </w:r>
      <w:r>
        <w:rPr>
          <w:spacing w:val="-14"/>
        </w:rPr>
        <w:t xml:space="preserve"> </w:t>
      </w:r>
      <w:r>
        <w:t xml:space="preserve">which would trigger a digital clock to briefly appear. Responses within a 5-second interval (target time ± 2.5seconds) received a score </w:t>
      </w:r>
      <w:r>
        <w:rPr>
          <w:spacing w:val="-3"/>
        </w:rPr>
        <w:t xml:space="preserve">of </w:t>
      </w:r>
      <w:r>
        <w:t>one (</w:t>
      </w:r>
      <w:r>
        <w:rPr>
          <w:i/>
        </w:rPr>
        <w:t>PM hit</w:t>
      </w:r>
      <w:r>
        <w:t>). PM performance was measured as the proportion</w:t>
      </w:r>
      <w:r>
        <w:rPr>
          <w:spacing w:val="7"/>
        </w:rPr>
        <w:t xml:space="preserve"> </w:t>
      </w:r>
      <w:r>
        <w:rPr>
          <w:spacing w:val="-3"/>
        </w:rPr>
        <w:t>of</w:t>
      </w:r>
      <w:r>
        <w:rPr>
          <w:spacing w:val="8"/>
        </w:rPr>
        <w:t xml:space="preserve"> </w:t>
      </w:r>
      <w:r>
        <w:t>PM</w:t>
      </w:r>
      <w:r>
        <w:rPr>
          <w:spacing w:val="5"/>
        </w:rPr>
        <w:t xml:space="preserve"> </w:t>
      </w:r>
      <w:r>
        <w:t>hits</w:t>
      </w:r>
      <w:r>
        <w:rPr>
          <w:spacing w:val="6"/>
        </w:rPr>
        <w:t xml:space="preserve"> </w:t>
      </w:r>
      <w:r>
        <w:t>relative</w:t>
      </w:r>
      <w:r>
        <w:rPr>
          <w:spacing w:val="2"/>
        </w:rPr>
        <w:t xml:space="preserve"> </w:t>
      </w:r>
      <w:r>
        <w:t>to</w:t>
      </w:r>
      <w:r>
        <w:rPr>
          <w:spacing w:val="7"/>
        </w:rPr>
        <w:t xml:space="preserve"> </w:t>
      </w:r>
      <w:r>
        <w:t>the</w:t>
      </w:r>
      <w:r>
        <w:rPr>
          <w:spacing w:val="2"/>
        </w:rPr>
        <w:t xml:space="preserve"> </w:t>
      </w:r>
      <w:r>
        <w:t>total</w:t>
      </w:r>
      <w:r>
        <w:rPr>
          <w:spacing w:val="8"/>
        </w:rPr>
        <w:t xml:space="preserve"> </w:t>
      </w:r>
      <w:r>
        <w:t>number</w:t>
      </w:r>
      <w:r>
        <w:rPr>
          <w:spacing w:val="10"/>
        </w:rPr>
        <w:t xml:space="preserve"> </w:t>
      </w:r>
      <w:r>
        <w:t>of</w:t>
      </w:r>
      <w:r>
        <w:rPr>
          <w:spacing w:val="4"/>
        </w:rPr>
        <w:t xml:space="preserve"> </w:t>
      </w:r>
      <w:r>
        <w:t>PM</w:t>
      </w:r>
      <w:r>
        <w:rPr>
          <w:spacing w:val="6"/>
        </w:rPr>
        <w:t xml:space="preserve"> </w:t>
      </w:r>
      <w:r>
        <w:t>tria</w:t>
      </w:r>
      <w:r>
        <w:t>ls</w:t>
      </w:r>
      <w:r>
        <w:rPr>
          <w:spacing w:val="1"/>
        </w:rPr>
        <w:t xml:space="preserve"> </w:t>
      </w:r>
      <w:r>
        <w:t>(</w:t>
      </w:r>
      <w:r>
        <w:rPr>
          <w:i/>
        </w:rPr>
        <w:t>PM</w:t>
      </w:r>
      <w:r>
        <w:rPr>
          <w:i/>
          <w:spacing w:val="9"/>
        </w:rPr>
        <w:t xml:space="preserve"> </w:t>
      </w:r>
      <w:r>
        <w:rPr>
          <w:i/>
        </w:rPr>
        <w:t>proportion</w:t>
      </w:r>
      <w:r>
        <w:rPr>
          <w:i/>
          <w:spacing w:val="8"/>
        </w:rPr>
        <w:t xml:space="preserve"> </w:t>
      </w:r>
      <w:r>
        <w:rPr>
          <w:i/>
        </w:rPr>
        <w:t>hits</w:t>
      </w:r>
      <w:r>
        <w:t>).</w:t>
      </w:r>
    </w:p>
    <w:p w14:paraId="3B8B6B0D" w14:textId="77777777" w:rsidR="00C75312" w:rsidRDefault="00C75312">
      <w:pPr>
        <w:spacing w:line="480" w:lineRule="auto"/>
        <w:jc w:val="both"/>
        <w:sectPr w:rsidR="00C75312">
          <w:pgSz w:w="11900" w:h="16840"/>
          <w:pgMar w:top="1140" w:right="0" w:bottom="280" w:left="1300" w:header="715" w:footer="0" w:gutter="0"/>
          <w:cols w:space="720"/>
        </w:sectPr>
      </w:pPr>
    </w:p>
    <w:p w14:paraId="6E96A139" w14:textId="77777777" w:rsidR="00C75312" w:rsidRDefault="00C75312">
      <w:pPr>
        <w:pStyle w:val="BodyText"/>
        <w:spacing w:before="2"/>
        <w:rPr>
          <w:sz w:val="18"/>
        </w:rPr>
      </w:pPr>
    </w:p>
    <w:p w14:paraId="23B3EDD6" w14:textId="77777777" w:rsidR="00C75312" w:rsidRDefault="00BB293A">
      <w:pPr>
        <w:pStyle w:val="BodyText"/>
        <w:spacing w:before="90" w:line="480" w:lineRule="auto"/>
        <w:ind w:left="140" w:right="1428"/>
        <w:jc w:val="both"/>
      </w:pPr>
      <w:r>
        <w:t>Furthermore, the accuracy of the PM response (</w:t>
      </w:r>
      <w:r>
        <w:rPr>
          <w:i/>
        </w:rPr>
        <w:t>PM target accuracy</w:t>
      </w:r>
      <w:r>
        <w:t xml:space="preserve">) was </w:t>
      </w:r>
      <w:proofErr w:type="spellStart"/>
      <w:r>
        <w:t>analysed</w:t>
      </w:r>
      <w:proofErr w:type="spellEnd"/>
      <w:r>
        <w:t xml:space="preserve"> as the absolute</w:t>
      </w:r>
      <w:r>
        <w:rPr>
          <w:spacing w:val="-11"/>
        </w:rPr>
        <w:t xml:space="preserve"> </w:t>
      </w:r>
      <w:r>
        <w:t>reaction</w:t>
      </w:r>
      <w:r>
        <w:rPr>
          <w:spacing w:val="-10"/>
        </w:rPr>
        <w:t xml:space="preserve"> </w:t>
      </w:r>
      <w:r>
        <w:t>time</w:t>
      </w:r>
      <w:r>
        <w:rPr>
          <w:spacing w:val="-15"/>
        </w:rPr>
        <w:t xml:space="preserve"> </w:t>
      </w:r>
      <w:r>
        <w:t>difference</w:t>
      </w:r>
      <w:r>
        <w:rPr>
          <w:spacing w:val="-11"/>
        </w:rPr>
        <w:t xml:space="preserve"> </w:t>
      </w:r>
      <w:r>
        <w:t>between</w:t>
      </w:r>
      <w:r>
        <w:rPr>
          <w:spacing w:val="-14"/>
        </w:rPr>
        <w:t xml:space="preserve"> </w:t>
      </w:r>
      <w:r>
        <w:t>target</w:t>
      </w:r>
      <w:r>
        <w:rPr>
          <w:spacing w:val="-13"/>
        </w:rPr>
        <w:t xml:space="preserve"> </w:t>
      </w:r>
      <w:r>
        <w:t>time</w:t>
      </w:r>
      <w:r>
        <w:rPr>
          <w:spacing w:val="-11"/>
        </w:rPr>
        <w:t xml:space="preserve"> </w:t>
      </w:r>
      <w:r>
        <w:t>and</w:t>
      </w:r>
      <w:r>
        <w:rPr>
          <w:spacing w:val="-10"/>
        </w:rPr>
        <w:t xml:space="preserve"> </w:t>
      </w:r>
      <w:r>
        <w:t>the</w:t>
      </w:r>
      <w:r>
        <w:rPr>
          <w:spacing w:val="-15"/>
        </w:rPr>
        <w:t xml:space="preserve"> </w:t>
      </w:r>
      <w:r>
        <w:t>time</w:t>
      </w:r>
      <w:r>
        <w:rPr>
          <w:spacing w:val="-15"/>
        </w:rPr>
        <w:t xml:space="preserve"> </w:t>
      </w:r>
      <w:r>
        <w:t>of</w:t>
      </w:r>
      <w:r>
        <w:rPr>
          <w:spacing w:val="-12"/>
        </w:rPr>
        <w:t xml:space="preserve"> </w:t>
      </w:r>
      <w:r>
        <w:t>the</w:t>
      </w:r>
      <w:r>
        <w:rPr>
          <w:spacing w:val="-15"/>
        </w:rPr>
        <w:t xml:space="preserve"> </w:t>
      </w:r>
      <w:r>
        <w:t>PM</w:t>
      </w:r>
      <w:r>
        <w:rPr>
          <w:spacing w:val="-17"/>
        </w:rPr>
        <w:t xml:space="preserve"> </w:t>
      </w:r>
      <w:r>
        <w:t>response.</w:t>
      </w:r>
      <w:r>
        <w:rPr>
          <w:spacing w:val="39"/>
        </w:rPr>
        <w:t xml:space="preserve"> </w:t>
      </w:r>
      <w:r>
        <w:t>A</w:t>
      </w:r>
      <w:r>
        <w:rPr>
          <w:spacing w:val="-9"/>
        </w:rPr>
        <w:t xml:space="preserve"> </w:t>
      </w:r>
      <w:r>
        <w:t>value of zero would indicate perfect accuracy (i.e., pressing exactly on the target time), and hence the bigger the value the further from target time the PM press happened (max 2.5 seconds). Time</w:t>
      </w:r>
      <w:r>
        <w:rPr>
          <w:spacing w:val="-6"/>
        </w:rPr>
        <w:t xml:space="preserve"> </w:t>
      </w:r>
      <w:r>
        <w:t>monitoring</w:t>
      </w:r>
      <w:r>
        <w:rPr>
          <w:spacing w:val="-4"/>
        </w:rPr>
        <w:t xml:space="preserve"> </w:t>
      </w:r>
      <w:r>
        <w:t>was</w:t>
      </w:r>
      <w:r>
        <w:rPr>
          <w:spacing w:val="-6"/>
        </w:rPr>
        <w:t xml:space="preserve"> </w:t>
      </w:r>
      <w:r>
        <w:t>assessed</w:t>
      </w:r>
      <w:r>
        <w:rPr>
          <w:spacing w:val="-4"/>
        </w:rPr>
        <w:t xml:space="preserve"> </w:t>
      </w:r>
      <w:r>
        <w:t>as</w:t>
      </w:r>
      <w:r>
        <w:rPr>
          <w:spacing w:val="-7"/>
        </w:rPr>
        <w:t xml:space="preserve"> </w:t>
      </w:r>
      <w:r>
        <w:t>the</w:t>
      </w:r>
      <w:r>
        <w:rPr>
          <w:spacing w:val="-5"/>
        </w:rPr>
        <w:t xml:space="preserve"> </w:t>
      </w:r>
      <w:r>
        <w:t>mean</w:t>
      </w:r>
      <w:r>
        <w:rPr>
          <w:spacing w:val="-4"/>
        </w:rPr>
        <w:t xml:space="preserve"> </w:t>
      </w:r>
      <w:r>
        <w:t>number</w:t>
      </w:r>
      <w:r>
        <w:rPr>
          <w:spacing w:val="-2"/>
        </w:rPr>
        <w:t xml:space="preserve"> </w:t>
      </w:r>
      <w:r>
        <w:t>of</w:t>
      </w:r>
      <w:r>
        <w:rPr>
          <w:spacing w:val="-3"/>
        </w:rPr>
        <w:t xml:space="preserve"> </w:t>
      </w:r>
      <w:r>
        <w:t>time</w:t>
      </w:r>
      <w:r>
        <w:rPr>
          <w:spacing w:val="-5"/>
        </w:rPr>
        <w:t xml:space="preserve"> </w:t>
      </w:r>
      <w:r>
        <w:t>checks</w:t>
      </w:r>
      <w:r>
        <w:rPr>
          <w:spacing w:val="-6"/>
        </w:rPr>
        <w:t xml:space="preserve"> </w:t>
      </w:r>
      <w:r>
        <w:t>within</w:t>
      </w:r>
      <w:r>
        <w:rPr>
          <w:spacing w:val="-4"/>
        </w:rPr>
        <w:t xml:space="preserve"> </w:t>
      </w:r>
      <w:r>
        <w:t>30-second</w:t>
      </w:r>
      <w:r>
        <w:rPr>
          <w:spacing w:val="-5"/>
        </w:rPr>
        <w:t xml:space="preserve"> </w:t>
      </w:r>
      <w:r>
        <w:t xml:space="preserve">segments leading up to each target time (0-30, 31-60, 61-90, 91-120 seconds) across all five PM trials. Once participants had completed the respective PM condition retrospective memory for task instructions was verified. All participants </w:t>
      </w:r>
      <w:r>
        <w:rPr>
          <w:spacing w:val="-3"/>
        </w:rPr>
        <w:t xml:space="preserve">were </w:t>
      </w:r>
      <w:r>
        <w:t>able to correctly recount the PM task instruction.</w:t>
      </w:r>
    </w:p>
    <w:p w14:paraId="48B7F466" w14:textId="77777777" w:rsidR="00C75312" w:rsidRDefault="00BB293A">
      <w:pPr>
        <w:pStyle w:val="BodyText"/>
        <w:spacing w:before="10"/>
        <w:rPr>
          <w:sz w:val="9"/>
        </w:rPr>
      </w:pPr>
      <w:r>
        <w:rPr>
          <w:noProof/>
        </w:rPr>
        <w:drawing>
          <wp:anchor distT="0" distB="0" distL="0" distR="0" simplePos="0" relativeHeight="156" behindDoc="0" locked="0" layoutInCell="1" allowOverlap="1" wp14:anchorId="57E279BF" wp14:editId="266572B9">
            <wp:simplePos x="0" y="0"/>
            <wp:positionH relativeFrom="page">
              <wp:posOffset>921737</wp:posOffset>
            </wp:positionH>
            <wp:positionV relativeFrom="paragraph">
              <wp:posOffset>97306</wp:posOffset>
            </wp:positionV>
            <wp:extent cx="5674168" cy="1701546"/>
            <wp:effectExtent l="0" t="0" r="0" b="0"/>
            <wp:wrapTopAndBottom/>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47" cstate="print"/>
                    <a:stretch>
                      <a:fillRect/>
                    </a:stretch>
                  </pic:blipFill>
                  <pic:spPr>
                    <a:xfrm>
                      <a:off x="0" y="0"/>
                      <a:ext cx="5674168" cy="1701546"/>
                    </a:xfrm>
                    <a:prstGeom prst="rect">
                      <a:avLst/>
                    </a:prstGeom>
                  </pic:spPr>
                </pic:pic>
              </a:graphicData>
            </a:graphic>
          </wp:anchor>
        </w:drawing>
      </w:r>
    </w:p>
    <w:p w14:paraId="5427B5BC" w14:textId="77777777" w:rsidR="00C75312" w:rsidRDefault="00BB293A">
      <w:pPr>
        <w:spacing w:before="166"/>
        <w:ind w:left="140"/>
        <w:jc w:val="both"/>
        <w:rPr>
          <w:i/>
          <w:sz w:val="20"/>
        </w:rPr>
      </w:pPr>
      <w:r>
        <w:rPr>
          <w:i/>
          <w:sz w:val="20"/>
        </w:rPr>
        <w:t>Figure 12. Schematic illustration of the 2-back ongoing task</w:t>
      </w:r>
    </w:p>
    <w:p w14:paraId="1273CE7B" w14:textId="77777777" w:rsidR="00C75312" w:rsidRDefault="00C75312">
      <w:pPr>
        <w:pStyle w:val="BodyText"/>
        <w:spacing w:before="4"/>
        <w:rPr>
          <w:i/>
        </w:rPr>
      </w:pPr>
    </w:p>
    <w:p w14:paraId="7FC50EB6" w14:textId="77777777" w:rsidR="00C75312" w:rsidRDefault="00BB293A">
      <w:pPr>
        <w:pStyle w:val="Heading1"/>
        <w:ind w:left="860"/>
      </w:pPr>
      <w:r>
        <w:t>Self-report measures.</w:t>
      </w:r>
    </w:p>
    <w:p w14:paraId="45D247A4" w14:textId="77777777" w:rsidR="00C75312" w:rsidRDefault="00C75312">
      <w:pPr>
        <w:pStyle w:val="BodyText"/>
        <w:spacing w:before="5"/>
        <w:rPr>
          <w:b/>
          <w:sz w:val="34"/>
        </w:rPr>
      </w:pPr>
    </w:p>
    <w:p w14:paraId="2F132B3B" w14:textId="77777777" w:rsidR="00C75312" w:rsidRDefault="00BB293A">
      <w:pPr>
        <w:pStyle w:val="BodyText"/>
        <w:spacing w:line="480" w:lineRule="auto"/>
        <w:ind w:left="140" w:right="1427" w:firstLine="720"/>
        <w:jc w:val="both"/>
      </w:pPr>
      <w:r>
        <w:t>Autism-spectrum</w:t>
      </w:r>
      <w:r>
        <w:rPr>
          <w:spacing w:val="-10"/>
        </w:rPr>
        <w:t xml:space="preserve"> </w:t>
      </w:r>
      <w:r>
        <w:t>Quotient</w:t>
      </w:r>
      <w:r>
        <w:rPr>
          <w:spacing w:val="-15"/>
        </w:rPr>
        <w:t xml:space="preserve"> </w:t>
      </w:r>
      <w:r>
        <w:t>(AQ,</w:t>
      </w:r>
      <w:r>
        <w:rPr>
          <w:spacing w:val="-7"/>
        </w:rPr>
        <w:t xml:space="preserve"> </w:t>
      </w:r>
      <w:r>
        <w:t>Baron-Cohen</w:t>
      </w:r>
      <w:r>
        <w:rPr>
          <w:spacing w:val="-11"/>
        </w:rPr>
        <w:t xml:space="preserve"> </w:t>
      </w:r>
      <w:r>
        <w:t>et</w:t>
      </w:r>
      <w:r>
        <w:rPr>
          <w:spacing w:val="-9"/>
        </w:rPr>
        <w:t xml:space="preserve"> </w:t>
      </w:r>
      <w:r>
        <w:t>al.,</w:t>
      </w:r>
      <w:r>
        <w:rPr>
          <w:spacing w:val="-13"/>
        </w:rPr>
        <w:t xml:space="preserve"> </w:t>
      </w:r>
      <w:r>
        <w:t>2001).</w:t>
      </w:r>
      <w:r>
        <w:rPr>
          <w:spacing w:val="33"/>
        </w:rPr>
        <w:t xml:space="preserve"> </w:t>
      </w:r>
      <w:r>
        <w:t>The</w:t>
      </w:r>
      <w:r>
        <w:rPr>
          <w:spacing w:val="-15"/>
        </w:rPr>
        <w:t xml:space="preserve"> </w:t>
      </w:r>
      <w:r>
        <w:t>AQ</w:t>
      </w:r>
      <w:r>
        <w:rPr>
          <w:spacing w:val="-11"/>
        </w:rPr>
        <w:t xml:space="preserve"> </w:t>
      </w:r>
      <w:r>
        <w:t>questionnaire</w:t>
      </w:r>
      <w:r>
        <w:rPr>
          <w:spacing w:val="-11"/>
        </w:rPr>
        <w:t xml:space="preserve"> </w:t>
      </w:r>
      <w:r>
        <w:t>was used</w:t>
      </w:r>
      <w:r>
        <w:rPr>
          <w:spacing w:val="-6"/>
        </w:rPr>
        <w:t xml:space="preserve"> </w:t>
      </w:r>
      <w:r>
        <w:t>to</w:t>
      </w:r>
      <w:r>
        <w:rPr>
          <w:spacing w:val="-5"/>
        </w:rPr>
        <w:t xml:space="preserve"> </w:t>
      </w:r>
      <w:r>
        <w:t>assess</w:t>
      </w:r>
      <w:r>
        <w:rPr>
          <w:spacing w:val="-8"/>
        </w:rPr>
        <w:t xml:space="preserve"> </w:t>
      </w:r>
      <w:r>
        <w:t>autistic</w:t>
      </w:r>
      <w:r>
        <w:rPr>
          <w:spacing w:val="-6"/>
        </w:rPr>
        <w:t xml:space="preserve"> </w:t>
      </w:r>
      <w:r>
        <w:t>features</w:t>
      </w:r>
      <w:r>
        <w:rPr>
          <w:spacing w:val="-8"/>
        </w:rPr>
        <w:t xml:space="preserve"> </w:t>
      </w:r>
      <w:r>
        <w:t>in</w:t>
      </w:r>
      <w:r>
        <w:rPr>
          <w:spacing w:val="-5"/>
        </w:rPr>
        <w:t xml:space="preserve"> </w:t>
      </w:r>
      <w:r>
        <w:t>the</w:t>
      </w:r>
      <w:r>
        <w:rPr>
          <w:spacing w:val="-6"/>
        </w:rPr>
        <w:t xml:space="preserve"> </w:t>
      </w:r>
      <w:r>
        <w:t>present</w:t>
      </w:r>
      <w:r>
        <w:rPr>
          <w:spacing w:val="-5"/>
        </w:rPr>
        <w:t xml:space="preserve"> </w:t>
      </w:r>
      <w:r>
        <w:t>sample</w:t>
      </w:r>
      <w:r>
        <w:rPr>
          <w:spacing w:val="-6"/>
        </w:rPr>
        <w:t xml:space="preserve"> </w:t>
      </w:r>
      <w:r>
        <w:t>(see</w:t>
      </w:r>
      <w:r>
        <w:rPr>
          <w:spacing w:val="-7"/>
        </w:rPr>
        <w:t xml:space="preserve"> </w:t>
      </w:r>
      <w:r>
        <w:t>Chapter</w:t>
      </w:r>
      <w:r>
        <w:rPr>
          <w:spacing w:val="-3"/>
        </w:rPr>
        <w:t xml:space="preserve"> </w:t>
      </w:r>
      <w:r>
        <w:t>4,</w:t>
      </w:r>
      <w:r>
        <w:rPr>
          <w:spacing w:val="-3"/>
        </w:rPr>
        <w:t xml:space="preserve"> </w:t>
      </w:r>
      <w:r>
        <w:t>page</w:t>
      </w:r>
      <w:r>
        <w:rPr>
          <w:spacing w:val="-6"/>
        </w:rPr>
        <w:t xml:space="preserve"> </w:t>
      </w:r>
      <w:r>
        <w:t>92</w:t>
      </w:r>
      <w:r>
        <w:rPr>
          <w:spacing w:val="-11"/>
        </w:rPr>
        <w:t xml:space="preserve"> </w:t>
      </w:r>
      <w:r>
        <w:t>for</w:t>
      </w:r>
      <w:r>
        <w:rPr>
          <w:spacing w:val="-3"/>
        </w:rPr>
        <w:t xml:space="preserve"> </w:t>
      </w:r>
      <w:r>
        <w:t>a</w:t>
      </w:r>
      <w:r>
        <w:rPr>
          <w:spacing w:val="-6"/>
        </w:rPr>
        <w:t xml:space="preserve"> </w:t>
      </w:r>
      <w:r>
        <w:t>description).</w:t>
      </w:r>
    </w:p>
    <w:p w14:paraId="0D6E494F" w14:textId="77777777" w:rsidR="00C75312" w:rsidRDefault="00BB293A">
      <w:pPr>
        <w:pStyle w:val="BodyText"/>
        <w:spacing w:before="120" w:line="480" w:lineRule="auto"/>
        <w:ind w:left="140" w:right="1429" w:firstLine="720"/>
        <w:jc w:val="both"/>
      </w:pPr>
      <w:r>
        <w:t>Toronto Alexithymia Scale (TAS). The TAS (Bagby, Parker, &amp; Taylor, 1994) is a</w:t>
      </w:r>
      <w:r>
        <w:rPr>
          <w:spacing w:val="-32"/>
        </w:rPr>
        <w:t xml:space="preserve"> </w:t>
      </w:r>
      <w:r>
        <w:t>20- item self-report measure concerning people’s awareness and understanding of, and ability to describe, their own bodily sensations and feelings. Participants have to rate their agreement with</w:t>
      </w:r>
      <w:r>
        <w:rPr>
          <w:spacing w:val="-6"/>
        </w:rPr>
        <w:t xml:space="preserve"> </w:t>
      </w:r>
      <w:r>
        <w:t>each</w:t>
      </w:r>
      <w:r>
        <w:rPr>
          <w:spacing w:val="-5"/>
        </w:rPr>
        <w:t xml:space="preserve"> </w:t>
      </w:r>
      <w:r>
        <w:t>of</w:t>
      </w:r>
      <w:r>
        <w:rPr>
          <w:spacing w:val="-3"/>
        </w:rPr>
        <w:t xml:space="preserve"> </w:t>
      </w:r>
      <w:r>
        <w:t>the</w:t>
      </w:r>
      <w:r>
        <w:rPr>
          <w:spacing w:val="-6"/>
        </w:rPr>
        <w:t xml:space="preserve"> </w:t>
      </w:r>
      <w:r>
        <w:t>20</w:t>
      </w:r>
      <w:r>
        <w:rPr>
          <w:spacing w:val="-6"/>
        </w:rPr>
        <w:t xml:space="preserve"> </w:t>
      </w:r>
      <w:r>
        <w:t>statements</w:t>
      </w:r>
      <w:r>
        <w:rPr>
          <w:spacing w:val="-7"/>
        </w:rPr>
        <w:t xml:space="preserve"> </w:t>
      </w:r>
      <w:r>
        <w:t>on</w:t>
      </w:r>
      <w:r>
        <w:rPr>
          <w:spacing w:val="-5"/>
        </w:rPr>
        <w:t xml:space="preserve"> </w:t>
      </w:r>
      <w:r>
        <w:t>a</w:t>
      </w:r>
      <w:r>
        <w:rPr>
          <w:spacing w:val="-6"/>
        </w:rPr>
        <w:t xml:space="preserve"> </w:t>
      </w:r>
      <w:r>
        <w:t>5-point</w:t>
      </w:r>
      <w:r>
        <w:rPr>
          <w:spacing w:val="-4"/>
        </w:rPr>
        <w:t xml:space="preserve"> </w:t>
      </w:r>
      <w:r>
        <w:t>scale</w:t>
      </w:r>
      <w:r>
        <w:rPr>
          <w:spacing w:val="-7"/>
        </w:rPr>
        <w:t xml:space="preserve"> </w:t>
      </w:r>
      <w:r>
        <w:t>(‘Strongly</w:t>
      </w:r>
      <w:r>
        <w:rPr>
          <w:spacing w:val="-5"/>
        </w:rPr>
        <w:t xml:space="preserve"> </w:t>
      </w:r>
      <w:r>
        <w:t>Disagree’,</w:t>
      </w:r>
      <w:r>
        <w:rPr>
          <w:spacing w:val="-7"/>
        </w:rPr>
        <w:t xml:space="preserve"> </w:t>
      </w:r>
      <w:r>
        <w:t>‘Moderately</w:t>
      </w:r>
      <w:r>
        <w:rPr>
          <w:spacing w:val="-5"/>
        </w:rPr>
        <w:t xml:space="preserve"> </w:t>
      </w:r>
      <w:r>
        <w:t>Disagree’, ‘Neither  Disagree  or  Agree’,  ‘Moderately  Agree’,  ‘Strongly  Agree’).    It  is  widely</w:t>
      </w:r>
      <w:r>
        <w:rPr>
          <w:spacing w:val="18"/>
        </w:rPr>
        <w:t xml:space="preserve"> </w:t>
      </w:r>
      <w:r>
        <w:t>used</w:t>
      </w:r>
    </w:p>
    <w:p w14:paraId="5AFF0B21" w14:textId="77777777" w:rsidR="00C75312" w:rsidRDefault="00C75312">
      <w:pPr>
        <w:spacing w:line="480" w:lineRule="auto"/>
        <w:jc w:val="both"/>
        <w:sectPr w:rsidR="00C75312">
          <w:pgSz w:w="11900" w:h="16840"/>
          <w:pgMar w:top="1140" w:right="0" w:bottom="280" w:left="1300" w:header="715" w:footer="0" w:gutter="0"/>
          <w:cols w:space="720"/>
        </w:sectPr>
      </w:pPr>
    </w:p>
    <w:p w14:paraId="055ACA02" w14:textId="77777777" w:rsidR="00C75312" w:rsidRDefault="00C75312">
      <w:pPr>
        <w:pStyle w:val="BodyText"/>
        <w:spacing w:before="2"/>
        <w:rPr>
          <w:sz w:val="18"/>
        </w:rPr>
      </w:pPr>
    </w:p>
    <w:p w14:paraId="07045A1D" w14:textId="77777777" w:rsidR="00C75312" w:rsidRDefault="00BB293A">
      <w:pPr>
        <w:pStyle w:val="BodyText"/>
        <w:spacing w:before="90" w:line="480" w:lineRule="auto"/>
        <w:ind w:left="140" w:right="1301"/>
      </w:pPr>
      <w:r>
        <w:t xml:space="preserve">(Kooiman, </w:t>
      </w:r>
      <w:proofErr w:type="spellStart"/>
      <w:r>
        <w:t>Spinhoven</w:t>
      </w:r>
      <w:proofErr w:type="spellEnd"/>
      <w:r>
        <w:t xml:space="preserve">, &amp; </w:t>
      </w:r>
      <w:proofErr w:type="spellStart"/>
      <w:r>
        <w:t>Trijsburg</w:t>
      </w:r>
      <w:proofErr w:type="spellEnd"/>
      <w:r>
        <w:t>, 2002) and has good reliability (internal consistency 0.86; Parker, Taylor, &amp; Bagby, 2003). Higher scores indicate higher levels of alexithymia.</w:t>
      </w:r>
    </w:p>
    <w:p w14:paraId="4D01C487" w14:textId="77777777" w:rsidR="00C75312" w:rsidRDefault="00BB293A">
      <w:pPr>
        <w:pStyle w:val="Heading1"/>
        <w:spacing w:before="120"/>
        <w:ind w:left="860"/>
      </w:pPr>
      <w:proofErr w:type="spellStart"/>
      <w:r>
        <w:t>Behavioural</w:t>
      </w:r>
      <w:proofErr w:type="spellEnd"/>
      <w:r>
        <w:t xml:space="preserve"> measures.</w:t>
      </w:r>
    </w:p>
    <w:p w14:paraId="57DD5F82" w14:textId="77777777" w:rsidR="00C75312" w:rsidRDefault="00C75312">
      <w:pPr>
        <w:pStyle w:val="BodyText"/>
        <w:spacing w:before="5"/>
        <w:rPr>
          <w:b/>
          <w:sz w:val="34"/>
        </w:rPr>
      </w:pPr>
    </w:p>
    <w:p w14:paraId="62A5F0B7" w14:textId="77777777" w:rsidR="00C75312" w:rsidRDefault="00BB293A">
      <w:pPr>
        <w:pStyle w:val="BodyText"/>
        <w:spacing w:line="480" w:lineRule="auto"/>
        <w:ind w:left="140" w:right="1428" w:firstLine="720"/>
        <w:jc w:val="both"/>
      </w:pPr>
      <w:r>
        <w:t xml:space="preserve">A </w:t>
      </w:r>
      <w:proofErr w:type="spellStart"/>
      <w:r>
        <w:t>computerised</w:t>
      </w:r>
      <w:proofErr w:type="spellEnd"/>
      <w:r>
        <w:t xml:space="preserve"> version of the Wisconsin Card Sorting Task (WCST; Berg, 1948; Nelson, 1976) was used as an established measure of cognitive flexibility/set shifting</w:t>
      </w:r>
      <w:r>
        <w:rPr>
          <w:spacing w:val="-41"/>
        </w:rPr>
        <w:t xml:space="preserve"> </w:t>
      </w:r>
      <w:r>
        <w:t>(Miyake et al., 2000). The procedure was the same as described in Chapter 4 (pp. 101-102). Performance was again determined following the criteria by Cianchetti et al. (2007) and the number of perseverative errors was used as a measure of cognitive flexibility. A perseverative error</w:t>
      </w:r>
      <w:r>
        <w:rPr>
          <w:spacing w:val="-8"/>
        </w:rPr>
        <w:t xml:space="preserve"> </w:t>
      </w:r>
      <w:r>
        <w:t>was</w:t>
      </w:r>
      <w:r>
        <w:rPr>
          <w:spacing w:val="-11"/>
        </w:rPr>
        <w:t xml:space="preserve"> </w:t>
      </w:r>
      <w:r>
        <w:t>defined</w:t>
      </w:r>
      <w:r>
        <w:rPr>
          <w:spacing w:val="-9"/>
        </w:rPr>
        <w:t xml:space="preserve"> </w:t>
      </w:r>
      <w:r>
        <w:t>as</w:t>
      </w:r>
      <w:r>
        <w:rPr>
          <w:spacing w:val="-11"/>
        </w:rPr>
        <w:t xml:space="preserve"> </w:t>
      </w:r>
      <w:r>
        <w:t>a)</w:t>
      </w:r>
      <w:r>
        <w:rPr>
          <w:spacing w:val="-7"/>
        </w:rPr>
        <w:t xml:space="preserve"> </w:t>
      </w:r>
      <w:r>
        <w:t>persisting</w:t>
      </w:r>
      <w:r>
        <w:rPr>
          <w:spacing w:val="-10"/>
        </w:rPr>
        <w:t xml:space="preserve"> </w:t>
      </w:r>
      <w:r>
        <w:t>to</w:t>
      </w:r>
      <w:r>
        <w:rPr>
          <w:spacing w:val="-9"/>
        </w:rPr>
        <w:t xml:space="preserve"> </w:t>
      </w:r>
      <w:r>
        <w:t>sort</w:t>
      </w:r>
      <w:r>
        <w:rPr>
          <w:spacing w:val="-8"/>
        </w:rPr>
        <w:t xml:space="preserve"> </w:t>
      </w:r>
      <w:r>
        <w:t>a</w:t>
      </w:r>
      <w:r>
        <w:rPr>
          <w:spacing w:val="-10"/>
        </w:rPr>
        <w:t xml:space="preserve"> </w:t>
      </w:r>
      <w:r>
        <w:t>card</w:t>
      </w:r>
      <w:r>
        <w:rPr>
          <w:spacing w:val="-13"/>
        </w:rPr>
        <w:t xml:space="preserve"> </w:t>
      </w:r>
      <w:r>
        <w:t>into</w:t>
      </w:r>
      <w:r>
        <w:rPr>
          <w:spacing w:val="-13"/>
        </w:rPr>
        <w:t xml:space="preserve"> </w:t>
      </w:r>
      <w:r>
        <w:t>the</w:t>
      </w:r>
      <w:r>
        <w:rPr>
          <w:spacing w:val="-11"/>
        </w:rPr>
        <w:t xml:space="preserve"> </w:t>
      </w:r>
      <w:r>
        <w:t>same</w:t>
      </w:r>
      <w:r>
        <w:rPr>
          <w:spacing w:val="-10"/>
        </w:rPr>
        <w:t xml:space="preserve"> </w:t>
      </w:r>
      <w:r>
        <w:t>category</w:t>
      </w:r>
      <w:r>
        <w:rPr>
          <w:spacing w:val="-9"/>
        </w:rPr>
        <w:t xml:space="preserve"> </w:t>
      </w:r>
      <w:r>
        <w:t>as</w:t>
      </w:r>
      <w:r>
        <w:rPr>
          <w:spacing w:val="-11"/>
        </w:rPr>
        <w:t xml:space="preserve"> </w:t>
      </w:r>
      <w:r>
        <w:t>the</w:t>
      </w:r>
      <w:r>
        <w:rPr>
          <w:spacing w:val="-10"/>
        </w:rPr>
        <w:t xml:space="preserve"> </w:t>
      </w:r>
      <w:r>
        <w:t>previous</w:t>
      </w:r>
      <w:r>
        <w:rPr>
          <w:spacing w:val="-11"/>
        </w:rPr>
        <w:t xml:space="preserve"> </w:t>
      </w:r>
      <w:r>
        <w:t>one,</w:t>
      </w:r>
      <w:r>
        <w:rPr>
          <w:spacing w:val="-7"/>
        </w:rPr>
        <w:t xml:space="preserve"> </w:t>
      </w:r>
      <w:r>
        <w:t>after they had received feedback of their previous sort being</w:t>
      </w:r>
      <w:r>
        <w:rPr>
          <w:spacing w:val="3"/>
        </w:rPr>
        <w:t xml:space="preserve"> </w:t>
      </w:r>
      <w:r>
        <w:t>incorrect</w:t>
      </w:r>
    </w:p>
    <w:p w14:paraId="13108B4D" w14:textId="77777777" w:rsidR="00C75312" w:rsidRDefault="00BB293A">
      <w:pPr>
        <w:pStyle w:val="BodyText"/>
        <w:spacing w:before="120" w:line="480" w:lineRule="auto"/>
        <w:ind w:left="140" w:right="1428" w:firstLine="720"/>
        <w:jc w:val="both"/>
      </w:pPr>
      <w:r>
        <w:t>A heartbeat detection task (</w:t>
      </w:r>
      <w:proofErr w:type="spellStart"/>
      <w:r>
        <w:t>Schandry</w:t>
      </w:r>
      <w:proofErr w:type="spellEnd"/>
      <w:r>
        <w:t>, 1981) was employed as a widely used measure of one’s interoceptive ability (ability to monitor one’s own physiological states). Following the</w:t>
      </w:r>
      <w:r>
        <w:rPr>
          <w:spacing w:val="-12"/>
        </w:rPr>
        <w:t xml:space="preserve"> </w:t>
      </w:r>
      <w:r>
        <w:t>procedure</w:t>
      </w:r>
      <w:r>
        <w:rPr>
          <w:spacing w:val="-11"/>
        </w:rPr>
        <w:t xml:space="preserve"> </w:t>
      </w:r>
      <w:r>
        <w:t>of</w:t>
      </w:r>
      <w:r>
        <w:rPr>
          <w:spacing w:val="-9"/>
        </w:rPr>
        <w:t xml:space="preserve"> </w:t>
      </w:r>
      <w:r>
        <w:t>Shah,</w:t>
      </w:r>
      <w:r>
        <w:rPr>
          <w:spacing w:val="-8"/>
        </w:rPr>
        <w:t xml:space="preserve"> </w:t>
      </w:r>
      <w:proofErr w:type="spellStart"/>
      <w:r>
        <w:t>Catmur</w:t>
      </w:r>
      <w:proofErr w:type="spellEnd"/>
      <w:r>
        <w:t>,</w:t>
      </w:r>
      <w:r>
        <w:rPr>
          <w:spacing w:val="-12"/>
        </w:rPr>
        <w:t xml:space="preserve"> </w:t>
      </w:r>
      <w:r>
        <w:t>and</w:t>
      </w:r>
      <w:r>
        <w:rPr>
          <w:spacing w:val="-11"/>
        </w:rPr>
        <w:t xml:space="preserve"> </w:t>
      </w:r>
      <w:r>
        <w:t>Bird</w:t>
      </w:r>
      <w:r>
        <w:rPr>
          <w:spacing w:val="-10"/>
        </w:rPr>
        <w:t xml:space="preserve"> </w:t>
      </w:r>
      <w:r>
        <w:t>(2016),</w:t>
      </w:r>
      <w:r>
        <w:rPr>
          <w:spacing w:val="-8"/>
        </w:rPr>
        <w:t xml:space="preserve"> </w:t>
      </w:r>
      <w:r>
        <w:rPr>
          <w:spacing w:val="-3"/>
        </w:rPr>
        <w:t>we</w:t>
      </w:r>
      <w:r>
        <w:rPr>
          <w:spacing w:val="-11"/>
        </w:rPr>
        <w:t xml:space="preserve"> </w:t>
      </w:r>
      <w:r>
        <w:t>assessed</w:t>
      </w:r>
      <w:r>
        <w:rPr>
          <w:spacing w:val="-11"/>
        </w:rPr>
        <w:t xml:space="preserve"> </w:t>
      </w:r>
      <w:r>
        <w:t>participants’</w:t>
      </w:r>
      <w:r>
        <w:rPr>
          <w:spacing w:val="-8"/>
        </w:rPr>
        <w:t xml:space="preserve"> </w:t>
      </w:r>
      <w:r>
        <w:t>interoceptive</w:t>
      </w:r>
      <w:r>
        <w:rPr>
          <w:spacing w:val="-12"/>
        </w:rPr>
        <w:t xml:space="preserve"> </w:t>
      </w:r>
      <w:r>
        <w:t>ability and compared it to their actual heart rate as acquire using a finger pulse oximeter (</w:t>
      </w:r>
      <w:proofErr w:type="spellStart"/>
      <w:r>
        <w:t>Contec</w:t>
      </w:r>
      <w:proofErr w:type="spellEnd"/>
      <w:r>
        <w:t xml:space="preserve"> Systems CMS-50D; Qinhuangdao, China) attached to the index finger. Participant were sat in a quiet room with closed eyes and count their heart beats using no other means than c</w:t>
      </w:r>
      <w:r>
        <w:t xml:space="preserve">oncentrating on their heart beating. This task </w:t>
      </w:r>
      <w:r>
        <w:rPr>
          <w:spacing w:val="-3"/>
        </w:rPr>
        <w:t xml:space="preserve">was </w:t>
      </w:r>
      <w:r>
        <w:t xml:space="preserve">completed for four intervals </w:t>
      </w:r>
      <w:r>
        <w:rPr>
          <w:spacing w:val="-3"/>
        </w:rPr>
        <w:t xml:space="preserve">of </w:t>
      </w:r>
      <w:r>
        <w:t>varying duration (25, 35, 45, and 100 seconds). The interoceptive accuracy score was calculated separately for each interval using the following</w:t>
      </w:r>
      <w:r>
        <w:rPr>
          <w:spacing w:val="-1"/>
        </w:rPr>
        <w:t xml:space="preserve"> </w:t>
      </w:r>
      <w:r>
        <w:t>formula:</w:t>
      </w:r>
    </w:p>
    <w:p w14:paraId="7CBCD53F" w14:textId="77777777" w:rsidR="00C75312" w:rsidRDefault="00BB293A">
      <w:pPr>
        <w:spacing w:before="26" w:line="168" w:lineRule="auto"/>
        <w:ind w:left="1637"/>
        <w:rPr>
          <w:sz w:val="24"/>
        </w:rPr>
      </w:pPr>
      <w:r>
        <w:pict w14:anchorId="1CEEF0FC">
          <v:line id="_x0000_s2139" style="position:absolute;left:0;text-align:left;z-index:-260483072;mso-position-horizontal-relative:page" from="176.15pt,11.6pt" to="407.05pt,11.6pt" strokeweight=".72pt">
            <w10:wrap anchorx="page"/>
          </v:line>
        </w:pict>
      </w:r>
      <w:r>
        <w:rPr>
          <w:rFonts w:ascii="Cambria Math" w:hAnsi="Cambria Math"/>
          <w:spacing w:val="2"/>
          <w:w w:val="55"/>
          <w:position w:val="-13"/>
          <w:sz w:val="24"/>
        </w:rPr>
        <w:t>%</w:t>
      </w:r>
      <w:r>
        <w:rPr>
          <w:rFonts w:ascii="Cambria Math" w:hAnsi="Cambria Math"/>
          <w:position w:val="-13"/>
          <w:sz w:val="24"/>
        </w:rPr>
        <w:t>1</w:t>
      </w:r>
      <w:r>
        <w:rPr>
          <w:rFonts w:ascii="Cambria Math" w:hAnsi="Cambria Math"/>
          <w:spacing w:val="-4"/>
          <w:position w:val="-13"/>
          <w:sz w:val="24"/>
        </w:rPr>
        <w:t xml:space="preserve"> </w:t>
      </w:r>
      <w:r>
        <w:rPr>
          <w:rFonts w:ascii="Cambria Math" w:hAnsi="Cambria Math"/>
          <w:position w:val="-13"/>
          <w:sz w:val="24"/>
        </w:rPr>
        <w:t xml:space="preserve">− </w:t>
      </w:r>
      <w:r>
        <w:rPr>
          <w:rFonts w:ascii="Cambria Math" w:hAnsi="Cambria Math"/>
          <w:spacing w:val="-2"/>
          <w:position w:val="-13"/>
          <w:sz w:val="24"/>
        </w:rPr>
        <w:t xml:space="preserve"> </w:t>
      </w:r>
      <w:r>
        <w:rPr>
          <w:rFonts w:ascii="Cambria Math" w:hAnsi="Cambria Math"/>
          <w:spacing w:val="-1"/>
          <w:w w:val="98"/>
          <w:sz w:val="17"/>
        </w:rPr>
        <w:t>|</w:t>
      </w:r>
      <w:r>
        <w:rPr>
          <w:rFonts w:ascii="Cambria Math" w:hAnsi="Cambria Math"/>
          <w:spacing w:val="2"/>
          <w:w w:val="125"/>
          <w:sz w:val="17"/>
        </w:rPr>
        <w:t>)</w:t>
      </w:r>
      <w:r>
        <w:rPr>
          <w:rFonts w:ascii="Cambria Math" w:hAnsi="Cambria Math"/>
          <w:w w:val="125"/>
          <w:sz w:val="17"/>
        </w:rPr>
        <w:t>*</w:t>
      </w:r>
      <w:r>
        <w:rPr>
          <w:rFonts w:ascii="Cambria Math" w:hAnsi="Cambria Math"/>
          <w:spacing w:val="1"/>
          <w:w w:val="66"/>
          <w:sz w:val="17"/>
        </w:rPr>
        <w:t>+</w:t>
      </w:r>
      <w:r>
        <w:rPr>
          <w:rFonts w:ascii="Cambria Math" w:hAnsi="Cambria Math"/>
          <w:spacing w:val="1"/>
          <w:w w:val="283"/>
          <w:sz w:val="17"/>
        </w:rPr>
        <w:t>,</w:t>
      </w:r>
      <w:r>
        <w:rPr>
          <w:rFonts w:ascii="Cambria Math" w:hAnsi="Cambria Math"/>
          <w:spacing w:val="2"/>
          <w:w w:val="154"/>
          <w:sz w:val="17"/>
        </w:rPr>
        <w:t>)</w:t>
      </w:r>
      <w:r>
        <w:rPr>
          <w:rFonts w:ascii="Cambria Math" w:hAnsi="Cambria Math"/>
          <w:spacing w:val="-2"/>
          <w:w w:val="154"/>
          <w:sz w:val="17"/>
        </w:rPr>
        <w:t>-</w:t>
      </w:r>
      <w:r>
        <w:rPr>
          <w:rFonts w:ascii="Cambria Math" w:hAnsi="Cambria Math"/>
          <w:w w:val="125"/>
          <w:sz w:val="17"/>
        </w:rPr>
        <w:t>*</w:t>
      </w:r>
      <w:r>
        <w:rPr>
          <w:rFonts w:ascii="Cambria Math" w:hAnsi="Cambria Math"/>
          <w:w w:val="190"/>
          <w:sz w:val="17"/>
        </w:rPr>
        <w:t>-</w:t>
      </w:r>
      <w:r>
        <w:rPr>
          <w:rFonts w:ascii="Cambria Math" w:hAnsi="Cambria Math"/>
          <w:spacing w:val="13"/>
          <w:sz w:val="17"/>
        </w:rPr>
        <w:t xml:space="preserve"> </w:t>
      </w:r>
      <w:r>
        <w:rPr>
          <w:rFonts w:ascii="Cambria Math" w:hAnsi="Cambria Math"/>
          <w:spacing w:val="1"/>
          <w:w w:val="298"/>
          <w:sz w:val="17"/>
        </w:rPr>
        <w:t>.</w:t>
      </w:r>
      <w:r>
        <w:rPr>
          <w:rFonts w:ascii="Cambria Math" w:hAnsi="Cambria Math"/>
          <w:w w:val="298"/>
          <w:sz w:val="17"/>
        </w:rPr>
        <w:t>,</w:t>
      </w:r>
      <w:r>
        <w:rPr>
          <w:rFonts w:ascii="Cambria Math" w:hAnsi="Cambria Math"/>
          <w:spacing w:val="2"/>
          <w:sz w:val="17"/>
        </w:rPr>
        <w:t xml:space="preserve"> </w:t>
      </w:r>
      <w:r>
        <w:rPr>
          <w:rFonts w:ascii="Cambria Math" w:hAnsi="Cambria Math"/>
          <w:spacing w:val="1"/>
          <w:w w:val="168"/>
          <w:sz w:val="17"/>
        </w:rPr>
        <w:t>,</w:t>
      </w:r>
      <w:r>
        <w:rPr>
          <w:rFonts w:ascii="Cambria Math" w:hAnsi="Cambria Math"/>
          <w:w w:val="168"/>
          <w:sz w:val="17"/>
        </w:rPr>
        <w:t>/</w:t>
      </w:r>
      <w:r>
        <w:rPr>
          <w:rFonts w:ascii="Cambria Math" w:hAnsi="Cambria Math"/>
          <w:spacing w:val="5"/>
          <w:sz w:val="17"/>
        </w:rPr>
        <w:t xml:space="preserve"> </w:t>
      </w:r>
      <w:r>
        <w:rPr>
          <w:rFonts w:ascii="Cambria Math" w:hAnsi="Cambria Math"/>
          <w:spacing w:val="1"/>
          <w:w w:val="110"/>
          <w:sz w:val="17"/>
        </w:rPr>
        <w:t>0</w:t>
      </w:r>
      <w:r>
        <w:rPr>
          <w:rFonts w:ascii="Cambria Math" w:hAnsi="Cambria Math"/>
          <w:w w:val="117"/>
          <w:sz w:val="17"/>
        </w:rPr>
        <w:t>*1</w:t>
      </w:r>
      <w:r>
        <w:rPr>
          <w:rFonts w:ascii="Cambria Math" w:hAnsi="Cambria Math"/>
          <w:spacing w:val="2"/>
          <w:w w:val="126"/>
          <w:sz w:val="17"/>
        </w:rPr>
        <w:t>)</w:t>
      </w:r>
      <w:r>
        <w:rPr>
          <w:rFonts w:ascii="Cambria Math" w:hAnsi="Cambria Math"/>
          <w:spacing w:val="-2"/>
          <w:w w:val="78"/>
          <w:sz w:val="17"/>
        </w:rPr>
        <w:t>2</w:t>
      </w:r>
      <w:r>
        <w:rPr>
          <w:rFonts w:ascii="Cambria Math" w:hAnsi="Cambria Math"/>
          <w:w w:val="113"/>
          <w:sz w:val="17"/>
        </w:rPr>
        <w:t>3*1</w:t>
      </w:r>
      <w:r>
        <w:rPr>
          <w:rFonts w:ascii="Cambria Math" w:hAnsi="Cambria Math"/>
          <w:spacing w:val="-2"/>
          <w:w w:val="78"/>
          <w:sz w:val="17"/>
        </w:rPr>
        <w:t>2</w:t>
      </w:r>
      <w:r>
        <w:rPr>
          <w:rFonts w:ascii="Cambria Math" w:hAnsi="Cambria Math"/>
          <w:spacing w:val="9"/>
          <w:w w:val="86"/>
          <w:sz w:val="17"/>
        </w:rPr>
        <w:t>4</w:t>
      </w:r>
      <w:r>
        <w:rPr>
          <w:rFonts w:ascii="Cambria Math" w:hAnsi="Cambria Math"/>
          <w:spacing w:val="2"/>
          <w:w w:val="129"/>
          <w:sz w:val="17"/>
        </w:rPr>
        <w:t>5</w:t>
      </w:r>
      <w:r>
        <w:rPr>
          <w:rFonts w:ascii="Cambria Math" w:hAnsi="Cambria Math"/>
          <w:spacing w:val="1"/>
          <w:w w:val="113"/>
          <w:sz w:val="17"/>
        </w:rPr>
        <w:t>+,</w:t>
      </w:r>
      <w:r>
        <w:rPr>
          <w:rFonts w:ascii="Cambria Math" w:hAnsi="Cambria Math"/>
          <w:spacing w:val="1"/>
          <w:w w:val="115"/>
          <w:sz w:val="17"/>
        </w:rPr>
        <w:t>6</w:t>
      </w:r>
      <w:r>
        <w:rPr>
          <w:rFonts w:ascii="Cambria Math" w:hAnsi="Cambria Math"/>
          <w:spacing w:val="1"/>
          <w:w w:val="312"/>
          <w:sz w:val="17"/>
        </w:rPr>
        <w:t>.</w:t>
      </w:r>
      <w:r>
        <w:rPr>
          <w:rFonts w:ascii="Cambria Math" w:hAnsi="Cambria Math"/>
          <w:spacing w:val="-3"/>
          <w:w w:val="78"/>
          <w:sz w:val="17"/>
        </w:rPr>
        <w:t>2</w:t>
      </w:r>
      <w:r>
        <w:rPr>
          <w:rFonts w:ascii="Cambria Math" w:hAnsi="Cambria Math"/>
          <w:w w:val="125"/>
          <w:sz w:val="17"/>
        </w:rPr>
        <w:t>*</w:t>
      </w:r>
      <w:r>
        <w:rPr>
          <w:rFonts w:ascii="Cambria Math" w:hAnsi="Cambria Math"/>
          <w:w w:val="190"/>
          <w:sz w:val="17"/>
        </w:rPr>
        <w:t>-</w:t>
      </w:r>
      <w:r>
        <w:rPr>
          <w:rFonts w:ascii="Cambria Math" w:hAnsi="Cambria Math"/>
          <w:spacing w:val="8"/>
          <w:sz w:val="17"/>
        </w:rPr>
        <w:t xml:space="preserve"> </w:t>
      </w:r>
      <w:r>
        <w:rPr>
          <w:rFonts w:ascii="Cambria Math" w:hAnsi="Cambria Math"/>
          <w:spacing w:val="1"/>
          <w:w w:val="298"/>
          <w:sz w:val="17"/>
        </w:rPr>
        <w:t>.</w:t>
      </w:r>
      <w:r>
        <w:rPr>
          <w:rFonts w:ascii="Cambria Math" w:hAnsi="Cambria Math"/>
          <w:w w:val="298"/>
          <w:sz w:val="17"/>
        </w:rPr>
        <w:t>,</w:t>
      </w:r>
      <w:r>
        <w:rPr>
          <w:rFonts w:ascii="Cambria Math" w:hAnsi="Cambria Math"/>
          <w:spacing w:val="7"/>
          <w:sz w:val="17"/>
        </w:rPr>
        <w:t xml:space="preserve"> </w:t>
      </w:r>
      <w:r>
        <w:rPr>
          <w:rFonts w:ascii="Cambria Math" w:hAnsi="Cambria Math"/>
          <w:spacing w:val="1"/>
          <w:w w:val="168"/>
          <w:sz w:val="17"/>
        </w:rPr>
        <w:t>,</w:t>
      </w:r>
      <w:r>
        <w:rPr>
          <w:rFonts w:ascii="Cambria Math" w:hAnsi="Cambria Math"/>
          <w:w w:val="168"/>
          <w:sz w:val="17"/>
        </w:rPr>
        <w:t>/</w:t>
      </w:r>
      <w:r>
        <w:rPr>
          <w:rFonts w:ascii="Cambria Math" w:hAnsi="Cambria Math"/>
          <w:spacing w:val="5"/>
          <w:sz w:val="17"/>
        </w:rPr>
        <w:t xml:space="preserve"> </w:t>
      </w:r>
      <w:r>
        <w:rPr>
          <w:rFonts w:ascii="Cambria Math" w:hAnsi="Cambria Math"/>
          <w:spacing w:val="1"/>
          <w:w w:val="110"/>
          <w:sz w:val="17"/>
        </w:rPr>
        <w:t>0</w:t>
      </w:r>
      <w:r>
        <w:rPr>
          <w:rFonts w:ascii="Cambria Math" w:hAnsi="Cambria Math"/>
          <w:w w:val="117"/>
          <w:sz w:val="17"/>
        </w:rPr>
        <w:t>*1</w:t>
      </w:r>
      <w:r>
        <w:rPr>
          <w:rFonts w:ascii="Cambria Math" w:hAnsi="Cambria Math"/>
          <w:spacing w:val="2"/>
          <w:w w:val="126"/>
          <w:sz w:val="17"/>
        </w:rPr>
        <w:t>)</w:t>
      </w:r>
      <w:r>
        <w:rPr>
          <w:rFonts w:ascii="Cambria Math" w:hAnsi="Cambria Math"/>
          <w:spacing w:val="-2"/>
          <w:w w:val="78"/>
          <w:sz w:val="17"/>
        </w:rPr>
        <w:t>2</w:t>
      </w:r>
      <w:r>
        <w:rPr>
          <w:rFonts w:ascii="Cambria Math" w:hAnsi="Cambria Math"/>
          <w:w w:val="113"/>
          <w:sz w:val="17"/>
        </w:rPr>
        <w:t>3*1</w:t>
      </w:r>
      <w:r>
        <w:rPr>
          <w:rFonts w:ascii="Cambria Math" w:hAnsi="Cambria Math"/>
          <w:spacing w:val="-2"/>
          <w:w w:val="78"/>
          <w:sz w:val="17"/>
        </w:rPr>
        <w:t>2</w:t>
      </w:r>
      <w:r>
        <w:rPr>
          <w:rFonts w:ascii="Cambria Math" w:hAnsi="Cambria Math"/>
          <w:spacing w:val="9"/>
          <w:w w:val="86"/>
          <w:sz w:val="17"/>
        </w:rPr>
        <w:t>4</w:t>
      </w:r>
      <w:r>
        <w:rPr>
          <w:rFonts w:ascii="Cambria Math" w:hAnsi="Cambria Math"/>
          <w:spacing w:val="-1"/>
          <w:w w:val="98"/>
          <w:sz w:val="17"/>
        </w:rPr>
        <w:t>|</w:t>
      </w:r>
      <w:r>
        <w:rPr>
          <w:rFonts w:ascii="Cambria Math" w:hAnsi="Cambria Math"/>
          <w:w w:val="88"/>
          <w:position w:val="-13"/>
          <w:sz w:val="24"/>
        </w:rPr>
        <w:t>7</w:t>
      </w:r>
      <w:r>
        <w:rPr>
          <w:rFonts w:ascii="Cambria Math" w:hAnsi="Cambria Math"/>
          <w:spacing w:val="11"/>
          <w:position w:val="-13"/>
          <w:sz w:val="24"/>
        </w:rPr>
        <w:t xml:space="preserve"> </w:t>
      </w:r>
      <w:r>
        <w:rPr>
          <w:position w:val="-13"/>
          <w:sz w:val="24"/>
        </w:rPr>
        <w:t>*100.</w:t>
      </w:r>
    </w:p>
    <w:p w14:paraId="734DCEA4" w14:textId="77777777" w:rsidR="00C75312" w:rsidRDefault="00BB293A">
      <w:pPr>
        <w:spacing w:line="160" w:lineRule="exact"/>
        <w:ind w:left="3413"/>
        <w:rPr>
          <w:rFonts w:ascii="Cambria Math"/>
          <w:sz w:val="17"/>
        </w:rPr>
      </w:pPr>
      <w:r>
        <w:rPr>
          <w:rFonts w:ascii="Cambria Math"/>
          <w:spacing w:val="2"/>
          <w:w w:val="125"/>
          <w:sz w:val="17"/>
        </w:rPr>
        <w:t>)</w:t>
      </w:r>
      <w:r>
        <w:rPr>
          <w:rFonts w:ascii="Cambria Math"/>
          <w:w w:val="125"/>
          <w:sz w:val="17"/>
        </w:rPr>
        <w:t>*</w:t>
      </w:r>
      <w:r>
        <w:rPr>
          <w:rFonts w:ascii="Cambria Math"/>
          <w:spacing w:val="1"/>
          <w:w w:val="66"/>
          <w:sz w:val="17"/>
        </w:rPr>
        <w:t>+</w:t>
      </w:r>
      <w:r>
        <w:rPr>
          <w:rFonts w:ascii="Cambria Math"/>
          <w:spacing w:val="1"/>
          <w:w w:val="283"/>
          <w:sz w:val="17"/>
        </w:rPr>
        <w:t>,</w:t>
      </w:r>
      <w:r>
        <w:rPr>
          <w:rFonts w:ascii="Cambria Math"/>
          <w:spacing w:val="2"/>
          <w:w w:val="154"/>
          <w:sz w:val="17"/>
        </w:rPr>
        <w:t>)</w:t>
      </w:r>
      <w:r>
        <w:rPr>
          <w:rFonts w:ascii="Cambria Math"/>
          <w:spacing w:val="-2"/>
          <w:w w:val="154"/>
          <w:sz w:val="17"/>
        </w:rPr>
        <w:t>-</w:t>
      </w:r>
      <w:r>
        <w:rPr>
          <w:rFonts w:ascii="Cambria Math"/>
          <w:w w:val="125"/>
          <w:sz w:val="17"/>
        </w:rPr>
        <w:t>*</w:t>
      </w:r>
      <w:r>
        <w:rPr>
          <w:rFonts w:ascii="Cambria Math"/>
          <w:w w:val="190"/>
          <w:sz w:val="17"/>
        </w:rPr>
        <w:t>-</w:t>
      </w:r>
      <w:r>
        <w:rPr>
          <w:rFonts w:ascii="Cambria Math"/>
          <w:spacing w:val="8"/>
          <w:sz w:val="17"/>
        </w:rPr>
        <w:t xml:space="preserve"> </w:t>
      </w:r>
      <w:r>
        <w:rPr>
          <w:rFonts w:ascii="Cambria Math"/>
          <w:spacing w:val="1"/>
          <w:w w:val="298"/>
          <w:sz w:val="17"/>
        </w:rPr>
        <w:t>.</w:t>
      </w:r>
      <w:r>
        <w:rPr>
          <w:rFonts w:ascii="Cambria Math"/>
          <w:w w:val="298"/>
          <w:sz w:val="17"/>
        </w:rPr>
        <w:t>,</w:t>
      </w:r>
      <w:r>
        <w:rPr>
          <w:rFonts w:ascii="Cambria Math"/>
          <w:spacing w:val="7"/>
          <w:sz w:val="17"/>
        </w:rPr>
        <w:t xml:space="preserve"> </w:t>
      </w:r>
      <w:r>
        <w:rPr>
          <w:rFonts w:ascii="Cambria Math"/>
          <w:spacing w:val="1"/>
          <w:w w:val="168"/>
          <w:sz w:val="17"/>
        </w:rPr>
        <w:t>,</w:t>
      </w:r>
      <w:r>
        <w:rPr>
          <w:rFonts w:ascii="Cambria Math"/>
          <w:w w:val="168"/>
          <w:sz w:val="17"/>
        </w:rPr>
        <w:t>/</w:t>
      </w:r>
      <w:r>
        <w:rPr>
          <w:rFonts w:ascii="Cambria Math"/>
          <w:spacing w:val="5"/>
          <w:sz w:val="17"/>
        </w:rPr>
        <w:t xml:space="preserve"> </w:t>
      </w:r>
      <w:r>
        <w:rPr>
          <w:rFonts w:ascii="Cambria Math"/>
          <w:spacing w:val="1"/>
          <w:w w:val="110"/>
          <w:sz w:val="17"/>
        </w:rPr>
        <w:t>0</w:t>
      </w:r>
      <w:r>
        <w:rPr>
          <w:rFonts w:ascii="Cambria Math"/>
          <w:w w:val="117"/>
          <w:sz w:val="17"/>
        </w:rPr>
        <w:t>*1</w:t>
      </w:r>
      <w:r>
        <w:rPr>
          <w:rFonts w:ascii="Cambria Math"/>
          <w:spacing w:val="2"/>
          <w:w w:val="126"/>
          <w:sz w:val="17"/>
        </w:rPr>
        <w:t>)</w:t>
      </w:r>
      <w:r>
        <w:rPr>
          <w:rFonts w:ascii="Cambria Math"/>
          <w:spacing w:val="-2"/>
          <w:w w:val="78"/>
          <w:sz w:val="17"/>
        </w:rPr>
        <w:t>2</w:t>
      </w:r>
      <w:r>
        <w:rPr>
          <w:rFonts w:ascii="Cambria Math"/>
          <w:w w:val="113"/>
          <w:sz w:val="17"/>
        </w:rPr>
        <w:t>3*1</w:t>
      </w:r>
      <w:r>
        <w:rPr>
          <w:rFonts w:ascii="Cambria Math"/>
          <w:spacing w:val="-2"/>
          <w:w w:val="78"/>
          <w:sz w:val="17"/>
        </w:rPr>
        <w:t>2</w:t>
      </w:r>
      <w:r>
        <w:rPr>
          <w:rFonts w:ascii="Cambria Math"/>
          <w:w w:val="86"/>
          <w:sz w:val="17"/>
        </w:rPr>
        <w:t>4</w:t>
      </w:r>
    </w:p>
    <w:p w14:paraId="0AFD540E" w14:textId="77777777" w:rsidR="00C75312" w:rsidRDefault="00C75312">
      <w:pPr>
        <w:pStyle w:val="BodyText"/>
        <w:spacing w:before="10"/>
        <w:rPr>
          <w:rFonts w:ascii="Cambria Math"/>
          <w:sz w:val="15"/>
        </w:rPr>
      </w:pPr>
    </w:p>
    <w:p w14:paraId="338E54E9" w14:textId="77777777" w:rsidR="00C75312" w:rsidRDefault="00BB293A">
      <w:pPr>
        <w:pStyle w:val="BodyText"/>
        <w:spacing w:before="90" w:line="480" w:lineRule="auto"/>
        <w:ind w:left="140" w:right="1301" w:firstLine="720"/>
      </w:pPr>
      <w:r>
        <w:t>Subsequently,</w:t>
      </w:r>
      <w:r>
        <w:rPr>
          <w:spacing w:val="-7"/>
        </w:rPr>
        <w:t xml:space="preserve"> </w:t>
      </w:r>
      <w:r>
        <w:t>the</w:t>
      </w:r>
      <w:r>
        <w:rPr>
          <w:spacing w:val="-10"/>
        </w:rPr>
        <w:t xml:space="preserve"> </w:t>
      </w:r>
      <w:r>
        <w:t>mean</w:t>
      </w:r>
      <w:r>
        <w:rPr>
          <w:spacing w:val="-9"/>
        </w:rPr>
        <w:t xml:space="preserve"> </w:t>
      </w:r>
      <w:r>
        <w:t>across</w:t>
      </w:r>
      <w:r>
        <w:rPr>
          <w:spacing w:val="-11"/>
        </w:rPr>
        <w:t xml:space="preserve"> </w:t>
      </w:r>
      <w:r>
        <w:t>the</w:t>
      </w:r>
      <w:r>
        <w:rPr>
          <w:spacing w:val="-10"/>
        </w:rPr>
        <w:t xml:space="preserve"> </w:t>
      </w:r>
      <w:r>
        <w:t>four</w:t>
      </w:r>
      <w:r>
        <w:rPr>
          <w:spacing w:val="-7"/>
        </w:rPr>
        <w:t xml:space="preserve"> </w:t>
      </w:r>
      <w:r>
        <w:t>intervals</w:t>
      </w:r>
      <w:r>
        <w:rPr>
          <w:spacing w:val="-11"/>
        </w:rPr>
        <w:t xml:space="preserve"> </w:t>
      </w:r>
      <w:r>
        <w:rPr>
          <w:spacing w:val="-3"/>
        </w:rPr>
        <w:t>was</w:t>
      </w:r>
      <w:r>
        <w:rPr>
          <w:spacing w:val="-11"/>
        </w:rPr>
        <w:t xml:space="preserve"> </w:t>
      </w:r>
      <w:r>
        <w:t>computed</w:t>
      </w:r>
      <w:r>
        <w:rPr>
          <w:spacing w:val="-9"/>
        </w:rPr>
        <w:t xml:space="preserve"> </w:t>
      </w:r>
      <w:r>
        <w:t>to</w:t>
      </w:r>
      <w:r>
        <w:rPr>
          <w:spacing w:val="-9"/>
        </w:rPr>
        <w:t xml:space="preserve"> </w:t>
      </w:r>
      <w:r>
        <w:t>obtain</w:t>
      </w:r>
      <w:r>
        <w:rPr>
          <w:spacing w:val="-9"/>
        </w:rPr>
        <w:t xml:space="preserve"> </w:t>
      </w:r>
      <w:r>
        <w:t>a</w:t>
      </w:r>
      <w:r>
        <w:rPr>
          <w:spacing w:val="-10"/>
        </w:rPr>
        <w:t xml:space="preserve"> </w:t>
      </w:r>
      <w:r>
        <w:t>global</w:t>
      </w:r>
      <w:r>
        <w:rPr>
          <w:spacing w:val="-8"/>
        </w:rPr>
        <w:t xml:space="preserve"> </w:t>
      </w:r>
      <w:r>
        <w:t>index of interoceptive accuracy with higher scores indicating better interoceptive</w:t>
      </w:r>
      <w:r>
        <w:rPr>
          <w:spacing w:val="-4"/>
        </w:rPr>
        <w:t xml:space="preserve"> </w:t>
      </w:r>
      <w:r>
        <w:t>accuracy.</w:t>
      </w:r>
    </w:p>
    <w:p w14:paraId="765C2E7B" w14:textId="77777777" w:rsidR="00C75312" w:rsidRDefault="00C75312">
      <w:pPr>
        <w:spacing w:line="480" w:lineRule="auto"/>
        <w:sectPr w:rsidR="00C75312">
          <w:pgSz w:w="11900" w:h="16840"/>
          <w:pgMar w:top="1140" w:right="0" w:bottom="280" w:left="1300" w:header="715" w:footer="0" w:gutter="0"/>
          <w:cols w:space="720"/>
        </w:sectPr>
      </w:pPr>
    </w:p>
    <w:p w14:paraId="49701B98" w14:textId="77777777" w:rsidR="00C75312" w:rsidRDefault="00C75312">
      <w:pPr>
        <w:pStyle w:val="BodyText"/>
        <w:spacing w:before="2"/>
        <w:rPr>
          <w:sz w:val="18"/>
        </w:rPr>
      </w:pPr>
    </w:p>
    <w:p w14:paraId="6CDF7A3F" w14:textId="77777777" w:rsidR="00C75312" w:rsidRDefault="00BB293A">
      <w:pPr>
        <w:pStyle w:val="Heading1"/>
        <w:spacing w:before="90"/>
        <w:jc w:val="both"/>
      </w:pPr>
      <w:r>
        <w:t>Power analysis</w:t>
      </w:r>
    </w:p>
    <w:p w14:paraId="5461AF88" w14:textId="77777777" w:rsidR="00C75312" w:rsidRDefault="00C75312">
      <w:pPr>
        <w:pStyle w:val="BodyText"/>
        <w:rPr>
          <w:b/>
        </w:rPr>
      </w:pPr>
    </w:p>
    <w:p w14:paraId="4297DCEE" w14:textId="77777777" w:rsidR="00C75312" w:rsidRDefault="00BB293A">
      <w:pPr>
        <w:pStyle w:val="BodyText"/>
        <w:spacing w:line="480" w:lineRule="auto"/>
        <w:ind w:left="140" w:right="1429" w:firstLine="720"/>
        <w:jc w:val="both"/>
      </w:pPr>
      <w:r>
        <w:t xml:space="preserve">Umeda et al. (2016) found a significant correlation between event-based PM and interoceptive accuracy of 0.35 with 36 participants in total. A power analysis using G*Power 3 (Faul et al., 2007) indicated that a sample size of 46 participants would be required to detect a positive correlation </w:t>
      </w:r>
      <w:r>
        <w:rPr>
          <w:spacing w:val="-3"/>
        </w:rPr>
        <w:t xml:space="preserve">of </w:t>
      </w:r>
      <w:r>
        <w:t xml:space="preserve">similar size to achieve the recommended power </w:t>
      </w:r>
      <w:r>
        <w:rPr>
          <w:spacing w:val="-3"/>
        </w:rPr>
        <w:t xml:space="preserve">of </w:t>
      </w:r>
      <w:r>
        <w:t>.80 (Cohen, 1992).</w:t>
      </w:r>
    </w:p>
    <w:p w14:paraId="57037F36" w14:textId="77777777" w:rsidR="00C75312" w:rsidRDefault="00BB293A">
      <w:pPr>
        <w:pStyle w:val="Heading1"/>
        <w:spacing w:before="120"/>
        <w:jc w:val="both"/>
      </w:pPr>
      <w:r>
        <w:t>Statistical analysis</w:t>
      </w:r>
    </w:p>
    <w:p w14:paraId="3C3411E9" w14:textId="77777777" w:rsidR="00C75312" w:rsidRDefault="00C75312">
      <w:pPr>
        <w:pStyle w:val="BodyText"/>
        <w:rPr>
          <w:b/>
        </w:rPr>
      </w:pPr>
    </w:p>
    <w:p w14:paraId="349FE293" w14:textId="77777777" w:rsidR="00C75312" w:rsidRDefault="00BB293A">
      <w:pPr>
        <w:pStyle w:val="BodyText"/>
        <w:spacing w:line="480" w:lineRule="auto"/>
        <w:ind w:left="140" w:right="1428" w:firstLine="720"/>
        <w:jc w:val="both"/>
      </w:pPr>
      <w:r>
        <w:t>Differences</w:t>
      </w:r>
      <w:r>
        <w:rPr>
          <w:spacing w:val="-7"/>
        </w:rPr>
        <w:t xml:space="preserve"> </w:t>
      </w:r>
      <w:r>
        <w:t>in</w:t>
      </w:r>
      <w:r>
        <w:rPr>
          <w:spacing w:val="-5"/>
        </w:rPr>
        <w:t xml:space="preserve"> </w:t>
      </w:r>
      <w:r>
        <w:t>performance</w:t>
      </w:r>
      <w:r>
        <w:rPr>
          <w:spacing w:val="-6"/>
        </w:rPr>
        <w:t xml:space="preserve"> </w:t>
      </w:r>
      <w:r>
        <w:t>on</w:t>
      </w:r>
      <w:r>
        <w:rPr>
          <w:spacing w:val="-9"/>
        </w:rPr>
        <w:t xml:space="preserve"> </w:t>
      </w:r>
      <w:r>
        <w:t>the</w:t>
      </w:r>
      <w:r>
        <w:rPr>
          <w:spacing w:val="-11"/>
        </w:rPr>
        <w:t xml:space="preserve"> </w:t>
      </w:r>
      <w:r>
        <w:t>ongoing</w:t>
      </w:r>
      <w:r>
        <w:rPr>
          <w:spacing w:val="-5"/>
        </w:rPr>
        <w:t xml:space="preserve"> </w:t>
      </w:r>
      <w:r>
        <w:t>and</w:t>
      </w:r>
      <w:r>
        <w:rPr>
          <w:spacing w:val="-9"/>
        </w:rPr>
        <w:t xml:space="preserve"> </w:t>
      </w:r>
      <w:r>
        <w:t>PM</w:t>
      </w:r>
      <w:r>
        <w:rPr>
          <w:spacing w:val="-12"/>
        </w:rPr>
        <w:t xml:space="preserve"> </w:t>
      </w:r>
      <w:r>
        <w:t>task</w:t>
      </w:r>
      <w:r>
        <w:rPr>
          <w:spacing w:val="-5"/>
        </w:rPr>
        <w:t xml:space="preserve"> </w:t>
      </w:r>
      <w:r>
        <w:t>as</w:t>
      </w:r>
      <w:r>
        <w:rPr>
          <w:spacing w:val="-7"/>
        </w:rPr>
        <w:t xml:space="preserve"> </w:t>
      </w:r>
      <w:r>
        <w:t>well</w:t>
      </w:r>
      <w:r>
        <w:rPr>
          <w:spacing w:val="-3"/>
        </w:rPr>
        <w:t xml:space="preserve"> </w:t>
      </w:r>
      <w:r>
        <w:t>as</w:t>
      </w:r>
      <w:r>
        <w:rPr>
          <w:spacing w:val="-7"/>
        </w:rPr>
        <w:t xml:space="preserve"> </w:t>
      </w:r>
      <w:r>
        <w:t>scores</w:t>
      </w:r>
      <w:r>
        <w:rPr>
          <w:spacing w:val="-7"/>
        </w:rPr>
        <w:t xml:space="preserve"> </w:t>
      </w:r>
      <w:r>
        <w:t>on</w:t>
      </w:r>
      <w:r>
        <w:rPr>
          <w:spacing w:val="-10"/>
        </w:rPr>
        <w:t xml:space="preserve"> </w:t>
      </w:r>
      <w:r>
        <w:t>secondary measures</w:t>
      </w:r>
      <w:r>
        <w:rPr>
          <w:spacing w:val="-15"/>
        </w:rPr>
        <w:t xml:space="preserve"> </w:t>
      </w:r>
      <w:r>
        <w:t>between</w:t>
      </w:r>
      <w:r>
        <w:rPr>
          <w:spacing w:val="-12"/>
        </w:rPr>
        <w:t xml:space="preserve"> </w:t>
      </w:r>
      <w:r>
        <w:t>conditions</w:t>
      </w:r>
      <w:r>
        <w:rPr>
          <w:spacing w:val="-14"/>
        </w:rPr>
        <w:t xml:space="preserve"> </w:t>
      </w:r>
      <w:r>
        <w:t>were</w:t>
      </w:r>
      <w:r>
        <w:rPr>
          <w:spacing w:val="-13"/>
        </w:rPr>
        <w:t xml:space="preserve"> </w:t>
      </w:r>
      <w:proofErr w:type="spellStart"/>
      <w:r>
        <w:t>analysed</w:t>
      </w:r>
      <w:proofErr w:type="spellEnd"/>
      <w:r>
        <w:rPr>
          <w:spacing w:val="-12"/>
        </w:rPr>
        <w:t xml:space="preserve"> </w:t>
      </w:r>
      <w:r>
        <w:t>using</w:t>
      </w:r>
      <w:r>
        <w:rPr>
          <w:spacing w:val="-13"/>
        </w:rPr>
        <w:t xml:space="preserve"> </w:t>
      </w:r>
      <w:r>
        <w:t>independent</w:t>
      </w:r>
      <w:r>
        <w:rPr>
          <w:spacing w:val="-11"/>
        </w:rPr>
        <w:t xml:space="preserve"> </w:t>
      </w:r>
      <w:r>
        <w:t>sample</w:t>
      </w:r>
      <w:r>
        <w:rPr>
          <w:spacing w:val="-13"/>
        </w:rPr>
        <w:t xml:space="preserve"> </w:t>
      </w:r>
      <w:r>
        <w:t>t-tests.</w:t>
      </w:r>
      <w:r>
        <w:rPr>
          <w:spacing w:val="39"/>
        </w:rPr>
        <w:t xml:space="preserve"> </w:t>
      </w:r>
      <w:r>
        <w:t>Cook’s</w:t>
      </w:r>
      <w:r>
        <w:rPr>
          <w:spacing w:val="-14"/>
        </w:rPr>
        <w:t xml:space="preserve"> </w:t>
      </w:r>
      <w:r>
        <w:t>distance was used to identify possible influential cases</w:t>
      </w:r>
      <w:r>
        <w:rPr>
          <w:position w:val="8"/>
          <w:sz w:val="16"/>
        </w:rPr>
        <w:t xml:space="preserve">15 </w:t>
      </w:r>
      <w:r>
        <w:rPr>
          <w:spacing w:val="-3"/>
        </w:rPr>
        <w:t xml:space="preserve">in </w:t>
      </w:r>
      <w:r>
        <w:t>the relationship between interoceptive accuracy and PM (PM accuracy in the case of event-based PM and PM target accuracy in the case</w:t>
      </w:r>
      <w:r>
        <w:rPr>
          <w:spacing w:val="22"/>
        </w:rPr>
        <w:t xml:space="preserve"> </w:t>
      </w:r>
      <w:r>
        <w:t>of</w:t>
      </w:r>
      <w:r>
        <w:rPr>
          <w:spacing w:val="26"/>
        </w:rPr>
        <w:t xml:space="preserve"> </w:t>
      </w:r>
      <w:r>
        <w:t>time-based</w:t>
      </w:r>
      <w:r>
        <w:rPr>
          <w:spacing w:val="23"/>
        </w:rPr>
        <w:t xml:space="preserve"> </w:t>
      </w:r>
      <w:r>
        <w:t>PM).</w:t>
      </w:r>
      <w:r>
        <w:rPr>
          <w:spacing w:val="50"/>
        </w:rPr>
        <w:t xml:space="preserve"> </w:t>
      </w:r>
      <w:r>
        <w:t>An</w:t>
      </w:r>
      <w:r>
        <w:rPr>
          <w:spacing w:val="24"/>
        </w:rPr>
        <w:t xml:space="preserve"> </w:t>
      </w:r>
      <w:r>
        <w:t>influential</w:t>
      </w:r>
      <w:r>
        <w:rPr>
          <w:spacing w:val="19"/>
        </w:rPr>
        <w:t xml:space="preserve"> </w:t>
      </w:r>
      <w:r>
        <w:t>case</w:t>
      </w:r>
      <w:r>
        <w:rPr>
          <w:spacing w:val="23"/>
        </w:rPr>
        <w:t xml:space="preserve"> </w:t>
      </w:r>
      <w:r>
        <w:t>was</w:t>
      </w:r>
      <w:r>
        <w:rPr>
          <w:spacing w:val="26"/>
        </w:rPr>
        <w:t xml:space="preserve"> </w:t>
      </w:r>
      <w:r>
        <w:t>defined</w:t>
      </w:r>
      <w:r>
        <w:rPr>
          <w:spacing w:val="24"/>
        </w:rPr>
        <w:t xml:space="preserve"> </w:t>
      </w:r>
      <w:r>
        <w:t>as</w:t>
      </w:r>
      <w:r>
        <w:rPr>
          <w:spacing w:val="22"/>
        </w:rPr>
        <w:t xml:space="preserve"> </w:t>
      </w:r>
      <w:r>
        <w:t>a</w:t>
      </w:r>
      <w:r>
        <w:rPr>
          <w:spacing w:val="22"/>
        </w:rPr>
        <w:t xml:space="preserve"> </w:t>
      </w:r>
      <w:r>
        <w:t>case</w:t>
      </w:r>
      <w:r>
        <w:rPr>
          <w:spacing w:val="23"/>
        </w:rPr>
        <w:t xml:space="preserve"> </w:t>
      </w:r>
      <w:r>
        <w:t>with</w:t>
      </w:r>
      <w:r>
        <w:rPr>
          <w:spacing w:val="23"/>
        </w:rPr>
        <w:t xml:space="preserve"> </w:t>
      </w:r>
      <w:r>
        <w:t>a</w:t>
      </w:r>
      <w:r>
        <w:rPr>
          <w:spacing w:val="23"/>
        </w:rPr>
        <w:t xml:space="preserve"> </w:t>
      </w:r>
      <w:r>
        <w:t>Cook’s</w:t>
      </w:r>
      <w:r>
        <w:rPr>
          <w:spacing w:val="21"/>
        </w:rPr>
        <w:t xml:space="preserve"> </w:t>
      </w:r>
      <w:r>
        <w:t>distance</w:t>
      </w:r>
    </w:p>
    <w:p w14:paraId="74C3ED74" w14:textId="77777777" w:rsidR="00C75312" w:rsidRDefault="00C75312">
      <w:pPr>
        <w:spacing w:line="480" w:lineRule="auto"/>
        <w:jc w:val="both"/>
        <w:sectPr w:rsidR="00C75312">
          <w:pgSz w:w="11900" w:h="16840"/>
          <w:pgMar w:top="1140" w:right="0" w:bottom="280" w:left="1300" w:header="715" w:footer="0" w:gutter="0"/>
          <w:cols w:space="720"/>
        </w:sectPr>
      </w:pPr>
    </w:p>
    <w:p w14:paraId="1B7962FE" w14:textId="77777777" w:rsidR="00C75312" w:rsidRDefault="00BB293A">
      <w:pPr>
        <w:pStyle w:val="BodyText"/>
        <w:tabs>
          <w:tab w:val="left" w:pos="1608"/>
        </w:tabs>
        <w:spacing w:before="49" w:line="234" w:lineRule="exact"/>
        <w:ind w:left="140"/>
        <w:rPr>
          <w:rFonts w:ascii="Cambria Math"/>
        </w:rPr>
      </w:pPr>
      <w:r>
        <w:pict w14:anchorId="159FBBDB">
          <v:line id="_x0000_s2138" style="position:absolute;left:0;text-align:left;z-index:-260481024;mso-position-horizontal-relative:page" from="133.2pt,10.35pt" to="162.5pt,10.35pt" strokeweight=".72pt">
            <w10:wrap anchorx="page"/>
          </v:line>
        </w:pict>
      </w:r>
      <w:r>
        <w:t>greater</w:t>
      </w:r>
      <w:r>
        <w:rPr>
          <w:spacing w:val="12"/>
        </w:rPr>
        <w:t xml:space="preserve"> </w:t>
      </w:r>
      <w:r>
        <w:t>than</w:t>
      </w:r>
      <w:r>
        <w:tab/>
      </w:r>
      <w:r>
        <w:rPr>
          <w:rFonts w:ascii="Cambria Math"/>
          <w:vertAlign w:val="superscript"/>
        </w:rPr>
        <w:t>8</w:t>
      </w:r>
    </w:p>
    <w:p w14:paraId="1AD77AD3" w14:textId="77777777" w:rsidR="00C75312" w:rsidRDefault="00BB293A">
      <w:pPr>
        <w:spacing w:line="152" w:lineRule="exact"/>
        <w:jc w:val="right"/>
        <w:rPr>
          <w:rFonts w:ascii="Cambria Math"/>
          <w:sz w:val="17"/>
        </w:rPr>
      </w:pPr>
      <w:r>
        <w:rPr>
          <w:rFonts w:ascii="Cambria Math"/>
          <w:w w:val="165"/>
          <w:sz w:val="17"/>
        </w:rPr>
        <w:t>95:5;</w:t>
      </w:r>
    </w:p>
    <w:p w14:paraId="578FAE3E" w14:textId="77777777" w:rsidR="00C75312" w:rsidRDefault="00BB293A">
      <w:pPr>
        <w:pStyle w:val="BodyText"/>
        <w:spacing w:before="53"/>
        <w:ind w:left="35"/>
      </w:pPr>
      <w:r>
        <w:br w:type="column"/>
      </w:r>
      <w:r>
        <w:t xml:space="preserve">with </w:t>
      </w:r>
      <w:r>
        <w:rPr>
          <w:i/>
        </w:rPr>
        <w:t xml:space="preserve">N </w:t>
      </w:r>
      <w:r>
        <w:t>being the sample size and k being the number of predictors (Hair,</w:t>
      </w:r>
    </w:p>
    <w:p w14:paraId="3E1C6634" w14:textId="77777777" w:rsidR="00C75312" w:rsidRDefault="00C75312">
      <w:pPr>
        <w:sectPr w:rsidR="00C75312">
          <w:type w:val="continuous"/>
          <w:pgSz w:w="11900" w:h="16840"/>
          <w:pgMar w:top="700" w:right="0" w:bottom="280" w:left="1300" w:header="720" w:footer="720" w:gutter="0"/>
          <w:cols w:num="2" w:space="720" w:equalWidth="0">
            <w:col w:w="1947" w:space="40"/>
            <w:col w:w="8613"/>
          </w:cols>
        </w:sectPr>
      </w:pPr>
    </w:p>
    <w:p w14:paraId="62899F06" w14:textId="77777777" w:rsidR="00C75312" w:rsidRDefault="00C75312">
      <w:pPr>
        <w:pStyle w:val="BodyText"/>
        <w:spacing w:before="7"/>
        <w:rPr>
          <w:sz w:val="13"/>
        </w:rPr>
      </w:pPr>
    </w:p>
    <w:p w14:paraId="54A6839E" w14:textId="77777777" w:rsidR="00C75312" w:rsidRDefault="00BB293A">
      <w:pPr>
        <w:pStyle w:val="BodyText"/>
        <w:spacing w:before="90" w:line="480" w:lineRule="auto"/>
        <w:ind w:left="140" w:right="1429"/>
        <w:jc w:val="both"/>
      </w:pPr>
      <w:r>
        <w:t xml:space="preserve">Anderson, Tatham, &amp; Black, 1998). Thus, the sample size in each condition being </w:t>
      </w:r>
      <w:r>
        <w:rPr>
          <w:i/>
        </w:rPr>
        <w:t xml:space="preserve">N </w:t>
      </w:r>
      <w:r>
        <w:t>= 29, the cut-off</w:t>
      </w:r>
      <w:r>
        <w:rPr>
          <w:spacing w:val="-3"/>
        </w:rPr>
        <w:t xml:space="preserve"> </w:t>
      </w:r>
      <w:r>
        <w:t>value</w:t>
      </w:r>
      <w:r>
        <w:rPr>
          <w:spacing w:val="-6"/>
        </w:rPr>
        <w:t xml:space="preserve"> </w:t>
      </w:r>
      <w:r>
        <w:t>was</w:t>
      </w:r>
      <w:r>
        <w:rPr>
          <w:spacing w:val="-12"/>
        </w:rPr>
        <w:t xml:space="preserve"> </w:t>
      </w:r>
      <w:r>
        <w:t>0.15.</w:t>
      </w:r>
      <w:r>
        <w:rPr>
          <w:spacing w:val="44"/>
        </w:rPr>
        <w:t xml:space="preserve"> </w:t>
      </w:r>
      <w:r>
        <w:t>This</w:t>
      </w:r>
      <w:r>
        <w:rPr>
          <w:spacing w:val="-11"/>
        </w:rPr>
        <w:t xml:space="preserve"> </w:t>
      </w:r>
      <w:r>
        <w:t>resulted</w:t>
      </w:r>
      <w:r>
        <w:rPr>
          <w:spacing w:val="-5"/>
        </w:rPr>
        <w:t xml:space="preserve"> </w:t>
      </w:r>
      <w:r>
        <w:t>in</w:t>
      </w:r>
      <w:r>
        <w:rPr>
          <w:spacing w:val="-10"/>
        </w:rPr>
        <w:t xml:space="preserve"> </w:t>
      </w:r>
      <w:r>
        <w:t>the</w:t>
      </w:r>
      <w:r>
        <w:rPr>
          <w:spacing w:val="-11"/>
        </w:rPr>
        <w:t xml:space="preserve"> </w:t>
      </w:r>
      <w:r>
        <w:t>exclusion</w:t>
      </w:r>
      <w:r>
        <w:rPr>
          <w:spacing w:val="-5"/>
        </w:rPr>
        <w:t xml:space="preserve"> </w:t>
      </w:r>
      <w:r>
        <w:t>of</w:t>
      </w:r>
      <w:r>
        <w:rPr>
          <w:spacing w:val="-8"/>
        </w:rPr>
        <w:t xml:space="preserve"> </w:t>
      </w:r>
      <w:r>
        <w:t>two</w:t>
      </w:r>
      <w:r>
        <w:rPr>
          <w:spacing w:val="-9"/>
        </w:rPr>
        <w:t xml:space="preserve"> </w:t>
      </w:r>
      <w:r>
        <w:t>participants</w:t>
      </w:r>
      <w:r>
        <w:rPr>
          <w:spacing w:val="-12"/>
        </w:rPr>
        <w:t xml:space="preserve"> </w:t>
      </w:r>
      <w:r>
        <w:t>in</w:t>
      </w:r>
      <w:r>
        <w:rPr>
          <w:spacing w:val="-10"/>
        </w:rPr>
        <w:t xml:space="preserve"> </w:t>
      </w:r>
      <w:r>
        <w:t>the</w:t>
      </w:r>
      <w:r>
        <w:rPr>
          <w:spacing w:val="-9"/>
        </w:rPr>
        <w:t xml:space="preserve"> </w:t>
      </w:r>
      <w:r>
        <w:t>time-based</w:t>
      </w:r>
      <w:r>
        <w:rPr>
          <w:spacing w:val="-5"/>
        </w:rPr>
        <w:t xml:space="preserve"> </w:t>
      </w:r>
      <w:r>
        <w:t>PM condition (Cook’s distance being 0.25 and 0.27) and one participant in the event-based PM condition (Cook’s distance being 0.21). This, procedure was also confirmed when graphically exploring</w:t>
      </w:r>
      <w:r>
        <w:rPr>
          <w:spacing w:val="-6"/>
        </w:rPr>
        <w:t xml:space="preserve"> </w:t>
      </w:r>
      <w:r>
        <w:t>Cook’s</w:t>
      </w:r>
      <w:r>
        <w:rPr>
          <w:spacing w:val="-7"/>
        </w:rPr>
        <w:t xml:space="preserve"> </w:t>
      </w:r>
      <w:r>
        <w:t>distance</w:t>
      </w:r>
      <w:r>
        <w:rPr>
          <w:spacing w:val="-6"/>
        </w:rPr>
        <w:t xml:space="preserve"> </w:t>
      </w:r>
      <w:r>
        <w:t>within</w:t>
      </w:r>
      <w:r>
        <w:rPr>
          <w:spacing w:val="-11"/>
        </w:rPr>
        <w:t xml:space="preserve"> </w:t>
      </w:r>
      <w:r>
        <w:t>each</w:t>
      </w:r>
      <w:r>
        <w:rPr>
          <w:spacing w:val="-5"/>
        </w:rPr>
        <w:t xml:space="preserve"> </w:t>
      </w:r>
      <w:r>
        <w:t>condition</w:t>
      </w:r>
      <w:r>
        <w:rPr>
          <w:spacing w:val="-10"/>
        </w:rPr>
        <w:t xml:space="preserve"> </w:t>
      </w:r>
      <w:r>
        <w:t>examining</w:t>
      </w:r>
      <w:r>
        <w:rPr>
          <w:spacing w:val="-5"/>
        </w:rPr>
        <w:t xml:space="preserve"> </w:t>
      </w:r>
      <w:r>
        <w:t>any</w:t>
      </w:r>
      <w:r>
        <w:rPr>
          <w:spacing w:val="-10"/>
        </w:rPr>
        <w:t xml:space="preserve"> </w:t>
      </w:r>
      <w:r>
        <w:t>point</w:t>
      </w:r>
      <w:r>
        <w:rPr>
          <w:spacing w:val="-10"/>
        </w:rPr>
        <w:t xml:space="preserve"> </w:t>
      </w:r>
      <w:r>
        <w:t>that</w:t>
      </w:r>
      <w:r>
        <w:rPr>
          <w:spacing w:val="-9"/>
        </w:rPr>
        <w:t xml:space="preserve"> </w:t>
      </w:r>
      <w:r>
        <w:t>was</w:t>
      </w:r>
      <w:r>
        <w:rPr>
          <w:spacing w:val="-7"/>
        </w:rPr>
        <w:t xml:space="preserve"> </w:t>
      </w:r>
      <w:r>
        <w:t>much</w:t>
      </w:r>
      <w:r>
        <w:rPr>
          <w:spacing w:val="-10"/>
        </w:rPr>
        <w:t xml:space="preserve"> </w:t>
      </w:r>
      <w:r>
        <w:t>greater</w:t>
      </w:r>
      <w:r>
        <w:rPr>
          <w:spacing w:val="-8"/>
        </w:rPr>
        <w:t xml:space="preserve"> </w:t>
      </w:r>
      <w:r>
        <w:t>in comparison to all the others (Chatterjee &amp; Hadi, 2012;</w:t>
      </w:r>
      <w:r>
        <w:rPr>
          <w:spacing w:val="3"/>
        </w:rPr>
        <w:t xml:space="preserve"> </w:t>
      </w:r>
      <w:r>
        <w:t>see</w:t>
      </w:r>
    </w:p>
    <w:p w14:paraId="13142775" w14:textId="77777777" w:rsidR="00C75312" w:rsidRDefault="00BB293A">
      <w:pPr>
        <w:pStyle w:val="BodyText"/>
        <w:spacing w:line="480" w:lineRule="auto"/>
        <w:ind w:left="140" w:right="1434" w:firstLine="720"/>
        <w:jc w:val="both"/>
      </w:pPr>
      <w:r>
        <w:t xml:space="preserve">Figure 13). Thus, the final sample consisted of </w:t>
      </w:r>
      <w:r>
        <w:rPr>
          <w:i/>
        </w:rPr>
        <w:t xml:space="preserve">n </w:t>
      </w:r>
      <w:r>
        <w:t>=</w:t>
      </w:r>
      <w:r>
        <w:rPr>
          <w:spacing w:val="-47"/>
        </w:rPr>
        <w:t xml:space="preserve"> </w:t>
      </w:r>
      <w:r>
        <w:t xml:space="preserve">28 in the event-based PM condition and </w:t>
      </w:r>
      <w:r>
        <w:rPr>
          <w:i/>
        </w:rPr>
        <w:t xml:space="preserve">n </w:t>
      </w:r>
      <w:r>
        <w:t>= 27 in the time-based PM condition.</w:t>
      </w:r>
    </w:p>
    <w:p w14:paraId="073A6BEE" w14:textId="77777777" w:rsidR="00C75312" w:rsidRDefault="00C75312">
      <w:pPr>
        <w:pStyle w:val="BodyText"/>
        <w:rPr>
          <w:sz w:val="20"/>
        </w:rPr>
      </w:pPr>
    </w:p>
    <w:p w14:paraId="674B3451" w14:textId="77777777" w:rsidR="00C75312" w:rsidRDefault="00C75312">
      <w:pPr>
        <w:pStyle w:val="BodyText"/>
        <w:rPr>
          <w:sz w:val="20"/>
        </w:rPr>
      </w:pPr>
    </w:p>
    <w:p w14:paraId="4B2303BB" w14:textId="77777777" w:rsidR="00C75312" w:rsidRDefault="00C75312">
      <w:pPr>
        <w:pStyle w:val="BodyText"/>
        <w:rPr>
          <w:sz w:val="20"/>
        </w:rPr>
      </w:pPr>
    </w:p>
    <w:p w14:paraId="195303E3" w14:textId="77777777" w:rsidR="00C75312" w:rsidRDefault="00C75312">
      <w:pPr>
        <w:pStyle w:val="BodyText"/>
        <w:rPr>
          <w:sz w:val="20"/>
        </w:rPr>
      </w:pPr>
    </w:p>
    <w:p w14:paraId="20C8E4F9" w14:textId="77777777" w:rsidR="00C75312" w:rsidRDefault="00BB293A">
      <w:pPr>
        <w:pStyle w:val="BodyText"/>
        <w:spacing w:before="9"/>
        <w:rPr>
          <w:sz w:val="18"/>
        </w:rPr>
      </w:pPr>
      <w:r>
        <w:pict w14:anchorId="2BF67EE7">
          <v:shape id="_x0000_s2137" style="position:absolute;margin-left:1in;margin-top:13pt;width:2in;height:.1pt;z-index:-251496448;mso-wrap-distance-left:0;mso-wrap-distance-right:0;mso-position-horizontal-relative:page" coordorigin="1440,260" coordsize="2880,0" path="m1440,260r2880,e" filled="f" strokeweight=".48pt">
            <v:path arrowok="t"/>
            <w10:wrap type="topAndBottom" anchorx="page"/>
          </v:shape>
        </w:pict>
      </w:r>
    </w:p>
    <w:p w14:paraId="5604DF33" w14:textId="77777777" w:rsidR="00C75312" w:rsidRDefault="00BB293A">
      <w:pPr>
        <w:spacing w:before="62" w:line="480" w:lineRule="auto"/>
        <w:ind w:left="140" w:right="1427"/>
        <w:jc w:val="both"/>
        <w:rPr>
          <w:sz w:val="20"/>
        </w:rPr>
      </w:pPr>
      <w:r>
        <w:rPr>
          <w:position w:val="7"/>
          <w:sz w:val="13"/>
        </w:rPr>
        <w:t xml:space="preserve">15 </w:t>
      </w:r>
      <w:r>
        <w:rPr>
          <w:sz w:val="20"/>
        </w:rPr>
        <w:t>This method was not used in the previous chapter as it would have required the use of dimensional approaches or multivariate regression analyses, which would have been underpowered given the sample size in combination with a large number of predictors.</w:t>
      </w:r>
    </w:p>
    <w:p w14:paraId="13F390F4" w14:textId="77777777" w:rsidR="00C75312" w:rsidRDefault="00C75312">
      <w:pPr>
        <w:spacing w:line="480" w:lineRule="auto"/>
        <w:jc w:val="both"/>
        <w:rPr>
          <w:sz w:val="20"/>
        </w:rPr>
        <w:sectPr w:rsidR="00C75312">
          <w:type w:val="continuous"/>
          <w:pgSz w:w="11900" w:h="16840"/>
          <w:pgMar w:top="700" w:right="0" w:bottom="280" w:left="1300" w:header="720" w:footer="720" w:gutter="0"/>
          <w:cols w:space="720"/>
        </w:sectPr>
      </w:pPr>
    </w:p>
    <w:p w14:paraId="020CA9ED" w14:textId="77777777" w:rsidR="00C75312" w:rsidRDefault="00C75312">
      <w:pPr>
        <w:pStyle w:val="BodyText"/>
        <w:rPr>
          <w:sz w:val="20"/>
        </w:rPr>
      </w:pPr>
    </w:p>
    <w:p w14:paraId="3ADF8EF0" w14:textId="77777777" w:rsidR="00C75312" w:rsidRDefault="00C75312">
      <w:pPr>
        <w:pStyle w:val="BodyText"/>
        <w:spacing w:before="8"/>
        <w:rPr>
          <w:sz w:val="12"/>
        </w:rPr>
      </w:pPr>
    </w:p>
    <w:p w14:paraId="2D7B5C9E" w14:textId="77777777" w:rsidR="00C75312" w:rsidRDefault="00BB293A">
      <w:pPr>
        <w:pStyle w:val="BodyText"/>
        <w:ind w:left="1303"/>
        <w:rPr>
          <w:sz w:val="20"/>
        </w:rPr>
      </w:pPr>
      <w:r>
        <w:rPr>
          <w:noProof/>
          <w:sz w:val="20"/>
        </w:rPr>
        <w:drawing>
          <wp:inline distT="0" distB="0" distL="0" distR="0" wp14:anchorId="2A6F1C31" wp14:editId="03994717">
            <wp:extent cx="4183808" cy="1938527"/>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48" cstate="print"/>
                    <a:stretch>
                      <a:fillRect/>
                    </a:stretch>
                  </pic:blipFill>
                  <pic:spPr>
                    <a:xfrm>
                      <a:off x="0" y="0"/>
                      <a:ext cx="4183808" cy="1938527"/>
                    </a:xfrm>
                    <a:prstGeom prst="rect">
                      <a:avLst/>
                    </a:prstGeom>
                  </pic:spPr>
                </pic:pic>
              </a:graphicData>
            </a:graphic>
          </wp:inline>
        </w:drawing>
      </w:r>
    </w:p>
    <w:p w14:paraId="709CD231" w14:textId="77777777" w:rsidR="00C75312" w:rsidRDefault="00C75312">
      <w:pPr>
        <w:pStyle w:val="BodyText"/>
        <w:spacing w:before="5"/>
        <w:rPr>
          <w:sz w:val="13"/>
        </w:rPr>
      </w:pPr>
    </w:p>
    <w:p w14:paraId="4B3895DD" w14:textId="77777777" w:rsidR="00C75312" w:rsidRDefault="00BB293A">
      <w:pPr>
        <w:spacing w:before="93"/>
        <w:ind w:left="140" w:right="1538"/>
        <w:rPr>
          <w:i/>
          <w:sz w:val="20"/>
        </w:rPr>
      </w:pPr>
      <w:r>
        <w:rPr>
          <w:i/>
          <w:sz w:val="20"/>
        </w:rPr>
        <w:t>Figure 13. Distribution of Cook’s distance values in the time-based PM (left) and event-based PM (right) condition. The dotted-dashed line marks the cut-off point above which participants were excluded. The dash line marks the mean Cook’s distance in each sample.</w:t>
      </w:r>
    </w:p>
    <w:p w14:paraId="54DA270F" w14:textId="77777777" w:rsidR="00C75312" w:rsidRDefault="00C75312">
      <w:pPr>
        <w:pStyle w:val="BodyText"/>
        <w:spacing w:before="8"/>
        <w:rPr>
          <w:i/>
          <w:sz w:val="17"/>
        </w:rPr>
      </w:pPr>
    </w:p>
    <w:p w14:paraId="50195A3E" w14:textId="77777777" w:rsidR="00C75312" w:rsidRDefault="00BB293A">
      <w:pPr>
        <w:pStyle w:val="BodyText"/>
        <w:spacing w:line="475" w:lineRule="auto"/>
        <w:ind w:left="140" w:right="1427" w:firstLine="720"/>
        <w:jc w:val="both"/>
      </w:pPr>
      <w:r>
        <w:t>Subsequently, Pearson’s correlation analyses and partial correlation analyses were conducted to investigate associations between variables. Correlation coefficients were classified</w:t>
      </w:r>
      <w:r>
        <w:rPr>
          <w:spacing w:val="-5"/>
        </w:rPr>
        <w:t xml:space="preserve"> </w:t>
      </w:r>
      <w:r>
        <w:t>as</w:t>
      </w:r>
      <w:r>
        <w:rPr>
          <w:spacing w:val="-1"/>
        </w:rPr>
        <w:t xml:space="preserve"> </w:t>
      </w:r>
      <w:r>
        <w:t>small</w:t>
      </w:r>
      <w:r>
        <w:rPr>
          <w:spacing w:val="-4"/>
        </w:rPr>
        <w:t xml:space="preserve"> </w:t>
      </w:r>
      <w:r>
        <w:t>when</w:t>
      </w:r>
      <w:r>
        <w:rPr>
          <w:spacing w:val="-4"/>
        </w:rPr>
        <w:t xml:space="preserve"> </w:t>
      </w:r>
      <w:r>
        <w:t>r</w:t>
      </w:r>
      <w:r>
        <w:rPr>
          <w:spacing w:val="-2"/>
        </w:rPr>
        <w:t xml:space="preserve"> </w:t>
      </w:r>
      <w:r>
        <w:t>≤</w:t>
      </w:r>
      <w:r>
        <w:rPr>
          <w:spacing w:val="-7"/>
        </w:rPr>
        <w:t xml:space="preserve"> </w:t>
      </w:r>
      <w:r>
        <w:t>.10,</w:t>
      </w:r>
      <w:r>
        <w:rPr>
          <w:spacing w:val="-1"/>
        </w:rPr>
        <w:t xml:space="preserve"> </w:t>
      </w:r>
      <w:r>
        <w:t>moderate</w:t>
      </w:r>
      <w:r>
        <w:rPr>
          <w:spacing w:val="-5"/>
        </w:rPr>
        <w:t xml:space="preserve"> </w:t>
      </w:r>
      <w:r>
        <w:t>when</w:t>
      </w:r>
      <w:r>
        <w:rPr>
          <w:spacing w:val="-5"/>
        </w:rPr>
        <w:t xml:space="preserve"> </w:t>
      </w:r>
      <w:r>
        <w:t>r</w:t>
      </w:r>
      <w:r>
        <w:rPr>
          <w:spacing w:val="-7"/>
        </w:rPr>
        <w:t xml:space="preserve"> </w:t>
      </w:r>
      <w:r>
        <w:t>≤</w:t>
      </w:r>
      <w:r>
        <w:rPr>
          <w:spacing w:val="-6"/>
        </w:rPr>
        <w:t xml:space="preserve"> </w:t>
      </w:r>
      <w:r>
        <w:t>.30,</w:t>
      </w:r>
      <w:r>
        <w:rPr>
          <w:spacing w:val="-2"/>
        </w:rPr>
        <w:t xml:space="preserve"> </w:t>
      </w:r>
      <w:r>
        <w:t>and</w:t>
      </w:r>
      <w:r>
        <w:rPr>
          <w:spacing w:val="-4"/>
        </w:rPr>
        <w:t xml:space="preserve"> </w:t>
      </w:r>
      <w:r>
        <w:t>large</w:t>
      </w:r>
      <w:r>
        <w:rPr>
          <w:spacing w:val="-5"/>
        </w:rPr>
        <w:t xml:space="preserve"> </w:t>
      </w:r>
      <w:r>
        <w:t>when</w:t>
      </w:r>
      <w:r>
        <w:rPr>
          <w:spacing w:val="-5"/>
        </w:rPr>
        <w:t xml:space="preserve"> </w:t>
      </w:r>
      <w:r>
        <w:t>r</w:t>
      </w:r>
      <w:r>
        <w:rPr>
          <w:spacing w:val="-2"/>
        </w:rPr>
        <w:t xml:space="preserve"> </w:t>
      </w:r>
      <w:r>
        <w:t>≤</w:t>
      </w:r>
      <w:r>
        <w:rPr>
          <w:spacing w:val="-6"/>
        </w:rPr>
        <w:t xml:space="preserve"> </w:t>
      </w:r>
      <w:r>
        <w:t>.50</w:t>
      </w:r>
      <w:r>
        <w:rPr>
          <w:spacing w:val="-9"/>
        </w:rPr>
        <w:t xml:space="preserve"> </w:t>
      </w:r>
      <w:r>
        <w:t>(Cohen,</w:t>
      </w:r>
      <w:r>
        <w:rPr>
          <w:spacing w:val="-2"/>
        </w:rPr>
        <w:t xml:space="preserve"> </w:t>
      </w:r>
      <w:r>
        <w:t xml:space="preserve">1988). Fisher </w:t>
      </w:r>
      <w:r>
        <w:rPr>
          <w:i/>
        </w:rPr>
        <w:t>z</w:t>
      </w:r>
      <w:r>
        <w:t>-tests were used to assess whether correlation coefficients significantly differed between the two PM conditions. Furthermore, it was assessed whether the associations found between PM and interoceptive accuracy in this study significantly differed between PM condition and from those reported by Umeda et al. (2016). For comparisons of correlation coefficients involving accuracy of PM responses, the correlation coefficient was recoded such as</w:t>
      </w:r>
      <w:r>
        <w:rPr>
          <w:spacing w:val="-7"/>
        </w:rPr>
        <w:t xml:space="preserve"> </w:t>
      </w:r>
      <w:r>
        <w:t>that</w:t>
      </w:r>
      <w:r>
        <w:rPr>
          <w:spacing w:val="-4"/>
        </w:rPr>
        <w:t xml:space="preserve"> </w:t>
      </w:r>
      <w:r>
        <w:t>positive</w:t>
      </w:r>
      <w:r>
        <w:rPr>
          <w:spacing w:val="-6"/>
        </w:rPr>
        <w:t xml:space="preserve"> </w:t>
      </w:r>
      <w:r>
        <w:t>correlations</w:t>
      </w:r>
      <w:r>
        <w:rPr>
          <w:spacing w:val="-7"/>
        </w:rPr>
        <w:t xml:space="preserve"> </w:t>
      </w:r>
      <w:r>
        <w:t>were</w:t>
      </w:r>
      <w:r>
        <w:rPr>
          <w:spacing w:val="-11"/>
        </w:rPr>
        <w:t xml:space="preserve"> </w:t>
      </w:r>
      <w:r>
        <w:t>recoded</w:t>
      </w:r>
      <w:r>
        <w:rPr>
          <w:spacing w:val="-5"/>
        </w:rPr>
        <w:t xml:space="preserve"> </w:t>
      </w:r>
      <w:r>
        <w:t>as</w:t>
      </w:r>
      <w:r>
        <w:rPr>
          <w:spacing w:val="-12"/>
        </w:rPr>
        <w:t xml:space="preserve"> </w:t>
      </w:r>
      <w:r>
        <w:t>negative</w:t>
      </w:r>
      <w:r>
        <w:rPr>
          <w:spacing w:val="-6"/>
        </w:rPr>
        <w:t xml:space="preserve"> </w:t>
      </w:r>
      <w:r>
        <w:t>and</w:t>
      </w:r>
      <w:r>
        <w:rPr>
          <w:spacing w:val="-5"/>
        </w:rPr>
        <w:t xml:space="preserve"> </w:t>
      </w:r>
      <w:r>
        <w:t>vice</w:t>
      </w:r>
      <w:r>
        <w:rPr>
          <w:spacing w:val="-11"/>
        </w:rPr>
        <w:t xml:space="preserve"> </w:t>
      </w:r>
      <w:r>
        <w:t>versa.</w:t>
      </w:r>
      <w:r>
        <w:rPr>
          <w:spacing w:val="44"/>
        </w:rPr>
        <w:t xml:space="preserve"> </w:t>
      </w:r>
      <w:r>
        <w:t>This</w:t>
      </w:r>
      <w:r>
        <w:rPr>
          <w:spacing w:val="-7"/>
        </w:rPr>
        <w:t xml:space="preserve"> </w:t>
      </w:r>
      <w:r>
        <w:t>is</w:t>
      </w:r>
      <w:r>
        <w:rPr>
          <w:spacing w:val="-11"/>
        </w:rPr>
        <w:t xml:space="preserve"> </w:t>
      </w:r>
      <w:r>
        <w:t>because</w:t>
      </w:r>
      <w:r>
        <w:rPr>
          <w:spacing w:val="-6"/>
        </w:rPr>
        <w:t xml:space="preserve"> </w:t>
      </w:r>
      <w:r>
        <w:t>a</w:t>
      </w:r>
      <w:r>
        <w:rPr>
          <w:spacing w:val="-6"/>
        </w:rPr>
        <w:t xml:space="preserve"> </w:t>
      </w:r>
      <w:r>
        <w:t xml:space="preserve">smaller value in PM target accuracy indicates better performance whereas it is the opposite for PM proportion hits. Furthermore, Bayesian correlation analyses were conducted. For the bivariate </w:t>
      </w:r>
      <w:r>
        <w:rPr>
          <w:position w:val="2"/>
        </w:rPr>
        <w:t>correlations reported in Table 17 two-tailed tests were used, thus the BF</w:t>
      </w:r>
      <w:r>
        <w:rPr>
          <w:position w:val="2"/>
          <w:vertAlign w:val="subscript"/>
        </w:rPr>
        <w:t>10</w:t>
      </w:r>
      <w:r>
        <w:rPr>
          <w:position w:val="2"/>
        </w:rPr>
        <w:t xml:space="preserve"> in support of the alternative (H</w:t>
      </w:r>
      <w:r>
        <w:rPr>
          <w:position w:val="2"/>
          <w:vertAlign w:val="subscript"/>
        </w:rPr>
        <w:t>1</w:t>
      </w:r>
      <w:r>
        <w:rPr>
          <w:position w:val="2"/>
        </w:rPr>
        <w:t>) over the null hypothesis (H</w:t>
      </w:r>
      <w:r>
        <w:rPr>
          <w:position w:val="2"/>
          <w:vertAlign w:val="subscript"/>
        </w:rPr>
        <w:t>o</w:t>
      </w:r>
      <w:r>
        <w:rPr>
          <w:position w:val="2"/>
        </w:rPr>
        <w:t xml:space="preserve">) indicates evidence in </w:t>
      </w:r>
      <w:proofErr w:type="spellStart"/>
      <w:r>
        <w:rPr>
          <w:position w:val="2"/>
        </w:rPr>
        <w:t>favour</w:t>
      </w:r>
      <w:proofErr w:type="spellEnd"/>
      <w:r>
        <w:rPr>
          <w:position w:val="2"/>
        </w:rPr>
        <w:t xml:space="preserve"> of a correlation to </w:t>
      </w:r>
      <w:r>
        <w:t>be existent regardless of its direction. For the partial correlations reported, on</w:t>
      </w:r>
      <w:r>
        <w:t xml:space="preserve">e-tailed or two- </w:t>
      </w:r>
      <w:r>
        <w:rPr>
          <w:position w:val="2"/>
        </w:rPr>
        <w:t>tailed tests were used based on the a priori predictions, thus BF</w:t>
      </w:r>
      <w:r>
        <w:rPr>
          <w:position w:val="2"/>
          <w:vertAlign w:val="subscript"/>
        </w:rPr>
        <w:t>10</w:t>
      </w:r>
      <w:r>
        <w:rPr>
          <w:position w:val="2"/>
        </w:rPr>
        <w:t xml:space="preserve"> </w:t>
      </w:r>
      <w:r>
        <w:rPr>
          <w:position w:val="2"/>
          <w:vertAlign w:val="subscript"/>
        </w:rPr>
        <w:t>correlation</w:t>
      </w:r>
      <w:r>
        <w:rPr>
          <w:position w:val="2"/>
        </w:rPr>
        <w:t xml:space="preserve"> indicates support in </w:t>
      </w:r>
      <w:proofErr w:type="spellStart"/>
      <w:r>
        <w:rPr>
          <w:position w:val="2"/>
        </w:rPr>
        <w:t>favour</w:t>
      </w:r>
      <w:proofErr w:type="spellEnd"/>
      <w:r>
        <w:rPr>
          <w:position w:val="2"/>
        </w:rPr>
        <w:t xml:space="preserve"> of the correlation to exist, BF</w:t>
      </w:r>
      <w:r>
        <w:rPr>
          <w:position w:val="2"/>
          <w:vertAlign w:val="subscript"/>
        </w:rPr>
        <w:t>10</w:t>
      </w:r>
      <w:r>
        <w:rPr>
          <w:position w:val="2"/>
        </w:rPr>
        <w:t xml:space="preserve"> </w:t>
      </w:r>
      <w:r>
        <w:rPr>
          <w:position w:val="2"/>
          <w:vertAlign w:val="subscript"/>
        </w:rPr>
        <w:t>positive</w:t>
      </w:r>
      <w:r>
        <w:rPr>
          <w:position w:val="2"/>
        </w:rPr>
        <w:t xml:space="preserve"> indicate support in </w:t>
      </w:r>
      <w:proofErr w:type="spellStart"/>
      <w:r>
        <w:rPr>
          <w:position w:val="2"/>
        </w:rPr>
        <w:t>favour</w:t>
      </w:r>
      <w:proofErr w:type="spellEnd"/>
      <w:r>
        <w:rPr>
          <w:position w:val="2"/>
        </w:rPr>
        <w:t xml:space="preserve"> of a positive and BF</w:t>
      </w:r>
      <w:r>
        <w:rPr>
          <w:position w:val="2"/>
          <w:vertAlign w:val="subscript"/>
        </w:rPr>
        <w:t>10</w:t>
      </w:r>
      <w:r>
        <w:rPr>
          <w:position w:val="2"/>
        </w:rPr>
        <w:t xml:space="preserve"> </w:t>
      </w:r>
      <w:r>
        <w:rPr>
          <w:sz w:val="16"/>
        </w:rPr>
        <w:t xml:space="preserve">negative </w:t>
      </w:r>
      <w:r>
        <w:rPr>
          <w:position w:val="2"/>
        </w:rPr>
        <w:t xml:space="preserve">indicates support in </w:t>
      </w:r>
      <w:proofErr w:type="spellStart"/>
      <w:r>
        <w:rPr>
          <w:position w:val="2"/>
        </w:rPr>
        <w:t>favour</w:t>
      </w:r>
      <w:proofErr w:type="spellEnd"/>
      <w:r>
        <w:rPr>
          <w:position w:val="2"/>
        </w:rPr>
        <w:t xml:space="preserve"> of a negative correlation. Bayesian partial correlations</w:t>
      </w:r>
      <w:r>
        <w:rPr>
          <w:spacing w:val="-34"/>
          <w:position w:val="2"/>
        </w:rPr>
        <w:t xml:space="preserve"> </w:t>
      </w:r>
      <w:r>
        <w:rPr>
          <w:position w:val="2"/>
        </w:rPr>
        <w:t>were</w:t>
      </w:r>
    </w:p>
    <w:p w14:paraId="77A7D6A9" w14:textId="77777777" w:rsidR="00C75312" w:rsidRDefault="00C75312">
      <w:pPr>
        <w:spacing w:line="475" w:lineRule="auto"/>
        <w:jc w:val="both"/>
        <w:sectPr w:rsidR="00C75312">
          <w:pgSz w:w="11900" w:h="16840"/>
          <w:pgMar w:top="1140" w:right="0" w:bottom="280" w:left="1300" w:header="715" w:footer="0" w:gutter="0"/>
          <w:cols w:space="720"/>
        </w:sectPr>
      </w:pPr>
    </w:p>
    <w:p w14:paraId="7CE2FEF0" w14:textId="77777777" w:rsidR="00C75312" w:rsidRDefault="00C75312">
      <w:pPr>
        <w:pStyle w:val="BodyText"/>
        <w:spacing w:before="2"/>
        <w:rPr>
          <w:sz w:val="18"/>
        </w:rPr>
      </w:pPr>
    </w:p>
    <w:p w14:paraId="2B5B2C9C" w14:textId="77777777" w:rsidR="00C75312" w:rsidRDefault="00BB293A">
      <w:pPr>
        <w:pStyle w:val="BodyText"/>
        <w:spacing w:before="90" w:line="480" w:lineRule="auto"/>
        <w:ind w:left="140" w:right="1301"/>
      </w:pPr>
      <w:r>
        <w:t xml:space="preserve">computed using the same procedure as described in Chapter 4. Classification of Bayes factors was as described in Chapter 2 according to the guidelines of Lee and </w:t>
      </w:r>
      <w:proofErr w:type="spellStart"/>
      <w:r>
        <w:t>Wagenmakers</w:t>
      </w:r>
      <w:proofErr w:type="spellEnd"/>
      <w:r>
        <w:t xml:space="preserve"> (2013).</w:t>
      </w:r>
    </w:p>
    <w:p w14:paraId="63CB140B" w14:textId="77777777" w:rsidR="00C75312" w:rsidRDefault="00C75312">
      <w:pPr>
        <w:pStyle w:val="BodyText"/>
        <w:spacing w:before="10"/>
        <w:rPr>
          <w:sz w:val="20"/>
        </w:rPr>
      </w:pPr>
    </w:p>
    <w:p w14:paraId="00CCCCC1" w14:textId="77777777" w:rsidR="00C75312" w:rsidRDefault="00BB293A">
      <w:pPr>
        <w:pStyle w:val="Heading1"/>
        <w:ind w:left="4277"/>
      </w:pPr>
      <w:bookmarkStart w:id="23" w:name="_TOC_250010"/>
      <w:bookmarkEnd w:id="23"/>
      <w:r>
        <w:t>Results</w:t>
      </w:r>
    </w:p>
    <w:p w14:paraId="4BD7CB06" w14:textId="77777777" w:rsidR="00C75312" w:rsidRDefault="00C75312">
      <w:pPr>
        <w:pStyle w:val="BodyText"/>
        <w:rPr>
          <w:b/>
          <w:sz w:val="26"/>
        </w:rPr>
      </w:pPr>
    </w:p>
    <w:p w14:paraId="309486E3" w14:textId="77777777" w:rsidR="00C75312" w:rsidRDefault="00C75312">
      <w:pPr>
        <w:pStyle w:val="BodyText"/>
        <w:spacing w:before="2"/>
        <w:rPr>
          <w:b/>
          <w:sz w:val="22"/>
        </w:rPr>
      </w:pPr>
    </w:p>
    <w:p w14:paraId="4D07925F" w14:textId="77777777" w:rsidR="00C75312" w:rsidRDefault="00BB293A">
      <w:pPr>
        <w:ind w:left="140"/>
        <w:rPr>
          <w:b/>
          <w:sz w:val="24"/>
        </w:rPr>
      </w:pPr>
      <w:r>
        <w:rPr>
          <w:b/>
          <w:sz w:val="24"/>
        </w:rPr>
        <w:t>Sample description</w:t>
      </w:r>
    </w:p>
    <w:p w14:paraId="36873389" w14:textId="77777777" w:rsidR="00C75312" w:rsidRDefault="00C75312">
      <w:pPr>
        <w:pStyle w:val="BodyText"/>
        <w:rPr>
          <w:b/>
        </w:rPr>
      </w:pPr>
    </w:p>
    <w:p w14:paraId="7BD0CD42" w14:textId="77777777" w:rsidR="00C75312" w:rsidRDefault="00BB293A">
      <w:pPr>
        <w:pStyle w:val="BodyText"/>
        <w:spacing w:before="1" w:line="480" w:lineRule="auto"/>
        <w:ind w:left="140" w:right="1426" w:firstLine="720"/>
        <w:jc w:val="both"/>
      </w:pPr>
      <w:r>
        <w:t>Groups did not significantly differ on measures of autistic traits, alexithymia traits, or interoceptive accuracy, although participants in the event-based PM condition made significantly more perseveration errors in the WCST than participants in the time-based PM condition (see Table 16).</w:t>
      </w:r>
    </w:p>
    <w:p w14:paraId="145F498D" w14:textId="77777777" w:rsidR="00C75312" w:rsidRDefault="00BB293A">
      <w:pPr>
        <w:spacing w:before="119"/>
        <w:ind w:left="140"/>
        <w:rPr>
          <w:i/>
          <w:sz w:val="20"/>
        </w:rPr>
      </w:pPr>
      <w:r>
        <w:rPr>
          <w:i/>
          <w:sz w:val="20"/>
        </w:rPr>
        <w:t>Table 16. Descriptives (mean, SD) and results of independent sample t-tests of all outcome variables</w:t>
      </w:r>
    </w:p>
    <w:p w14:paraId="26956158" w14:textId="77777777" w:rsidR="00C75312" w:rsidRDefault="00C75312">
      <w:pPr>
        <w:pStyle w:val="BodyText"/>
        <w:spacing w:before="10" w:after="1"/>
        <w:rPr>
          <w:i/>
          <w:sz w:val="17"/>
        </w:rPr>
      </w:pPr>
    </w:p>
    <w:tbl>
      <w:tblPr>
        <w:tblW w:w="0" w:type="auto"/>
        <w:tblInd w:w="140" w:type="dxa"/>
        <w:tblLayout w:type="fixed"/>
        <w:tblCellMar>
          <w:left w:w="0" w:type="dxa"/>
          <w:right w:w="0" w:type="dxa"/>
        </w:tblCellMar>
        <w:tblLook w:val="01E0" w:firstRow="1" w:lastRow="1" w:firstColumn="1" w:lastColumn="1" w:noHBand="0" w:noVBand="0"/>
      </w:tblPr>
      <w:tblGrid>
        <w:gridCol w:w="1773"/>
        <w:gridCol w:w="1751"/>
        <w:gridCol w:w="1733"/>
        <w:gridCol w:w="732"/>
        <w:gridCol w:w="610"/>
        <w:gridCol w:w="603"/>
        <w:gridCol w:w="1001"/>
      </w:tblGrid>
      <w:tr w:rsidR="00C75312" w14:paraId="46E5C560" w14:textId="77777777">
        <w:trPr>
          <w:trHeight w:val="604"/>
        </w:trPr>
        <w:tc>
          <w:tcPr>
            <w:tcW w:w="1773" w:type="dxa"/>
            <w:tcBorders>
              <w:top w:val="single" w:sz="4" w:space="0" w:color="000000"/>
              <w:bottom w:val="single" w:sz="6" w:space="0" w:color="000000"/>
            </w:tcBorders>
          </w:tcPr>
          <w:p w14:paraId="4BC42C82" w14:textId="77777777" w:rsidR="00C75312" w:rsidRDefault="00C75312">
            <w:pPr>
              <w:pStyle w:val="TableParagraph"/>
            </w:pPr>
          </w:p>
        </w:tc>
        <w:tc>
          <w:tcPr>
            <w:tcW w:w="1751" w:type="dxa"/>
            <w:tcBorders>
              <w:top w:val="single" w:sz="4" w:space="0" w:color="000000"/>
              <w:bottom w:val="single" w:sz="6" w:space="0" w:color="000000"/>
            </w:tcBorders>
          </w:tcPr>
          <w:p w14:paraId="3FEC5244" w14:textId="77777777" w:rsidR="00C75312" w:rsidRDefault="00BB293A">
            <w:pPr>
              <w:pStyle w:val="TableParagraph"/>
              <w:spacing w:before="53" w:line="261" w:lineRule="auto"/>
              <w:ind w:left="96" w:right="126" w:firstLine="43"/>
              <w:rPr>
                <w:b/>
                <w:sz w:val="20"/>
              </w:rPr>
            </w:pPr>
            <w:r>
              <w:rPr>
                <w:b/>
                <w:sz w:val="20"/>
              </w:rPr>
              <w:t>Event-based PM condition (</w:t>
            </w:r>
            <w:r>
              <w:rPr>
                <w:b/>
                <w:i/>
                <w:sz w:val="20"/>
              </w:rPr>
              <w:t xml:space="preserve">n </w:t>
            </w:r>
            <w:r>
              <w:rPr>
                <w:b/>
                <w:sz w:val="20"/>
              </w:rPr>
              <w:t>= 28)</w:t>
            </w:r>
          </w:p>
        </w:tc>
        <w:tc>
          <w:tcPr>
            <w:tcW w:w="1733" w:type="dxa"/>
            <w:tcBorders>
              <w:top w:val="single" w:sz="4" w:space="0" w:color="000000"/>
              <w:bottom w:val="single" w:sz="6" w:space="0" w:color="000000"/>
            </w:tcBorders>
          </w:tcPr>
          <w:p w14:paraId="681CC8C7" w14:textId="77777777" w:rsidR="00C75312" w:rsidRDefault="00BB293A">
            <w:pPr>
              <w:pStyle w:val="TableParagraph"/>
              <w:spacing w:before="53" w:line="261" w:lineRule="auto"/>
              <w:ind w:left="140" w:right="114" w:firstLine="48"/>
              <w:rPr>
                <w:b/>
                <w:sz w:val="20"/>
              </w:rPr>
            </w:pPr>
            <w:r>
              <w:rPr>
                <w:b/>
                <w:sz w:val="20"/>
              </w:rPr>
              <w:t>Time-based PM condition (</w:t>
            </w:r>
            <w:r>
              <w:rPr>
                <w:b/>
                <w:i/>
                <w:sz w:val="20"/>
              </w:rPr>
              <w:t xml:space="preserve">n </w:t>
            </w:r>
            <w:r>
              <w:rPr>
                <w:b/>
                <w:sz w:val="20"/>
              </w:rPr>
              <w:t>=27)</w:t>
            </w:r>
          </w:p>
        </w:tc>
        <w:tc>
          <w:tcPr>
            <w:tcW w:w="732" w:type="dxa"/>
            <w:tcBorders>
              <w:top w:val="single" w:sz="4" w:space="0" w:color="000000"/>
              <w:bottom w:val="single" w:sz="6" w:space="0" w:color="000000"/>
            </w:tcBorders>
          </w:tcPr>
          <w:p w14:paraId="334F5E79" w14:textId="77777777" w:rsidR="00C75312" w:rsidRDefault="00BB293A">
            <w:pPr>
              <w:pStyle w:val="TableParagraph"/>
              <w:spacing w:before="53"/>
              <w:ind w:right="56"/>
              <w:jc w:val="center"/>
              <w:rPr>
                <w:b/>
                <w:i/>
                <w:sz w:val="20"/>
              </w:rPr>
            </w:pPr>
            <w:r>
              <w:rPr>
                <w:b/>
                <w:i/>
                <w:sz w:val="20"/>
              </w:rPr>
              <w:t>t</w:t>
            </w:r>
          </w:p>
        </w:tc>
        <w:tc>
          <w:tcPr>
            <w:tcW w:w="610" w:type="dxa"/>
            <w:tcBorders>
              <w:top w:val="single" w:sz="4" w:space="0" w:color="000000"/>
              <w:bottom w:val="single" w:sz="6" w:space="0" w:color="000000"/>
            </w:tcBorders>
          </w:tcPr>
          <w:p w14:paraId="06E81C2E" w14:textId="77777777" w:rsidR="00C75312" w:rsidRDefault="00BB293A">
            <w:pPr>
              <w:pStyle w:val="TableParagraph"/>
              <w:spacing w:before="53"/>
              <w:ind w:left="200"/>
              <w:rPr>
                <w:b/>
                <w:i/>
                <w:sz w:val="20"/>
              </w:rPr>
            </w:pPr>
            <w:proofErr w:type="spellStart"/>
            <w:r>
              <w:rPr>
                <w:b/>
                <w:i/>
                <w:sz w:val="20"/>
              </w:rPr>
              <w:t>df</w:t>
            </w:r>
            <w:proofErr w:type="spellEnd"/>
          </w:p>
        </w:tc>
        <w:tc>
          <w:tcPr>
            <w:tcW w:w="603" w:type="dxa"/>
            <w:tcBorders>
              <w:top w:val="single" w:sz="4" w:space="0" w:color="000000"/>
              <w:bottom w:val="single" w:sz="6" w:space="0" w:color="000000"/>
            </w:tcBorders>
          </w:tcPr>
          <w:p w14:paraId="118DCA7C" w14:textId="77777777" w:rsidR="00C75312" w:rsidRDefault="00BB293A">
            <w:pPr>
              <w:pStyle w:val="TableParagraph"/>
              <w:spacing w:before="53"/>
              <w:ind w:left="99"/>
              <w:jc w:val="center"/>
              <w:rPr>
                <w:b/>
                <w:i/>
                <w:sz w:val="20"/>
              </w:rPr>
            </w:pPr>
            <w:r>
              <w:rPr>
                <w:b/>
                <w:i/>
                <w:sz w:val="20"/>
              </w:rPr>
              <w:t>p</w:t>
            </w:r>
          </w:p>
        </w:tc>
        <w:tc>
          <w:tcPr>
            <w:tcW w:w="1001" w:type="dxa"/>
            <w:tcBorders>
              <w:top w:val="single" w:sz="4" w:space="0" w:color="000000"/>
              <w:bottom w:val="single" w:sz="6" w:space="0" w:color="000000"/>
            </w:tcBorders>
          </w:tcPr>
          <w:p w14:paraId="079DAC40" w14:textId="77777777" w:rsidR="00C75312" w:rsidRDefault="00BB293A">
            <w:pPr>
              <w:pStyle w:val="TableParagraph"/>
              <w:spacing w:before="53"/>
              <w:ind w:left="102" w:right="18"/>
              <w:jc w:val="center"/>
              <w:rPr>
                <w:b/>
                <w:i/>
                <w:sz w:val="20"/>
              </w:rPr>
            </w:pPr>
            <w:r>
              <w:rPr>
                <w:b/>
                <w:sz w:val="20"/>
              </w:rPr>
              <w:t xml:space="preserve">Cohen's </w:t>
            </w:r>
            <w:r>
              <w:rPr>
                <w:b/>
                <w:i/>
                <w:sz w:val="20"/>
              </w:rPr>
              <w:t>d</w:t>
            </w:r>
          </w:p>
        </w:tc>
      </w:tr>
      <w:tr w:rsidR="00C75312" w14:paraId="12C1C9F3" w14:textId="77777777">
        <w:trPr>
          <w:trHeight w:val="370"/>
        </w:trPr>
        <w:tc>
          <w:tcPr>
            <w:tcW w:w="1773" w:type="dxa"/>
            <w:tcBorders>
              <w:top w:val="single" w:sz="6" w:space="0" w:color="000000"/>
            </w:tcBorders>
          </w:tcPr>
          <w:p w14:paraId="77D1E191" w14:textId="77777777" w:rsidR="00C75312" w:rsidRDefault="00BB293A">
            <w:pPr>
              <w:pStyle w:val="TableParagraph"/>
              <w:spacing w:before="38"/>
              <w:ind w:left="69" w:right="119"/>
              <w:jc w:val="center"/>
              <w:rPr>
                <w:i/>
                <w:sz w:val="20"/>
              </w:rPr>
            </w:pPr>
            <w:r>
              <w:rPr>
                <w:i/>
                <w:sz w:val="20"/>
              </w:rPr>
              <w:t>PM proportion hits</w:t>
            </w:r>
          </w:p>
        </w:tc>
        <w:tc>
          <w:tcPr>
            <w:tcW w:w="1751" w:type="dxa"/>
            <w:tcBorders>
              <w:top w:val="single" w:sz="6" w:space="0" w:color="000000"/>
            </w:tcBorders>
          </w:tcPr>
          <w:p w14:paraId="49C774E1" w14:textId="77777777" w:rsidR="00C75312" w:rsidRDefault="00BB293A">
            <w:pPr>
              <w:pStyle w:val="TableParagraph"/>
              <w:spacing w:before="38"/>
              <w:ind w:left="287" w:right="335"/>
              <w:jc w:val="center"/>
              <w:rPr>
                <w:sz w:val="20"/>
              </w:rPr>
            </w:pPr>
            <w:r>
              <w:rPr>
                <w:sz w:val="20"/>
              </w:rPr>
              <w:t>.46 (0.29)</w:t>
            </w:r>
          </w:p>
        </w:tc>
        <w:tc>
          <w:tcPr>
            <w:tcW w:w="1733" w:type="dxa"/>
            <w:tcBorders>
              <w:top w:val="single" w:sz="6" w:space="0" w:color="000000"/>
            </w:tcBorders>
          </w:tcPr>
          <w:p w14:paraId="03DBC9A9" w14:textId="77777777" w:rsidR="00C75312" w:rsidRDefault="00BB293A">
            <w:pPr>
              <w:pStyle w:val="TableParagraph"/>
              <w:spacing w:before="38"/>
              <w:ind w:left="310" w:right="293"/>
              <w:jc w:val="center"/>
              <w:rPr>
                <w:sz w:val="20"/>
              </w:rPr>
            </w:pPr>
            <w:r>
              <w:rPr>
                <w:sz w:val="20"/>
              </w:rPr>
              <w:t>.59 (0.32)</w:t>
            </w:r>
          </w:p>
        </w:tc>
        <w:tc>
          <w:tcPr>
            <w:tcW w:w="732" w:type="dxa"/>
            <w:tcBorders>
              <w:top w:val="single" w:sz="6" w:space="0" w:color="000000"/>
            </w:tcBorders>
          </w:tcPr>
          <w:p w14:paraId="21D41DC8" w14:textId="77777777" w:rsidR="00C75312" w:rsidRDefault="00BB293A">
            <w:pPr>
              <w:pStyle w:val="TableParagraph"/>
              <w:spacing w:before="38"/>
              <w:ind w:left="110" w:right="165"/>
              <w:jc w:val="center"/>
              <w:rPr>
                <w:sz w:val="20"/>
              </w:rPr>
            </w:pPr>
            <w:r>
              <w:rPr>
                <w:sz w:val="20"/>
              </w:rPr>
              <w:t>-1.47</w:t>
            </w:r>
          </w:p>
        </w:tc>
        <w:tc>
          <w:tcPr>
            <w:tcW w:w="610" w:type="dxa"/>
            <w:tcBorders>
              <w:top w:val="single" w:sz="6" w:space="0" w:color="000000"/>
            </w:tcBorders>
          </w:tcPr>
          <w:p w14:paraId="61873CC6" w14:textId="77777777" w:rsidR="00C75312" w:rsidRDefault="00BB293A">
            <w:pPr>
              <w:pStyle w:val="TableParagraph"/>
              <w:spacing w:before="38"/>
              <w:ind w:left="181"/>
              <w:rPr>
                <w:sz w:val="20"/>
              </w:rPr>
            </w:pPr>
            <w:r>
              <w:rPr>
                <w:sz w:val="20"/>
              </w:rPr>
              <w:t>53</w:t>
            </w:r>
          </w:p>
        </w:tc>
        <w:tc>
          <w:tcPr>
            <w:tcW w:w="603" w:type="dxa"/>
            <w:tcBorders>
              <w:top w:val="single" w:sz="6" w:space="0" w:color="000000"/>
            </w:tcBorders>
          </w:tcPr>
          <w:p w14:paraId="1C335DD6" w14:textId="77777777" w:rsidR="00C75312" w:rsidRDefault="00BB293A">
            <w:pPr>
              <w:pStyle w:val="TableParagraph"/>
              <w:spacing w:before="38"/>
              <w:ind w:left="206" w:right="107"/>
              <w:jc w:val="center"/>
              <w:rPr>
                <w:sz w:val="20"/>
              </w:rPr>
            </w:pPr>
            <w:r>
              <w:rPr>
                <w:sz w:val="20"/>
              </w:rPr>
              <w:t>.15</w:t>
            </w:r>
          </w:p>
        </w:tc>
        <w:tc>
          <w:tcPr>
            <w:tcW w:w="1001" w:type="dxa"/>
            <w:tcBorders>
              <w:top w:val="single" w:sz="6" w:space="0" w:color="000000"/>
            </w:tcBorders>
          </w:tcPr>
          <w:p w14:paraId="79A38F6A" w14:textId="77777777" w:rsidR="00C75312" w:rsidRDefault="00BB293A">
            <w:pPr>
              <w:pStyle w:val="TableParagraph"/>
              <w:spacing w:before="38"/>
              <w:ind w:left="102" w:right="18"/>
              <w:jc w:val="center"/>
              <w:rPr>
                <w:sz w:val="20"/>
              </w:rPr>
            </w:pPr>
            <w:r>
              <w:rPr>
                <w:sz w:val="20"/>
              </w:rPr>
              <w:t>-0.43</w:t>
            </w:r>
          </w:p>
        </w:tc>
      </w:tr>
      <w:tr w:rsidR="00C75312" w14:paraId="41B02779" w14:textId="77777777">
        <w:trPr>
          <w:trHeight w:val="643"/>
        </w:trPr>
        <w:tc>
          <w:tcPr>
            <w:tcW w:w="1773" w:type="dxa"/>
          </w:tcPr>
          <w:p w14:paraId="2F6D2D3F" w14:textId="77777777" w:rsidR="00C75312" w:rsidRDefault="00BB293A">
            <w:pPr>
              <w:pStyle w:val="TableParagraph"/>
              <w:spacing w:before="95" w:line="261" w:lineRule="auto"/>
              <w:ind w:left="420" w:right="419" w:hanging="48"/>
              <w:rPr>
                <w:i/>
                <w:sz w:val="20"/>
              </w:rPr>
            </w:pPr>
            <w:r>
              <w:rPr>
                <w:i/>
                <w:sz w:val="20"/>
              </w:rPr>
              <w:t>Ongoing hit proportion</w:t>
            </w:r>
          </w:p>
        </w:tc>
        <w:tc>
          <w:tcPr>
            <w:tcW w:w="1751" w:type="dxa"/>
          </w:tcPr>
          <w:p w14:paraId="0A6D85AF" w14:textId="77777777" w:rsidR="00C75312" w:rsidRDefault="00BB293A">
            <w:pPr>
              <w:pStyle w:val="TableParagraph"/>
              <w:spacing w:before="95"/>
              <w:ind w:left="287" w:right="335"/>
              <w:jc w:val="center"/>
              <w:rPr>
                <w:sz w:val="20"/>
              </w:rPr>
            </w:pPr>
            <w:r>
              <w:rPr>
                <w:sz w:val="20"/>
              </w:rPr>
              <w:t>.82 (0.14)</w:t>
            </w:r>
          </w:p>
        </w:tc>
        <w:tc>
          <w:tcPr>
            <w:tcW w:w="1733" w:type="dxa"/>
          </w:tcPr>
          <w:p w14:paraId="26AE3C1B" w14:textId="77777777" w:rsidR="00C75312" w:rsidRDefault="00BB293A">
            <w:pPr>
              <w:pStyle w:val="TableParagraph"/>
              <w:spacing w:before="95"/>
              <w:ind w:left="310" w:right="293"/>
              <w:jc w:val="center"/>
              <w:rPr>
                <w:sz w:val="20"/>
              </w:rPr>
            </w:pPr>
            <w:r>
              <w:rPr>
                <w:sz w:val="20"/>
              </w:rPr>
              <w:t>.80 (0.13)</w:t>
            </w:r>
          </w:p>
        </w:tc>
        <w:tc>
          <w:tcPr>
            <w:tcW w:w="732" w:type="dxa"/>
          </w:tcPr>
          <w:p w14:paraId="05448DC3" w14:textId="77777777" w:rsidR="00C75312" w:rsidRDefault="00BB293A">
            <w:pPr>
              <w:pStyle w:val="TableParagraph"/>
              <w:spacing w:before="95"/>
              <w:ind w:left="110" w:right="165"/>
              <w:jc w:val="center"/>
              <w:rPr>
                <w:sz w:val="20"/>
              </w:rPr>
            </w:pPr>
            <w:r>
              <w:rPr>
                <w:sz w:val="20"/>
              </w:rPr>
              <w:t>0.38</w:t>
            </w:r>
          </w:p>
        </w:tc>
        <w:tc>
          <w:tcPr>
            <w:tcW w:w="610" w:type="dxa"/>
          </w:tcPr>
          <w:p w14:paraId="31FF1CED" w14:textId="77777777" w:rsidR="00C75312" w:rsidRDefault="00BB293A">
            <w:pPr>
              <w:pStyle w:val="TableParagraph"/>
              <w:spacing w:before="95"/>
              <w:ind w:left="181"/>
              <w:rPr>
                <w:sz w:val="20"/>
              </w:rPr>
            </w:pPr>
            <w:r>
              <w:rPr>
                <w:sz w:val="20"/>
              </w:rPr>
              <w:t>53</w:t>
            </w:r>
          </w:p>
        </w:tc>
        <w:tc>
          <w:tcPr>
            <w:tcW w:w="603" w:type="dxa"/>
          </w:tcPr>
          <w:p w14:paraId="23057496" w14:textId="77777777" w:rsidR="00C75312" w:rsidRDefault="00BB293A">
            <w:pPr>
              <w:pStyle w:val="TableParagraph"/>
              <w:spacing w:before="95"/>
              <w:ind w:left="206" w:right="107"/>
              <w:jc w:val="center"/>
              <w:rPr>
                <w:sz w:val="20"/>
              </w:rPr>
            </w:pPr>
            <w:r>
              <w:rPr>
                <w:sz w:val="20"/>
              </w:rPr>
              <w:t>.71</w:t>
            </w:r>
          </w:p>
        </w:tc>
        <w:tc>
          <w:tcPr>
            <w:tcW w:w="1001" w:type="dxa"/>
          </w:tcPr>
          <w:p w14:paraId="235652B8" w14:textId="77777777" w:rsidR="00C75312" w:rsidRDefault="00BB293A">
            <w:pPr>
              <w:pStyle w:val="TableParagraph"/>
              <w:spacing w:before="95"/>
              <w:ind w:left="102" w:right="18"/>
              <w:jc w:val="center"/>
              <w:rPr>
                <w:sz w:val="20"/>
              </w:rPr>
            </w:pPr>
            <w:r>
              <w:rPr>
                <w:sz w:val="20"/>
              </w:rPr>
              <w:t>0.15</w:t>
            </w:r>
          </w:p>
        </w:tc>
      </w:tr>
      <w:tr w:rsidR="00C75312" w14:paraId="3C74016A" w14:textId="77777777">
        <w:trPr>
          <w:trHeight w:val="393"/>
        </w:trPr>
        <w:tc>
          <w:tcPr>
            <w:tcW w:w="1773" w:type="dxa"/>
          </w:tcPr>
          <w:p w14:paraId="1DE72380" w14:textId="77777777" w:rsidR="00C75312" w:rsidRDefault="00BB293A">
            <w:pPr>
              <w:pStyle w:val="TableParagraph"/>
              <w:spacing w:before="61"/>
              <w:ind w:left="60" w:right="119"/>
              <w:jc w:val="center"/>
              <w:rPr>
                <w:i/>
                <w:sz w:val="20"/>
              </w:rPr>
            </w:pPr>
            <w:r>
              <w:rPr>
                <w:i/>
                <w:sz w:val="20"/>
              </w:rPr>
              <w:t>AQ total score</w:t>
            </w:r>
          </w:p>
        </w:tc>
        <w:tc>
          <w:tcPr>
            <w:tcW w:w="1751" w:type="dxa"/>
          </w:tcPr>
          <w:p w14:paraId="4749B779" w14:textId="77777777" w:rsidR="00C75312" w:rsidRDefault="00BB293A">
            <w:pPr>
              <w:pStyle w:val="TableParagraph"/>
              <w:spacing w:before="61"/>
              <w:ind w:left="287" w:right="335"/>
              <w:jc w:val="center"/>
              <w:rPr>
                <w:sz w:val="20"/>
              </w:rPr>
            </w:pPr>
            <w:r>
              <w:rPr>
                <w:sz w:val="20"/>
              </w:rPr>
              <w:t>18.64 (4.76)</w:t>
            </w:r>
          </w:p>
        </w:tc>
        <w:tc>
          <w:tcPr>
            <w:tcW w:w="1733" w:type="dxa"/>
          </w:tcPr>
          <w:p w14:paraId="72106BDB" w14:textId="77777777" w:rsidR="00C75312" w:rsidRDefault="00BB293A">
            <w:pPr>
              <w:pStyle w:val="TableParagraph"/>
              <w:spacing w:before="61"/>
              <w:ind w:left="310" w:right="293"/>
              <w:jc w:val="center"/>
              <w:rPr>
                <w:sz w:val="20"/>
              </w:rPr>
            </w:pPr>
            <w:r>
              <w:rPr>
                <w:sz w:val="20"/>
              </w:rPr>
              <w:t>17.81 (6.05)</w:t>
            </w:r>
          </w:p>
        </w:tc>
        <w:tc>
          <w:tcPr>
            <w:tcW w:w="732" w:type="dxa"/>
          </w:tcPr>
          <w:p w14:paraId="7B0694A9" w14:textId="77777777" w:rsidR="00C75312" w:rsidRDefault="00BB293A">
            <w:pPr>
              <w:pStyle w:val="TableParagraph"/>
              <w:spacing w:before="61"/>
              <w:ind w:left="110" w:right="165"/>
              <w:jc w:val="center"/>
              <w:rPr>
                <w:sz w:val="20"/>
              </w:rPr>
            </w:pPr>
            <w:r>
              <w:rPr>
                <w:sz w:val="20"/>
              </w:rPr>
              <w:t>0.57</w:t>
            </w:r>
          </w:p>
        </w:tc>
        <w:tc>
          <w:tcPr>
            <w:tcW w:w="610" w:type="dxa"/>
          </w:tcPr>
          <w:p w14:paraId="46820B02" w14:textId="77777777" w:rsidR="00C75312" w:rsidRDefault="00BB293A">
            <w:pPr>
              <w:pStyle w:val="TableParagraph"/>
              <w:spacing w:before="61"/>
              <w:ind w:left="181"/>
              <w:rPr>
                <w:sz w:val="20"/>
              </w:rPr>
            </w:pPr>
            <w:r>
              <w:rPr>
                <w:sz w:val="20"/>
              </w:rPr>
              <w:t>53</w:t>
            </w:r>
          </w:p>
        </w:tc>
        <w:tc>
          <w:tcPr>
            <w:tcW w:w="603" w:type="dxa"/>
          </w:tcPr>
          <w:p w14:paraId="05ED300F" w14:textId="77777777" w:rsidR="00C75312" w:rsidRDefault="00BB293A">
            <w:pPr>
              <w:pStyle w:val="TableParagraph"/>
              <w:spacing w:before="61"/>
              <w:ind w:left="206" w:right="107"/>
              <w:jc w:val="center"/>
              <w:rPr>
                <w:sz w:val="20"/>
              </w:rPr>
            </w:pPr>
            <w:r>
              <w:rPr>
                <w:sz w:val="20"/>
              </w:rPr>
              <w:t>.57</w:t>
            </w:r>
          </w:p>
        </w:tc>
        <w:tc>
          <w:tcPr>
            <w:tcW w:w="1001" w:type="dxa"/>
          </w:tcPr>
          <w:p w14:paraId="77596B3D" w14:textId="77777777" w:rsidR="00C75312" w:rsidRDefault="00BB293A">
            <w:pPr>
              <w:pStyle w:val="TableParagraph"/>
              <w:spacing w:before="61"/>
              <w:ind w:left="102" w:right="18"/>
              <w:jc w:val="center"/>
              <w:rPr>
                <w:sz w:val="20"/>
              </w:rPr>
            </w:pPr>
            <w:r>
              <w:rPr>
                <w:sz w:val="20"/>
              </w:rPr>
              <w:t>0.15</w:t>
            </w:r>
          </w:p>
        </w:tc>
      </w:tr>
      <w:tr w:rsidR="00C75312" w14:paraId="15CCB02C" w14:textId="77777777">
        <w:trPr>
          <w:trHeight w:val="427"/>
        </w:trPr>
        <w:tc>
          <w:tcPr>
            <w:tcW w:w="1773" w:type="dxa"/>
          </w:tcPr>
          <w:p w14:paraId="49671BE5" w14:textId="77777777" w:rsidR="00C75312" w:rsidRDefault="00BB293A">
            <w:pPr>
              <w:pStyle w:val="TableParagraph"/>
              <w:spacing w:before="95"/>
              <w:ind w:left="60" w:right="119"/>
              <w:jc w:val="center"/>
              <w:rPr>
                <w:i/>
                <w:sz w:val="20"/>
              </w:rPr>
            </w:pPr>
            <w:r>
              <w:rPr>
                <w:i/>
                <w:sz w:val="20"/>
              </w:rPr>
              <w:t>TAS total score</w:t>
            </w:r>
          </w:p>
        </w:tc>
        <w:tc>
          <w:tcPr>
            <w:tcW w:w="1751" w:type="dxa"/>
          </w:tcPr>
          <w:p w14:paraId="13A5F89C" w14:textId="77777777" w:rsidR="00C75312" w:rsidRDefault="00BB293A">
            <w:pPr>
              <w:pStyle w:val="TableParagraph"/>
              <w:spacing w:before="95"/>
              <w:ind w:left="292" w:right="335"/>
              <w:jc w:val="center"/>
              <w:rPr>
                <w:sz w:val="20"/>
              </w:rPr>
            </w:pPr>
            <w:r>
              <w:rPr>
                <w:sz w:val="20"/>
              </w:rPr>
              <w:t>50.57 (12.22)</w:t>
            </w:r>
          </w:p>
        </w:tc>
        <w:tc>
          <w:tcPr>
            <w:tcW w:w="1733" w:type="dxa"/>
          </w:tcPr>
          <w:p w14:paraId="613F3909" w14:textId="77777777" w:rsidR="00C75312" w:rsidRDefault="00BB293A">
            <w:pPr>
              <w:pStyle w:val="TableParagraph"/>
              <w:spacing w:before="95"/>
              <w:ind w:left="310" w:right="298"/>
              <w:jc w:val="center"/>
              <w:rPr>
                <w:sz w:val="20"/>
              </w:rPr>
            </w:pPr>
            <w:r>
              <w:rPr>
                <w:sz w:val="20"/>
              </w:rPr>
              <w:t>52.30 (10.55)</w:t>
            </w:r>
          </w:p>
        </w:tc>
        <w:tc>
          <w:tcPr>
            <w:tcW w:w="732" w:type="dxa"/>
          </w:tcPr>
          <w:p w14:paraId="517BE93B" w14:textId="77777777" w:rsidR="00C75312" w:rsidRDefault="00BB293A">
            <w:pPr>
              <w:pStyle w:val="TableParagraph"/>
              <w:spacing w:before="95"/>
              <w:ind w:left="110" w:right="165"/>
              <w:jc w:val="center"/>
              <w:rPr>
                <w:sz w:val="20"/>
              </w:rPr>
            </w:pPr>
            <w:r>
              <w:rPr>
                <w:sz w:val="20"/>
              </w:rPr>
              <w:t>-0.56</w:t>
            </w:r>
          </w:p>
        </w:tc>
        <w:tc>
          <w:tcPr>
            <w:tcW w:w="610" w:type="dxa"/>
          </w:tcPr>
          <w:p w14:paraId="19AF69E8" w14:textId="77777777" w:rsidR="00C75312" w:rsidRDefault="00BB293A">
            <w:pPr>
              <w:pStyle w:val="TableParagraph"/>
              <w:spacing w:before="95"/>
              <w:ind w:left="181"/>
              <w:rPr>
                <w:sz w:val="20"/>
              </w:rPr>
            </w:pPr>
            <w:r>
              <w:rPr>
                <w:sz w:val="20"/>
              </w:rPr>
              <w:t>53</w:t>
            </w:r>
          </w:p>
        </w:tc>
        <w:tc>
          <w:tcPr>
            <w:tcW w:w="603" w:type="dxa"/>
          </w:tcPr>
          <w:p w14:paraId="797EAB37" w14:textId="77777777" w:rsidR="00C75312" w:rsidRDefault="00BB293A">
            <w:pPr>
              <w:pStyle w:val="TableParagraph"/>
              <w:spacing w:before="95"/>
              <w:ind w:left="206" w:right="107"/>
              <w:jc w:val="center"/>
              <w:rPr>
                <w:sz w:val="20"/>
              </w:rPr>
            </w:pPr>
            <w:r>
              <w:rPr>
                <w:sz w:val="20"/>
              </w:rPr>
              <w:t>.58</w:t>
            </w:r>
          </w:p>
        </w:tc>
        <w:tc>
          <w:tcPr>
            <w:tcW w:w="1001" w:type="dxa"/>
          </w:tcPr>
          <w:p w14:paraId="0B7B5731" w14:textId="77777777" w:rsidR="00C75312" w:rsidRDefault="00BB293A">
            <w:pPr>
              <w:pStyle w:val="TableParagraph"/>
              <w:spacing w:before="95"/>
              <w:ind w:left="102" w:right="18"/>
              <w:jc w:val="center"/>
              <w:rPr>
                <w:sz w:val="20"/>
              </w:rPr>
            </w:pPr>
            <w:r>
              <w:rPr>
                <w:sz w:val="20"/>
              </w:rPr>
              <w:t>-0.15</w:t>
            </w:r>
          </w:p>
        </w:tc>
      </w:tr>
      <w:tr w:rsidR="00C75312" w14:paraId="47A0BC64" w14:textId="77777777">
        <w:trPr>
          <w:trHeight w:val="640"/>
        </w:trPr>
        <w:tc>
          <w:tcPr>
            <w:tcW w:w="1773" w:type="dxa"/>
          </w:tcPr>
          <w:p w14:paraId="688F3264" w14:textId="77777777" w:rsidR="00C75312" w:rsidRDefault="00BB293A">
            <w:pPr>
              <w:pStyle w:val="TableParagraph"/>
              <w:spacing w:before="95" w:line="261" w:lineRule="auto"/>
              <w:ind w:left="607" w:right="79" w:hanging="572"/>
              <w:rPr>
                <w:i/>
                <w:sz w:val="20"/>
              </w:rPr>
            </w:pPr>
            <w:r>
              <w:rPr>
                <w:i/>
                <w:sz w:val="20"/>
              </w:rPr>
              <w:t>WCST perseverative errors</w:t>
            </w:r>
          </w:p>
        </w:tc>
        <w:tc>
          <w:tcPr>
            <w:tcW w:w="1751" w:type="dxa"/>
          </w:tcPr>
          <w:p w14:paraId="588D1F30" w14:textId="77777777" w:rsidR="00C75312" w:rsidRDefault="00BB293A">
            <w:pPr>
              <w:pStyle w:val="TableParagraph"/>
              <w:spacing w:before="95"/>
              <w:ind w:left="292" w:right="335"/>
              <w:jc w:val="center"/>
              <w:rPr>
                <w:sz w:val="20"/>
              </w:rPr>
            </w:pPr>
            <w:r>
              <w:rPr>
                <w:sz w:val="20"/>
              </w:rPr>
              <w:t>8.18 (5.07)</w:t>
            </w:r>
          </w:p>
        </w:tc>
        <w:tc>
          <w:tcPr>
            <w:tcW w:w="1733" w:type="dxa"/>
          </w:tcPr>
          <w:p w14:paraId="38F24DC1" w14:textId="77777777" w:rsidR="00C75312" w:rsidRDefault="00BB293A">
            <w:pPr>
              <w:pStyle w:val="TableParagraph"/>
              <w:spacing w:before="95"/>
              <w:ind w:left="310" w:right="298"/>
              <w:jc w:val="center"/>
              <w:rPr>
                <w:sz w:val="20"/>
              </w:rPr>
            </w:pPr>
            <w:r>
              <w:rPr>
                <w:sz w:val="20"/>
              </w:rPr>
              <w:t>4.85 (5.48)</w:t>
            </w:r>
          </w:p>
        </w:tc>
        <w:tc>
          <w:tcPr>
            <w:tcW w:w="732" w:type="dxa"/>
          </w:tcPr>
          <w:p w14:paraId="429DAC5F" w14:textId="77777777" w:rsidR="00C75312" w:rsidRDefault="00BB293A">
            <w:pPr>
              <w:pStyle w:val="TableParagraph"/>
              <w:spacing w:before="95"/>
              <w:ind w:left="110" w:right="165"/>
              <w:jc w:val="center"/>
              <w:rPr>
                <w:sz w:val="20"/>
              </w:rPr>
            </w:pPr>
            <w:r>
              <w:rPr>
                <w:sz w:val="20"/>
              </w:rPr>
              <w:t>2.34</w:t>
            </w:r>
          </w:p>
        </w:tc>
        <w:tc>
          <w:tcPr>
            <w:tcW w:w="610" w:type="dxa"/>
          </w:tcPr>
          <w:p w14:paraId="35EA8863" w14:textId="77777777" w:rsidR="00C75312" w:rsidRDefault="00BB293A">
            <w:pPr>
              <w:pStyle w:val="TableParagraph"/>
              <w:spacing w:before="95"/>
              <w:ind w:left="181"/>
              <w:rPr>
                <w:sz w:val="20"/>
              </w:rPr>
            </w:pPr>
            <w:r>
              <w:rPr>
                <w:sz w:val="20"/>
              </w:rPr>
              <w:t>53</w:t>
            </w:r>
          </w:p>
        </w:tc>
        <w:tc>
          <w:tcPr>
            <w:tcW w:w="603" w:type="dxa"/>
          </w:tcPr>
          <w:p w14:paraId="017F0992" w14:textId="77777777" w:rsidR="00C75312" w:rsidRDefault="00BB293A">
            <w:pPr>
              <w:pStyle w:val="TableParagraph"/>
              <w:spacing w:before="95"/>
              <w:ind w:left="206" w:right="107"/>
              <w:jc w:val="center"/>
              <w:rPr>
                <w:sz w:val="20"/>
              </w:rPr>
            </w:pPr>
            <w:r>
              <w:rPr>
                <w:sz w:val="20"/>
              </w:rPr>
              <w:t>.02</w:t>
            </w:r>
          </w:p>
        </w:tc>
        <w:tc>
          <w:tcPr>
            <w:tcW w:w="1001" w:type="dxa"/>
          </w:tcPr>
          <w:p w14:paraId="019EE415" w14:textId="77777777" w:rsidR="00C75312" w:rsidRDefault="00BB293A">
            <w:pPr>
              <w:pStyle w:val="TableParagraph"/>
              <w:spacing w:before="95"/>
              <w:ind w:left="102" w:right="18"/>
              <w:jc w:val="center"/>
              <w:rPr>
                <w:sz w:val="20"/>
              </w:rPr>
            </w:pPr>
            <w:r>
              <w:rPr>
                <w:sz w:val="20"/>
              </w:rPr>
              <w:t>0.63</w:t>
            </w:r>
          </w:p>
        </w:tc>
      </w:tr>
      <w:tr w:rsidR="00C75312" w14:paraId="54CA39A0" w14:textId="77777777">
        <w:trPr>
          <w:trHeight w:val="610"/>
        </w:trPr>
        <w:tc>
          <w:tcPr>
            <w:tcW w:w="1773" w:type="dxa"/>
            <w:tcBorders>
              <w:bottom w:val="single" w:sz="4" w:space="0" w:color="000000"/>
            </w:tcBorders>
          </w:tcPr>
          <w:p w14:paraId="7C682798" w14:textId="77777777" w:rsidR="00C75312" w:rsidRDefault="00BB293A">
            <w:pPr>
              <w:pStyle w:val="TableParagraph"/>
              <w:spacing w:before="59" w:line="261" w:lineRule="auto"/>
              <w:ind w:left="487" w:right="370" w:hanging="159"/>
              <w:rPr>
                <w:i/>
                <w:sz w:val="20"/>
              </w:rPr>
            </w:pPr>
            <w:r>
              <w:rPr>
                <w:i/>
                <w:sz w:val="20"/>
              </w:rPr>
              <w:t>Interoceptive accuracy</w:t>
            </w:r>
          </w:p>
        </w:tc>
        <w:tc>
          <w:tcPr>
            <w:tcW w:w="1751" w:type="dxa"/>
            <w:tcBorders>
              <w:bottom w:val="single" w:sz="4" w:space="0" w:color="000000"/>
            </w:tcBorders>
          </w:tcPr>
          <w:p w14:paraId="42C3ECF4" w14:textId="77777777" w:rsidR="00C75312" w:rsidRDefault="00BB293A">
            <w:pPr>
              <w:pStyle w:val="TableParagraph"/>
              <w:spacing w:before="59"/>
              <w:ind w:left="292" w:right="335"/>
              <w:jc w:val="center"/>
              <w:rPr>
                <w:sz w:val="20"/>
              </w:rPr>
            </w:pPr>
            <w:r>
              <w:rPr>
                <w:sz w:val="20"/>
              </w:rPr>
              <w:t>66.95 (13.90)</w:t>
            </w:r>
          </w:p>
        </w:tc>
        <w:tc>
          <w:tcPr>
            <w:tcW w:w="1733" w:type="dxa"/>
            <w:tcBorders>
              <w:bottom w:val="single" w:sz="4" w:space="0" w:color="000000"/>
            </w:tcBorders>
          </w:tcPr>
          <w:p w14:paraId="7166147F" w14:textId="77777777" w:rsidR="00C75312" w:rsidRDefault="00BB293A">
            <w:pPr>
              <w:pStyle w:val="TableParagraph"/>
              <w:spacing w:before="59"/>
              <w:ind w:left="310" w:right="298"/>
              <w:jc w:val="center"/>
              <w:rPr>
                <w:sz w:val="20"/>
              </w:rPr>
            </w:pPr>
            <w:r>
              <w:rPr>
                <w:sz w:val="20"/>
              </w:rPr>
              <w:t>68.54 (14.32)</w:t>
            </w:r>
          </w:p>
        </w:tc>
        <w:tc>
          <w:tcPr>
            <w:tcW w:w="732" w:type="dxa"/>
            <w:tcBorders>
              <w:bottom w:val="single" w:sz="4" w:space="0" w:color="000000"/>
            </w:tcBorders>
          </w:tcPr>
          <w:p w14:paraId="742D2D64" w14:textId="77777777" w:rsidR="00C75312" w:rsidRDefault="00BB293A">
            <w:pPr>
              <w:pStyle w:val="TableParagraph"/>
              <w:spacing w:before="59"/>
              <w:ind w:left="110" w:right="165"/>
              <w:jc w:val="center"/>
              <w:rPr>
                <w:sz w:val="20"/>
              </w:rPr>
            </w:pPr>
            <w:r>
              <w:rPr>
                <w:sz w:val="20"/>
              </w:rPr>
              <w:t>-0.42</w:t>
            </w:r>
          </w:p>
        </w:tc>
        <w:tc>
          <w:tcPr>
            <w:tcW w:w="610" w:type="dxa"/>
            <w:tcBorders>
              <w:bottom w:val="single" w:sz="4" w:space="0" w:color="000000"/>
            </w:tcBorders>
          </w:tcPr>
          <w:p w14:paraId="04334CD8" w14:textId="77777777" w:rsidR="00C75312" w:rsidRDefault="00BB293A">
            <w:pPr>
              <w:pStyle w:val="TableParagraph"/>
              <w:spacing w:before="59"/>
              <w:ind w:left="181"/>
              <w:rPr>
                <w:sz w:val="20"/>
              </w:rPr>
            </w:pPr>
            <w:r>
              <w:rPr>
                <w:sz w:val="20"/>
              </w:rPr>
              <w:t>53</w:t>
            </w:r>
          </w:p>
        </w:tc>
        <w:tc>
          <w:tcPr>
            <w:tcW w:w="603" w:type="dxa"/>
            <w:tcBorders>
              <w:bottom w:val="single" w:sz="4" w:space="0" w:color="000000"/>
            </w:tcBorders>
          </w:tcPr>
          <w:p w14:paraId="3F17A328" w14:textId="77777777" w:rsidR="00C75312" w:rsidRDefault="00BB293A">
            <w:pPr>
              <w:pStyle w:val="TableParagraph"/>
              <w:spacing w:before="59"/>
              <w:ind w:left="206" w:right="107"/>
              <w:jc w:val="center"/>
              <w:rPr>
                <w:sz w:val="20"/>
              </w:rPr>
            </w:pPr>
            <w:r>
              <w:rPr>
                <w:sz w:val="20"/>
              </w:rPr>
              <w:t>.68</w:t>
            </w:r>
          </w:p>
        </w:tc>
        <w:tc>
          <w:tcPr>
            <w:tcW w:w="1001" w:type="dxa"/>
            <w:tcBorders>
              <w:bottom w:val="single" w:sz="4" w:space="0" w:color="000000"/>
            </w:tcBorders>
          </w:tcPr>
          <w:p w14:paraId="08DB0136" w14:textId="77777777" w:rsidR="00C75312" w:rsidRDefault="00BB293A">
            <w:pPr>
              <w:pStyle w:val="TableParagraph"/>
              <w:spacing w:before="59"/>
              <w:ind w:left="102" w:right="18"/>
              <w:jc w:val="center"/>
              <w:rPr>
                <w:sz w:val="20"/>
              </w:rPr>
            </w:pPr>
            <w:r>
              <w:rPr>
                <w:sz w:val="20"/>
              </w:rPr>
              <w:t>-0.11</w:t>
            </w:r>
          </w:p>
        </w:tc>
      </w:tr>
    </w:tbl>
    <w:p w14:paraId="6D119420" w14:textId="77777777" w:rsidR="00C75312" w:rsidRDefault="00C75312">
      <w:pPr>
        <w:pStyle w:val="BodyText"/>
        <w:spacing w:before="10"/>
        <w:rPr>
          <w:i/>
          <w:sz w:val="23"/>
        </w:rPr>
      </w:pPr>
    </w:p>
    <w:p w14:paraId="566C8A22" w14:textId="77777777" w:rsidR="00C75312" w:rsidRDefault="00BB293A">
      <w:pPr>
        <w:pStyle w:val="Heading1"/>
      </w:pPr>
      <w:r>
        <w:t>Ongoing and PM task performance</w:t>
      </w:r>
    </w:p>
    <w:p w14:paraId="1CFC1398" w14:textId="77777777" w:rsidR="00C75312" w:rsidRDefault="00C75312">
      <w:pPr>
        <w:pStyle w:val="BodyText"/>
        <w:spacing w:before="5"/>
        <w:rPr>
          <w:b/>
        </w:rPr>
      </w:pPr>
    </w:p>
    <w:p w14:paraId="0D886E83" w14:textId="77777777" w:rsidR="00C75312" w:rsidRDefault="00BB293A">
      <w:pPr>
        <w:pStyle w:val="BodyText"/>
        <w:spacing w:line="480" w:lineRule="auto"/>
        <w:ind w:left="140" w:right="1427" w:firstLine="720"/>
        <w:jc w:val="both"/>
      </w:pPr>
      <w:r>
        <w:pict w14:anchorId="2A48F52E">
          <v:shape id="_x0000_s2136" type="#_x0000_t202" style="position:absolute;left:0;text-align:left;margin-left:401.05pt;margin-top:116pt;width:5.3pt;height:9.85pt;z-index:-260480000;mso-position-horizontal-relative:page" filled="f" stroked="f">
            <v:textbox inset="0,0,0,0">
              <w:txbxContent>
                <w:p w14:paraId="61549BD4"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Both</w:t>
      </w:r>
      <w:r>
        <w:rPr>
          <w:spacing w:val="-16"/>
          <w:w w:val="105"/>
        </w:rPr>
        <w:t xml:space="preserve"> </w:t>
      </w:r>
      <w:r>
        <w:rPr>
          <w:w w:val="105"/>
        </w:rPr>
        <w:t>groups</w:t>
      </w:r>
      <w:r>
        <w:rPr>
          <w:spacing w:val="-16"/>
          <w:w w:val="105"/>
        </w:rPr>
        <w:t xml:space="preserve"> </w:t>
      </w:r>
      <w:r>
        <w:rPr>
          <w:w w:val="105"/>
        </w:rPr>
        <w:t>performed</w:t>
      </w:r>
      <w:r>
        <w:rPr>
          <w:spacing w:val="-18"/>
          <w:w w:val="105"/>
        </w:rPr>
        <w:t xml:space="preserve"> </w:t>
      </w:r>
      <w:r>
        <w:rPr>
          <w:w w:val="105"/>
        </w:rPr>
        <w:t>equally</w:t>
      </w:r>
      <w:r>
        <w:rPr>
          <w:spacing w:val="-17"/>
          <w:w w:val="105"/>
        </w:rPr>
        <w:t xml:space="preserve"> </w:t>
      </w:r>
      <w:r>
        <w:rPr>
          <w:w w:val="105"/>
        </w:rPr>
        <w:t>well</w:t>
      </w:r>
      <w:r>
        <w:rPr>
          <w:spacing w:val="-15"/>
          <w:w w:val="105"/>
        </w:rPr>
        <w:t xml:space="preserve"> </w:t>
      </w:r>
      <w:r>
        <w:rPr>
          <w:w w:val="105"/>
        </w:rPr>
        <w:t>on</w:t>
      </w:r>
      <w:r>
        <w:rPr>
          <w:spacing w:val="-17"/>
          <w:w w:val="105"/>
        </w:rPr>
        <w:t xml:space="preserve"> </w:t>
      </w:r>
      <w:r>
        <w:rPr>
          <w:w w:val="105"/>
        </w:rPr>
        <w:t>the</w:t>
      </w:r>
      <w:r>
        <w:rPr>
          <w:spacing w:val="-18"/>
          <w:w w:val="105"/>
        </w:rPr>
        <w:t xml:space="preserve"> </w:t>
      </w:r>
      <w:r>
        <w:rPr>
          <w:w w:val="105"/>
        </w:rPr>
        <w:t>ongoing</w:t>
      </w:r>
      <w:r>
        <w:rPr>
          <w:spacing w:val="-16"/>
          <w:w w:val="105"/>
        </w:rPr>
        <w:t xml:space="preserve"> </w:t>
      </w:r>
      <w:r>
        <w:rPr>
          <w:w w:val="105"/>
        </w:rPr>
        <w:t>2-back</w:t>
      </w:r>
      <w:r>
        <w:rPr>
          <w:spacing w:val="-15"/>
          <w:w w:val="105"/>
        </w:rPr>
        <w:t xml:space="preserve"> </w:t>
      </w:r>
      <w:r>
        <w:rPr>
          <w:w w:val="105"/>
        </w:rPr>
        <w:t>task.</w:t>
      </w:r>
      <w:r>
        <w:rPr>
          <w:spacing w:val="33"/>
          <w:w w:val="105"/>
        </w:rPr>
        <w:t xml:space="preserve"> </w:t>
      </w:r>
      <w:r>
        <w:rPr>
          <w:w w:val="105"/>
        </w:rPr>
        <w:t>With</w:t>
      </w:r>
      <w:r>
        <w:rPr>
          <w:spacing w:val="-18"/>
          <w:w w:val="105"/>
        </w:rPr>
        <w:t xml:space="preserve"> </w:t>
      </w:r>
      <w:r>
        <w:rPr>
          <w:w w:val="105"/>
        </w:rPr>
        <w:t>regard</w:t>
      </w:r>
      <w:r>
        <w:rPr>
          <w:spacing w:val="-18"/>
          <w:w w:val="105"/>
        </w:rPr>
        <w:t xml:space="preserve"> </w:t>
      </w:r>
      <w:r>
        <w:rPr>
          <w:w w:val="105"/>
        </w:rPr>
        <w:t>to</w:t>
      </w:r>
      <w:r>
        <w:rPr>
          <w:spacing w:val="-17"/>
          <w:w w:val="105"/>
        </w:rPr>
        <w:t xml:space="preserve"> </w:t>
      </w:r>
      <w:r>
        <w:rPr>
          <w:w w:val="105"/>
        </w:rPr>
        <w:t>PM performance,</w:t>
      </w:r>
      <w:r>
        <w:rPr>
          <w:spacing w:val="-34"/>
          <w:w w:val="105"/>
        </w:rPr>
        <w:t xml:space="preserve"> </w:t>
      </w:r>
      <w:r>
        <w:rPr>
          <w:w w:val="105"/>
        </w:rPr>
        <w:t>participants</w:t>
      </w:r>
      <w:r>
        <w:rPr>
          <w:spacing w:val="-36"/>
          <w:w w:val="105"/>
        </w:rPr>
        <w:t xml:space="preserve"> </w:t>
      </w:r>
      <w:r>
        <w:rPr>
          <w:w w:val="105"/>
        </w:rPr>
        <w:t>in</w:t>
      </w:r>
      <w:r>
        <w:rPr>
          <w:spacing w:val="-35"/>
          <w:w w:val="105"/>
        </w:rPr>
        <w:t xml:space="preserve"> </w:t>
      </w:r>
      <w:r>
        <w:rPr>
          <w:w w:val="105"/>
        </w:rPr>
        <w:t>the</w:t>
      </w:r>
      <w:r>
        <w:rPr>
          <w:spacing w:val="-35"/>
          <w:w w:val="105"/>
        </w:rPr>
        <w:t xml:space="preserve"> </w:t>
      </w:r>
      <w:r>
        <w:rPr>
          <w:w w:val="105"/>
        </w:rPr>
        <w:t>time-based</w:t>
      </w:r>
      <w:r>
        <w:rPr>
          <w:spacing w:val="-34"/>
          <w:w w:val="105"/>
        </w:rPr>
        <w:t xml:space="preserve"> </w:t>
      </w:r>
      <w:r>
        <w:rPr>
          <w:w w:val="105"/>
        </w:rPr>
        <w:t>PM</w:t>
      </w:r>
      <w:r>
        <w:rPr>
          <w:spacing w:val="-36"/>
          <w:w w:val="105"/>
        </w:rPr>
        <w:t xml:space="preserve"> </w:t>
      </w:r>
      <w:r>
        <w:rPr>
          <w:w w:val="105"/>
        </w:rPr>
        <w:t>condition</w:t>
      </w:r>
      <w:r>
        <w:rPr>
          <w:spacing w:val="-35"/>
          <w:w w:val="105"/>
        </w:rPr>
        <w:t xml:space="preserve"> </w:t>
      </w:r>
      <w:r>
        <w:rPr>
          <w:w w:val="105"/>
        </w:rPr>
        <w:t>showed</w:t>
      </w:r>
      <w:r>
        <w:rPr>
          <w:spacing w:val="-34"/>
          <w:w w:val="105"/>
        </w:rPr>
        <w:t xml:space="preserve"> </w:t>
      </w:r>
      <w:r>
        <w:rPr>
          <w:w w:val="105"/>
        </w:rPr>
        <w:t>significantly</w:t>
      </w:r>
      <w:r>
        <w:rPr>
          <w:spacing w:val="-35"/>
          <w:w w:val="105"/>
        </w:rPr>
        <w:t xml:space="preserve"> </w:t>
      </w:r>
      <w:r>
        <w:rPr>
          <w:w w:val="105"/>
        </w:rPr>
        <w:t>more</w:t>
      </w:r>
      <w:r>
        <w:rPr>
          <w:spacing w:val="-35"/>
          <w:w w:val="105"/>
        </w:rPr>
        <w:t xml:space="preserve"> </w:t>
      </w:r>
      <w:r>
        <w:rPr>
          <w:w w:val="105"/>
        </w:rPr>
        <w:t>PM</w:t>
      </w:r>
      <w:r>
        <w:rPr>
          <w:spacing w:val="-36"/>
          <w:w w:val="105"/>
        </w:rPr>
        <w:t xml:space="preserve"> </w:t>
      </w:r>
      <w:r>
        <w:rPr>
          <w:w w:val="105"/>
        </w:rPr>
        <w:t>hits compared to those in the event-based PM condition (see Table 16). A repeated-measures ANOVA</w:t>
      </w:r>
      <w:r>
        <w:rPr>
          <w:spacing w:val="-13"/>
          <w:w w:val="105"/>
        </w:rPr>
        <w:t xml:space="preserve"> </w:t>
      </w:r>
      <w:r>
        <w:rPr>
          <w:w w:val="105"/>
        </w:rPr>
        <w:t>was</w:t>
      </w:r>
      <w:r>
        <w:rPr>
          <w:spacing w:val="-14"/>
          <w:w w:val="105"/>
        </w:rPr>
        <w:t xml:space="preserve"> </w:t>
      </w:r>
      <w:r>
        <w:rPr>
          <w:w w:val="105"/>
        </w:rPr>
        <w:t>used</w:t>
      </w:r>
      <w:r>
        <w:rPr>
          <w:spacing w:val="-12"/>
          <w:w w:val="105"/>
        </w:rPr>
        <w:t xml:space="preserve"> </w:t>
      </w:r>
      <w:r>
        <w:rPr>
          <w:w w:val="105"/>
        </w:rPr>
        <w:t>to</w:t>
      </w:r>
      <w:r>
        <w:rPr>
          <w:spacing w:val="-13"/>
          <w:w w:val="105"/>
        </w:rPr>
        <w:t xml:space="preserve"> </w:t>
      </w:r>
      <w:r>
        <w:rPr>
          <w:w w:val="105"/>
        </w:rPr>
        <w:t>assess</w:t>
      </w:r>
      <w:r>
        <w:rPr>
          <w:spacing w:val="-13"/>
          <w:w w:val="105"/>
        </w:rPr>
        <w:t xml:space="preserve"> </w:t>
      </w:r>
      <w:r>
        <w:rPr>
          <w:w w:val="105"/>
        </w:rPr>
        <w:t>time-monitoring</w:t>
      </w:r>
      <w:r>
        <w:rPr>
          <w:spacing w:val="-13"/>
          <w:w w:val="105"/>
        </w:rPr>
        <w:t xml:space="preserve"> </w:t>
      </w:r>
      <w:r>
        <w:rPr>
          <w:w w:val="105"/>
        </w:rPr>
        <w:t>in</w:t>
      </w:r>
      <w:r>
        <w:rPr>
          <w:spacing w:val="-12"/>
          <w:w w:val="105"/>
        </w:rPr>
        <w:t xml:space="preserve"> </w:t>
      </w:r>
      <w:r>
        <w:rPr>
          <w:w w:val="105"/>
        </w:rPr>
        <w:t>the</w:t>
      </w:r>
      <w:r>
        <w:rPr>
          <w:spacing w:val="-13"/>
          <w:w w:val="105"/>
        </w:rPr>
        <w:t xml:space="preserve"> </w:t>
      </w:r>
      <w:r>
        <w:rPr>
          <w:w w:val="105"/>
        </w:rPr>
        <w:t>time-based</w:t>
      </w:r>
      <w:r>
        <w:rPr>
          <w:spacing w:val="-13"/>
          <w:w w:val="105"/>
        </w:rPr>
        <w:t xml:space="preserve"> </w:t>
      </w:r>
      <w:r>
        <w:rPr>
          <w:w w:val="105"/>
        </w:rPr>
        <w:t>PM</w:t>
      </w:r>
      <w:r>
        <w:rPr>
          <w:spacing w:val="-14"/>
          <w:w w:val="105"/>
        </w:rPr>
        <w:t xml:space="preserve"> </w:t>
      </w:r>
      <w:r>
        <w:rPr>
          <w:w w:val="105"/>
        </w:rPr>
        <w:t>condition.</w:t>
      </w:r>
      <w:r>
        <w:rPr>
          <w:spacing w:val="40"/>
          <w:w w:val="105"/>
        </w:rPr>
        <w:t xml:space="preserve"> </w:t>
      </w:r>
      <w:r>
        <w:rPr>
          <w:w w:val="105"/>
        </w:rPr>
        <w:t>There</w:t>
      </w:r>
      <w:r>
        <w:rPr>
          <w:spacing w:val="-13"/>
          <w:w w:val="105"/>
        </w:rPr>
        <w:t xml:space="preserve"> </w:t>
      </w:r>
      <w:r>
        <w:rPr>
          <w:w w:val="105"/>
        </w:rPr>
        <w:t>was</w:t>
      </w:r>
      <w:r>
        <w:rPr>
          <w:spacing w:val="-13"/>
          <w:w w:val="105"/>
        </w:rPr>
        <w:t xml:space="preserve"> </w:t>
      </w:r>
      <w:r>
        <w:rPr>
          <w:w w:val="105"/>
        </w:rPr>
        <w:t xml:space="preserve">a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7"/>
          <w:position w:val="2"/>
        </w:rPr>
        <w:t xml:space="preserve"> </w:t>
      </w:r>
      <w:r>
        <w:rPr>
          <w:position w:val="2"/>
        </w:rPr>
        <w:t>m</w:t>
      </w:r>
      <w:r>
        <w:rPr>
          <w:spacing w:val="-1"/>
          <w:position w:val="2"/>
        </w:rPr>
        <w:t>a</w:t>
      </w:r>
      <w:r>
        <w:rPr>
          <w:position w:val="2"/>
        </w:rPr>
        <w:t>in</w:t>
      </w:r>
      <w:r>
        <w:rPr>
          <w:spacing w:val="-8"/>
          <w:position w:val="2"/>
        </w:rPr>
        <w:t xml:space="preserve"> </w:t>
      </w:r>
      <w:r>
        <w:rPr>
          <w:spacing w:val="-1"/>
          <w:position w:val="2"/>
        </w:rPr>
        <w:t>e</w:t>
      </w:r>
      <w:r>
        <w:rPr>
          <w:spacing w:val="1"/>
          <w:position w:val="2"/>
        </w:rPr>
        <w:t>ff</w:t>
      </w:r>
      <w:r>
        <w:rPr>
          <w:spacing w:val="-1"/>
          <w:position w:val="2"/>
        </w:rPr>
        <w:t>ec</w:t>
      </w:r>
      <w:r>
        <w:rPr>
          <w:position w:val="2"/>
        </w:rPr>
        <w:t>t</w:t>
      </w:r>
      <w:r>
        <w:rPr>
          <w:spacing w:val="-7"/>
          <w:position w:val="2"/>
        </w:rPr>
        <w:t xml:space="preserve"> </w:t>
      </w:r>
      <w:r>
        <w:rPr>
          <w:position w:val="2"/>
        </w:rPr>
        <w:t>of</w:t>
      </w:r>
      <w:r>
        <w:rPr>
          <w:spacing w:val="-6"/>
          <w:position w:val="2"/>
        </w:rPr>
        <w:t xml:space="preserve"> </w:t>
      </w:r>
      <w:r>
        <w:rPr>
          <w:position w:val="2"/>
        </w:rPr>
        <w:t>int</w:t>
      </w:r>
      <w:r>
        <w:rPr>
          <w:spacing w:val="-6"/>
          <w:position w:val="2"/>
        </w:rPr>
        <w:t>e</w:t>
      </w:r>
      <w:r>
        <w:rPr>
          <w:spacing w:val="1"/>
          <w:position w:val="2"/>
        </w:rPr>
        <w:t>r</w:t>
      </w:r>
      <w:r>
        <w:rPr>
          <w:position w:val="2"/>
        </w:rPr>
        <w:t>v</w:t>
      </w:r>
      <w:r>
        <w:rPr>
          <w:spacing w:val="-1"/>
          <w:position w:val="2"/>
        </w:rPr>
        <w:t>a</w:t>
      </w:r>
      <w:r>
        <w:rPr>
          <w:position w:val="2"/>
        </w:rPr>
        <w:t>l,</w:t>
      </w:r>
      <w:r>
        <w:rPr>
          <w:spacing w:val="-10"/>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72,</w:t>
      </w:r>
      <w:r>
        <w:rPr>
          <w:spacing w:val="-5"/>
          <w:position w:val="2"/>
        </w:rPr>
        <w:t xml:space="preserve"> </w:t>
      </w:r>
      <w:r>
        <w:rPr>
          <w:position w:val="2"/>
        </w:rPr>
        <w:t>4</w:t>
      </w:r>
      <w:r>
        <w:rPr>
          <w:spacing w:val="-5"/>
          <w:position w:val="2"/>
        </w:rPr>
        <w:t>4</w:t>
      </w:r>
      <w:r>
        <w:rPr>
          <w:spacing w:val="2"/>
          <w:position w:val="2"/>
        </w:rPr>
        <w:t>.</w:t>
      </w:r>
      <w:r>
        <w:rPr>
          <w:position w:val="2"/>
        </w:rPr>
        <w:t>72)</w:t>
      </w:r>
      <w:r>
        <w:rPr>
          <w:spacing w:val="-6"/>
          <w:position w:val="2"/>
        </w:rPr>
        <w:t xml:space="preserve"> </w:t>
      </w:r>
      <w:r>
        <w:rPr>
          <w:position w:val="2"/>
        </w:rPr>
        <w:t>=</w:t>
      </w:r>
      <w:r>
        <w:rPr>
          <w:spacing w:val="-13"/>
          <w:position w:val="2"/>
        </w:rPr>
        <w:t xml:space="preserve"> </w:t>
      </w:r>
      <w:r>
        <w:rPr>
          <w:position w:val="2"/>
        </w:rPr>
        <w:t>43</w:t>
      </w:r>
      <w:r>
        <w:rPr>
          <w:spacing w:val="2"/>
          <w:position w:val="2"/>
        </w:rPr>
        <w:t>.</w:t>
      </w:r>
      <w:r>
        <w:rPr>
          <w:position w:val="2"/>
        </w:rPr>
        <w:t>58,</w:t>
      </w:r>
      <w:r>
        <w:rPr>
          <w:spacing w:val="-5"/>
          <w:position w:val="2"/>
        </w:rPr>
        <w:t xml:space="preserve"> </w:t>
      </w:r>
      <w:r>
        <w:rPr>
          <w:i/>
          <w:position w:val="2"/>
        </w:rPr>
        <w:t>p</w:t>
      </w:r>
      <w:r>
        <w:rPr>
          <w:i/>
          <w:spacing w:val="-8"/>
          <w:position w:val="2"/>
        </w:rPr>
        <w:t xml:space="preserve"> </w:t>
      </w:r>
      <w:r>
        <w:rPr>
          <w:position w:val="2"/>
        </w:rPr>
        <w:t>&lt;</w:t>
      </w:r>
      <w:r>
        <w:rPr>
          <w:spacing w:val="-13"/>
          <w:position w:val="2"/>
        </w:rPr>
        <w:t xml:space="preserve"> </w:t>
      </w:r>
      <w:r>
        <w:rPr>
          <w:spacing w:val="2"/>
          <w:position w:val="2"/>
        </w:rPr>
        <w:t>.</w:t>
      </w:r>
      <w:r>
        <w:rPr>
          <w:position w:val="2"/>
        </w:rPr>
        <w:t>001,</w:t>
      </w:r>
      <w:r>
        <w:rPr>
          <w:spacing w:val="-10"/>
          <w:position w:val="2"/>
        </w:rPr>
        <w:t xml:space="preserve"> </w:t>
      </w:r>
      <w:r>
        <w:rPr>
          <w:rFonts w:ascii="Cambria Math"/>
          <w:spacing w:val="3"/>
          <w:w w:val="183"/>
          <w:position w:val="2"/>
        </w:rPr>
        <w:t>!</w:t>
      </w:r>
      <w:r>
        <w:rPr>
          <w:rFonts w:ascii="Cambria Math"/>
          <w:w w:val="85"/>
          <w:position w:val="2"/>
          <w:vertAlign w:val="superscript"/>
        </w:rPr>
        <w:t>#</w:t>
      </w:r>
      <w:r>
        <w:rPr>
          <w:rFonts w:ascii="Cambria Math"/>
          <w:spacing w:val="17"/>
          <w:position w:val="2"/>
        </w:rPr>
        <w:t xml:space="preserve"> </w:t>
      </w:r>
      <w:r>
        <w:rPr>
          <w:position w:val="2"/>
        </w:rPr>
        <w:t>=</w:t>
      </w:r>
      <w:r>
        <w:rPr>
          <w:spacing w:val="-9"/>
          <w:position w:val="2"/>
        </w:rPr>
        <w:t xml:space="preserve"> </w:t>
      </w:r>
      <w:r>
        <w:rPr>
          <w:spacing w:val="2"/>
          <w:position w:val="2"/>
        </w:rPr>
        <w:t>.</w:t>
      </w:r>
      <w:r>
        <w:rPr>
          <w:position w:val="2"/>
        </w:rPr>
        <w:t>6</w:t>
      </w:r>
      <w:r>
        <w:rPr>
          <w:spacing w:val="-5"/>
          <w:position w:val="2"/>
        </w:rPr>
        <w:t>3</w:t>
      </w:r>
      <w:r>
        <w:rPr>
          <w:position w:val="2"/>
        </w:rPr>
        <w:t>,</w:t>
      </w:r>
      <w:r>
        <w:rPr>
          <w:spacing w:val="-5"/>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24"/>
          <w:position w:val="2"/>
        </w:rPr>
        <w:t xml:space="preserve"> </w:t>
      </w:r>
      <w:r>
        <w:rPr>
          <w:position w:val="2"/>
        </w:rPr>
        <w:t>=</w:t>
      </w:r>
      <w:r>
        <w:rPr>
          <w:spacing w:val="-9"/>
          <w:position w:val="2"/>
        </w:rPr>
        <w:t xml:space="preserve"> </w:t>
      </w:r>
      <w:r>
        <w:rPr>
          <w:spacing w:val="-5"/>
          <w:position w:val="2"/>
        </w:rPr>
        <w:t>2</w:t>
      </w:r>
      <w:r>
        <w:rPr>
          <w:spacing w:val="2"/>
          <w:position w:val="2"/>
        </w:rPr>
        <w:t>.</w:t>
      </w:r>
      <w:r>
        <w:rPr>
          <w:position w:val="2"/>
        </w:rPr>
        <w:t>14*10</w:t>
      </w:r>
      <w:r>
        <w:rPr>
          <w:spacing w:val="2"/>
          <w:w w:val="97"/>
          <w:position w:val="2"/>
          <w:vertAlign w:val="superscript"/>
        </w:rPr>
        <w:t>1</w:t>
      </w:r>
      <w:r>
        <w:rPr>
          <w:spacing w:val="-3"/>
          <w:w w:val="97"/>
          <w:position w:val="2"/>
          <w:vertAlign w:val="superscript"/>
        </w:rPr>
        <w:t>0</w:t>
      </w:r>
      <w:r>
        <w:rPr>
          <w:position w:val="2"/>
        </w:rPr>
        <w:t xml:space="preserve">. </w:t>
      </w:r>
      <w:r>
        <w:rPr>
          <w:w w:val="105"/>
        </w:rPr>
        <w:t>Participants in the time-based PM condition exhibited the typical J-shaped pattern of</w:t>
      </w:r>
      <w:r>
        <w:rPr>
          <w:spacing w:val="-26"/>
          <w:w w:val="105"/>
        </w:rPr>
        <w:t xml:space="preserve"> </w:t>
      </w:r>
      <w:r>
        <w:rPr>
          <w:w w:val="105"/>
        </w:rPr>
        <w:t>time checks</w:t>
      </w:r>
      <w:r>
        <w:rPr>
          <w:spacing w:val="-38"/>
          <w:w w:val="105"/>
        </w:rPr>
        <w:t xml:space="preserve"> </w:t>
      </w:r>
      <w:r>
        <w:rPr>
          <w:w w:val="105"/>
        </w:rPr>
        <w:t>with</w:t>
      </w:r>
      <w:r>
        <w:rPr>
          <w:spacing w:val="-37"/>
          <w:w w:val="105"/>
        </w:rPr>
        <w:t xml:space="preserve"> </w:t>
      </w:r>
      <w:r>
        <w:rPr>
          <w:w w:val="105"/>
        </w:rPr>
        <w:t>few</w:t>
      </w:r>
      <w:r>
        <w:rPr>
          <w:spacing w:val="-37"/>
          <w:w w:val="105"/>
        </w:rPr>
        <w:t xml:space="preserve"> </w:t>
      </w:r>
      <w:r>
        <w:rPr>
          <w:w w:val="105"/>
        </w:rPr>
        <w:t>checks</w:t>
      </w:r>
      <w:r>
        <w:rPr>
          <w:spacing w:val="-38"/>
          <w:w w:val="105"/>
        </w:rPr>
        <w:t xml:space="preserve"> </w:t>
      </w:r>
      <w:r>
        <w:rPr>
          <w:w w:val="105"/>
        </w:rPr>
        <w:t>at</w:t>
      </w:r>
      <w:r>
        <w:rPr>
          <w:spacing w:val="-37"/>
          <w:w w:val="105"/>
        </w:rPr>
        <w:t xml:space="preserve"> </w:t>
      </w:r>
      <w:r>
        <w:rPr>
          <w:w w:val="105"/>
        </w:rPr>
        <w:t>the</w:t>
      </w:r>
      <w:r>
        <w:rPr>
          <w:spacing w:val="-37"/>
          <w:w w:val="105"/>
        </w:rPr>
        <w:t xml:space="preserve"> </w:t>
      </w:r>
      <w:r>
        <w:rPr>
          <w:w w:val="105"/>
        </w:rPr>
        <w:t>beginning</w:t>
      </w:r>
      <w:r>
        <w:rPr>
          <w:spacing w:val="-39"/>
          <w:w w:val="105"/>
        </w:rPr>
        <w:t xml:space="preserve"> </w:t>
      </w:r>
      <w:r>
        <w:rPr>
          <w:w w:val="105"/>
        </w:rPr>
        <w:t>of</w:t>
      </w:r>
      <w:r>
        <w:rPr>
          <w:spacing w:val="-39"/>
          <w:w w:val="105"/>
        </w:rPr>
        <w:t xml:space="preserve"> </w:t>
      </w:r>
      <w:r>
        <w:rPr>
          <w:w w:val="105"/>
        </w:rPr>
        <w:t>each</w:t>
      </w:r>
      <w:r>
        <w:rPr>
          <w:spacing w:val="-37"/>
          <w:w w:val="105"/>
        </w:rPr>
        <w:t xml:space="preserve"> </w:t>
      </w:r>
      <w:r>
        <w:rPr>
          <w:w w:val="105"/>
        </w:rPr>
        <w:t>2-minute</w:t>
      </w:r>
      <w:r>
        <w:rPr>
          <w:spacing w:val="-37"/>
          <w:w w:val="105"/>
        </w:rPr>
        <w:t xml:space="preserve"> </w:t>
      </w:r>
      <w:r>
        <w:rPr>
          <w:w w:val="105"/>
        </w:rPr>
        <w:t>interval,</w:t>
      </w:r>
      <w:r>
        <w:rPr>
          <w:spacing w:val="-36"/>
          <w:w w:val="105"/>
        </w:rPr>
        <w:t xml:space="preserve"> </w:t>
      </w:r>
      <w:r>
        <w:rPr>
          <w:w w:val="105"/>
        </w:rPr>
        <w:t>increasing</w:t>
      </w:r>
      <w:r>
        <w:rPr>
          <w:spacing w:val="-37"/>
          <w:w w:val="105"/>
        </w:rPr>
        <w:t xml:space="preserve"> </w:t>
      </w:r>
      <w:r>
        <w:rPr>
          <w:w w:val="105"/>
        </w:rPr>
        <w:t>the</w:t>
      </w:r>
      <w:r>
        <w:rPr>
          <w:spacing w:val="-39"/>
          <w:w w:val="105"/>
        </w:rPr>
        <w:t xml:space="preserve"> </w:t>
      </w:r>
      <w:r>
        <w:rPr>
          <w:w w:val="105"/>
        </w:rPr>
        <w:t>frequency</w:t>
      </w:r>
      <w:r>
        <w:rPr>
          <w:spacing w:val="-37"/>
          <w:w w:val="105"/>
        </w:rPr>
        <w:t xml:space="preserve"> </w:t>
      </w:r>
      <w:r>
        <w:rPr>
          <w:spacing w:val="-3"/>
          <w:w w:val="105"/>
        </w:rPr>
        <w:t>of</w:t>
      </w:r>
    </w:p>
    <w:p w14:paraId="46044539" w14:textId="77777777" w:rsidR="00C75312" w:rsidRDefault="00C75312">
      <w:pPr>
        <w:spacing w:line="480" w:lineRule="auto"/>
        <w:jc w:val="both"/>
        <w:sectPr w:rsidR="00C75312">
          <w:pgSz w:w="11900" w:h="16840"/>
          <w:pgMar w:top="1140" w:right="0" w:bottom="280" w:left="1300" w:header="715" w:footer="0" w:gutter="0"/>
          <w:cols w:space="720"/>
        </w:sectPr>
      </w:pPr>
    </w:p>
    <w:p w14:paraId="2CE066F0" w14:textId="77777777" w:rsidR="00C75312" w:rsidRDefault="00C75312">
      <w:pPr>
        <w:pStyle w:val="BodyText"/>
        <w:spacing w:before="2"/>
        <w:rPr>
          <w:sz w:val="18"/>
        </w:rPr>
      </w:pPr>
    </w:p>
    <w:p w14:paraId="37D9C6C0" w14:textId="77777777" w:rsidR="00C75312" w:rsidRDefault="00BB293A">
      <w:pPr>
        <w:pStyle w:val="BodyText"/>
        <w:spacing w:before="90" w:line="475" w:lineRule="auto"/>
        <w:ind w:left="140" w:right="1429"/>
        <w:jc w:val="both"/>
      </w:pPr>
      <w:r>
        <w:t>checks</w:t>
      </w:r>
      <w:r>
        <w:rPr>
          <w:spacing w:val="-18"/>
        </w:rPr>
        <w:t xml:space="preserve"> </w:t>
      </w:r>
      <w:r>
        <w:t>closer</w:t>
      </w:r>
      <w:r>
        <w:rPr>
          <w:spacing w:val="-14"/>
        </w:rPr>
        <w:t xml:space="preserve"> </w:t>
      </w:r>
      <w:r>
        <w:t>to</w:t>
      </w:r>
      <w:r>
        <w:rPr>
          <w:spacing w:val="-15"/>
        </w:rPr>
        <w:t xml:space="preserve"> </w:t>
      </w:r>
      <w:r>
        <w:t>target</w:t>
      </w:r>
      <w:r>
        <w:rPr>
          <w:spacing w:val="-15"/>
        </w:rPr>
        <w:t xml:space="preserve"> </w:t>
      </w:r>
      <w:r>
        <w:t>time</w:t>
      </w:r>
      <w:r>
        <w:rPr>
          <w:spacing w:val="-16"/>
        </w:rPr>
        <w:t xml:space="preserve"> </w:t>
      </w:r>
      <w:r>
        <w:t>(see</w:t>
      </w:r>
      <w:r>
        <w:rPr>
          <w:spacing w:val="-16"/>
        </w:rPr>
        <w:t xml:space="preserve"> </w:t>
      </w:r>
      <w:r>
        <w:t>Figure</w:t>
      </w:r>
      <w:r>
        <w:rPr>
          <w:spacing w:val="-16"/>
        </w:rPr>
        <w:t xml:space="preserve"> </w:t>
      </w:r>
      <w:r>
        <w:t>14).</w:t>
      </w:r>
      <w:r>
        <w:rPr>
          <w:spacing w:val="23"/>
        </w:rPr>
        <w:t xml:space="preserve"> </w:t>
      </w:r>
      <w:r>
        <w:t>The</w:t>
      </w:r>
      <w:r>
        <w:rPr>
          <w:spacing w:val="-20"/>
        </w:rPr>
        <w:t xml:space="preserve"> </w:t>
      </w:r>
      <w:r>
        <w:t>frequency</w:t>
      </w:r>
      <w:r>
        <w:rPr>
          <w:spacing w:val="-15"/>
        </w:rPr>
        <w:t xml:space="preserve"> </w:t>
      </w:r>
      <w:r>
        <w:t>of</w:t>
      </w:r>
      <w:r>
        <w:rPr>
          <w:spacing w:val="-14"/>
        </w:rPr>
        <w:t xml:space="preserve"> </w:t>
      </w:r>
      <w:r>
        <w:t>time</w:t>
      </w:r>
      <w:r>
        <w:rPr>
          <w:spacing w:val="-16"/>
        </w:rPr>
        <w:t xml:space="preserve"> </w:t>
      </w:r>
      <w:r>
        <w:t>checks</w:t>
      </w:r>
      <w:r>
        <w:rPr>
          <w:spacing w:val="-18"/>
        </w:rPr>
        <w:t xml:space="preserve"> </w:t>
      </w:r>
      <w:r>
        <w:t>significantly</w:t>
      </w:r>
      <w:r>
        <w:rPr>
          <w:spacing w:val="-15"/>
        </w:rPr>
        <w:t xml:space="preserve"> </w:t>
      </w:r>
      <w:r>
        <w:t xml:space="preserve">differed </w:t>
      </w:r>
      <w:r>
        <w:rPr>
          <w:position w:val="2"/>
        </w:rPr>
        <w:t xml:space="preserve">between each interval (all </w:t>
      </w:r>
      <w:proofErr w:type="spellStart"/>
      <w:r>
        <w:rPr>
          <w:i/>
          <w:position w:val="2"/>
        </w:rPr>
        <w:t>p</w:t>
      </w:r>
      <w:r>
        <w:rPr>
          <w:position w:val="2"/>
        </w:rPr>
        <w:t>s</w:t>
      </w:r>
      <w:proofErr w:type="spellEnd"/>
      <w:r>
        <w:rPr>
          <w:position w:val="2"/>
        </w:rPr>
        <w:t xml:space="preserve"> &lt; .01, all BF</w:t>
      </w:r>
      <w:r>
        <w:rPr>
          <w:position w:val="2"/>
          <w:vertAlign w:val="subscript"/>
        </w:rPr>
        <w:t>10</w:t>
      </w:r>
      <w:r>
        <w:rPr>
          <w:position w:val="2"/>
        </w:rPr>
        <w:t xml:space="preserve"> &gt; 66.45), except for comparison between the first </w:t>
      </w:r>
      <w:r>
        <w:t>and second interval. For those participants who achieved a minimum of one PM hit (</w:t>
      </w:r>
      <w:r>
        <w:rPr>
          <w:i/>
        </w:rPr>
        <w:t xml:space="preserve">n </w:t>
      </w:r>
      <w:r>
        <w:t>= 25), PM target accuracy was computed (</w:t>
      </w:r>
      <w:r>
        <w:rPr>
          <w:i/>
        </w:rPr>
        <w:t xml:space="preserve">M </w:t>
      </w:r>
      <w:r>
        <w:t xml:space="preserve">= 0.67, </w:t>
      </w:r>
      <w:r>
        <w:rPr>
          <w:i/>
        </w:rPr>
        <w:t xml:space="preserve">SD </w:t>
      </w:r>
      <w:r>
        <w:t>= 0.43, range: 0.11-1.61 seconds).</w:t>
      </w:r>
    </w:p>
    <w:p w14:paraId="38AA8B1E" w14:textId="77777777" w:rsidR="00C75312" w:rsidRDefault="00BB293A">
      <w:pPr>
        <w:pStyle w:val="BodyText"/>
        <w:spacing w:before="5"/>
        <w:rPr>
          <w:sz w:val="21"/>
        </w:rPr>
      </w:pPr>
      <w:r>
        <w:rPr>
          <w:noProof/>
        </w:rPr>
        <w:drawing>
          <wp:anchor distT="0" distB="0" distL="0" distR="0" simplePos="0" relativeHeight="161" behindDoc="0" locked="0" layoutInCell="1" allowOverlap="1" wp14:anchorId="4BF2A58D" wp14:editId="36C5E2C5">
            <wp:simplePos x="0" y="0"/>
            <wp:positionH relativeFrom="page">
              <wp:posOffset>1019282</wp:posOffset>
            </wp:positionH>
            <wp:positionV relativeFrom="paragraph">
              <wp:posOffset>181545</wp:posOffset>
            </wp:positionV>
            <wp:extent cx="2147887" cy="2028825"/>
            <wp:effectExtent l="0" t="0" r="0" b="0"/>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49" cstate="print"/>
                    <a:stretch>
                      <a:fillRect/>
                    </a:stretch>
                  </pic:blipFill>
                  <pic:spPr>
                    <a:xfrm>
                      <a:off x="0" y="0"/>
                      <a:ext cx="2147887" cy="2028825"/>
                    </a:xfrm>
                    <a:prstGeom prst="rect">
                      <a:avLst/>
                    </a:prstGeom>
                  </pic:spPr>
                </pic:pic>
              </a:graphicData>
            </a:graphic>
          </wp:anchor>
        </w:drawing>
      </w:r>
    </w:p>
    <w:p w14:paraId="01A7CFCD" w14:textId="77777777" w:rsidR="00C75312" w:rsidRDefault="00C75312">
      <w:pPr>
        <w:pStyle w:val="BodyText"/>
        <w:spacing w:before="5"/>
        <w:rPr>
          <w:sz w:val="35"/>
        </w:rPr>
      </w:pPr>
    </w:p>
    <w:p w14:paraId="1DDB8D0B" w14:textId="77777777" w:rsidR="00C75312" w:rsidRDefault="00BB293A">
      <w:pPr>
        <w:spacing w:before="1"/>
        <w:ind w:left="140"/>
        <w:rPr>
          <w:i/>
          <w:sz w:val="20"/>
        </w:rPr>
      </w:pPr>
      <w:r>
        <w:rPr>
          <w:i/>
          <w:sz w:val="20"/>
        </w:rPr>
        <w:t>Figure 14. Illustration of the time monitoring pattern in the time-based PM condition</w:t>
      </w:r>
    </w:p>
    <w:p w14:paraId="0ABEA0DD" w14:textId="77777777" w:rsidR="00C75312" w:rsidRDefault="00C75312">
      <w:pPr>
        <w:pStyle w:val="BodyText"/>
        <w:spacing w:before="7"/>
        <w:rPr>
          <w:i/>
          <w:sz w:val="17"/>
        </w:rPr>
      </w:pPr>
    </w:p>
    <w:p w14:paraId="4E2DF04D" w14:textId="77777777" w:rsidR="00C75312" w:rsidRDefault="00BB293A">
      <w:pPr>
        <w:pStyle w:val="Heading1"/>
      </w:pPr>
      <w:r>
        <w:t>Correlates of PM</w:t>
      </w:r>
    </w:p>
    <w:p w14:paraId="53688A08" w14:textId="77777777" w:rsidR="00C75312" w:rsidRDefault="00C75312">
      <w:pPr>
        <w:pStyle w:val="BodyText"/>
        <w:rPr>
          <w:b/>
        </w:rPr>
      </w:pPr>
    </w:p>
    <w:p w14:paraId="6C844525" w14:textId="77777777" w:rsidR="00C75312" w:rsidRDefault="00BB293A">
      <w:pPr>
        <w:pStyle w:val="BodyText"/>
        <w:spacing w:line="477" w:lineRule="auto"/>
        <w:ind w:left="140" w:right="1428"/>
        <w:jc w:val="both"/>
      </w:pPr>
      <w:r>
        <w:t>Table</w:t>
      </w:r>
      <w:r>
        <w:rPr>
          <w:spacing w:val="-6"/>
        </w:rPr>
        <w:t xml:space="preserve"> </w:t>
      </w:r>
      <w:r>
        <w:t>17</w:t>
      </w:r>
      <w:r>
        <w:rPr>
          <w:spacing w:val="-5"/>
        </w:rPr>
        <w:t xml:space="preserve"> </w:t>
      </w:r>
      <w:r>
        <w:t>displays</w:t>
      </w:r>
      <w:r>
        <w:rPr>
          <w:spacing w:val="-6"/>
        </w:rPr>
        <w:t xml:space="preserve"> </w:t>
      </w:r>
      <w:r>
        <w:t>the</w:t>
      </w:r>
      <w:r>
        <w:rPr>
          <w:spacing w:val="-6"/>
        </w:rPr>
        <w:t xml:space="preserve"> </w:t>
      </w:r>
      <w:r>
        <w:t>intercorrelations</w:t>
      </w:r>
      <w:r>
        <w:rPr>
          <w:spacing w:val="-7"/>
        </w:rPr>
        <w:t xml:space="preserve"> </w:t>
      </w:r>
      <w:r>
        <w:t>between</w:t>
      </w:r>
      <w:r>
        <w:rPr>
          <w:spacing w:val="-4"/>
        </w:rPr>
        <w:t xml:space="preserve"> </w:t>
      </w:r>
      <w:r>
        <w:t>all</w:t>
      </w:r>
      <w:r>
        <w:rPr>
          <w:spacing w:val="-4"/>
        </w:rPr>
        <w:t xml:space="preserve"> </w:t>
      </w:r>
      <w:r>
        <w:t>variables</w:t>
      </w:r>
      <w:r>
        <w:rPr>
          <w:spacing w:val="-7"/>
        </w:rPr>
        <w:t xml:space="preserve"> </w:t>
      </w:r>
      <w:r>
        <w:t>of</w:t>
      </w:r>
      <w:r>
        <w:rPr>
          <w:spacing w:val="-2"/>
        </w:rPr>
        <w:t xml:space="preserve"> </w:t>
      </w:r>
      <w:r>
        <w:t>interest,</w:t>
      </w:r>
      <w:r>
        <w:rPr>
          <w:spacing w:val="-2"/>
        </w:rPr>
        <w:t xml:space="preserve"> </w:t>
      </w:r>
      <w:r>
        <w:t>as</w:t>
      </w:r>
      <w:r>
        <w:rPr>
          <w:spacing w:val="-7"/>
        </w:rPr>
        <w:t xml:space="preserve"> </w:t>
      </w:r>
      <w:r>
        <w:t>well</w:t>
      </w:r>
      <w:r>
        <w:rPr>
          <w:spacing w:val="-3"/>
        </w:rPr>
        <w:t xml:space="preserve"> </w:t>
      </w:r>
      <w:r>
        <w:t>as</w:t>
      </w:r>
      <w:r>
        <w:rPr>
          <w:spacing w:val="-7"/>
        </w:rPr>
        <w:t xml:space="preserve"> </w:t>
      </w:r>
      <w:r>
        <w:t>associated</w:t>
      </w:r>
      <w:r>
        <w:rPr>
          <w:spacing w:val="-5"/>
        </w:rPr>
        <w:t xml:space="preserve"> </w:t>
      </w:r>
      <w:r>
        <w:rPr>
          <w:i/>
        </w:rPr>
        <w:t xml:space="preserve">p </w:t>
      </w:r>
      <w:r>
        <w:rPr>
          <w:position w:val="2"/>
        </w:rPr>
        <w:t>and</w:t>
      </w:r>
      <w:r>
        <w:rPr>
          <w:spacing w:val="-5"/>
          <w:position w:val="2"/>
        </w:rPr>
        <w:t xml:space="preserve"> </w:t>
      </w:r>
      <w:r>
        <w:rPr>
          <w:position w:val="2"/>
        </w:rPr>
        <w:t>BF</w:t>
      </w:r>
      <w:r>
        <w:rPr>
          <w:position w:val="2"/>
          <w:vertAlign w:val="subscript"/>
        </w:rPr>
        <w:t>10</w:t>
      </w:r>
      <w:r>
        <w:rPr>
          <w:spacing w:val="-25"/>
          <w:position w:val="2"/>
        </w:rPr>
        <w:t xml:space="preserve"> </w:t>
      </w:r>
      <w:r>
        <w:rPr>
          <w:position w:val="2"/>
        </w:rPr>
        <w:t>values</w:t>
      </w:r>
      <w:r>
        <w:rPr>
          <w:spacing w:val="-7"/>
          <w:position w:val="2"/>
        </w:rPr>
        <w:t xml:space="preserve"> </w:t>
      </w:r>
      <w:r>
        <w:rPr>
          <w:position w:val="2"/>
        </w:rPr>
        <w:t>(coefficients</w:t>
      </w:r>
      <w:r>
        <w:rPr>
          <w:spacing w:val="-6"/>
          <w:position w:val="2"/>
        </w:rPr>
        <w:t xml:space="preserve"> </w:t>
      </w:r>
      <w:r>
        <w:rPr>
          <w:position w:val="2"/>
        </w:rPr>
        <w:t>below</w:t>
      </w:r>
      <w:r>
        <w:rPr>
          <w:spacing w:val="-9"/>
          <w:position w:val="2"/>
        </w:rPr>
        <w:t xml:space="preserve"> </w:t>
      </w:r>
      <w:r>
        <w:rPr>
          <w:position w:val="2"/>
        </w:rPr>
        <w:t>the</w:t>
      </w:r>
      <w:r>
        <w:rPr>
          <w:spacing w:val="-6"/>
          <w:position w:val="2"/>
        </w:rPr>
        <w:t xml:space="preserve"> </w:t>
      </w:r>
      <w:r>
        <w:rPr>
          <w:position w:val="2"/>
        </w:rPr>
        <w:t>diagonal</w:t>
      </w:r>
      <w:r>
        <w:rPr>
          <w:spacing w:val="-8"/>
          <w:position w:val="2"/>
        </w:rPr>
        <w:t xml:space="preserve"> </w:t>
      </w:r>
      <w:r>
        <w:rPr>
          <w:position w:val="2"/>
        </w:rPr>
        <w:t>in</w:t>
      </w:r>
      <w:r>
        <w:rPr>
          <w:spacing w:val="-10"/>
          <w:position w:val="2"/>
        </w:rPr>
        <w:t xml:space="preserve"> </w:t>
      </w:r>
      <w:r>
        <w:rPr>
          <w:position w:val="2"/>
        </w:rPr>
        <w:t>light</w:t>
      </w:r>
      <w:r>
        <w:rPr>
          <w:spacing w:val="-8"/>
          <w:position w:val="2"/>
        </w:rPr>
        <w:t xml:space="preserve"> </w:t>
      </w:r>
      <w:r>
        <w:rPr>
          <w:position w:val="2"/>
        </w:rPr>
        <w:t>grey</w:t>
      </w:r>
      <w:r>
        <w:rPr>
          <w:spacing w:val="-5"/>
          <w:position w:val="2"/>
        </w:rPr>
        <w:t xml:space="preserve"> </w:t>
      </w:r>
      <w:r>
        <w:rPr>
          <w:position w:val="2"/>
        </w:rPr>
        <w:t>shading</w:t>
      </w:r>
      <w:r>
        <w:rPr>
          <w:spacing w:val="-9"/>
          <w:position w:val="2"/>
        </w:rPr>
        <w:t xml:space="preserve"> </w:t>
      </w:r>
      <w:r>
        <w:rPr>
          <w:position w:val="2"/>
        </w:rPr>
        <w:t>reflect</w:t>
      </w:r>
      <w:r>
        <w:rPr>
          <w:spacing w:val="-9"/>
          <w:position w:val="2"/>
        </w:rPr>
        <w:t xml:space="preserve"> </w:t>
      </w:r>
      <w:r>
        <w:rPr>
          <w:position w:val="2"/>
        </w:rPr>
        <w:t>the</w:t>
      </w:r>
      <w:r>
        <w:rPr>
          <w:spacing w:val="-5"/>
          <w:position w:val="2"/>
        </w:rPr>
        <w:t xml:space="preserve"> </w:t>
      </w:r>
      <w:r>
        <w:rPr>
          <w:position w:val="2"/>
        </w:rPr>
        <w:t>results</w:t>
      </w:r>
      <w:r>
        <w:rPr>
          <w:spacing w:val="-7"/>
          <w:position w:val="2"/>
        </w:rPr>
        <w:t xml:space="preserve"> </w:t>
      </w:r>
      <w:r>
        <w:rPr>
          <w:position w:val="2"/>
        </w:rPr>
        <w:t>for</w:t>
      </w:r>
      <w:r>
        <w:rPr>
          <w:spacing w:val="-2"/>
          <w:position w:val="2"/>
        </w:rPr>
        <w:t xml:space="preserve"> </w:t>
      </w:r>
      <w:r>
        <w:rPr>
          <w:position w:val="2"/>
        </w:rPr>
        <w:t xml:space="preserve">the </w:t>
      </w:r>
      <w:r>
        <w:t xml:space="preserve">time-based PM condition, coefficients above the diagonal in dark grey shading reflect the results for the event-based PM condition). No significant associations between interoceptive accuracy and event- or time-based PM were found. Fisher </w:t>
      </w:r>
      <w:r>
        <w:rPr>
          <w:i/>
        </w:rPr>
        <w:t>z</w:t>
      </w:r>
      <w:r>
        <w:t>-tests revealed that the association between</w:t>
      </w:r>
      <w:r>
        <w:rPr>
          <w:spacing w:val="-11"/>
        </w:rPr>
        <w:t xml:space="preserve"> </w:t>
      </w:r>
      <w:r>
        <w:t>PM</w:t>
      </w:r>
      <w:r>
        <w:rPr>
          <w:spacing w:val="-12"/>
        </w:rPr>
        <w:t xml:space="preserve"> </w:t>
      </w:r>
      <w:r>
        <w:t>and</w:t>
      </w:r>
      <w:r>
        <w:rPr>
          <w:spacing w:val="-15"/>
        </w:rPr>
        <w:t xml:space="preserve"> </w:t>
      </w:r>
      <w:r>
        <w:t>interoceptive</w:t>
      </w:r>
      <w:r>
        <w:rPr>
          <w:spacing w:val="-15"/>
        </w:rPr>
        <w:t xml:space="preserve"> </w:t>
      </w:r>
      <w:r>
        <w:t>accuracy</w:t>
      </w:r>
      <w:r>
        <w:rPr>
          <w:spacing w:val="-10"/>
        </w:rPr>
        <w:t xml:space="preserve"> </w:t>
      </w:r>
      <w:r>
        <w:t>in</w:t>
      </w:r>
      <w:r>
        <w:rPr>
          <w:spacing w:val="-15"/>
        </w:rPr>
        <w:t xml:space="preserve"> </w:t>
      </w:r>
      <w:r>
        <w:t>two</w:t>
      </w:r>
      <w:r>
        <w:rPr>
          <w:spacing w:val="-14"/>
        </w:rPr>
        <w:t xml:space="preserve"> </w:t>
      </w:r>
      <w:r>
        <w:t>conditions</w:t>
      </w:r>
      <w:r>
        <w:rPr>
          <w:spacing w:val="-12"/>
        </w:rPr>
        <w:t xml:space="preserve"> </w:t>
      </w:r>
      <w:r>
        <w:t>did</w:t>
      </w:r>
      <w:r>
        <w:rPr>
          <w:spacing w:val="-15"/>
        </w:rPr>
        <w:t xml:space="preserve"> </w:t>
      </w:r>
      <w:r>
        <w:t>not</w:t>
      </w:r>
      <w:r>
        <w:rPr>
          <w:spacing w:val="-14"/>
        </w:rPr>
        <w:t xml:space="preserve"> </w:t>
      </w:r>
      <w:r>
        <w:t>significantly</w:t>
      </w:r>
      <w:r>
        <w:rPr>
          <w:spacing w:val="-14"/>
        </w:rPr>
        <w:t xml:space="preserve"> </w:t>
      </w:r>
      <w:r>
        <w:t>differ</w:t>
      </w:r>
      <w:r>
        <w:rPr>
          <w:spacing w:val="-14"/>
        </w:rPr>
        <w:t xml:space="preserve"> </w:t>
      </w:r>
      <w:r>
        <w:t>from</w:t>
      </w:r>
      <w:r>
        <w:rPr>
          <w:spacing w:val="-14"/>
        </w:rPr>
        <w:t xml:space="preserve"> </w:t>
      </w:r>
      <w:r>
        <w:t xml:space="preserve">each other, nor did they significantly differ from the one reported by Umeda et al. (2016), see Appendix 3, Table A4, all </w:t>
      </w:r>
      <w:proofErr w:type="spellStart"/>
      <w:r>
        <w:rPr>
          <w:i/>
        </w:rPr>
        <w:t>p</w:t>
      </w:r>
      <w:r>
        <w:t>s</w:t>
      </w:r>
      <w:proofErr w:type="spellEnd"/>
      <w:r>
        <w:t xml:space="preserve"> ≥ .41. Moreover, interoceptive accuracy also was not</w:t>
      </w:r>
      <w:r>
        <w:rPr>
          <w:spacing w:val="-32"/>
        </w:rPr>
        <w:t xml:space="preserve"> </w:t>
      </w:r>
      <w:r>
        <w:t>associated with</w:t>
      </w:r>
      <w:r>
        <w:rPr>
          <w:spacing w:val="-14"/>
        </w:rPr>
        <w:t xml:space="preserve"> </w:t>
      </w:r>
      <w:r>
        <w:t>autism</w:t>
      </w:r>
      <w:r>
        <w:rPr>
          <w:spacing w:val="-14"/>
        </w:rPr>
        <w:t xml:space="preserve"> </w:t>
      </w:r>
      <w:r>
        <w:t>traits</w:t>
      </w:r>
      <w:r>
        <w:rPr>
          <w:spacing w:val="-16"/>
        </w:rPr>
        <w:t xml:space="preserve"> </w:t>
      </w:r>
      <w:r>
        <w:t>or</w:t>
      </w:r>
      <w:r>
        <w:rPr>
          <w:spacing w:val="-13"/>
        </w:rPr>
        <w:t xml:space="preserve"> </w:t>
      </w:r>
      <w:r>
        <w:t>alexithymia</w:t>
      </w:r>
      <w:r>
        <w:rPr>
          <w:spacing w:val="-14"/>
        </w:rPr>
        <w:t xml:space="preserve"> </w:t>
      </w:r>
      <w:r>
        <w:t>in</w:t>
      </w:r>
      <w:r>
        <w:rPr>
          <w:spacing w:val="-14"/>
        </w:rPr>
        <w:t xml:space="preserve"> </w:t>
      </w:r>
      <w:r>
        <w:t>either</w:t>
      </w:r>
      <w:r>
        <w:rPr>
          <w:spacing w:val="-13"/>
        </w:rPr>
        <w:t xml:space="preserve"> </w:t>
      </w:r>
      <w:r>
        <w:t>condition</w:t>
      </w:r>
      <w:r>
        <w:rPr>
          <w:spacing w:val="-13"/>
        </w:rPr>
        <w:t xml:space="preserve"> </w:t>
      </w:r>
      <w:r>
        <w:t>(see</w:t>
      </w:r>
      <w:r>
        <w:rPr>
          <w:spacing w:val="-15"/>
        </w:rPr>
        <w:t xml:space="preserve"> </w:t>
      </w:r>
      <w:r>
        <w:t>Table</w:t>
      </w:r>
      <w:r>
        <w:rPr>
          <w:spacing w:val="-14"/>
        </w:rPr>
        <w:t xml:space="preserve"> </w:t>
      </w:r>
      <w:r>
        <w:t>17),</w:t>
      </w:r>
      <w:r>
        <w:rPr>
          <w:spacing w:val="-12"/>
        </w:rPr>
        <w:t xml:space="preserve"> </w:t>
      </w:r>
      <w:r>
        <w:t>nor</w:t>
      </w:r>
      <w:r>
        <w:rPr>
          <w:spacing w:val="-13"/>
        </w:rPr>
        <w:t xml:space="preserve"> </w:t>
      </w:r>
      <w:r>
        <w:t>across</w:t>
      </w:r>
      <w:r>
        <w:rPr>
          <w:spacing w:val="-16"/>
        </w:rPr>
        <w:t xml:space="preserve"> </w:t>
      </w:r>
      <w:r>
        <w:t>the</w:t>
      </w:r>
      <w:r>
        <w:rPr>
          <w:spacing w:val="-15"/>
        </w:rPr>
        <w:t xml:space="preserve"> </w:t>
      </w:r>
      <w:r>
        <w:t>whole</w:t>
      </w:r>
      <w:r>
        <w:rPr>
          <w:spacing w:val="-14"/>
        </w:rPr>
        <w:t xml:space="preserve"> </w:t>
      </w:r>
      <w:r>
        <w:t xml:space="preserve">sample </w:t>
      </w:r>
      <w:r>
        <w:rPr>
          <w:position w:val="2"/>
        </w:rPr>
        <w:t xml:space="preserve">(correlation with AQ </w:t>
      </w:r>
      <w:r>
        <w:rPr>
          <w:i/>
          <w:position w:val="2"/>
        </w:rPr>
        <w:t xml:space="preserve">r </w:t>
      </w:r>
      <w:r>
        <w:rPr>
          <w:position w:val="2"/>
        </w:rPr>
        <w:t xml:space="preserve">= .04, </w:t>
      </w:r>
      <w:r>
        <w:rPr>
          <w:i/>
          <w:position w:val="2"/>
        </w:rPr>
        <w:t xml:space="preserve">p </w:t>
      </w:r>
      <w:r>
        <w:rPr>
          <w:position w:val="2"/>
        </w:rPr>
        <w:t>= .76, BF</w:t>
      </w:r>
      <w:r>
        <w:rPr>
          <w:position w:val="2"/>
          <w:vertAlign w:val="subscript"/>
        </w:rPr>
        <w:t>10</w:t>
      </w:r>
      <w:r>
        <w:rPr>
          <w:position w:val="2"/>
        </w:rPr>
        <w:t xml:space="preserve"> = 0.18, correlation with TAS </w:t>
      </w:r>
      <w:r>
        <w:rPr>
          <w:i/>
          <w:position w:val="2"/>
        </w:rPr>
        <w:t xml:space="preserve">r </w:t>
      </w:r>
      <w:r>
        <w:rPr>
          <w:position w:val="2"/>
        </w:rPr>
        <w:t xml:space="preserve">= .13, </w:t>
      </w:r>
      <w:r>
        <w:rPr>
          <w:i/>
          <w:position w:val="2"/>
        </w:rPr>
        <w:t xml:space="preserve">p </w:t>
      </w:r>
      <w:r>
        <w:rPr>
          <w:position w:val="2"/>
        </w:rPr>
        <w:t>= .33,</w:t>
      </w:r>
      <w:r>
        <w:rPr>
          <w:spacing w:val="-6"/>
          <w:position w:val="2"/>
        </w:rPr>
        <w:t xml:space="preserve"> </w:t>
      </w:r>
      <w:r>
        <w:rPr>
          <w:position w:val="2"/>
        </w:rPr>
        <w:t>BF</w:t>
      </w:r>
      <w:r>
        <w:rPr>
          <w:position w:val="2"/>
          <w:vertAlign w:val="subscript"/>
        </w:rPr>
        <w:t>10</w:t>
      </w:r>
    </w:p>
    <w:p w14:paraId="295DA064" w14:textId="77777777" w:rsidR="00C75312" w:rsidRDefault="00BB293A">
      <w:pPr>
        <w:pStyle w:val="BodyText"/>
        <w:spacing w:line="259" w:lineRule="exact"/>
        <w:ind w:left="140"/>
      </w:pPr>
      <w:r>
        <w:t>=</w:t>
      </w:r>
      <w:r>
        <w:rPr>
          <w:spacing w:val="-12"/>
        </w:rPr>
        <w:t xml:space="preserve"> </w:t>
      </w:r>
      <w:r>
        <w:t>0.27),</w:t>
      </w:r>
      <w:r>
        <w:rPr>
          <w:spacing w:val="-8"/>
        </w:rPr>
        <w:t xml:space="preserve"> </w:t>
      </w:r>
      <w:r>
        <w:t>with</w:t>
      </w:r>
      <w:r>
        <w:rPr>
          <w:spacing w:val="-14"/>
        </w:rPr>
        <w:t xml:space="preserve"> </w:t>
      </w:r>
      <w:r>
        <w:t>Bayes</w:t>
      </w:r>
      <w:r>
        <w:rPr>
          <w:spacing w:val="-13"/>
        </w:rPr>
        <w:t xml:space="preserve"> </w:t>
      </w:r>
      <w:r>
        <w:t>factors</w:t>
      </w:r>
      <w:r>
        <w:rPr>
          <w:spacing w:val="-12"/>
        </w:rPr>
        <w:t xml:space="preserve"> </w:t>
      </w:r>
      <w:r>
        <w:t>providing</w:t>
      </w:r>
      <w:r>
        <w:rPr>
          <w:spacing w:val="-11"/>
        </w:rPr>
        <w:t xml:space="preserve"> </w:t>
      </w:r>
      <w:r>
        <w:t>evidence</w:t>
      </w:r>
      <w:r>
        <w:rPr>
          <w:spacing w:val="-15"/>
        </w:rPr>
        <w:t xml:space="preserve"> </w:t>
      </w:r>
      <w:r>
        <w:t>for</w:t>
      </w:r>
      <w:r>
        <w:rPr>
          <w:spacing w:val="-13"/>
        </w:rPr>
        <w:t xml:space="preserve"> </w:t>
      </w:r>
      <w:r>
        <w:t>the</w:t>
      </w:r>
      <w:r>
        <w:rPr>
          <w:spacing w:val="-12"/>
        </w:rPr>
        <w:t xml:space="preserve"> </w:t>
      </w:r>
      <w:r>
        <w:t>null</w:t>
      </w:r>
      <w:r>
        <w:rPr>
          <w:spacing w:val="-9"/>
        </w:rPr>
        <w:t xml:space="preserve"> </w:t>
      </w:r>
      <w:r>
        <w:t>hypothesis.</w:t>
      </w:r>
      <w:r>
        <w:rPr>
          <w:spacing w:val="38"/>
        </w:rPr>
        <w:t xml:space="preserve"> </w:t>
      </w:r>
      <w:r>
        <w:t>Neither</w:t>
      </w:r>
      <w:r>
        <w:rPr>
          <w:spacing w:val="-14"/>
        </w:rPr>
        <w:t xml:space="preserve"> </w:t>
      </w:r>
      <w:r>
        <w:t>time-nor</w:t>
      </w:r>
      <w:r>
        <w:rPr>
          <w:spacing w:val="-8"/>
        </w:rPr>
        <w:t xml:space="preserve"> </w:t>
      </w:r>
      <w:r>
        <w:t>event-</w:t>
      </w:r>
    </w:p>
    <w:p w14:paraId="07DEF13A" w14:textId="77777777" w:rsidR="00C75312" w:rsidRDefault="00C75312">
      <w:pPr>
        <w:pStyle w:val="BodyText"/>
      </w:pPr>
    </w:p>
    <w:p w14:paraId="0ED8E9D5" w14:textId="77777777" w:rsidR="00C75312" w:rsidRDefault="00BB293A">
      <w:pPr>
        <w:pStyle w:val="BodyText"/>
        <w:ind w:left="140"/>
      </w:pPr>
      <w:r>
        <w:t>based  PM hits were associated  with  traits of autism  or  alexithymia.</w:t>
      </w:r>
      <w:r>
        <w:rPr>
          <w:spacing w:val="-1"/>
        </w:rPr>
        <w:t xml:space="preserve"> </w:t>
      </w:r>
      <w:r>
        <w:t>Time-based  PM target</w:t>
      </w:r>
    </w:p>
    <w:p w14:paraId="328F46DA" w14:textId="77777777" w:rsidR="00C75312" w:rsidRDefault="00C75312">
      <w:pPr>
        <w:sectPr w:rsidR="00C75312">
          <w:pgSz w:w="11900" w:h="16840"/>
          <w:pgMar w:top="1140" w:right="0" w:bottom="280" w:left="1300" w:header="715" w:footer="0" w:gutter="0"/>
          <w:cols w:space="720"/>
        </w:sectPr>
      </w:pPr>
    </w:p>
    <w:p w14:paraId="3D9DF50F" w14:textId="77777777" w:rsidR="00C75312" w:rsidRDefault="00C75312">
      <w:pPr>
        <w:pStyle w:val="BodyText"/>
        <w:spacing w:before="2"/>
        <w:rPr>
          <w:sz w:val="18"/>
        </w:rPr>
      </w:pPr>
    </w:p>
    <w:p w14:paraId="6FCF0E72" w14:textId="77777777" w:rsidR="00C75312" w:rsidRDefault="00BB293A">
      <w:pPr>
        <w:pStyle w:val="BodyText"/>
        <w:spacing w:before="90" w:line="480" w:lineRule="auto"/>
        <w:ind w:left="140" w:right="1427"/>
        <w:jc w:val="both"/>
      </w:pPr>
      <w:r>
        <w:t>accuracy,</w:t>
      </w:r>
      <w:r>
        <w:rPr>
          <w:spacing w:val="-9"/>
        </w:rPr>
        <w:t xml:space="preserve"> </w:t>
      </w:r>
      <w:r>
        <w:t>however,</w:t>
      </w:r>
      <w:r>
        <w:rPr>
          <w:spacing w:val="-14"/>
        </w:rPr>
        <w:t xml:space="preserve"> </w:t>
      </w:r>
      <w:r>
        <w:t>correlated</w:t>
      </w:r>
      <w:r>
        <w:rPr>
          <w:spacing w:val="-12"/>
        </w:rPr>
        <w:t xml:space="preserve"> </w:t>
      </w:r>
      <w:r>
        <w:t>significantly</w:t>
      </w:r>
      <w:r>
        <w:rPr>
          <w:spacing w:val="-15"/>
        </w:rPr>
        <w:t xml:space="preserve"> </w:t>
      </w:r>
      <w:r>
        <w:t>with</w:t>
      </w:r>
      <w:r>
        <w:rPr>
          <w:spacing w:val="-15"/>
        </w:rPr>
        <w:t xml:space="preserve"> </w:t>
      </w:r>
      <w:r>
        <w:t>autism</w:t>
      </w:r>
      <w:r>
        <w:rPr>
          <w:spacing w:val="-11"/>
        </w:rPr>
        <w:t xml:space="preserve"> </w:t>
      </w:r>
      <w:r>
        <w:t>traits,</w:t>
      </w:r>
      <w:r>
        <w:rPr>
          <w:spacing w:val="-14"/>
        </w:rPr>
        <w:t xml:space="preserve"> </w:t>
      </w:r>
      <w:r>
        <w:t>indicating</w:t>
      </w:r>
      <w:r>
        <w:rPr>
          <w:spacing w:val="-15"/>
        </w:rPr>
        <w:t xml:space="preserve"> </w:t>
      </w:r>
      <w:r>
        <w:t>that</w:t>
      </w:r>
      <w:r>
        <w:rPr>
          <w:spacing w:val="-16"/>
        </w:rPr>
        <w:t xml:space="preserve"> </w:t>
      </w:r>
      <w:r>
        <w:t>more</w:t>
      </w:r>
      <w:r>
        <w:rPr>
          <w:spacing w:val="-16"/>
        </w:rPr>
        <w:t xml:space="preserve"> </w:t>
      </w:r>
      <w:r>
        <w:t>autism</w:t>
      </w:r>
      <w:r>
        <w:rPr>
          <w:spacing w:val="-15"/>
        </w:rPr>
        <w:t xml:space="preserve"> </w:t>
      </w:r>
      <w:r>
        <w:t>traits were associated with less accurate PM responses (larger values for PM responses represent a greater time difference). A similar trend was found for alexithymia traits. Furthermore, time- based but not event-based PM hits were associated with fewer perseverative errors on the WCST. Finally, there was a trend for an association between interoceptive accuracy and cognitive flexibility in the event-based condition, indicat</w:t>
      </w:r>
      <w:r>
        <w:t xml:space="preserve">ing that individuals with higher interoceptive accuracy committed more perseverative errors. Fisher </w:t>
      </w:r>
      <w:r>
        <w:rPr>
          <w:i/>
        </w:rPr>
        <w:t>z</w:t>
      </w:r>
      <w:r>
        <w:t>-tests revealed no significant</w:t>
      </w:r>
      <w:r>
        <w:rPr>
          <w:spacing w:val="-11"/>
        </w:rPr>
        <w:t xml:space="preserve"> </w:t>
      </w:r>
      <w:r>
        <w:t>differences</w:t>
      </w:r>
      <w:r>
        <w:rPr>
          <w:spacing w:val="-13"/>
        </w:rPr>
        <w:t xml:space="preserve"> </w:t>
      </w:r>
      <w:r>
        <w:t>in</w:t>
      </w:r>
      <w:r>
        <w:rPr>
          <w:spacing w:val="-16"/>
        </w:rPr>
        <w:t xml:space="preserve"> </w:t>
      </w:r>
      <w:r>
        <w:t>these</w:t>
      </w:r>
      <w:r>
        <w:rPr>
          <w:spacing w:val="-12"/>
        </w:rPr>
        <w:t xml:space="preserve"> </w:t>
      </w:r>
      <w:r>
        <w:t>correlation</w:t>
      </w:r>
      <w:r>
        <w:rPr>
          <w:spacing w:val="-15"/>
        </w:rPr>
        <w:t xml:space="preserve"> </w:t>
      </w:r>
      <w:r>
        <w:t>coefficients</w:t>
      </w:r>
      <w:r>
        <w:rPr>
          <w:spacing w:val="-14"/>
        </w:rPr>
        <w:t xml:space="preserve"> </w:t>
      </w:r>
      <w:r>
        <w:t>between</w:t>
      </w:r>
      <w:r>
        <w:rPr>
          <w:spacing w:val="-11"/>
        </w:rPr>
        <w:t xml:space="preserve"> </w:t>
      </w:r>
      <w:r>
        <w:t>conditions</w:t>
      </w:r>
      <w:r>
        <w:rPr>
          <w:spacing w:val="-18"/>
        </w:rPr>
        <w:t xml:space="preserve"> </w:t>
      </w:r>
      <w:r>
        <w:t>(all</w:t>
      </w:r>
      <w:r>
        <w:rPr>
          <w:spacing w:val="-15"/>
        </w:rPr>
        <w:t xml:space="preserve"> </w:t>
      </w:r>
      <w:proofErr w:type="spellStart"/>
      <w:r>
        <w:rPr>
          <w:i/>
        </w:rPr>
        <w:t>p</w:t>
      </w:r>
      <w:r>
        <w:t>s</w:t>
      </w:r>
      <w:proofErr w:type="spellEnd"/>
      <w:r>
        <w:rPr>
          <w:spacing w:val="-18"/>
        </w:rPr>
        <w:t xml:space="preserve"> </w:t>
      </w:r>
      <w:r>
        <w:t>≥</w:t>
      </w:r>
      <w:r>
        <w:rPr>
          <w:spacing w:val="-18"/>
        </w:rPr>
        <w:t xml:space="preserve"> </w:t>
      </w:r>
      <w:r>
        <w:t>.12),</w:t>
      </w:r>
      <w:r>
        <w:rPr>
          <w:spacing w:val="-9"/>
        </w:rPr>
        <w:t xml:space="preserve"> </w:t>
      </w:r>
      <w:r>
        <w:t>except for the correlation between AQ and interoceptive accuracy (</w:t>
      </w:r>
      <w:r>
        <w:rPr>
          <w:i/>
        </w:rPr>
        <w:t xml:space="preserve">z </w:t>
      </w:r>
      <w:r>
        <w:t xml:space="preserve">= -2.28, </w:t>
      </w:r>
      <w:r>
        <w:rPr>
          <w:i/>
        </w:rPr>
        <w:t xml:space="preserve">p </w:t>
      </w:r>
      <w:r>
        <w:t>= 0.02; see Appendix 3, Table A5). Based on the outcome of the bivariate correlations and the a priori predictions, the following partial correlations were conducted (see Figure 15 for scatterplots of the key partial</w:t>
      </w:r>
      <w:r>
        <w:rPr>
          <w:spacing w:val="1"/>
        </w:rPr>
        <w:t xml:space="preserve"> </w:t>
      </w:r>
      <w:r>
        <w:t>cor</w:t>
      </w:r>
      <w:r>
        <w:t>relations).</w:t>
      </w:r>
    </w:p>
    <w:p w14:paraId="756A2EFC" w14:textId="77777777" w:rsidR="00C75312" w:rsidRDefault="00C75312">
      <w:pPr>
        <w:spacing w:line="480" w:lineRule="auto"/>
        <w:jc w:val="both"/>
        <w:sectPr w:rsidR="00C75312">
          <w:pgSz w:w="11900" w:h="16840"/>
          <w:pgMar w:top="1140" w:right="0" w:bottom="280" w:left="1300" w:header="715" w:footer="0" w:gutter="0"/>
          <w:cols w:space="720"/>
        </w:sectPr>
      </w:pPr>
    </w:p>
    <w:p w14:paraId="05997841" w14:textId="77777777" w:rsidR="00C75312" w:rsidRDefault="00BB293A">
      <w:pPr>
        <w:tabs>
          <w:tab w:val="right" w:pos="14303"/>
        </w:tabs>
        <w:spacing w:before="71"/>
        <w:ind w:left="147"/>
      </w:pPr>
      <w:r>
        <w:lastRenderedPageBreak/>
        <w:pict w14:anchorId="60998385">
          <v:line id="_x0000_s2135" style="position:absolute;left:0;text-align:left;z-index:251824128;mso-position-horizontal-relative:page" from="60.95pt,18.6pt" to="771.35pt,18.6pt" strokecolor="#bfbfbf" strokeweight="1.44pt">
            <w10:wrap anchorx="page"/>
          </v:line>
        </w:pict>
      </w:r>
      <w:r>
        <w:rPr>
          <w:color w:val="BFBFBF"/>
        </w:rPr>
        <w:t>Chapter 5: Cognitive components</w:t>
      </w:r>
      <w:r>
        <w:rPr>
          <w:color w:val="BFBFBF"/>
          <w:spacing w:val="2"/>
        </w:rPr>
        <w:t xml:space="preserve"> </w:t>
      </w:r>
      <w:r>
        <w:rPr>
          <w:color w:val="BFBFBF"/>
        </w:rPr>
        <w:t>of</w:t>
      </w:r>
      <w:r>
        <w:rPr>
          <w:color w:val="BFBFBF"/>
          <w:spacing w:val="-4"/>
        </w:rPr>
        <w:t xml:space="preserve"> </w:t>
      </w:r>
      <w:r>
        <w:rPr>
          <w:color w:val="BFBFBF"/>
        </w:rPr>
        <w:t>PM</w:t>
      </w:r>
      <w:r>
        <w:rPr>
          <w:color w:val="BFBFBF"/>
        </w:rPr>
        <w:tab/>
        <w:t>140</w:t>
      </w:r>
    </w:p>
    <w:p w14:paraId="6BA70F15" w14:textId="77777777" w:rsidR="00C75312" w:rsidRDefault="00BB293A">
      <w:pPr>
        <w:spacing w:before="284"/>
        <w:ind w:left="147"/>
        <w:rPr>
          <w:i/>
          <w:sz w:val="20"/>
        </w:rPr>
      </w:pPr>
      <w:r>
        <w:rPr>
          <w:i/>
          <w:sz w:val="20"/>
        </w:rPr>
        <w:t>Table 17. Intercorrelations of variables for event-based PM (n = 28, dark grey) and time-based PM (n = 27, light grey)</w:t>
      </w:r>
    </w:p>
    <w:p w14:paraId="02FA7EAF" w14:textId="77777777" w:rsidR="00C75312" w:rsidRDefault="00C75312">
      <w:pPr>
        <w:pStyle w:val="BodyText"/>
        <w:spacing w:before="6"/>
        <w:rPr>
          <w:i/>
          <w:sz w:val="17"/>
        </w:rPr>
      </w:pPr>
    </w:p>
    <w:tbl>
      <w:tblPr>
        <w:tblW w:w="0" w:type="auto"/>
        <w:tblInd w:w="145" w:type="dxa"/>
        <w:tblLayout w:type="fixed"/>
        <w:tblCellMar>
          <w:left w:w="0" w:type="dxa"/>
          <w:right w:w="0" w:type="dxa"/>
        </w:tblCellMar>
        <w:tblLook w:val="01E0" w:firstRow="1" w:lastRow="1" w:firstColumn="1" w:lastColumn="1" w:noHBand="0" w:noVBand="0"/>
      </w:tblPr>
      <w:tblGrid>
        <w:gridCol w:w="4479"/>
        <w:gridCol w:w="1511"/>
        <w:gridCol w:w="1634"/>
        <w:gridCol w:w="1286"/>
        <w:gridCol w:w="1343"/>
        <w:gridCol w:w="1891"/>
        <w:gridCol w:w="1343"/>
      </w:tblGrid>
      <w:tr w:rsidR="00C75312" w14:paraId="610E3957" w14:textId="77777777">
        <w:trPr>
          <w:trHeight w:val="269"/>
        </w:trPr>
        <w:tc>
          <w:tcPr>
            <w:tcW w:w="4479" w:type="dxa"/>
            <w:tcBorders>
              <w:top w:val="single" w:sz="4" w:space="0" w:color="000000"/>
            </w:tcBorders>
          </w:tcPr>
          <w:p w14:paraId="5EDAC255" w14:textId="77777777" w:rsidR="00C75312" w:rsidRDefault="00BB293A">
            <w:pPr>
              <w:pStyle w:val="TableParagraph"/>
              <w:spacing w:line="249" w:lineRule="exact"/>
              <w:ind w:right="135"/>
              <w:jc w:val="right"/>
              <w:rPr>
                <w:b/>
                <w:sz w:val="14"/>
              </w:rPr>
            </w:pPr>
            <w:r>
              <w:rPr>
                <w:b/>
                <w:position w:val="2"/>
              </w:rPr>
              <w:t>PM</w:t>
            </w:r>
            <w:r>
              <w:rPr>
                <w:b/>
                <w:sz w:val="14"/>
              </w:rPr>
              <w:t>target accuracy</w:t>
            </w:r>
          </w:p>
        </w:tc>
        <w:tc>
          <w:tcPr>
            <w:tcW w:w="1511" w:type="dxa"/>
            <w:tcBorders>
              <w:top w:val="single" w:sz="4" w:space="0" w:color="000000"/>
            </w:tcBorders>
          </w:tcPr>
          <w:p w14:paraId="095E3105" w14:textId="77777777" w:rsidR="00C75312" w:rsidRDefault="00BB293A">
            <w:pPr>
              <w:pStyle w:val="TableParagraph"/>
              <w:spacing w:line="249" w:lineRule="exact"/>
              <w:ind w:left="138"/>
              <w:rPr>
                <w:b/>
                <w:sz w:val="14"/>
              </w:rPr>
            </w:pPr>
            <w:r>
              <w:rPr>
                <w:b/>
                <w:position w:val="2"/>
              </w:rPr>
              <w:t>PM</w:t>
            </w:r>
            <w:r>
              <w:rPr>
                <w:b/>
                <w:sz w:val="14"/>
              </w:rPr>
              <w:t>proportion hits</w:t>
            </w:r>
          </w:p>
        </w:tc>
        <w:tc>
          <w:tcPr>
            <w:tcW w:w="1634" w:type="dxa"/>
            <w:tcBorders>
              <w:top w:val="single" w:sz="4" w:space="0" w:color="000000"/>
            </w:tcBorders>
          </w:tcPr>
          <w:p w14:paraId="7D8B33C7" w14:textId="77777777" w:rsidR="00C75312" w:rsidRDefault="00BB293A">
            <w:pPr>
              <w:pStyle w:val="TableParagraph"/>
              <w:spacing w:before="1" w:line="248" w:lineRule="exact"/>
              <w:ind w:left="105" w:right="241"/>
              <w:jc w:val="center"/>
              <w:rPr>
                <w:b/>
              </w:rPr>
            </w:pPr>
            <w:r>
              <w:rPr>
                <w:b/>
              </w:rPr>
              <w:t>Interoceptive</w:t>
            </w:r>
          </w:p>
        </w:tc>
        <w:tc>
          <w:tcPr>
            <w:tcW w:w="1286" w:type="dxa"/>
            <w:tcBorders>
              <w:top w:val="single" w:sz="4" w:space="0" w:color="000000"/>
            </w:tcBorders>
          </w:tcPr>
          <w:p w14:paraId="604E4484" w14:textId="77777777" w:rsidR="00C75312" w:rsidRDefault="00BB293A">
            <w:pPr>
              <w:pStyle w:val="TableParagraph"/>
              <w:spacing w:line="249" w:lineRule="exact"/>
              <w:ind w:left="267"/>
              <w:rPr>
                <w:b/>
              </w:rPr>
            </w:pPr>
            <w:proofErr w:type="spellStart"/>
            <w:r>
              <w:rPr>
                <w:b/>
                <w:position w:val="2"/>
              </w:rPr>
              <w:t>AQ</w:t>
            </w:r>
            <w:r>
              <w:rPr>
                <w:b/>
                <w:position w:val="2"/>
                <w:vertAlign w:val="subscript"/>
              </w:rPr>
              <w:t>traits</w:t>
            </w:r>
            <w:proofErr w:type="spellEnd"/>
          </w:p>
        </w:tc>
        <w:tc>
          <w:tcPr>
            <w:tcW w:w="1343" w:type="dxa"/>
            <w:tcBorders>
              <w:top w:val="single" w:sz="4" w:space="0" w:color="000000"/>
            </w:tcBorders>
          </w:tcPr>
          <w:p w14:paraId="35A75318" w14:textId="77777777" w:rsidR="00C75312" w:rsidRDefault="00BB293A">
            <w:pPr>
              <w:pStyle w:val="TableParagraph"/>
              <w:spacing w:line="249" w:lineRule="exact"/>
              <w:ind w:left="368"/>
              <w:rPr>
                <w:b/>
              </w:rPr>
            </w:pPr>
            <w:proofErr w:type="spellStart"/>
            <w:r>
              <w:rPr>
                <w:b/>
                <w:position w:val="2"/>
              </w:rPr>
              <w:t>TAS</w:t>
            </w:r>
            <w:r>
              <w:rPr>
                <w:b/>
                <w:position w:val="2"/>
                <w:vertAlign w:val="subscript"/>
              </w:rPr>
              <w:t>traits</w:t>
            </w:r>
            <w:proofErr w:type="spellEnd"/>
          </w:p>
        </w:tc>
        <w:tc>
          <w:tcPr>
            <w:tcW w:w="1891" w:type="dxa"/>
            <w:tcBorders>
              <w:top w:val="single" w:sz="4" w:space="0" w:color="000000"/>
            </w:tcBorders>
          </w:tcPr>
          <w:p w14:paraId="6F2BA312" w14:textId="77777777" w:rsidR="00C75312" w:rsidRDefault="00BB293A">
            <w:pPr>
              <w:pStyle w:val="TableParagraph"/>
              <w:spacing w:line="249" w:lineRule="exact"/>
              <w:ind w:left="212" w:right="189"/>
              <w:jc w:val="center"/>
              <w:rPr>
                <w:b/>
                <w:sz w:val="14"/>
              </w:rPr>
            </w:pPr>
            <w:r>
              <w:rPr>
                <w:b/>
                <w:position w:val="2"/>
              </w:rPr>
              <w:t>WCST</w:t>
            </w:r>
            <w:r>
              <w:rPr>
                <w:b/>
                <w:sz w:val="14"/>
              </w:rPr>
              <w:t>perseverative</w:t>
            </w:r>
          </w:p>
        </w:tc>
        <w:tc>
          <w:tcPr>
            <w:tcW w:w="1343" w:type="dxa"/>
            <w:tcBorders>
              <w:top w:val="single" w:sz="4" w:space="0" w:color="000000"/>
            </w:tcBorders>
          </w:tcPr>
          <w:p w14:paraId="781BE432" w14:textId="77777777" w:rsidR="00C75312" w:rsidRDefault="00BB293A">
            <w:pPr>
              <w:pStyle w:val="TableParagraph"/>
              <w:spacing w:before="1" w:line="248" w:lineRule="exact"/>
              <w:ind w:left="215"/>
              <w:rPr>
                <w:b/>
              </w:rPr>
            </w:pPr>
            <w:r>
              <w:rPr>
                <w:b/>
              </w:rPr>
              <w:t>Ongoing</w:t>
            </w:r>
          </w:p>
        </w:tc>
      </w:tr>
      <w:tr w:rsidR="00C75312" w14:paraId="1415BDFE" w14:textId="77777777">
        <w:trPr>
          <w:trHeight w:val="259"/>
        </w:trPr>
        <w:tc>
          <w:tcPr>
            <w:tcW w:w="4479" w:type="dxa"/>
          </w:tcPr>
          <w:p w14:paraId="79BA9D16" w14:textId="77777777" w:rsidR="00C75312" w:rsidRDefault="00C75312">
            <w:pPr>
              <w:pStyle w:val="TableParagraph"/>
              <w:rPr>
                <w:sz w:val="18"/>
              </w:rPr>
            </w:pPr>
          </w:p>
        </w:tc>
        <w:tc>
          <w:tcPr>
            <w:tcW w:w="1511" w:type="dxa"/>
          </w:tcPr>
          <w:p w14:paraId="07295712" w14:textId="77777777" w:rsidR="00C75312" w:rsidRDefault="00C75312">
            <w:pPr>
              <w:pStyle w:val="TableParagraph"/>
              <w:rPr>
                <w:sz w:val="18"/>
              </w:rPr>
            </w:pPr>
          </w:p>
        </w:tc>
        <w:tc>
          <w:tcPr>
            <w:tcW w:w="1634" w:type="dxa"/>
          </w:tcPr>
          <w:p w14:paraId="57FE0D9A" w14:textId="77777777" w:rsidR="00C75312" w:rsidRDefault="00BB293A">
            <w:pPr>
              <w:pStyle w:val="TableParagraph"/>
              <w:spacing w:before="5" w:line="235" w:lineRule="exact"/>
              <w:ind w:left="103" w:right="241"/>
              <w:jc w:val="center"/>
              <w:rPr>
                <w:b/>
              </w:rPr>
            </w:pPr>
            <w:r>
              <w:rPr>
                <w:b/>
              </w:rPr>
              <w:t>accuracy</w:t>
            </w:r>
          </w:p>
        </w:tc>
        <w:tc>
          <w:tcPr>
            <w:tcW w:w="1286" w:type="dxa"/>
          </w:tcPr>
          <w:p w14:paraId="485CB266" w14:textId="77777777" w:rsidR="00C75312" w:rsidRDefault="00C75312">
            <w:pPr>
              <w:pStyle w:val="TableParagraph"/>
              <w:rPr>
                <w:sz w:val="18"/>
              </w:rPr>
            </w:pPr>
          </w:p>
        </w:tc>
        <w:tc>
          <w:tcPr>
            <w:tcW w:w="1343" w:type="dxa"/>
          </w:tcPr>
          <w:p w14:paraId="2734CAA6" w14:textId="77777777" w:rsidR="00C75312" w:rsidRDefault="00C75312">
            <w:pPr>
              <w:pStyle w:val="TableParagraph"/>
              <w:rPr>
                <w:sz w:val="18"/>
              </w:rPr>
            </w:pPr>
          </w:p>
        </w:tc>
        <w:tc>
          <w:tcPr>
            <w:tcW w:w="1891" w:type="dxa"/>
          </w:tcPr>
          <w:p w14:paraId="2F4F02BF" w14:textId="77777777" w:rsidR="00C75312" w:rsidRDefault="00BB293A">
            <w:pPr>
              <w:pStyle w:val="TableParagraph"/>
              <w:spacing w:before="99" w:line="141" w:lineRule="exact"/>
              <w:ind w:left="210" w:right="189"/>
              <w:jc w:val="center"/>
              <w:rPr>
                <w:b/>
                <w:sz w:val="14"/>
              </w:rPr>
            </w:pPr>
            <w:r>
              <w:rPr>
                <w:b/>
                <w:sz w:val="14"/>
              </w:rPr>
              <w:t>errors</w:t>
            </w:r>
          </w:p>
        </w:tc>
        <w:tc>
          <w:tcPr>
            <w:tcW w:w="1343" w:type="dxa"/>
          </w:tcPr>
          <w:p w14:paraId="052914F5" w14:textId="77777777" w:rsidR="00C75312" w:rsidRDefault="00BB293A">
            <w:pPr>
              <w:pStyle w:val="TableParagraph"/>
              <w:spacing w:before="5" w:line="235" w:lineRule="exact"/>
              <w:ind w:left="230"/>
              <w:rPr>
                <w:b/>
              </w:rPr>
            </w:pPr>
            <w:r>
              <w:rPr>
                <w:b/>
              </w:rPr>
              <w:t>task hits</w:t>
            </w:r>
          </w:p>
        </w:tc>
      </w:tr>
    </w:tbl>
    <w:p w14:paraId="21267B96" w14:textId="77777777" w:rsidR="00C75312" w:rsidRDefault="00C75312">
      <w:pPr>
        <w:pStyle w:val="BodyText"/>
        <w:spacing w:before="8"/>
        <w:rPr>
          <w:i/>
          <w:sz w:val="15"/>
        </w:rPr>
      </w:pPr>
    </w:p>
    <w:tbl>
      <w:tblPr>
        <w:tblW w:w="0" w:type="auto"/>
        <w:tblInd w:w="126" w:type="dxa"/>
        <w:tblLayout w:type="fixed"/>
        <w:tblCellMar>
          <w:left w:w="0" w:type="dxa"/>
          <w:right w:w="0" w:type="dxa"/>
        </w:tblCellMar>
        <w:tblLook w:val="01E0" w:firstRow="1" w:lastRow="1" w:firstColumn="1" w:lastColumn="1" w:noHBand="0" w:noVBand="0"/>
      </w:tblPr>
      <w:tblGrid>
        <w:gridCol w:w="2928"/>
        <w:gridCol w:w="1584"/>
        <w:gridCol w:w="1483"/>
        <w:gridCol w:w="1521"/>
        <w:gridCol w:w="1430"/>
        <w:gridCol w:w="1440"/>
        <w:gridCol w:w="1666"/>
        <w:gridCol w:w="1455"/>
      </w:tblGrid>
      <w:tr w:rsidR="00C75312" w14:paraId="6514BBE4" w14:textId="77777777">
        <w:trPr>
          <w:trHeight w:val="1290"/>
        </w:trPr>
        <w:tc>
          <w:tcPr>
            <w:tcW w:w="2928" w:type="dxa"/>
            <w:vMerge w:val="restart"/>
            <w:tcBorders>
              <w:top w:val="single" w:sz="4" w:space="0" w:color="000000"/>
              <w:bottom w:val="single" w:sz="4" w:space="0" w:color="000000"/>
            </w:tcBorders>
          </w:tcPr>
          <w:p w14:paraId="5C5FF9D0" w14:textId="77777777" w:rsidR="00C75312" w:rsidRDefault="00BB293A">
            <w:pPr>
              <w:pStyle w:val="TableParagraph"/>
              <w:tabs>
                <w:tab w:val="left" w:pos="1809"/>
              </w:tabs>
              <w:ind w:left="225"/>
              <w:rPr>
                <w:i/>
              </w:rPr>
            </w:pPr>
            <w:r>
              <w:rPr>
                <w:b/>
                <w:position w:val="2"/>
              </w:rPr>
              <w:t>PM</w:t>
            </w:r>
            <w:r>
              <w:rPr>
                <w:b/>
                <w:sz w:val="14"/>
              </w:rPr>
              <w:t>proportion</w:t>
            </w:r>
            <w:r>
              <w:rPr>
                <w:b/>
                <w:spacing w:val="-4"/>
                <w:sz w:val="14"/>
              </w:rPr>
              <w:t xml:space="preserve"> </w:t>
            </w:r>
            <w:r>
              <w:rPr>
                <w:b/>
                <w:sz w:val="14"/>
              </w:rPr>
              <w:t>hits</w:t>
            </w:r>
            <w:r>
              <w:rPr>
                <w:b/>
                <w:sz w:val="14"/>
              </w:rPr>
              <w:tab/>
            </w:r>
            <w:r>
              <w:rPr>
                <w:position w:val="2"/>
              </w:rPr>
              <w:t>Pearson’s</w:t>
            </w:r>
            <w:r>
              <w:rPr>
                <w:spacing w:val="2"/>
                <w:position w:val="2"/>
              </w:rPr>
              <w:t xml:space="preserve"> </w:t>
            </w:r>
            <w:r>
              <w:rPr>
                <w:i/>
                <w:position w:val="2"/>
              </w:rPr>
              <w:t>r</w:t>
            </w:r>
          </w:p>
          <w:p w14:paraId="68FF95F9" w14:textId="77777777" w:rsidR="00C75312" w:rsidRDefault="00BB293A">
            <w:pPr>
              <w:pStyle w:val="TableParagraph"/>
              <w:spacing w:before="177" w:line="408" w:lineRule="auto"/>
              <w:ind w:left="2102" w:right="271" w:hanging="125"/>
            </w:pPr>
            <w:r>
              <w:rPr>
                <w:i/>
              </w:rPr>
              <w:t>p</w:t>
            </w:r>
            <w:r>
              <w:t>-value</w:t>
            </w:r>
            <w:r>
              <w:rPr>
                <w:position w:val="2"/>
              </w:rPr>
              <w:t xml:space="preserve"> BF</w:t>
            </w:r>
            <w:r>
              <w:rPr>
                <w:position w:val="2"/>
                <w:vertAlign w:val="subscript"/>
              </w:rPr>
              <w:t>10</w:t>
            </w:r>
          </w:p>
          <w:p w14:paraId="30296380" w14:textId="77777777" w:rsidR="00C75312" w:rsidRDefault="00BB293A">
            <w:pPr>
              <w:pStyle w:val="TableParagraph"/>
              <w:tabs>
                <w:tab w:val="left" w:pos="1809"/>
              </w:tabs>
              <w:spacing w:line="237" w:lineRule="exact"/>
              <w:ind w:left="225"/>
              <w:rPr>
                <w:i/>
              </w:rPr>
            </w:pPr>
            <w:r>
              <w:rPr>
                <w:b/>
              </w:rPr>
              <w:t>Interoceptive</w:t>
            </w:r>
            <w:r>
              <w:rPr>
                <w:b/>
              </w:rPr>
              <w:tab/>
            </w:r>
            <w:r>
              <w:t>Pearson’s</w:t>
            </w:r>
            <w:r>
              <w:rPr>
                <w:spacing w:val="2"/>
              </w:rPr>
              <w:t xml:space="preserve"> </w:t>
            </w:r>
            <w:r>
              <w:rPr>
                <w:i/>
              </w:rPr>
              <w:t>r</w:t>
            </w:r>
          </w:p>
          <w:p w14:paraId="3EDAEA82" w14:textId="77777777" w:rsidR="00C75312" w:rsidRDefault="00BB293A">
            <w:pPr>
              <w:pStyle w:val="TableParagraph"/>
              <w:tabs>
                <w:tab w:val="left" w:pos="1977"/>
              </w:tabs>
              <w:spacing w:before="179" w:line="412" w:lineRule="auto"/>
              <w:ind w:left="2102" w:right="288" w:hanging="1676"/>
            </w:pPr>
            <w:r>
              <w:rPr>
                <w:b/>
              </w:rPr>
              <w:t>accuracy</w:t>
            </w:r>
            <w:r>
              <w:rPr>
                <w:b/>
              </w:rPr>
              <w:tab/>
            </w:r>
            <w:r>
              <w:rPr>
                <w:i/>
                <w:spacing w:val="-1"/>
              </w:rPr>
              <w:t>p</w:t>
            </w:r>
            <w:r>
              <w:rPr>
                <w:spacing w:val="-1"/>
              </w:rPr>
              <w:t xml:space="preserve">-value </w:t>
            </w:r>
            <w:r>
              <w:rPr>
                <w:position w:val="2"/>
              </w:rPr>
              <w:t>BF</w:t>
            </w:r>
            <w:r>
              <w:rPr>
                <w:position w:val="2"/>
                <w:vertAlign w:val="subscript"/>
              </w:rPr>
              <w:t>10</w:t>
            </w:r>
          </w:p>
          <w:p w14:paraId="6F63623A" w14:textId="77777777" w:rsidR="00C75312" w:rsidRDefault="00BB293A">
            <w:pPr>
              <w:pStyle w:val="TableParagraph"/>
              <w:tabs>
                <w:tab w:val="left" w:pos="1809"/>
              </w:tabs>
              <w:spacing w:line="251" w:lineRule="exact"/>
              <w:ind w:left="523"/>
              <w:rPr>
                <w:i/>
              </w:rPr>
            </w:pPr>
            <w:proofErr w:type="spellStart"/>
            <w:r>
              <w:rPr>
                <w:b/>
                <w:position w:val="2"/>
              </w:rPr>
              <w:t>AQ</w:t>
            </w:r>
            <w:r>
              <w:rPr>
                <w:b/>
                <w:position w:val="2"/>
                <w:vertAlign w:val="subscript"/>
              </w:rPr>
              <w:t>traits</w:t>
            </w:r>
            <w:proofErr w:type="spellEnd"/>
            <w:r>
              <w:rPr>
                <w:b/>
                <w:position w:val="2"/>
              </w:rPr>
              <w:tab/>
            </w:r>
            <w:r>
              <w:rPr>
                <w:position w:val="2"/>
              </w:rPr>
              <w:t>Pearson’s</w:t>
            </w:r>
            <w:r>
              <w:rPr>
                <w:spacing w:val="2"/>
                <w:position w:val="2"/>
              </w:rPr>
              <w:t xml:space="preserve"> </w:t>
            </w:r>
            <w:r>
              <w:rPr>
                <w:i/>
                <w:position w:val="2"/>
              </w:rPr>
              <w:t>r</w:t>
            </w:r>
          </w:p>
          <w:p w14:paraId="52BC4594" w14:textId="77777777" w:rsidR="00C75312" w:rsidRDefault="00BB293A">
            <w:pPr>
              <w:pStyle w:val="TableParagraph"/>
              <w:spacing w:before="160" w:line="408" w:lineRule="auto"/>
              <w:ind w:left="2102" w:right="271" w:hanging="125"/>
            </w:pPr>
            <w:r>
              <w:rPr>
                <w:i/>
              </w:rPr>
              <w:t>p</w:t>
            </w:r>
            <w:r>
              <w:t>-value</w:t>
            </w:r>
            <w:r>
              <w:rPr>
                <w:position w:val="2"/>
              </w:rPr>
              <w:t xml:space="preserve"> BF</w:t>
            </w:r>
            <w:r>
              <w:rPr>
                <w:position w:val="2"/>
                <w:vertAlign w:val="subscript"/>
              </w:rPr>
              <w:t>10</w:t>
            </w:r>
          </w:p>
          <w:p w14:paraId="1BC61802" w14:textId="77777777" w:rsidR="00C75312" w:rsidRDefault="00BB293A">
            <w:pPr>
              <w:pStyle w:val="TableParagraph"/>
              <w:tabs>
                <w:tab w:val="left" w:pos="1809"/>
              </w:tabs>
              <w:spacing w:line="400" w:lineRule="auto"/>
              <w:ind w:left="1977" w:right="118" w:hanging="1503"/>
            </w:pPr>
            <w:proofErr w:type="spellStart"/>
            <w:r>
              <w:rPr>
                <w:b/>
                <w:position w:val="2"/>
              </w:rPr>
              <w:t>TAS</w:t>
            </w:r>
            <w:r>
              <w:rPr>
                <w:b/>
                <w:position w:val="2"/>
                <w:vertAlign w:val="subscript"/>
              </w:rPr>
              <w:t>traits</w:t>
            </w:r>
            <w:proofErr w:type="spellEnd"/>
            <w:r>
              <w:rPr>
                <w:b/>
                <w:position w:val="2"/>
              </w:rPr>
              <w:tab/>
            </w:r>
            <w:r>
              <w:rPr>
                <w:position w:val="2"/>
              </w:rPr>
              <w:t xml:space="preserve">Pearson’s </w:t>
            </w:r>
            <w:r>
              <w:rPr>
                <w:i/>
                <w:spacing w:val="-16"/>
                <w:position w:val="2"/>
              </w:rPr>
              <w:t xml:space="preserve">r </w:t>
            </w:r>
            <w:r>
              <w:rPr>
                <w:i/>
              </w:rPr>
              <w:t>p</w:t>
            </w:r>
            <w:r>
              <w:t xml:space="preserve">-value </w:t>
            </w:r>
            <w:r>
              <w:rPr>
                <w:position w:val="2"/>
              </w:rPr>
              <w:t>BF</w:t>
            </w:r>
            <w:r>
              <w:rPr>
                <w:position w:val="2"/>
                <w:vertAlign w:val="subscript"/>
              </w:rPr>
              <w:t>10</w:t>
            </w:r>
          </w:p>
          <w:p w14:paraId="1993C505" w14:textId="77777777" w:rsidR="00C75312" w:rsidRDefault="00BB293A">
            <w:pPr>
              <w:pStyle w:val="TableParagraph"/>
              <w:tabs>
                <w:tab w:val="left" w:pos="1809"/>
              </w:tabs>
              <w:spacing w:line="262" w:lineRule="exact"/>
              <w:ind w:left="124"/>
              <w:rPr>
                <w:i/>
              </w:rPr>
            </w:pPr>
            <w:proofErr w:type="spellStart"/>
            <w:r>
              <w:rPr>
                <w:b/>
                <w:position w:val="2"/>
              </w:rPr>
              <w:t>WCST</w:t>
            </w:r>
            <w:r>
              <w:rPr>
                <w:b/>
                <w:position w:val="2"/>
                <w:vertAlign w:val="subscript"/>
              </w:rPr>
              <w:t>perseverative</w:t>
            </w:r>
            <w:proofErr w:type="spellEnd"/>
            <w:r>
              <w:rPr>
                <w:b/>
                <w:position w:val="2"/>
              </w:rPr>
              <w:tab/>
            </w:r>
            <w:r>
              <w:rPr>
                <w:position w:val="2"/>
              </w:rPr>
              <w:t>Pearson’s</w:t>
            </w:r>
            <w:r>
              <w:rPr>
                <w:spacing w:val="2"/>
                <w:position w:val="2"/>
              </w:rPr>
              <w:t xml:space="preserve"> </w:t>
            </w:r>
            <w:r>
              <w:rPr>
                <w:i/>
                <w:position w:val="2"/>
              </w:rPr>
              <w:t>r</w:t>
            </w:r>
          </w:p>
          <w:p w14:paraId="54F9FE72" w14:textId="77777777" w:rsidR="00C75312" w:rsidRDefault="00BB293A">
            <w:pPr>
              <w:pStyle w:val="TableParagraph"/>
              <w:tabs>
                <w:tab w:val="left" w:pos="1977"/>
              </w:tabs>
              <w:spacing w:before="147" w:line="412" w:lineRule="auto"/>
              <w:ind w:left="2102" w:right="288" w:hanging="1440"/>
            </w:pPr>
            <w:r>
              <w:rPr>
                <w:b/>
                <w:sz w:val="14"/>
              </w:rPr>
              <w:t>errors</w:t>
            </w:r>
            <w:r>
              <w:rPr>
                <w:b/>
                <w:sz w:val="14"/>
              </w:rPr>
              <w:tab/>
            </w:r>
            <w:r>
              <w:rPr>
                <w:i/>
                <w:spacing w:val="-1"/>
                <w:position w:val="2"/>
              </w:rPr>
              <w:t>p</w:t>
            </w:r>
            <w:r>
              <w:rPr>
                <w:spacing w:val="-1"/>
                <w:position w:val="2"/>
              </w:rPr>
              <w:t xml:space="preserve">-value </w:t>
            </w:r>
            <w:r>
              <w:rPr>
                <w:position w:val="2"/>
              </w:rPr>
              <w:t>BF</w:t>
            </w:r>
            <w:r>
              <w:rPr>
                <w:position w:val="2"/>
                <w:vertAlign w:val="subscript"/>
              </w:rPr>
              <w:t>10</w:t>
            </w:r>
          </w:p>
          <w:p w14:paraId="15A34D02" w14:textId="77777777" w:rsidR="00C75312" w:rsidRDefault="00BB293A">
            <w:pPr>
              <w:pStyle w:val="TableParagraph"/>
              <w:tabs>
                <w:tab w:val="left" w:pos="1809"/>
              </w:tabs>
              <w:spacing w:line="230" w:lineRule="exact"/>
              <w:ind w:left="220"/>
              <w:rPr>
                <w:i/>
              </w:rPr>
            </w:pPr>
            <w:r>
              <w:rPr>
                <w:b/>
              </w:rPr>
              <w:t>Ongoing</w:t>
            </w:r>
            <w:r>
              <w:rPr>
                <w:b/>
                <w:spacing w:val="1"/>
              </w:rPr>
              <w:t xml:space="preserve"> </w:t>
            </w:r>
            <w:r>
              <w:rPr>
                <w:b/>
              </w:rPr>
              <w:t>task</w:t>
            </w:r>
            <w:r>
              <w:rPr>
                <w:b/>
              </w:rPr>
              <w:tab/>
            </w:r>
            <w:r>
              <w:t>Pearson’s</w:t>
            </w:r>
            <w:r>
              <w:rPr>
                <w:spacing w:val="2"/>
              </w:rPr>
              <w:t xml:space="preserve"> </w:t>
            </w:r>
            <w:r>
              <w:rPr>
                <w:i/>
              </w:rPr>
              <w:t>r</w:t>
            </w:r>
          </w:p>
          <w:p w14:paraId="34CE074A" w14:textId="77777777" w:rsidR="00C75312" w:rsidRDefault="00BB293A">
            <w:pPr>
              <w:pStyle w:val="TableParagraph"/>
              <w:tabs>
                <w:tab w:val="left" w:pos="1977"/>
              </w:tabs>
              <w:spacing w:before="22" w:line="452" w:lineRule="exact"/>
              <w:ind w:left="2102" w:right="288" w:hanging="1426"/>
            </w:pPr>
            <w:r>
              <w:rPr>
                <w:b/>
              </w:rPr>
              <w:t>hits</w:t>
            </w:r>
            <w:r>
              <w:rPr>
                <w:b/>
              </w:rPr>
              <w:tab/>
            </w:r>
            <w:r>
              <w:rPr>
                <w:i/>
                <w:spacing w:val="-1"/>
              </w:rPr>
              <w:t>p</w:t>
            </w:r>
            <w:r>
              <w:rPr>
                <w:spacing w:val="-1"/>
              </w:rPr>
              <w:t xml:space="preserve">-value </w:t>
            </w:r>
            <w:r>
              <w:rPr>
                <w:position w:val="2"/>
              </w:rPr>
              <w:t>BF</w:t>
            </w:r>
            <w:r>
              <w:rPr>
                <w:position w:val="2"/>
                <w:vertAlign w:val="subscript"/>
              </w:rPr>
              <w:t>10</w:t>
            </w:r>
          </w:p>
        </w:tc>
        <w:tc>
          <w:tcPr>
            <w:tcW w:w="1584" w:type="dxa"/>
            <w:tcBorders>
              <w:top w:val="single" w:sz="4" w:space="0" w:color="000000"/>
            </w:tcBorders>
            <w:shd w:val="clear" w:color="auto" w:fill="EDEDED"/>
          </w:tcPr>
          <w:p w14:paraId="5EFA793F" w14:textId="77777777" w:rsidR="00C75312" w:rsidRDefault="00BB293A">
            <w:pPr>
              <w:pStyle w:val="TableParagraph"/>
              <w:spacing w:before="1"/>
              <w:ind w:left="513" w:right="509"/>
              <w:jc w:val="center"/>
            </w:pPr>
            <w:r>
              <w:t>-.16</w:t>
            </w:r>
          </w:p>
          <w:p w14:paraId="4A0A5E25" w14:textId="77777777" w:rsidR="00C75312" w:rsidRDefault="00BB293A">
            <w:pPr>
              <w:pStyle w:val="TableParagraph"/>
              <w:spacing w:before="179"/>
              <w:ind w:left="518" w:right="509"/>
              <w:jc w:val="center"/>
            </w:pPr>
            <w:r>
              <w:t>.46</w:t>
            </w:r>
          </w:p>
          <w:p w14:paraId="0ACA9FBD" w14:textId="77777777" w:rsidR="00C75312" w:rsidRDefault="00BB293A">
            <w:pPr>
              <w:pStyle w:val="TableParagraph"/>
              <w:spacing w:before="179"/>
              <w:ind w:left="523" w:right="509"/>
              <w:jc w:val="center"/>
            </w:pPr>
            <w:r>
              <w:t>0.32</w:t>
            </w:r>
          </w:p>
        </w:tc>
        <w:tc>
          <w:tcPr>
            <w:tcW w:w="1483" w:type="dxa"/>
            <w:tcBorders>
              <w:top w:val="single" w:sz="4" w:space="0" w:color="000000"/>
            </w:tcBorders>
          </w:tcPr>
          <w:p w14:paraId="1A5ED786" w14:textId="77777777" w:rsidR="00C75312" w:rsidRDefault="00C75312">
            <w:pPr>
              <w:pStyle w:val="TableParagraph"/>
              <w:rPr>
                <w:sz w:val="20"/>
              </w:rPr>
            </w:pPr>
          </w:p>
        </w:tc>
        <w:tc>
          <w:tcPr>
            <w:tcW w:w="1521" w:type="dxa"/>
            <w:tcBorders>
              <w:top w:val="single" w:sz="4" w:space="0" w:color="000000"/>
            </w:tcBorders>
            <w:shd w:val="clear" w:color="auto" w:fill="BFBFBF"/>
          </w:tcPr>
          <w:p w14:paraId="437EFC8E" w14:textId="77777777" w:rsidR="00C75312" w:rsidRDefault="00BB293A">
            <w:pPr>
              <w:pStyle w:val="TableParagraph"/>
              <w:spacing w:before="1"/>
              <w:ind w:left="548" w:right="543"/>
              <w:jc w:val="center"/>
            </w:pPr>
            <w:r>
              <w:t>.26</w:t>
            </w:r>
          </w:p>
          <w:p w14:paraId="79ABBB5C" w14:textId="77777777" w:rsidR="00C75312" w:rsidRDefault="00BB293A">
            <w:pPr>
              <w:pStyle w:val="TableParagraph"/>
              <w:spacing w:before="179"/>
              <w:ind w:left="548" w:right="543"/>
              <w:jc w:val="center"/>
            </w:pPr>
            <w:r>
              <w:t>.18</w:t>
            </w:r>
          </w:p>
          <w:p w14:paraId="4C3FA837" w14:textId="77777777" w:rsidR="00C75312" w:rsidRDefault="00BB293A">
            <w:pPr>
              <w:pStyle w:val="TableParagraph"/>
              <w:spacing w:before="179"/>
              <w:ind w:left="553" w:right="543"/>
              <w:jc w:val="center"/>
            </w:pPr>
            <w:r>
              <w:t>0.55</w:t>
            </w:r>
          </w:p>
        </w:tc>
        <w:tc>
          <w:tcPr>
            <w:tcW w:w="1430" w:type="dxa"/>
            <w:tcBorders>
              <w:top w:val="single" w:sz="4" w:space="0" w:color="000000"/>
            </w:tcBorders>
            <w:shd w:val="clear" w:color="auto" w:fill="BFBFBF"/>
          </w:tcPr>
          <w:p w14:paraId="4125201F" w14:textId="77777777" w:rsidR="00C75312" w:rsidRDefault="00BB293A">
            <w:pPr>
              <w:pStyle w:val="TableParagraph"/>
              <w:spacing w:before="1"/>
              <w:ind w:left="448" w:right="442"/>
              <w:jc w:val="center"/>
            </w:pPr>
            <w:r>
              <w:t>-.09</w:t>
            </w:r>
          </w:p>
          <w:p w14:paraId="484E0C72" w14:textId="77777777" w:rsidR="00C75312" w:rsidRDefault="00BB293A">
            <w:pPr>
              <w:pStyle w:val="TableParagraph"/>
              <w:spacing w:before="179"/>
              <w:ind w:left="453" w:right="442"/>
              <w:jc w:val="center"/>
            </w:pPr>
            <w:r>
              <w:t>.18</w:t>
            </w:r>
          </w:p>
          <w:p w14:paraId="75403A51" w14:textId="77777777" w:rsidR="00C75312" w:rsidRDefault="00BB293A">
            <w:pPr>
              <w:pStyle w:val="TableParagraph"/>
              <w:spacing w:before="179"/>
              <w:ind w:left="448" w:right="442"/>
              <w:jc w:val="center"/>
            </w:pPr>
            <w:r>
              <w:t>0.26</w:t>
            </w:r>
          </w:p>
        </w:tc>
        <w:tc>
          <w:tcPr>
            <w:tcW w:w="1440" w:type="dxa"/>
            <w:tcBorders>
              <w:top w:val="single" w:sz="4" w:space="0" w:color="000000"/>
            </w:tcBorders>
            <w:shd w:val="clear" w:color="auto" w:fill="BFBFBF"/>
          </w:tcPr>
          <w:p w14:paraId="3C0A2B83" w14:textId="77777777" w:rsidR="00C75312" w:rsidRDefault="00BB293A">
            <w:pPr>
              <w:pStyle w:val="TableParagraph"/>
              <w:spacing w:before="1"/>
              <w:ind w:left="506" w:right="499"/>
              <w:jc w:val="center"/>
            </w:pPr>
            <w:r>
              <w:t>-.10</w:t>
            </w:r>
          </w:p>
          <w:p w14:paraId="6D34249E" w14:textId="77777777" w:rsidR="00C75312" w:rsidRDefault="00BB293A">
            <w:pPr>
              <w:pStyle w:val="TableParagraph"/>
              <w:spacing w:before="179"/>
              <w:ind w:left="511" w:right="499"/>
              <w:jc w:val="center"/>
            </w:pPr>
            <w:r>
              <w:t>.62</w:t>
            </w:r>
          </w:p>
          <w:p w14:paraId="046DAE0C" w14:textId="77777777" w:rsidR="00C75312" w:rsidRDefault="00BB293A">
            <w:pPr>
              <w:pStyle w:val="TableParagraph"/>
              <w:spacing w:before="179"/>
              <w:ind w:left="515" w:right="499"/>
              <w:jc w:val="center"/>
            </w:pPr>
            <w:r>
              <w:t>0.26</w:t>
            </w:r>
          </w:p>
        </w:tc>
        <w:tc>
          <w:tcPr>
            <w:tcW w:w="1666" w:type="dxa"/>
            <w:tcBorders>
              <w:top w:val="single" w:sz="4" w:space="0" w:color="000000"/>
            </w:tcBorders>
            <w:shd w:val="clear" w:color="auto" w:fill="BFBFBF"/>
          </w:tcPr>
          <w:p w14:paraId="7EBAC484" w14:textId="77777777" w:rsidR="00C75312" w:rsidRDefault="00BB293A">
            <w:pPr>
              <w:pStyle w:val="TableParagraph"/>
              <w:spacing w:before="1"/>
              <w:ind w:left="621" w:right="610"/>
              <w:jc w:val="center"/>
            </w:pPr>
            <w:r>
              <w:t>-.20</w:t>
            </w:r>
          </w:p>
          <w:p w14:paraId="5E120B11" w14:textId="77777777" w:rsidR="00C75312" w:rsidRDefault="00BB293A">
            <w:pPr>
              <w:pStyle w:val="TableParagraph"/>
              <w:spacing w:before="179"/>
              <w:ind w:left="626" w:right="610"/>
              <w:jc w:val="center"/>
            </w:pPr>
            <w:r>
              <w:t>.31</w:t>
            </w:r>
          </w:p>
          <w:p w14:paraId="753F629D" w14:textId="77777777" w:rsidR="00C75312" w:rsidRDefault="00BB293A">
            <w:pPr>
              <w:pStyle w:val="TableParagraph"/>
              <w:spacing w:before="179"/>
              <w:ind w:left="631" w:right="610"/>
              <w:jc w:val="center"/>
            </w:pPr>
            <w:r>
              <w:t>0.38</w:t>
            </w:r>
          </w:p>
        </w:tc>
        <w:tc>
          <w:tcPr>
            <w:tcW w:w="1455" w:type="dxa"/>
            <w:vMerge w:val="restart"/>
            <w:tcBorders>
              <w:top w:val="single" w:sz="4" w:space="0" w:color="000000"/>
            </w:tcBorders>
            <w:shd w:val="clear" w:color="auto" w:fill="BFBFBF"/>
          </w:tcPr>
          <w:p w14:paraId="1BB72044" w14:textId="77777777" w:rsidR="00C75312" w:rsidRDefault="00BB293A">
            <w:pPr>
              <w:pStyle w:val="TableParagraph"/>
              <w:spacing w:before="1"/>
              <w:ind w:left="520" w:right="505"/>
              <w:jc w:val="center"/>
              <w:rPr>
                <w:b/>
              </w:rPr>
            </w:pPr>
            <w:r>
              <w:rPr>
                <w:b/>
              </w:rPr>
              <w:t>.34</w:t>
            </w:r>
          </w:p>
          <w:p w14:paraId="5B5D94A9" w14:textId="77777777" w:rsidR="00C75312" w:rsidRDefault="00BB293A">
            <w:pPr>
              <w:pStyle w:val="TableParagraph"/>
              <w:spacing w:before="179"/>
              <w:ind w:left="520" w:right="505"/>
              <w:jc w:val="center"/>
              <w:rPr>
                <w:b/>
              </w:rPr>
            </w:pPr>
            <w:r>
              <w:rPr>
                <w:b/>
              </w:rPr>
              <w:t>.08</w:t>
            </w:r>
          </w:p>
          <w:p w14:paraId="301D0DEF" w14:textId="77777777" w:rsidR="00C75312" w:rsidRDefault="00BB293A">
            <w:pPr>
              <w:pStyle w:val="TableParagraph"/>
              <w:spacing w:before="179"/>
              <w:ind w:left="525" w:right="505"/>
              <w:jc w:val="center"/>
              <w:rPr>
                <w:b/>
              </w:rPr>
            </w:pPr>
            <w:r>
              <w:rPr>
                <w:b/>
              </w:rPr>
              <w:t>1.00</w:t>
            </w:r>
          </w:p>
          <w:p w14:paraId="65AC4AEF" w14:textId="77777777" w:rsidR="00C75312" w:rsidRDefault="00BB293A">
            <w:pPr>
              <w:pStyle w:val="TableParagraph"/>
              <w:spacing w:before="179"/>
              <w:ind w:left="520" w:right="505"/>
              <w:jc w:val="center"/>
            </w:pPr>
            <w:r>
              <w:t>.09</w:t>
            </w:r>
          </w:p>
          <w:p w14:paraId="1DC3AD1C" w14:textId="77777777" w:rsidR="00C75312" w:rsidRDefault="00BB293A">
            <w:pPr>
              <w:pStyle w:val="TableParagraph"/>
              <w:spacing w:before="179"/>
              <w:ind w:left="520" w:right="505"/>
              <w:jc w:val="center"/>
            </w:pPr>
            <w:r>
              <w:t>.67</w:t>
            </w:r>
          </w:p>
          <w:p w14:paraId="76D4CF6E" w14:textId="77777777" w:rsidR="00C75312" w:rsidRDefault="00BB293A">
            <w:pPr>
              <w:pStyle w:val="TableParagraph"/>
              <w:spacing w:before="183"/>
              <w:ind w:left="525" w:right="505"/>
              <w:jc w:val="center"/>
            </w:pPr>
            <w:r>
              <w:t>0.26</w:t>
            </w:r>
          </w:p>
          <w:p w14:paraId="5D269B02" w14:textId="77777777" w:rsidR="00C75312" w:rsidRDefault="00BB293A">
            <w:pPr>
              <w:pStyle w:val="TableParagraph"/>
              <w:spacing w:before="179"/>
              <w:ind w:left="520" w:right="505"/>
              <w:jc w:val="center"/>
            </w:pPr>
            <w:r>
              <w:t>.01</w:t>
            </w:r>
          </w:p>
          <w:p w14:paraId="2D1572DF" w14:textId="77777777" w:rsidR="00C75312" w:rsidRDefault="00BB293A">
            <w:pPr>
              <w:pStyle w:val="TableParagraph"/>
              <w:spacing w:before="179"/>
              <w:ind w:left="520" w:right="505"/>
              <w:jc w:val="center"/>
            </w:pPr>
            <w:r>
              <w:t>.96</w:t>
            </w:r>
          </w:p>
          <w:p w14:paraId="2AE49201" w14:textId="77777777" w:rsidR="00C75312" w:rsidRDefault="00BB293A">
            <w:pPr>
              <w:pStyle w:val="TableParagraph"/>
              <w:spacing w:before="179"/>
              <w:ind w:left="525" w:right="505"/>
              <w:jc w:val="center"/>
            </w:pPr>
            <w:r>
              <w:t>0.24</w:t>
            </w:r>
          </w:p>
          <w:p w14:paraId="1DC204A9" w14:textId="77777777" w:rsidR="00C75312" w:rsidRDefault="00BB293A">
            <w:pPr>
              <w:pStyle w:val="TableParagraph"/>
              <w:spacing w:before="184"/>
              <w:ind w:left="520" w:right="505"/>
              <w:jc w:val="center"/>
            </w:pPr>
            <w:r>
              <w:t>.13</w:t>
            </w:r>
          </w:p>
          <w:p w14:paraId="37398822" w14:textId="77777777" w:rsidR="00C75312" w:rsidRDefault="00BB293A">
            <w:pPr>
              <w:pStyle w:val="TableParagraph"/>
              <w:spacing w:before="179"/>
              <w:ind w:left="520" w:right="505"/>
              <w:jc w:val="center"/>
            </w:pPr>
            <w:r>
              <w:t>.51</w:t>
            </w:r>
          </w:p>
          <w:p w14:paraId="352857CB" w14:textId="77777777" w:rsidR="00C75312" w:rsidRDefault="00BB293A">
            <w:pPr>
              <w:pStyle w:val="TableParagraph"/>
              <w:spacing w:before="179"/>
              <w:ind w:left="525" w:right="505"/>
              <w:jc w:val="center"/>
            </w:pPr>
            <w:r>
              <w:t>0.29</w:t>
            </w:r>
          </w:p>
          <w:p w14:paraId="67BCDF9C" w14:textId="77777777" w:rsidR="00C75312" w:rsidRDefault="00BB293A">
            <w:pPr>
              <w:pStyle w:val="TableParagraph"/>
              <w:spacing w:before="179"/>
              <w:ind w:left="515" w:right="505"/>
              <w:jc w:val="center"/>
            </w:pPr>
            <w:r>
              <w:t>-.28</w:t>
            </w:r>
          </w:p>
          <w:p w14:paraId="53DB4DD8" w14:textId="77777777" w:rsidR="00C75312" w:rsidRDefault="00BB293A">
            <w:pPr>
              <w:pStyle w:val="TableParagraph"/>
              <w:spacing w:before="179"/>
              <w:ind w:left="520" w:right="505"/>
              <w:jc w:val="center"/>
            </w:pPr>
            <w:r>
              <w:t>.15</w:t>
            </w:r>
          </w:p>
          <w:p w14:paraId="1F464012" w14:textId="77777777" w:rsidR="00C75312" w:rsidRDefault="00BB293A">
            <w:pPr>
              <w:pStyle w:val="TableParagraph"/>
              <w:spacing w:before="184"/>
              <w:ind w:left="525" w:right="505"/>
              <w:jc w:val="center"/>
            </w:pPr>
            <w:r>
              <w:t>0.62</w:t>
            </w:r>
          </w:p>
        </w:tc>
      </w:tr>
      <w:tr w:rsidR="00C75312" w14:paraId="751F36FC" w14:textId="77777777">
        <w:trPr>
          <w:trHeight w:val="1290"/>
        </w:trPr>
        <w:tc>
          <w:tcPr>
            <w:tcW w:w="2928" w:type="dxa"/>
            <w:vMerge/>
            <w:tcBorders>
              <w:top w:val="nil"/>
              <w:bottom w:val="single" w:sz="4" w:space="0" w:color="000000"/>
            </w:tcBorders>
          </w:tcPr>
          <w:p w14:paraId="6779135C" w14:textId="77777777" w:rsidR="00C75312" w:rsidRDefault="00C75312">
            <w:pPr>
              <w:rPr>
                <w:sz w:val="2"/>
                <w:szCs w:val="2"/>
              </w:rPr>
            </w:pPr>
          </w:p>
        </w:tc>
        <w:tc>
          <w:tcPr>
            <w:tcW w:w="1584" w:type="dxa"/>
            <w:vMerge w:val="restart"/>
            <w:shd w:val="clear" w:color="auto" w:fill="EDEDED"/>
          </w:tcPr>
          <w:p w14:paraId="2AE8A217" w14:textId="77777777" w:rsidR="00C75312" w:rsidRDefault="00BB293A">
            <w:pPr>
              <w:pStyle w:val="TableParagraph"/>
              <w:spacing w:line="249" w:lineRule="exact"/>
              <w:ind w:left="513" w:right="509"/>
              <w:jc w:val="center"/>
            </w:pPr>
            <w:r>
              <w:t>-.29</w:t>
            </w:r>
          </w:p>
          <w:p w14:paraId="399F14E3" w14:textId="77777777" w:rsidR="00C75312" w:rsidRDefault="00BB293A">
            <w:pPr>
              <w:pStyle w:val="TableParagraph"/>
              <w:spacing w:before="179"/>
              <w:ind w:left="518" w:right="509"/>
              <w:jc w:val="center"/>
            </w:pPr>
            <w:r>
              <w:t>.16</w:t>
            </w:r>
          </w:p>
          <w:p w14:paraId="26F11BB6" w14:textId="77777777" w:rsidR="00C75312" w:rsidRDefault="00BB293A">
            <w:pPr>
              <w:pStyle w:val="TableParagraph"/>
              <w:spacing w:before="184"/>
              <w:ind w:left="523" w:right="509"/>
              <w:jc w:val="center"/>
            </w:pPr>
            <w:r>
              <w:t>0.62</w:t>
            </w:r>
          </w:p>
          <w:p w14:paraId="0AC0E764" w14:textId="77777777" w:rsidR="00C75312" w:rsidRDefault="00BB293A">
            <w:pPr>
              <w:pStyle w:val="TableParagraph"/>
              <w:spacing w:before="179"/>
              <w:ind w:left="518" w:right="509"/>
              <w:jc w:val="center"/>
              <w:rPr>
                <w:b/>
              </w:rPr>
            </w:pPr>
            <w:r>
              <w:rPr>
                <w:b/>
              </w:rPr>
              <w:t>.63**</w:t>
            </w:r>
          </w:p>
          <w:p w14:paraId="2579ABBD" w14:textId="77777777" w:rsidR="00C75312" w:rsidRDefault="00BB293A">
            <w:pPr>
              <w:pStyle w:val="TableParagraph"/>
              <w:spacing w:before="179"/>
              <w:ind w:left="523" w:right="509"/>
              <w:jc w:val="center"/>
              <w:rPr>
                <w:b/>
              </w:rPr>
            </w:pPr>
            <w:r>
              <w:rPr>
                <w:b/>
              </w:rPr>
              <w:t>&lt;.001</w:t>
            </w:r>
          </w:p>
          <w:p w14:paraId="47BE4548" w14:textId="77777777" w:rsidR="00C75312" w:rsidRDefault="00BB293A">
            <w:pPr>
              <w:pStyle w:val="TableParagraph"/>
              <w:spacing w:before="179"/>
              <w:ind w:left="518" w:right="509"/>
              <w:jc w:val="center"/>
              <w:rPr>
                <w:b/>
              </w:rPr>
            </w:pPr>
            <w:r>
              <w:rPr>
                <w:b/>
              </w:rPr>
              <w:t>59.07</w:t>
            </w:r>
          </w:p>
          <w:p w14:paraId="6974A9E7" w14:textId="77777777" w:rsidR="00C75312" w:rsidRDefault="00BB293A">
            <w:pPr>
              <w:pStyle w:val="TableParagraph"/>
              <w:spacing w:before="183"/>
              <w:ind w:left="518" w:right="509"/>
              <w:jc w:val="center"/>
              <w:rPr>
                <w:b/>
              </w:rPr>
            </w:pPr>
            <w:r>
              <w:rPr>
                <w:b/>
              </w:rPr>
              <w:t>.36</w:t>
            </w:r>
          </w:p>
          <w:p w14:paraId="3BA6FF73" w14:textId="77777777" w:rsidR="00C75312" w:rsidRDefault="00BB293A">
            <w:pPr>
              <w:pStyle w:val="TableParagraph"/>
              <w:spacing w:before="179"/>
              <w:ind w:left="518" w:right="509"/>
              <w:jc w:val="center"/>
              <w:rPr>
                <w:b/>
              </w:rPr>
            </w:pPr>
            <w:r>
              <w:rPr>
                <w:b/>
              </w:rPr>
              <w:t>.08</w:t>
            </w:r>
          </w:p>
          <w:p w14:paraId="10A2B446" w14:textId="77777777" w:rsidR="00C75312" w:rsidRDefault="00BB293A">
            <w:pPr>
              <w:pStyle w:val="TableParagraph"/>
              <w:spacing w:before="179"/>
              <w:ind w:left="523" w:right="509"/>
              <w:jc w:val="center"/>
              <w:rPr>
                <w:b/>
              </w:rPr>
            </w:pPr>
            <w:r>
              <w:rPr>
                <w:b/>
              </w:rPr>
              <w:t>1.07</w:t>
            </w:r>
          </w:p>
          <w:p w14:paraId="4CEA9E92" w14:textId="77777777" w:rsidR="00C75312" w:rsidRDefault="00BB293A">
            <w:pPr>
              <w:pStyle w:val="TableParagraph"/>
              <w:spacing w:before="179"/>
              <w:ind w:left="513" w:right="509"/>
              <w:jc w:val="center"/>
            </w:pPr>
            <w:r>
              <w:t>-.06</w:t>
            </w:r>
          </w:p>
          <w:p w14:paraId="5FD22945" w14:textId="77777777" w:rsidR="00C75312" w:rsidRDefault="00BB293A">
            <w:pPr>
              <w:pStyle w:val="TableParagraph"/>
              <w:spacing w:before="180"/>
              <w:ind w:left="518" w:right="509"/>
              <w:jc w:val="center"/>
            </w:pPr>
            <w:r>
              <w:t>.77</w:t>
            </w:r>
          </w:p>
          <w:p w14:paraId="1C861AEE" w14:textId="77777777" w:rsidR="00C75312" w:rsidRDefault="00BB293A">
            <w:pPr>
              <w:pStyle w:val="TableParagraph"/>
              <w:spacing w:before="183"/>
              <w:ind w:left="523" w:right="509"/>
              <w:jc w:val="center"/>
            </w:pPr>
            <w:r>
              <w:t>0.26</w:t>
            </w:r>
          </w:p>
        </w:tc>
        <w:tc>
          <w:tcPr>
            <w:tcW w:w="1483" w:type="dxa"/>
            <w:vMerge w:val="restart"/>
            <w:shd w:val="clear" w:color="auto" w:fill="EDEDED"/>
          </w:tcPr>
          <w:p w14:paraId="5FC3CE49" w14:textId="77777777" w:rsidR="00C75312" w:rsidRDefault="00BB293A">
            <w:pPr>
              <w:pStyle w:val="TableParagraph"/>
              <w:spacing w:line="249" w:lineRule="exact"/>
              <w:ind w:left="533" w:right="519"/>
              <w:jc w:val="center"/>
            </w:pPr>
            <w:r>
              <w:t>.03</w:t>
            </w:r>
          </w:p>
          <w:p w14:paraId="75CDBEB4" w14:textId="77777777" w:rsidR="00C75312" w:rsidRDefault="00BB293A">
            <w:pPr>
              <w:pStyle w:val="TableParagraph"/>
              <w:spacing w:before="179"/>
              <w:ind w:left="533" w:right="519"/>
              <w:jc w:val="center"/>
            </w:pPr>
            <w:r>
              <w:t>.89</w:t>
            </w:r>
          </w:p>
          <w:p w14:paraId="7119E6B7" w14:textId="77777777" w:rsidR="00C75312" w:rsidRDefault="00BB293A">
            <w:pPr>
              <w:pStyle w:val="TableParagraph"/>
              <w:spacing w:before="184"/>
              <w:ind w:left="538" w:right="519"/>
              <w:jc w:val="center"/>
            </w:pPr>
            <w:r>
              <w:t>0.24</w:t>
            </w:r>
          </w:p>
          <w:p w14:paraId="09B4E6E8" w14:textId="77777777" w:rsidR="00C75312" w:rsidRDefault="00BB293A">
            <w:pPr>
              <w:pStyle w:val="TableParagraph"/>
              <w:spacing w:before="179"/>
              <w:ind w:left="528" w:right="519"/>
              <w:jc w:val="center"/>
            </w:pPr>
            <w:r>
              <w:t>-.09</w:t>
            </w:r>
          </w:p>
          <w:p w14:paraId="7C0AFF76" w14:textId="77777777" w:rsidR="00C75312" w:rsidRDefault="00BB293A">
            <w:pPr>
              <w:pStyle w:val="TableParagraph"/>
              <w:spacing w:before="179"/>
              <w:ind w:left="533" w:right="519"/>
              <w:jc w:val="center"/>
            </w:pPr>
            <w:r>
              <w:t>.67</w:t>
            </w:r>
          </w:p>
          <w:p w14:paraId="4CF74003" w14:textId="77777777" w:rsidR="00C75312" w:rsidRDefault="00BB293A">
            <w:pPr>
              <w:pStyle w:val="TableParagraph"/>
              <w:spacing w:before="179"/>
              <w:ind w:left="538" w:right="519"/>
              <w:jc w:val="center"/>
            </w:pPr>
            <w:r>
              <w:t>0.26</w:t>
            </w:r>
          </w:p>
          <w:p w14:paraId="445F8D87" w14:textId="77777777" w:rsidR="00C75312" w:rsidRDefault="00BB293A">
            <w:pPr>
              <w:pStyle w:val="TableParagraph"/>
              <w:spacing w:before="183"/>
              <w:ind w:left="528" w:right="519"/>
              <w:jc w:val="center"/>
            </w:pPr>
            <w:r>
              <w:t>-.19</w:t>
            </w:r>
          </w:p>
          <w:p w14:paraId="20C5571A" w14:textId="77777777" w:rsidR="00C75312" w:rsidRDefault="00BB293A">
            <w:pPr>
              <w:pStyle w:val="TableParagraph"/>
              <w:spacing w:before="179"/>
              <w:ind w:left="533" w:right="519"/>
              <w:jc w:val="center"/>
            </w:pPr>
            <w:r>
              <w:t>.34</w:t>
            </w:r>
          </w:p>
          <w:p w14:paraId="4DAB38DE" w14:textId="77777777" w:rsidR="00C75312" w:rsidRDefault="00BB293A">
            <w:pPr>
              <w:pStyle w:val="TableParagraph"/>
              <w:spacing w:before="179"/>
              <w:ind w:left="538" w:right="519"/>
              <w:jc w:val="center"/>
            </w:pPr>
            <w:r>
              <w:t>0.37</w:t>
            </w:r>
          </w:p>
          <w:p w14:paraId="3CB16DDF" w14:textId="77777777" w:rsidR="00C75312" w:rsidRDefault="00BB293A">
            <w:pPr>
              <w:pStyle w:val="TableParagraph"/>
              <w:spacing w:before="179"/>
              <w:ind w:left="528" w:right="519"/>
              <w:jc w:val="center"/>
              <w:rPr>
                <w:b/>
              </w:rPr>
            </w:pPr>
            <w:r>
              <w:rPr>
                <w:b/>
              </w:rPr>
              <w:t>-.38</w:t>
            </w:r>
          </w:p>
          <w:p w14:paraId="7DD0D9F3" w14:textId="77777777" w:rsidR="00C75312" w:rsidRDefault="00BB293A">
            <w:pPr>
              <w:pStyle w:val="TableParagraph"/>
              <w:spacing w:before="180"/>
              <w:ind w:left="533" w:right="519"/>
              <w:jc w:val="center"/>
              <w:rPr>
                <w:b/>
              </w:rPr>
            </w:pPr>
            <w:r>
              <w:rPr>
                <w:b/>
              </w:rPr>
              <w:t>.05</w:t>
            </w:r>
          </w:p>
          <w:p w14:paraId="50464C97" w14:textId="77777777" w:rsidR="00C75312" w:rsidRDefault="00BB293A">
            <w:pPr>
              <w:pStyle w:val="TableParagraph"/>
              <w:spacing w:before="183"/>
              <w:ind w:left="538" w:right="519"/>
              <w:jc w:val="center"/>
              <w:rPr>
                <w:b/>
              </w:rPr>
            </w:pPr>
            <w:r>
              <w:rPr>
                <w:b/>
              </w:rPr>
              <w:t>1.41</w:t>
            </w:r>
          </w:p>
        </w:tc>
        <w:tc>
          <w:tcPr>
            <w:tcW w:w="1521" w:type="dxa"/>
          </w:tcPr>
          <w:p w14:paraId="33F52CE0" w14:textId="77777777" w:rsidR="00C75312" w:rsidRDefault="00C75312">
            <w:pPr>
              <w:pStyle w:val="TableParagraph"/>
              <w:rPr>
                <w:sz w:val="20"/>
              </w:rPr>
            </w:pPr>
          </w:p>
        </w:tc>
        <w:tc>
          <w:tcPr>
            <w:tcW w:w="1430" w:type="dxa"/>
            <w:shd w:val="clear" w:color="auto" w:fill="BFBFBF"/>
          </w:tcPr>
          <w:p w14:paraId="5FC7560E" w14:textId="77777777" w:rsidR="00C75312" w:rsidRDefault="00BB293A">
            <w:pPr>
              <w:pStyle w:val="TableParagraph"/>
              <w:spacing w:line="249" w:lineRule="exact"/>
              <w:ind w:left="453" w:right="442"/>
              <w:jc w:val="center"/>
            </w:pPr>
            <w:r>
              <w:t>.14</w:t>
            </w:r>
          </w:p>
          <w:p w14:paraId="7D3D3844" w14:textId="77777777" w:rsidR="00C75312" w:rsidRDefault="00BB293A">
            <w:pPr>
              <w:pStyle w:val="TableParagraph"/>
              <w:spacing w:before="179"/>
              <w:ind w:left="453" w:right="442"/>
              <w:jc w:val="center"/>
            </w:pPr>
            <w:r>
              <w:t>.49</w:t>
            </w:r>
          </w:p>
          <w:p w14:paraId="30A47919" w14:textId="77777777" w:rsidR="00C75312" w:rsidRDefault="00BB293A">
            <w:pPr>
              <w:pStyle w:val="TableParagraph"/>
              <w:spacing w:before="184"/>
              <w:ind w:left="448" w:right="442"/>
              <w:jc w:val="center"/>
            </w:pPr>
            <w:r>
              <w:t>0.30</w:t>
            </w:r>
          </w:p>
        </w:tc>
        <w:tc>
          <w:tcPr>
            <w:tcW w:w="1440" w:type="dxa"/>
            <w:shd w:val="clear" w:color="auto" w:fill="BFBFBF"/>
          </w:tcPr>
          <w:p w14:paraId="30C6793E" w14:textId="77777777" w:rsidR="00C75312" w:rsidRDefault="00BB293A">
            <w:pPr>
              <w:pStyle w:val="TableParagraph"/>
              <w:spacing w:line="249" w:lineRule="exact"/>
              <w:ind w:left="511" w:right="499"/>
              <w:jc w:val="center"/>
            </w:pPr>
            <w:r>
              <w:t>.33</w:t>
            </w:r>
          </w:p>
          <w:p w14:paraId="49260C1A" w14:textId="77777777" w:rsidR="00C75312" w:rsidRDefault="00BB293A">
            <w:pPr>
              <w:pStyle w:val="TableParagraph"/>
              <w:spacing w:before="179"/>
              <w:ind w:left="511" w:right="499"/>
              <w:jc w:val="center"/>
            </w:pPr>
            <w:r>
              <w:t>.09</w:t>
            </w:r>
          </w:p>
          <w:p w14:paraId="53AB0D59" w14:textId="77777777" w:rsidR="00C75312" w:rsidRDefault="00BB293A">
            <w:pPr>
              <w:pStyle w:val="TableParagraph"/>
              <w:spacing w:before="184"/>
              <w:ind w:left="515" w:right="499"/>
              <w:jc w:val="center"/>
            </w:pPr>
            <w:r>
              <w:t>0.92</w:t>
            </w:r>
          </w:p>
        </w:tc>
        <w:tc>
          <w:tcPr>
            <w:tcW w:w="1666" w:type="dxa"/>
            <w:shd w:val="clear" w:color="auto" w:fill="BFBFBF"/>
          </w:tcPr>
          <w:p w14:paraId="642BE93E" w14:textId="77777777" w:rsidR="00C75312" w:rsidRDefault="00BB293A">
            <w:pPr>
              <w:pStyle w:val="TableParagraph"/>
              <w:spacing w:line="249" w:lineRule="exact"/>
              <w:ind w:left="626" w:right="610"/>
              <w:jc w:val="center"/>
              <w:rPr>
                <w:b/>
              </w:rPr>
            </w:pPr>
            <w:r>
              <w:rPr>
                <w:b/>
              </w:rPr>
              <w:t>.35</w:t>
            </w:r>
          </w:p>
          <w:p w14:paraId="039FEE88" w14:textId="77777777" w:rsidR="00C75312" w:rsidRDefault="00BB293A">
            <w:pPr>
              <w:pStyle w:val="TableParagraph"/>
              <w:spacing w:before="179"/>
              <w:ind w:left="626" w:right="610"/>
              <w:jc w:val="center"/>
              <w:rPr>
                <w:b/>
              </w:rPr>
            </w:pPr>
            <w:r>
              <w:rPr>
                <w:b/>
              </w:rPr>
              <w:t>.07</w:t>
            </w:r>
          </w:p>
          <w:p w14:paraId="298E8650" w14:textId="77777777" w:rsidR="00C75312" w:rsidRDefault="00BB293A">
            <w:pPr>
              <w:pStyle w:val="TableParagraph"/>
              <w:spacing w:before="184"/>
              <w:ind w:left="631" w:right="610"/>
              <w:jc w:val="center"/>
              <w:rPr>
                <w:b/>
              </w:rPr>
            </w:pPr>
            <w:r>
              <w:rPr>
                <w:b/>
              </w:rPr>
              <w:t>1.19</w:t>
            </w:r>
          </w:p>
        </w:tc>
        <w:tc>
          <w:tcPr>
            <w:tcW w:w="1455" w:type="dxa"/>
            <w:vMerge/>
            <w:tcBorders>
              <w:top w:val="nil"/>
            </w:tcBorders>
            <w:shd w:val="clear" w:color="auto" w:fill="BFBFBF"/>
          </w:tcPr>
          <w:p w14:paraId="5BC379A9" w14:textId="77777777" w:rsidR="00C75312" w:rsidRDefault="00C75312">
            <w:pPr>
              <w:rPr>
                <w:sz w:val="2"/>
                <w:szCs w:val="2"/>
              </w:rPr>
            </w:pPr>
          </w:p>
        </w:tc>
      </w:tr>
      <w:tr w:rsidR="00C75312" w14:paraId="77D17BFD" w14:textId="77777777">
        <w:trPr>
          <w:trHeight w:val="1290"/>
        </w:trPr>
        <w:tc>
          <w:tcPr>
            <w:tcW w:w="2928" w:type="dxa"/>
            <w:vMerge/>
            <w:tcBorders>
              <w:top w:val="nil"/>
              <w:bottom w:val="single" w:sz="4" w:space="0" w:color="000000"/>
            </w:tcBorders>
          </w:tcPr>
          <w:p w14:paraId="498D65A5" w14:textId="77777777" w:rsidR="00C75312" w:rsidRDefault="00C75312">
            <w:pPr>
              <w:rPr>
                <w:sz w:val="2"/>
                <w:szCs w:val="2"/>
              </w:rPr>
            </w:pPr>
          </w:p>
        </w:tc>
        <w:tc>
          <w:tcPr>
            <w:tcW w:w="1584" w:type="dxa"/>
            <w:vMerge/>
            <w:tcBorders>
              <w:top w:val="nil"/>
            </w:tcBorders>
            <w:shd w:val="clear" w:color="auto" w:fill="EDEDED"/>
          </w:tcPr>
          <w:p w14:paraId="50814DC5" w14:textId="77777777" w:rsidR="00C75312" w:rsidRDefault="00C75312">
            <w:pPr>
              <w:rPr>
                <w:sz w:val="2"/>
                <w:szCs w:val="2"/>
              </w:rPr>
            </w:pPr>
          </w:p>
        </w:tc>
        <w:tc>
          <w:tcPr>
            <w:tcW w:w="1483" w:type="dxa"/>
            <w:vMerge/>
            <w:tcBorders>
              <w:top w:val="nil"/>
            </w:tcBorders>
            <w:shd w:val="clear" w:color="auto" w:fill="EDEDED"/>
          </w:tcPr>
          <w:p w14:paraId="0B916ED0" w14:textId="77777777" w:rsidR="00C75312" w:rsidRDefault="00C75312">
            <w:pPr>
              <w:rPr>
                <w:sz w:val="2"/>
                <w:szCs w:val="2"/>
              </w:rPr>
            </w:pPr>
          </w:p>
        </w:tc>
        <w:tc>
          <w:tcPr>
            <w:tcW w:w="1521" w:type="dxa"/>
            <w:shd w:val="clear" w:color="auto" w:fill="EDEDED"/>
          </w:tcPr>
          <w:p w14:paraId="6554D8C8" w14:textId="77777777" w:rsidR="00C75312" w:rsidRDefault="00BB293A">
            <w:pPr>
              <w:pStyle w:val="TableParagraph"/>
              <w:spacing w:line="249" w:lineRule="exact"/>
              <w:ind w:left="544" w:right="543"/>
              <w:jc w:val="center"/>
            </w:pPr>
            <w:r>
              <w:t>-.02</w:t>
            </w:r>
          </w:p>
          <w:p w14:paraId="030D6BD8" w14:textId="77777777" w:rsidR="00C75312" w:rsidRDefault="00BB293A">
            <w:pPr>
              <w:pStyle w:val="TableParagraph"/>
              <w:spacing w:before="179"/>
              <w:ind w:left="548" w:right="543"/>
              <w:jc w:val="center"/>
            </w:pPr>
            <w:r>
              <w:t>.91</w:t>
            </w:r>
          </w:p>
          <w:p w14:paraId="34EEE242" w14:textId="77777777" w:rsidR="00C75312" w:rsidRDefault="00BB293A">
            <w:pPr>
              <w:pStyle w:val="TableParagraph"/>
              <w:spacing w:before="179"/>
              <w:ind w:left="553" w:right="543"/>
              <w:jc w:val="center"/>
            </w:pPr>
            <w:r>
              <w:t>0.24</w:t>
            </w:r>
          </w:p>
        </w:tc>
        <w:tc>
          <w:tcPr>
            <w:tcW w:w="1430" w:type="dxa"/>
          </w:tcPr>
          <w:p w14:paraId="4B6ADEF0" w14:textId="77777777" w:rsidR="00C75312" w:rsidRDefault="00C75312">
            <w:pPr>
              <w:pStyle w:val="TableParagraph"/>
              <w:rPr>
                <w:sz w:val="20"/>
              </w:rPr>
            </w:pPr>
          </w:p>
        </w:tc>
        <w:tc>
          <w:tcPr>
            <w:tcW w:w="1440" w:type="dxa"/>
            <w:shd w:val="clear" w:color="auto" w:fill="BFBFBF"/>
          </w:tcPr>
          <w:p w14:paraId="5DF76950" w14:textId="77777777" w:rsidR="00C75312" w:rsidRDefault="00BB293A">
            <w:pPr>
              <w:pStyle w:val="TableParagraph"/>
              <w:spacing w:line="249" w:lineRule="exact"/>
              <w:ind w:left="511" w:right="499"/>
              <w:jc w:val="center"/>
            </w:pPr>
            <w:r>
              <w:t>.17</w:t>
            </w:r>
          </w:p>
          <w:p w14:paraId="779010E1" w14:textId="77777777" w:rsidR="00C75312" w:rsidRDefault="00BB293A">
            <w:pPr>
              <w:pStyle w:val="TableParagraph"/>
              <w:spacing w:before="179"/>
              <w:ind w:left="511" w:right="499"/>
              <w:jc w:val="center"/>
            </w:pPr>
            <w:r>
              <w:t>.38</w:t>
            </w:r>
          </w:p>
          <w:p w14:paraId="6CE47A60" w14:textId="77777777" w:rsidR="00C75312" w:rsidRDefault="00BB293A">
            <w:pPr>
              <w:pStyle w:val="TableParagraph"/>
              <w:spacing w:before="179"/>
              <w:ind w:left="515" w:right="499"/>
              <w:jc w:val="center"/>
            </w:pPr>
            <w:r>
              <w:t>0.34</w:t>
            </w:r>
          </w:p>
        </w:tc>
        <w:tc>
          <w:tcPr>
            <w:tcW w:w="1666" w:type="dxa"/>
            <w:shd w:val="clear" w:color="auto" w:fill="BFBFBF"/>
          </w:tcPr>
          <w:p w14:paraId="1437B1C9" w14:textId="77777777" w:rsidR="00C75312" w:rsidRDefault="00BB293A">
            <w:pPr>
              <w:pStyle w:val="TableParagraph"/>
              <w:spacing w:line="249" w:lineRule="exact"/>
              <w:ind w:left="626" w:right="610"/>
              <w:jc w:val="center"/>
            </w:pPr>
            <w:r>
              <w:t>.08</w:t>
            </w:r>
          </w:p>
          <w:p w14:paraId="37AC17B4" w14:textId="77777777" w:rsidR="00C75312" w:rsidRDefault="00BB293A">
            <w:pPr>
              <w:pStyle w:val="TableParagraph"/>
              <w:spacing w:before="179"/>
              <w:ind w:left="626" w:right="610"/>
              <w:jc w:val="center"/>
            </w:pPr>
            <w:r>
              <w:t>.69</w:t>
            </w:r>
          </w:p>
          <w:p w14:paraId="60162A42" w14:textId="77777777" w:rsidR="00C75312" w:rsidRDefault="00BB293A">
            <w:pPr>
              <w:pStyle w:val="TableParagraph"/>
              <w:spacing w:before="179"/>
              <w:ind w:left="631" w:right="610"/>
              <w:jc w:val="center"/>
            </w:pPr>
            <w:r>
              <w:t>0.25</w:t>
            </w:r>
          </w:p>
        </w:tc>
        <w:tc>
          <w:tcPr>
            <w:tcW w:w="1455" w:type="dxa"/>
            <w:vMerge/>
            <w:tcBorders>
              <w:top w:val="nil"/>
            </w:tcBorders>
            <w:shd w:val="clear" w:color="auto" w:fill="BFBFBF"/>
          </w:tcPr>
          <w:p w14:paraId="4D6005F6" w14:textId="77777777" w:rsidR="00C75312" w:rsidRDefault="00C75312">
            <w:pPr>
              <w:rPr>
                <w:sz w:val="2"/>
                <w:szCs w:val="2"/>
              </w:rPr>
            </w:pPr>
          </w:p>
        </w:tc>
      </w:tr>
      <w:tr w:rsidR="00C75312" w14:paraId="0E63041A" w14:textId="77777777">
        <w:trPr>
          <w:trHeight w:val="1286"/>
        </w:trPr>
        <w:tc>
          <w:tcPr>
            <w:tcW w:w="2928" w:type="dxa"/>
            <w:vMerge/>
            <w:tcBorders>
              <w:top w:val="nil"/>
              <w:bottom w:val="single" w:sz="4" w:space="0" w:color="000000"/>
            </w:tcBorders>
          </w:tcPr>
          <w:p w14:paraId="3A8EA002" w14:textId="77777777" w:rsidR="00C75312" w:rsidRDefault="00C75312">
            <w:pPr>
              <w:rPr>
                <w:sz w:val="2"/>
                <w:szCs w:val="2"/>
              </w:rPr>
            </w:pPr>
          </w:p>
        </w:tc>
        <w:tc>
          <w:tcPr>
            <w:tcW w:w="1584" w:type="dxa"/>
            <w:vMerge/>
            <w:tcBorders>
              <w:top w:val="nil"/>
            </w:tcBorders>
            <w:shd w:val="clear" w:color="auto" w:fill="EDEDED"/>
          </w:tcPr>
          <w:p w14:paraId="0C9D3363" w14:textId="77777777" w:rsidR="00C75312" w:rsidRDefault="00C75312">
            <w:pPr>
              <w:rPr>
                <w:sz w:val="2"/>
                <w:szCs w:val="2"/>
              </w:rPr>
            </w:pPr>
          </w:p>
        </w:tc>
        <w:tc>
          <w:tcPr>
            <w:tcW w:w="1483" w:type="dxa"/>
            <w:vMerge/>
            <w:tcBorders>
              <w:top w:val="nil"/>
            </w:tcBorders>
            <w:shd w:val="clear" w:color="auto" w:fill="EDEDED"/>
          </w:tcPr>
          <w:p w14:paraId="05C91B75" w14:textId="77777777" w:rsidR="00C75312" w:rsidRDefault="00C75312">
            <w:pPr>
              <w:rPr>
                <w:sz w:val="2"/>
                <w:szCs w:val="2"/>
              </w:rPr>
            </w:pPr>
          </w:p>
        </w:tc>
        <w:tc>
          <w:tcPr>
            <w:tcW w:w="1521" w:type="dxa"/>
            <w:shd w:val="clear" w:color="auto" w:fill="EDEDED"/>
          </w:tcPr>
          <w:p w14:paraId="0F2F1DB7" w14:textId="77777777" w:rsidR="00C75312" w:rsidRDefault="00BB293A">
            <w:pPr>
              <w:pStyle w:val="TableParagraph"/>
              <w:spacing w:line="249" w:lineRule="exact"/>
              <w:ind w:left="544" w:right="543"/>
              <w:jc w:val="center"/>
            </w:pPr>
            <w:r>
              <w:t>-.10</w:t>
            </w:r>
          </w:p>
          <w:p w14:paraId="1D93B087" w14:textId="77777777" w:rsidR="00C75312" w:rsidRDefault="00BB293A">
            <w:pPr>
              <w:pStyle w:val="TableParagraph"/>
              <w:spacing w:before="179"/>
              <w:ind w:left="548" w:right="543"/>
              <w:jc w:val="center"/>
            </w:pPr>
            <w:r>
              <w:t>.63</w:t>
            </w:r>
          </w:p>
          <w:p w14:paraId="45E7E39D" w14:textId="77777777" w:rsidR="00C75312" w:rsidRDefault="00BB293A">
            <w:pPr>
              <w:pStyle w:val="TableParagraph"/>
              <w:spacing w:before="179"/>
              <w:ind w:left="553" w:right="543"/>
              <w:jc w:val="center"/>
            </w:pPr>
            <w:r>
              <w:t>0.27</w:t>
            </w:r>
          </w:p>
        </w:tc>
        <w:tc>
          <w:tcPr>
            <w:tcW w:w="1430" w:type="dxa"/>
            <w:shd w:val="clear" w:color="auto" w:fill="EDEDED"/>
          </w:tcPr>
          <w:p w14:paraId="6C13DD31" w14:textId="77777777" w:rsidR="00C75312" w:rsidRDefault="00BB293A">
            <w:pPr>
              <w:pStyle w:val="TableParagraph"/>
              <w:spacing w:line="249" w:lineRule="exact"/>
              <w:ind w:left="453" w:right="442"/>
              <w:jc w:val="center"/>
              <w:rPr>
                <w:b/>
              </w:rPr>
            </w:pPr>
            <w:r>
              <w:rPr>
                <w:b/>
              </w:rPr>
              <w:t>.54**</w:t>
            </w:r>
          </w:p>
          <w:p w14:paraId="511994DD" w14:textId="77777777" w:rsidR="00C75312" w:rsidRDefault="00BB293A">
            <w:pPr>
              <w:pStyle w:val="TableParagraph"/>
              <w:spacing w:before="179"/>
              <w:ind w:left="453" w:right="442"/>
              <w:jc w:val="center"/>
              <w:rPr>
                <w:b/>
              </w:rPr>
            </w:pPr>
            <w:r>
              <w:rPr>
                <w:b/>
              </w:rPr>
              <w:t>&lt;.01</w:t>
            </w:r>
          </w:p>
          <w:p w14:paraId="5D70CA0F" w14:textId="77777777" w:rsidR="00C75312" w:rsidRDefault="00BB293A">
            <w:pPr>
              <w:pStyle w:val="TableParagraph"/>
              <w:spacing w:before="179"/>
              <w:ind w:left="453" w:right="442"/>
              <w:jc w:val="center"/>
              <w:rPr>
                <w:b/>
              </w:rPr>
            </w:pPr>
            <w:r>
              <w:rPr>
                <w:b/>
              </w:rPr>
              <w:t>13.91</w:t>
            </w:r>
          </w:p>
        </w:tc>
        <w:tc>
          <w:tcPr>
            <w:tcW w:w="1440" w:type="dxa"/>
          </w:tcPr>
          <w:p w14:paraId="4B04913E" w14:textId="77777777" w:rsidR="00C75312" w:rsidRDefault="00C75312">
            <w:pPr>
              <w:pStyle w:val="TableParagraph"/>
              <w:rPr>
                <w:sz w:val="20"/>
              </w:rPr>
            </w:pPr>
          </w:p>
        </w:tc>
        <w:tc>
          <w:tcPr>
            <w:tcW w:w="1666" w:type="dxa"/>
            <w:shd w:val="clear" w:color="auto" w:fill="BFBFBF"/>
          </w:tcPr>
          <w:p w14:paraId="0944D1AA" w14:textId="77777777" w:rsidR="00C75312" w:rsidRDefault="00BB293A">
            <w:pPr>
              <w:pStyle w:val="TableParagraph"/>
              <w:spacing w:line="249" w:lineRule="exact"/>
              <w:ind w:left="626" w:right="610"/>
              <w:jc w:val="center"/>
            </w:pPr>
            <w:r>
              <w:t>.32</w:t>
            </w:r>
          </w:p>
          <w:p w14:paraId="302C2DF1" w14:textId="77777777" w:rsidR="00C75312" w:rsidRDefault="00BB293A">
            <w:pPr>
              <w:pStyle w:val="TableParagraph"/>
              <w:spacing w:before="179"/>
              <w:ind w:left="626" w:right="610"/>
              <w:jc w:val="center"/>
            </w:pPr>
            <w:r>
              <w:t>.10</w:t>
            </w:r>
          </w:p>
          <w:p w14:paraId="29EB3F75" w14:textId="77777777" w:rsidR="00C75312" w:rsidRDefault="00BB293A">
            <w:pPr>
              <w:pStyle w:val="TableParagraph"/>
              <w:spacing w:before="179"/>
              <w:ind w:left="631" w:right="610"/>
              <w:jc w:val="center"/>
            </w:pPr>
            <w:r>
              <w:t>0.84</w:t>
            </w:r>
          </w:p>
        </w:tc>
        <w:tc>
          <w:tcPr>
            <w:tcW w:w="1455" w:type="dxa"/>
            <w:vMerge/>
            <w:tcBorders>
              <w:top w:val="nil"/>
            </w:tcBorders>
            <w:shd w:val="clear" w:color="auto" w:fill="BFBFBF"/>
          </w:tcPr>
          <w:p w14:paraId="40EE3B3A" w14:textId="77777777" w:rsidR="00C75312" w:rsidRDefault="00C75312">
            <w:pPr>
              <w:rPr>
                <w:sz w:val="2"/>
                <w:szCs w:val="2"/>
              </w:rPr>
            </w:pPr>
          </w:p>
        </w:tc>
      </w:tr>
      <w:tr w:rsidR="00C75312" w14:paraId="72A6BEB6" w14:textId="77777777">
        <w:trPr>
          <w:trHeight w:val="1290"/>
        </w:trPr>
        <w:tc>
          <w:tcPr>
            <w:tcW w:w="2928" w:type="dxa"/>
            <w:vMerge/>
            <w:tcBorders>
              <w:top w:val="nil"/>
              <w:bottom w:val="single" w:sz="4" w:space="0" w:color="000000"/>
            </w:tcBorders>
          </w:tcPr>
          <w:p w14:paraId="07A11FBB" w14:textId="77777777" w:rsidR="00C75312" w:rsidRDefault="00C75312">
            <w:pPr>
              <w:rPr>
                <w:sz w:val="2"/>
                <w:szCs w:val="2"/>
              </w:rPr>
            </w:pPr>
          </w:p>
        </w:tc>
        <w:tc>
          <w:tcPr>
            <w:tcW w:w="1584" w:type="dxa"/>
            <w:vMerge/>
            <w:tcBorders>
              <w:top w:val="nil"/>
            </w:tcBorders>
            <w:shd w:val="clear" w:color="auto" w:fill="EDEDED"/>
          </w:tcPr>
          <w:p w14:paraId="4B4B0AF2" w14:textId="77777777" w:rsidR="00C75312" w:rsidRDefault="00C75312">
            <w:pPr>
              <w:rPr>
                <w:sz w:val="2"/>
                <w:szCs w:val="2"/>
              </w:rPr>
            </w:pPr>
          </w:p>
        </w:tc>
        <w:tc>
          <w:tcPr>
            <w:tcW w:w="1483" w:type="dxa"/>
            <w:vMerge/>
            <w:tcBorders>
              <w:top w:val="nil"/>
            </w:tcBorders>
            <w:shd w:val="clear" w:color="auto" w:fill="EDEDED"/>
          </w:tcPr>
          <w:p w14:paraId="18EFC0BB" w14:textId="77777777" w:rsidR="00C75312" w:rsidRDefault="00C75312">
            <w:pPr>
              <w:rPr>
                <w:sz w:val="2"/>
                <w:szCs w:val="2"/>
              </w:rPr>
            </w:pPr>
          </w:p>
        </w:tc>
        <w:tc>
          <w:tcPr>
            <w:tcW w:w="1521" w:type="dxa"/>
            <w:shd w:val="clear" w:color="auto" w:fill="EDEDED"/>
          </w:tcPr>
          <w:p w14:paraId="40C17F1B" w14:textId="77777777" w:rsidR="00C75312" w:rsidRDefault="00BB293A">
            <w:pPr>
              <w:pStyle w:val="TableParagraph"/>
              <w:spacing w:line="249" w:lineRule="exact"/>
              <w:ind w:left="548" w:right="543"/>
              <w:jc w:val="center"/>
            </w:pPr>
            <w:r>
              <w:t>.01</w:t>
            </w:r>
          </w:p>
          <w:p w14:paraId="5A35F8FD" w14:textId="77777777" w:rsidR="00C75312" w:rsidRDefault="00BB293A">
            <w:pPr>
              <w:pStyle w:val="TableParagraph"/>
              <w:spacing w:before="179"/>
              <w:ind w:left="548" w:right="543"/>
              <w:jc w:val="center"/>
            </w:pPr>
            <w:r>
              <w:t>.95</w:t>
            </w:r>
          </w:p>
          <w:p w14:paraId="639DD501" w14:textId="77777777" w:rsidR="00C75312" w:rsidRDefault="00BB293A">
            <w:pPr>
              <w:pStyle w:val="TableParagraph"/>
              <w:spacing w:before="184"/>
              <w:ind w:left="553" w:right="543"/>
              <w:jc w:val="center"/>
            </w:pPr>
            <w:r>
              <w:t>0.24</w:t>
            </w:r>
          </w:p>
        </w:tc>
        <w:tc>
          <w:tcPr>
            <w:tcW w:w="1430" w:type="dxa"/>
            <w:shd w:val="clear" w:color="auto" w:fill="EDEDED"/>
          </w:tcPr>
          <w:p w14:paraId="39017210" w14:textId="77777777" w:rsidR="00C75312" w:rsidRDefault="00BB293A">
            <w:pPr>
              <w:pStyle w:val="TableParagraph"/>
              <w:spacing w:line="249" w:lineRule="exact"/>
              <w:ind w:left="448" w:right="442"/>
              <w:jc w:val="center"/>
            </w:pPr>
            <w:r>
              <w:t>-.21</w:t>
            </w:r>
          </w:p>
          <w:p w14:paraId="07819C78" w14:textId="77777777" w:rsidR="00C75312" w:rsidRDefault="00BB293A">
            <w:pPr>
              <w:pStyle w:val="TableParagraph"/>
              <w:spacing w:before="179"/>
              <w:ind w:left="453" w:right="442"/>
              <w:jc w:val="center"/>
            </w:pPr>
            <w:r>
              <w:t>.30</w:t>
            </w:r>
          </w:p>
          <w:p w14:paraId="125C541B" w14:textId="77777777" w:rsidR="00C75312" w:rsidRDefault="00BB293A">
            <w:pPr>
              <w:pStyle w:val="TableParagraph"/>
              <w:spacing w:before="184"/>
              <w:ind w:left="448" w:right="442"/>
              <w:jc w:val="center"/>
            </w:pPr>
            <w:r>
              <w:t>0.40</w:t>
            </w:r>
          </w:p>
        </w:tc>
        <w:tc>
          <w:tcPr>
            <w:tcW w:w="1440" w:type="dxa"/>
            <w:shd w:val="clear" w:color="auto" w:fill="EDEDED"/>
          </w:tcPr>
          <w:p w14:paraId="7B133F3C" w14:textId="77777777" w:rsidR="00C75312" w:rsidRDefault="00BB293A">
            <w:pPr>
              <w:pStyle w:val="TableParagraph"/>
              <w:spacing w:line="249" w:lineRule="exact"/>
              <w:ind w:left="506" w:right="499"/>
              <w:jc w:val="center"/>
            </w:pPr>
            <w:r>
              <w:t>-.08</w:t>
            </w:r>
          </w:p>
          <w:p w14:paraId="2C6DE02D" w14:textId="77777777" w:rsidR="00C75312" w:rsidRDefault="00BB293A">
            <w:pPr>
              <w:pStyle w:val="TableParagraph"/>
              <w:spacing w:before="179"/>
              <w:ind w:left="511" w:right="499"/>
              <w:jc w:val="center"/>
            </w:pPr>
            <w:r>
              <w:t>.70</w:t>
            </w:r>
          </w:p>
          <w:p w14:paraId="0E3DF019" w14:textId="77777777" w:rsidR="00C75312" w:rsidRDefault="00BB293A">
            <w:pPr>
              <w:pStyle w:val="TableParagraph"/>
              <w:spacing w:before="184"/>
              <w:ind w:left="515" w:right="499"/>
              <w:jc w:val="center"/>
            </w:pPr>
            <w:r>
              <w:t>0.26</w:t>
            </w:r>
          </w:p>
        </w:tc>
        <w:tc>
          <w:tcPr>
            <w:tcW w:w="1666" w:type="dxa"/>
          </w:tcPr>
          <w:p w14:paraId="7930A913" w14:textId="77777777" w:rsidR="00C75312" w:rsidRDefault="00C75312">
            <w:pPr>
              <w:pStyle w:val="TableParagraph"/>
              <w:rPr>
                <w:sz w:val="20"/>
              </w:rPr>
            </w:pPr>
          </w:p>
        </w:tc>
        <w:tc>
          <w:tcPr>
            <w:tcW w:w="1455" w:type="dxa"/>
            <w:vMerge/>
            <w:tcBorders>
              <w:top w:val="nil"/>
            </w:tcBorders>
            <w:shd w:val="clear" w:color="auto" w:fill="BFBFBF"/>
          </w:tcPr>
          <w:p w14:paraId="5AD32E5E" w14:textId="77777777" w:rsidR="00C75312" w:rsidRDefault="00C75312">
            <w:pPr>
              <w:rPr>
                <w:sz w:val="2"/>
                <w:szCs w:val="2"/>
              </w:rPr>
            </w:pPr>
          </w:p>
        </w:tc>
      </w:tr>
      <w:tr w:rsidR="00C75312" w14:paraId="6A6B6DF6" w14:textId="77777777">
        <w:trPr>
          <w:trHeight w:val="1290"/>
        </w:trPr>
        <w:tc>
          <w:tcPr>
            <w:tcW w:w="2928" w:type="dxa"/>
            <w:vMerge/>
            <w:tcBorders>
              <w:top w:val="nil"/>
              <w:bottom w:val="single" w:sz="4" w:space="0" w:color="000000"/>
            </w:tcBorders>
          </w:tcPr>
          <w:p w14:paraId="01EF41E9" w14:textId="77777777" w:rsidR="00C75312" w:rsidRDefault="00C75312">
            <w:pPr>
              <w:rPr>
                <w:sz w:val="2"/>
                <w:szCs w:val="2"/>
              </w:rPr>
            </w:pPr>
          </w:p>
        </w:tc>
        <w:tc>
          <w:tcPr>
            <w:tcW w:w="1584" w:type="dxa"/>
            <w:tcBorders>
              <w:bottom w:val="single" w:sz="4" w:space="0" w:color="000000"/>
            </w:tcBorders>
            <w:shd w:val="clear" w:color="auto" w:fill="EDEDED"/>
          </w:tcPr>
          <w:p w14:paraId="52C02970" w14:textId="77777777" w:rsidR="00C75312" w:rsidRDefault="00BB293A">
            <w:pPr>
              <w:pStyle w:val="TableParagraph"/>
              <w:spacing w:line="249" w:lineRule="exact"/>
              <w:ind w:left="513" w:right="509"/>
              <w:jc w:val="center"/>
            </w:pPr>
            <w:r>
              <w:t>-.05</w:t>
            </w:r>
          </w:p>
          <w:p w14:paraId="31028475" w14:textId="77777777" w:rsidR="00C75312" w:rsidRDefault="00BB293A">
            <w:pPr>
              <w:pStyle w:val="TableParagraph"/>
              <w:spacing w:before="179"/>
              <w:ind w:left="518" w:right="509"/>
              <w:jc w:val="center"/>
            </w:pPr>
            <w:r>
              <w:t>.82</w:t>
            </w:r>
          </w:p>
          <w:p w14:paraId="48A05405" w14:textId="77777777" w:rsidR="00C75312" w:rsidRDefault="00BB293A">
            <w:pPr>
              <w:pStyle w:val="TableParagraph"/>
              <w:spacing w:before="179"/>
              <w:ind w:left="523" w:right="509"/>
              <w:jc w:val="center"/>
            </w:pPr>
            <w:r>
              <w:t>0.25</w:t>
            </w:r>
          </w:p>
        </w:tc>
        <w:tc>
          <w:tcPr>
            <w:tcW w:w="1483" w:type="dxa"/>
            <w:tcBorders>
              <w:bottom w:val="single" w:sz="4" w:space="0" w:color="000000"/>
            </w:tcBorders>
            <w:shd w:val="clear" w:color="auto" w:fill="EDEDED"/>
          </w:tcPr>
          <w:p w14:paraId="49C423A6" w14:textId="77777777" w:rsidR="00C75312" w:rsidRDefault="00BB293A">
            <w:pPr>
              <w:pStyle w:val="TableParagraph"/>
              <w:spacing w:line="249" w:lineRule="exact"/>
              <w:ind w:left="538" w:right="519"/>
              <w:jc w:val="center"/>
            </w:pPr>
            <w:r>
              <w:t>0.02</w:t>
            </w:r>
          </w:p>
          <w:p w14:paraId="04987D5C" w14:textId="77777777" w:rsidR="00C75312" w:rsidRDefault="00BB293A">
            <w:pPr>
              <w:pStyle w:val="TableParagraph"/>
              <w:spacing w:before="179"/>
              <w:ind w:left="533" w:right="519"/>
              <w:jc w:val="center"/>
            </w:pPr>
            <w:r>
              <w:t>.91</w:t>
            </w:r>
          </w:p>
          <w:p w14:paraId="690DF508" w14:textId="77777777" w:rsidR="00C75312" w:rsidRDefault="00BB293A">
            <w:pPr>
              <w:pStyle w:val="TableParagraph"/>
              <w:spacing w:before="179"/>
              <w:ind w:left="538" w:right="519"/>
              <w:jc w:val="center"/>
            </w:pPr>
            <w:r>
              <w:t>0.24</w:t>
            </w:r>
          </w:p>
        </w:tc>
        <w:tc>
          <w:tcPr>
            <w:tcW w:w="1521" w:type="dxa"/>
            <w:tcBorders>
              <w:bottom w:val="single" w:sz="4" w:space="0" w:color="000000"/>
            </w:tcBorders>
            <w:shd w:val="clear" w:color="auto" w:fill="EDEDED"/>
          </w:tcPr>
          <w:p w14:paraId="577E201A" w14:textId="77777777" w:rsidR="00C75312" w:rsidRDefault="00BB293A">
            <w:pPr>
              <w:pStyle w:val="TableParagraph"/>
              <w:spacing w:line="249" w:lineRule="exact"/>
              <w:ind w:left="553" w:right="543"/>
              <w:jc w:val="center"/>
              <w:rPr>
                <w:b/>
              </w:rPr>
            </w:pPr>
            <w:r>
              <w:rPr>
                <w:b/>
              </w:rPr>
              <w:t>0.36</w:t>
            </w:r>
          </w:p>
          <w:p w14:paraId="1CA26A60" w14:textId="77777777" w:rsidR="00C75312" w:rsidRDefault="00BB293A">
            <w:pPr>
              <w:pStyle w:val="TableParagraph"/>
              <w:spacing w:before="179"/>
              <w:ind w:left="548" w:right="543"/>
              <w:jc w:val="center"/>
              <w:rPr>
                <w:b/>
              </w:rPr>
            </w:pPr>
            <w:r>
              <w:rPr>
                <w:b/>
              </w:rPr>
              <w:t>.06</w:t>
            </w:r>
          </w:p>
          <w:p w14:paraId="1DD7B20E" w14:textId="77777777" w:rsidR="00C75312" w:rsidRDefault="00BB293A">
            <w:pPr>
              <w:pStyle w:val="TableParagraph"/>
              <w:spacing w:before="179"/>
              <w:ind w:left="553" w:right="543"/>
              <w:jc w:val="center"/>
              <w:rPr>
                <w:b/>
              </w:rPr>
            </w:pPr>
            <w:r>
              <w:rPr>
                <w:b/>
              </w:rPr>
              <w:t>1.26</w:t>
            </w:r>
          </w:p>
        </w:tc>
        <w:tc>
          <w:tcPr>
            <w:tcW w:w="1430" w:type="dxa"/>
            <w:tcBorders>
              <w:bottom w:val="single" w:sz="4" w:space="0" w:color="000000"/>
            </w:tcBorders>
            <w:shd w:val="clear" w:color="auto" w:fill="EDEDED"/>
          </w:tcPr>
          <w:p w14:paraId="76D67A01" w14:textId="77777777" w:rsidR="00C75312" w:rsidRDefault="00BB293A">
            <w:pPr>
              <w:pStyle w:val="TableParagraph"/>
              <w:spacing w:line="249" w:lineRule="exact"/>
              <w:ind w:left="453" w:right="442"/>
              <w:jc w:val="center"/>
            </w:pPr>
            <w:r>
              <w:t>.10</w:t>
            </w:r>
          </w:p>
          <w:p w14:paraId="1D137E0A" w14:textId="77777777" w:rsidR="00C75312" w:rsidRDefault="00BB293A">
            <w:pPr>
              <w:pStyle w:val="TableParagraph"/>
              <w:spacing w:before="179"/>
              <w:ind w:left="453" w:right="442"/>
              <w:jc w:val="center"/>
            </w:pPr>
            <w:r>
              <w:t>.64</w:t>
            </w:r>
          </w:p>
          <w:p w14:paraId="0FD6FAE9" w14:textId="77777777" w:rsidR="00C75312" w:rsidRDefault="00BB293A">
            <w:pPr>
              <w:pStyle w:val="TableParagraph"/>
              <w:spacing w:before="179"/>
              <w:ind w:left="448" w:right="442"/>
              <w:jc w:val="center"/>
            </w:pPr>
            <w:r>
              <w:t>0.27</w:t>
            </w:r>
          </w:p>
        </w:tc>
        <w:tc>
          <w:tcPr>
            <w:tcW w:w="1440" w:type="dxa"/>
            <w:tcBorders>
              <w:bottom w:val="single" w:sz="4" w:space="0" w:color="000000"/>
            </w:tcBorders>
            <w:shd w:val="clear" w:color="auto" w:fill="EDEDED"/>
          </w:tcPr>
          <w:p w14:paraId="456475BD" w14:textId="77777777" w:rsidR="00C75312" w:rsidRDefault="00BB293A">
            <w:pPr>
              <w:pStyle w:val="TableParagraph"/>
              <w:spacing w:line="249" w:lineRule="exact"/>
              <w:ind w:left="506" w:right="499"/>
              <w:jc w:val="center"/>
            </w:pPr>
            <w:r>
              <w:t>-.10</w:t>
            </w:r>
          </w:p>
          <w:p w14:paraId="3A05BD3C" w14:textId="77777777" w:rsidR="00C75312" w:rsidRDefault="00BB293A">
            <w:pPr>
              <w:pStyle w:val="TableParagraph"/>
              <w:spacing w:before="179"/>
              <w:ind w:left="511" w:right="499"/>
              <w:jc w:val="center"/>
            </w:pPr>
            <w:r>
              <w:t>.63</w:t>
            </w:r>
          </w:p>
          <w:p w14:paraId="09397E04" w14:textId="77777777" w:rsidR="00C75312" w:rsidRDefault="00BB293A">
            <w:pPr>
              <w:pStyle w:val="TableParagraph"/>
              <w:spacing w:before="179"/>
              <w:ind w:left="515" w:right="499"/>
              <w:jc w:val="center"/>
            </w:pPr>
            <w:r>
              <w:t>0.27</w:t>
            </w:r>
          </w:p>
        </w:tc>
        <w:tc>
          <w:tcPr>
            <w:tcW w:w="1666" w:type="dxa"/>
            <w:tcBorders>
              <w:bottom w:val="single" w:sz="4" w:space="0" w:color="000000"/>
            </w:tcBorders>
            <w:shd w:val="clear" w:color="auto" w:fill="EDEDED"/>
          </w:tcPr>
          <w:p w14:paraId="7DA42369" w14:textId="77777777" w:rsidR="00C75312" w:rsidRDefault="00BB293A">
            <w:pPr>
              <w:pStyle w:val="TableParagraph"/>
              <w:spacing w:line="249" w:lineRule="exact"/>
              <w:ind w:left="621" w:right="610"/>
              <w:jc w:val="center"/>
            </w:pPr>
            <w:r>
              <w:t>-.30</w:t>
            </w:r>
          </w:p>
          <w:p w14:paraId="1CEF69AF" w14:textId="77777777" w:rsidR="00C75312" w:rsidRDefault="00BB293A">
            <w:pPr>
              <w:pStyle w:val="TableParagraph"/>
              <w:spacing w:before="179"/>
              <w:ind w:left="626" w:right="610"/>
              <w:jc w:val="center"/>
            </w:pPr>
            <w:r>
              <w:t>.13</w:t>
            </w:r>
          </w:p>
          <w:p w14:paraId="27B61FD7" w14:textId="77777777" w:rsidR="00C75312" w:rsidRDefault="00BB293A">
            <w:pPr>
              <w:pStyle w:val="TableParagraph"/>
              <w:spacing w:before="179"/>
              <w:ind w:left="631" w:right="610"/>
              <w:jc w:val="center"/>
            </w:pPr>
            <w:r>
              <w:t>0.73</w:t>
            </w:r>
          </w:p>
        </w:tc>
        <w:tc>
          <w:tcPr>
            <w:tcW w:w="1455" w:type="dxa"/>
            <w:tcBorders>
              <w:bottom w:val="single" w:sz="4" w:space="0" w:color="000000"/>
            </w:tcBorders>
          </w:tcPr>
          <w:p w14:paraId="10F0369A" w14:textId="77777777" w:rsidR="00C75312" w:rsidRDefault="00C75312">
            <w:pPr>
              <w:pStyle w:val="TableParagraph"/>
              <w:rPr>
                <w:sz w:val="20"/>
              </w:rPr>
            </w:pPr>
          </w:p>
        </w:tc>
      </w:tr>
    </w:tbl>
    <w:p w14:paraId="3666632A" w14:textId="77777777" w:rsidR="00C75312" w:rsidRDefault="00BB293A">
      <w:pPr>
        <w:ind w:left="147"/>
        <w:rPr>
          <w:sz w:val="20"/>
        </w:rPr>
      </w:pPr>
      <w:r>
        <w:rPr>
          <w:sz w:val="20"/>
        </w:rPr>
        <w:t>Notes. Significant and marginally significant correlations are highlighted in bold.</w:t>
      </w:r>
    </w:p>
    <w:p w14:paraId="10F71236" w14:textId="77777777" w:rsidR="00C75312" w:rsidRDefault="00C75312">
      <w:pPr>
        <w:rPr>
          <w:sz w:val="20"/>
        </w:rPr>
        <w:sectPr w:rsidR="00C75312">
          <w:headerReference w:type="default" r:id="rId50"/>
          <w:pgSz w:w="16840" w:h="11900" w:orient="landscape"/>
          <w:pgMar w:top="640" w:right="1300" w:bottom="280" w:left="1100" w:header="0" w:footer="0" w:gutter="0"/>
          <w:cols w:space="720"/>
        </w:sectPr>
      </w:pPr>
    </w:p>
    <w:p w14:paraId="71824DD2" w14:textId="77777777" w:rsidR="00C75312" w:rsidRDefault="00C75312">
      <w:pPr>
        <w:pStyle w:val="BodyText"/>
        <w:spacing w:before="9"/>
        <w:rPr>
          <w:sz w:val="15"/>
        </w:rPr>
      </w:pPr>
    </w:p>
    <w:p w14:paraId="2EF077F0" w14:textId="77777777" w:rsidR="00C75312" w:rsidRDefault="00BB293A">
      <w:pPr>
        <w:pStyle w:val="BodyText"/>
        <w:spacing w:before="90" w:line="472" w:lineRule="auto"/>
        <w:ind w:left="140" w:right="229" w:firstLine="720"/>
        <w:jc w:val="both"/>
      </w:pPr>
      <w:r>
        <w:t xml:space="preserve">In the </w:t>
      </w:r>
      <w:r>
        <w:rPr>
          <w:i/>
        </w:rPr>
        <w:t>time-based condition</w:t>
      </w:r>
      <w:r>
        <w:t>, the correlation between autism traits and PM target accuracy remained significant, even after controlling for alexithymia traits (</w:t>
      </w:r>
      <w:r>
        <w:rPr>
          <w:i/>
        </w:rPr>
        <w:t xml:space="preserve">r </w:t>
      </w:r>
      <w:r>
        <w:t xml:space="preserve">= .56, </w:t>
      </w:r>
      <w:r>
        <w:rPr>
          <w:i/>
        </w:rPr>
        <w:t xml:space="preserve">p </w:t>
      </w:r>
      <w:r>
        <w:t xml:space="preserve">&lt; .01, </w:t>
      </w:r>
      <w:r>
        <w:rPr>
          <w:position w:val="2"/>
        </w:rPr>
        <w:t>BF</w:t>
      </w:r>
      <w:r>
        <w:rPr>
          <w:position w:val="2"/>
          <w:vertAlign w:val="subscript"/>
        </w:rPr>
        <w:t>10</w:t>
      </w:r>
      <w:r>
        <w:rPr>
          <w:position w:val="2"/>
        </w:rPr>
        <w:t xml:space="preserve"> </w:t>
      </w:r>
      <w:r>
        <w:rPr>
          <w:position w:val="2"/>
          <w:vertAlign w:val="subscript"/>
        </w:rPr>
        <w:t>positive</w:t>
      </w:r>
      <w:r>
        <w:rPr>
          <w:position w:val="2"/>
        </w:rPr>
        <w:t xml:space="preserve"> </w:t>
      </w:r>
      <w:r>
        <w:rPr>
          <w:position w:val="2"/>
          <w:vertAlign w:val="subscript"/>
        </w:rPr>
        <w:t>correlation</w:t>
      </w:r>
      <w:r>
        <w:rPr>
          <w:position w:val="2"/>
        </w:rPr>
        <w:t xml:space="preserve"> = 28.59, BF</w:t>
      </w:r>
      <w:r>
        <w:rPr>
          <w:position w:val="2"/>
          <w:vertAlign w:val="subscript"/>
        </w:rPr>
        <w:t>10</w:t>
      </w:r>
      <w:r>
        <w:rPr>
          <w:position w:val="2"/>
        </w:rPr>
        <w:t xml:space="preserve"> </w:t>
      </w:r>
      <w:r>
        <w:rPr>
          <w:position w:val="2"/>
          <w:vertAlign w:val="subscript"/>
        </w:rPr>
        <w:t>correlation</w:t>
      </w:r>
      <w:r>
        <w:rPr>
          <w:position w:val="2"/>
        </w:rPr>
        <w:t xml:space="preserve"> = 14.33). The inverse partial correlation was not significant (</w:t>
      </w:r>
      <w:r>
        <w:rPr>
          <w:i/>
          <w:position w:val="2"/>
        </w:rPr>
        <w:t xml:space="preserve">r </w:t>
      </w:r>
      <w:r>
        <w:rPr>
          <w:position w:val="2"/>
        </w:rPr>
        <w:t xml:space="preserve">= .06, </w:t>
      </w:r>
      <w:r>
        <w:rPr>
          <w:i/>
          <w:position w:val="2"/>
        </w:rPr>
        <w:t xml:space="preserve">p </w:t>
      </w:r>
      <w:r>
        <w:rPr>
          <w:position w:val="2"/>
        </w:rPr>
        <w:t>= .77, BF</w:t>
      </w:r>
      <w:r>
        <w:rPr>
          <w:position w:val="2"/>
          <w:vertAlign w:val="subscript"/>
        </w:rPr>
        <w:t>10</w:t>
      </w:r>
      <w:r>
        <w:rPr>
          <w:position w:val="2"/>
        </w:rPr>
        <w:t xml:space="preserve"> </w:t>
      </w:r>
      <w:r>
        <w:rPr>
          <w:position w:val="2"/>
          <w:vertAlign w:val="subscript"/>
        </w:rPr>
        <w:t>positive</w:t>
      </w:r>
      <w:r>
        <w:rPr>
          <w:position w:val="2"/>
        </w:rPr>
        <w:t xml:space="preserve"> </w:t>
      </w:r>
      <w:r>
        <w:rPr>
          <w:position w:val="2"/>
          <w:vertAlign w:val="subscript"/>
        </w:rPr>
        <w:t>correlation</w:t>
      </w:r>
      <w:r>
        <w:rPr>
          <w:position w:val="2"/>
        </w:rPr>
        <w:t xml:space="preserve"> = 0.26, BF</w:t>
      </w:r>
      <w:r>
        <w:rPr>
          <w:position w:val="2"/>
          <w:vertAlign w:val="subscript"/>
        </w:rPr>
        <w:t>10</w:t>
      </w:r>
      <w:r>
        <w:rPr>
          <w:position w:val="2"/>
        </w:rPr>
        <w:t xml:space="preserve"> </w:t>
      </w:r>
      <w:r>
        <w:rPr>
          <w:position w:val="2"/>
          <w:vertAlign w:val="subscript"/>
        </w:rPr>
        <w:t>correlation</w:t>
      </w:r>
      <w:r>
        <w:rPr>
          <w:position w:val="2"/>
        </w:rPr>
        <w:t xml:space="preserve"> = 0.31). Furthermore, </w:t>
      </w:r>
      <w:r>
        <w:t>controlling</w:t>
      </w:r>
      <w:r>
        <w:rPr>
          <w:spacing w:val="-5"/>
        </w:rPr>
        <w:t xml:space="preserve"> </w:t>
      </w:r>
      <w:r>
        <w:t>for</w:t>
      </w:r>
      <w:r>
        <w:rPr>
          <w:spacing w:val="-8"/>
        </w:rPr>
        <w:t xml:space="preserve"> </w:t>
      </w:r>
      <w:r>
        <w:t>autistic</w:t>
      </w:r>
      <w:r>
        <w:rPr>
          <w:spacing w:val="-6"/>
        </w:rPr>
        <w:t xml:space="preserve"> </w:t>
      </w:r>
      <w:r>
        <w:t>traits</w:t>
      </w:r>
      <w:r>
        <w:rPr>
          <w:spacing w:val="-7"/>
        </w:rPr>
        <w:t xml:space="preserve"> </w:t>
      </w:r>
      <w:r>
        <w:t>resulted</w:t>
      </w:r>
      <w:r>
        <w:rPr>
          <w:spacing w:val="-5"/>
        </w:rPr>
        <w:t xml:space="preserve"> </w:t>
      </w:r>
      <w:r>
        <w:t>in</w:t>
      </w:r>
      <w:r>
        <w:rPr>
          <w:spacing w:val="-4"/>
        </w:rPr>
        <w:t xml:space="preserve"> </w:t>
      </w:r>
      <w:r>
        <w:t>a</w:t>
      </w:r>
      <w:r>
        <w:rPr>
          <w:spacing w:val="-6"/>
        </w:rPr>
        <w:t xml:space="preserve"> </w:t>
      </w:r>
      <w:r>
        <w:t>marginally</w:t>
      </w:r>
      <w:r>
        <w:rPr>
          <w:spacing w:val="-5"/>
        </w:rPr>
        <w:t xml:space="preserve"> </w:t>
      </w:r>
      <w:r>
        <w:t>significant</w:t>
      </w:r>
      <w:r>
        <w:rPr>
          <w:spacing w:val="-4"/>
        </w:rPr>
        <w:t xml:space="preserve"> </w:t>
      </w:r>
      <w:r>
        <w:t>correlation</w:t>
      </w:r>
      <w:r>
        <w:rPr>
          <w:spacing w:val="-5"/>
        </w:rPr>
        <w:t xml:space="preserve"> </w:t>
      </w:r>
      <w:r>
        <w:t>between</w:t>
      </w:r>
      <w:r>
        <w:rPr>
          <w:spacing w:val="-5"/>
        </w:rPr>
        <w:t xml:space="preserve"> </w:t>
      </w:r>
      <w:r>
        <w:t>PM</w:t>
      </w:r>
      <w:r>
        <w:rPr>
          <w:spacing w:val="-6"/>
        </w:rPr>
        <w:t xml:space="preserve"> </w:t>
      </w:r>
      <w:r>
        <w:t xml:space="preserve">target </w:t>
      </w:r>
      <w:r>
        <w:rPr>
          <w:position w:val="2"/>
        </w:rPr>
        <w:t>accuracy</w:t>
      </w:r>
      <w:r>
        <w:rPr>
          <w:spacing w:val="-13"/>
          <w:position w:val="2"/>
        </w:rPr>
        <w:t xml:space="preserve"> </w:t>
      </w:r>
      <w:r>
        <w:rPr>
          <w:position w:val="2"/>
        </w:rPr>
        <w:t>and</w:t>
      </w:r>
      <w:r>
        <w:rPr>
          <w:spacing w:val="-12"/>
          <w:position w:val="2"/>
        </w:rPr>
        <w:t xml:space="preserve"> </w:t>
      </w:r>
      <w:r>
        <w:rPr>
          <w:position w:val="2"/>
        </w:rPr>
        <w:t>interoceptive</w:t>
      </w:r>
      <w:r>
        <w:rPr>
          <w:spacing w:val="-13"/>
          <w:position w:val="2"/>
        </w:rPr>
        <w:t xml:space="preserve"> </w:t>
      </w:r>
      <w:r>
        <w:rPr>
          <w:position w:val="2"/>
        </w:rPr>
        <w:t>accuracy</w:t>
      </w:r>
      <w:r>
        <w:rPr>
          <w:spacing w:val="-12"/>
          <w:position w:val="2"/>
        </w:rPr>
        <w:t xml:space="preserve"> </w:t>
      </w:r>
      <w:r>
        <w:rPr>
          <w:position w:val="2"/>
        </w:rPr>
        <w:t>(</w:t>
      </w:r>
      <w:r>
        <w:rPr>
          <w:i/>
          <w:position w:val="2"/>
        </w:rPr>
        <w:t>r</w:t>
      </w:r>
      <w:r>
        <w:rPr>
          <w:i/>
          <w:spacing w:val="-14"/>
          <w:position w:val="2"/>
        </w:rPr>
        <w:t xml:space="preserve"> </w:t>
      </w:r>
      <w:r>
        <w:rPr>
          <w:position w:val="2"/>
        </w:rPr>
        <w:t>=</w:t>
      </w:r>
      <w:r>
        <w:rPr>
          <w:spacing w:val="-9"/>
          <w:position w:val="2"/>
        </w:rPr>
        <w:t xml:space="preserve"> </w:t>
      </w:r>
      <w:r>
        <w:rPr>
          <w:position w:val="2"/>
        </w:rPr>
        <w:t>-0.35,</w:t>
      </w:r>
      <w:r>
        <w:rPr>
          <w:spacing w:val="-9"/>
          <w:position w:val="2"/>
        </w:rPr>
        <w:t xml:space="preserve"> </w:t>
      </w:r>
      <w:r>
        <w:rPr>
          <w:i/>
          <w:position w:val="2"/>
        </w:rPr>
        <w:t>p</w:t>
      </w:r>
      <w:r>
        <w:rPr>
          <w:i/>
          <w:spacing w:val="-12"/>
          <w:position w:val="2"/>
        </w:rPr>
        <w:t xml:space="preserve"> </w:t>
      </w:r>
      <w:r>
        <w:rPr>
          <w:position w:val="2"/>
        </w:rPr>
        <w:t>=</w:t>
      </w:r>
      <w:r>
        <w:rPr>
          <w:spacing w:val="-13"/>
          <w:position w:val="2"/>
        </w:rPr>
        <w:t xml:space="preserve"> </w:t>
      </w:r>
      <w:r>
        <w:rPr>
          <w:position w:val="2"/>
        </w:rPr>
        <w:t>.09,</w:t>
      </w:r>
      <w:r>
        <w:rPr>
          <w:spacing w:val="-10"/>
          <w:position w:val="2"/>
        </w:rPr>
        <w:t xml:space="preserve"> </w:t>
      </w:r>
      <w:r>
        <w:rPr>
          <w:position w:val="2"/>
        </w:rPr>
        <w:t>BF</w:t>
      </w:r>
      <w:r>
        <w:rPr>
          <w:position w:val="2"/>
          <w:vertAlign w:val="subscript"/>
        </w:rPr>
        <w:t>10</w:t>
      </w:r>
      <w:r>
        <w:rPr>
          <w:spacing w:val="-28"/>
          <w:position w:val="2"/>
        </w:rPr>
        <w:t xml:space="preserve"> </w:t>
      </w:r>
      <w:r>
        <w:rPr>
          <w:position w:val="2"/>
          <w:vertAlign w:val="subscript"/>
        </w:rPr>
        <w:t>negative</w:t>
      </w:r>
      <w:r>
        <w:rPr>
          <w:spacing w:val="-27"/>
          <w:position w:val="2"/>
        </w:rPr>
        <w:t xml:space="preserve"> </w:t>
      </w:r>
      <w:r>
        <w:rPr>
          <w:position w:val="2"/>
          <w:vertAlign w:val="subscript"/>
        </w:rPr>
        <w:t>correlation</w:t>
      </w:r>
      <w:r>
        <w:rPr>
          <w:spacing w:val="-10"/>
          <w:position w:val="2"/>
        </w:rPr>
        <w:t xml:space="preserve"> </w:t>
      </w:r>
      <w:r>
        <w:rPr>
          <w:position w:val="2"/>
        </w:rPr>
        <w:t>=</w:t>
      </w:r>
      <w:r>
        <w:rPr>
          <w:spacing w:val="-13"/>
          <w:position w:val="2"/>
        </w:rPr>
        <w:t xml:space="preserve"> </w:t>
      </w:r>
      <w:r>
        <w:rPr>
          <w:position w:val="2"/>
        </w:rPr>
        <w:t>1.83,</w:t>
      </w:r>
      <w:r>
        <w:rPr>
          <w:spacing w:val="-9"/>
          <w:position w:val="2"/>
        </w:rPr>
        <w:t xml:space="preserve"> </w:t>
      </w:r>
      <w:r>
        <w:rPr>
          <w:position w:val="2"/>
        </w:rPr>
        <w:t>BF</w:t>
      </w:r>
      <w:r>
        <w:rPr>
          <w:position w:val="2"/>
          <w:vertAlign w:val="subscript"/>
        </w:rPr>
        <w:t>10</w:t>
      </w:r>
      <w:r>
        <w:rPr>
          <w:spacing w:val="-27"/>
          <w:position w:val="2"/>
        </w:rPr>
        <w:t xml:space="preserve"> </w:t>
      </w:r>
      <w:r>
        <w:rPr>
          <w:position w:val="2"/>
          <w:vertAlign w:val="subscript"/>
        </w:rPr>
        <w:t>correlation</w:t>
      </w:r>
    </w:p>
    <w:p w14:paraId="5A35F566" w14:textId="77777777" w:rsidR="00C75312" w:rsidRDefault="00BB293A">
      <w:pPr>
        <w:pStyle w:val="BodyText"/>
        <w:spacing w:line="463" w:lineRule="auto"/>
        <w:ind w:left="140" w:right="231"/>
        <w:jc w:val="both"/>
      </w:pPr>
      <w:r>
        <w:rPr>
          <w:position w:val="2"/>
        </w:rPr>
        <w:t>=</w:t>
      </w:r>
      <w:r>
        <w:rPr>
          <w:spacing w:val="-3"/>
          <w:position w:val="2"/>
        </w:rPr>
        <w:t xml:space="preserve"> </w:t>
      </w:r>
      <w:r>
        <w:rPr>
          <w:position w:val="2"/>
        </w:rPr>
        <w:t>0.96)</w:t>
      </w:r>
      <w:r>
        <w:rPr>
          <w:spacing w:val="-5"/>
          <w:position w:val="2"/>
        </w:rPr>
        <w:t xml:space="preserve"> </w:t>
      </w:r>
      <w:r>
        <w:rPr>
          <w:position w:val="2"/>
        </w:rPr>
        <w:t>but</w:t>
      </w:r>
      <w:r>
        <w:rPr>
          <w:spacing w:val="-6"/>
          <w:position w:val="2"/>
        </w:rPr>
        <w:t xml:space="preserve"> </w:t>
      </w:r>
      <w:r>
        <w:rPr>
          <w:position w:val="2"/>
        </w:rPr>
        <w:t>not</w:t>
      </w:r>
      <w:r>
        <w:rPr>
          <w:spacing w:val="-5"/>
          <w:position w:val="2"/>
        </w:rPr>
        <w:t xml:space="preserve"> </w:t>
      </w:r>
      <w:r>
        <w:rPr>
          <w:position w:val="2"/>
        </w:rPr>
        <w:t>when</w:t>
      </w:r>
      <w:r>
        <w:rPr>
          <w:spacing w:val="-2"/>
          <w:position w:val="2"/>
        </w:rPr>
        <w:t xml:space="preserve"> </w:t>
      </w:r>
      <w:r>
        <w:rPr>
          <w:position w:val="2"/>
        </w:rPr>
        <w:t>controlling</w:t>
      </w:r>
      <w:r>
        <w:rPr>
          <w:spacing w:val="-7"/>
          <w:position w:val="2"/>
        </w:rPr>
        <w:t xml:space="preserve"> </w:t>
      </w:r>
      <w:r>
        <w:rPr>
          <w:position w:val="2"/>
        </w:rPr>
        <w:t>for</w:t>
      </w:r>
      <w:r>
        <w:rPr>
          <w:spacing w:val="-4"/>
          <w:position w:val="2"/>
        </w:rPr>
        <w:t xml:space="preserve"> </w:t>
      </w:r>
      <w:r>
        <w:rPr>
          <w:position w:val="2"/>
        </w:rPr>
        <w:t>alexithymia</w:t>
      </w:r>
      <w:r>
        <w:rPr>
          <w:spacing w:val="-3"/>
          <w:position w:val="2"/>
        </w:rPr>
        <w:t xml:space="preserve"> </w:t>
      </w:r>
      <w:r>
        <w:rPr>
          <w:position w:val="2"/>
        </w:rPr>
        <w:t>traits</w:t>
      </w:r>
      <w:r>
        <w:rPr>
          <w:spacing w:val="-4"/>
          <w:position w:val="2"/>
        </w:rPr>
        <w:t xml:space="preserve"> </w:t>
      </w:r>
      <w:r>
        <w:rPr>
          <w:position w:val="2"/>
        </w:rPr>
        <w:t>(</w:t>
      </w:r>
      <w:r>
        <w:rPr>
          <w:i/>
          <w:position w:val="2"/>
        </w:rPr>
        <w:t>r</w:t>
      </w:r>
      <w:r>
        <w:rPr>
          <w:i/>
          <w:spacing w:val="-4"/>
          <w:position w:val="2"/>
        </w:rPr>
        <w:t xml:space="preserve"> </w:t>
      </w:r>
      <w:r>
        <w:rPr>
          <w:position w:val="2"/>
        </w:rPr>
        <w:t>=</w:t>
      </w:r>
      <w:r>
        <w:rPr>
          <w:spacing w:val="-7"/>
          <w:position w:val="2"/>
        </w:rPr>
        <w:t xml:space="preserve"> </w:t>
      </w:r>
      <w:r>
        <w:rPr>
          <w:position w:val="2"/>
        </w:rPr>
        <w:t>-0.27,</w:t>
      </w:r>
      <w:r>
        <w:rPr>
          <w:spacing w:val="-4"/>
          <w:position w:val="2"/>
        </w:rPr>
        <w:t xml:space="preserve"> </w:t>
      </w:r>
      <w:r>
        <w:rPr>
          <w:i/>
          <w:position w:val="2"/>
        </w:rPr>
        <w:t>p</w:t>
      </w:r>
      <w:r>
        <w:rPr>
          <w:i/>
          <w:spacing w:val="-6"/>
          <w:position w:val="2"/>
        </w:rPr>
        <w:t xml:space="preserve"> </w:t>
      </w:r>
      <w:r>
        <w:rPr>
          <w:position w:val="2"/>
        </w:rPr>
        <w:t>=</w:t>
      </w:r>
      <w:r>
        <w:rPr>
          <w:spacing w:val="-12"/>
          <w:position w:val="2"/>
        </w:rPr>
        <w:t xml:space="preserve"> </w:t>
      </w:r>
      <w:r>
        <w:rPr>
          <w:position w:val="2"/>
        </w:rPr>
        <w:t>.19,</w:t>
      </w:r>
      <w:r>
        <w:rPr>
          <w:spacing w:val="-4"/>
          <w:position w:val="2"/>
        </w:rPr>
        <w:t xml:space="preserve"> </w:t>
      </w:r>
      <w:r>
        <w:rPr>
          <w:position w:val="2"/>
        </w:rPr>
        <w:t>BF</w:t>
      </w:r>
      <w:r>
        <w:rPr>
          <w:position w:val="2"/>
          <w:vertAlign w:val="subscript"/>
        </w:rPr>
        <w:t>10</w:t>
      </w:r>
      <w:r>
        <w:rPr>
          <w:spacing w:val="-23"/>
          <w:position w:val="2"/>
        </w:rPr>
        <w:t xml:space="preserve"> </w:t>
      </w:r>
      <w:r>
        <w:rPr>
          <w:position w:val="2"/>
          <w:vertAlign w:val="subscript"/>
        </w:rPr>
        <w:t>negative</w:t>
      </w:r>
      <w:r>
        <w:rPr>
          <w:spacing w:val="-22"/>
          <w:position w:val="2"/>
        </w:rPr>
        <w:t xml:space="preserve"> </w:t>
      </w:r>
      <w:r>
        <w:rPr>
          <w:position w:val="2"/>
          <w:vertAlign w:val="subscript"/>
        </w:rPr>
        <w:t>correlation</w:t>
      </w:r>
      <w:r>
        <w:rPr>
          <w:position w:val="2"/>
        </w:rPr>
        <w:t xml:space="preserve"> = 1.00,</w:t>
      </w:r>
      <w:r>
        <w:rPr>
          <w:spacing w:val="-15"/>
          <w:position w:val="2"/>
        </w:rPr>
        <w:t xml:space="preserve"> </w:t>
      </w:r>
      <w:r>
        <w:rPr>
          <w:position w:val="2"/>
        </w:rPr>
        <w:t>BF</w:t>
      </w:r>
      <w:r>
        <w:rPr>
          <w:position w:val="2"/>
          <w:vertAlign w:val="subscript"/>
        </w:rPr>
        <w:t>10</w:t>
      </w:r>
      <w:r>
        <w:rPr>
          <w:spacing w:val="-32"/>
          <w:position w:val="2"/>
        </w:rPr>
        <w:t xml:space="preserve"> </w:t>
      </w:r>
      <w:r>
        <w:rPr>
          <w:position w:val="2"/>
          <w:vertAlign w:val="subscript"/>
        </w:rPr>
        <w:t>correlation</w:t>
      </w:r>
      <w:r>
        <w:rPr>
          <w:spacing w:val="-15"/>
          <w:position w:val="2"/>
        </w:rPr>
        <w:t xml:space="preserve"> </w:t>
      </w:r>
      <w:r>
        <w:rPr>
          <w:position w:val="2"/>
        </w:rPr>
        <w:t>=</w:t>
      </w:r>
      <w:r>
        <w:rPr>
          <w:spacing w:val="-18"/>
          <w:position w:val="2"/>
        </w:rPr>
        <w:t xml:space="preserve"> </w:t>
      </w:r>
      <w:r>
        <w:rPr>
          <w:position w:val="2"/>
        </w:rPr>
        <w:t>0.56).</w:t>
      </w:r>
      <w:r>
        <w:rPr>
          <w:spacing w:val="28"/>
          <w:position w:val="2"/>
        </w:rPr>
        <w:t xml:space="preserve"> </w:t>
      </w:r>
      <w:r>
        <w:rPr>
          <w:position w:val="2"/>
        </w:rPr>
        <w:t>Additionally,</w:t>
      </w:r>
      <w:r>
        <w:rPr>
          <w:spacing w:val="-14"/>
          <w:position w:val="2"/>
        </w:rPr>
        <w:t xml:space="preserve"> </w:t>
      </w:r>
      <w:r>
        <w:rPr>
          <w:position w:val="2"/>
        </w:rPr>
        <w:t>autism</w:t>
      </w:r>
      <w:r>
        <w:rPr>
          <w:spacing w:val="-17"/>
          <w:position w:val="2"/>
        </w:rPr>
        <w:t xml:space="preserve"> </w:t>
      </w:r>
      <w:r>
        <w:rPr>
          <w:position w:val="2"/>
        </w:rPr>
        <w:t>traits</w:t>
      </w:r>
      <w:r>
        <w:rPr>
          <w:spacing w:val="-19"/>
          <w:position w:val="2"/>
        </w:rPr>
        <w:t xml:space="preserve"> </w:t>
      </w:r>
      <w:r>
        <w:rPr>
          <w:position w:val="2"/>
        </w:rPr>
        <w:t>were</w:t>
      </w:r>
      <w:r>
        <w:rPr>
          <w:spacing w:val="-18"/>
          <w:position w:val="2"/>
        </w:rPr>
        <w:t xml:space="preserve"> </w:t>
      </w:r>
      <w:r>
        <w:rPr>
          <w:position w:val="2"/>
        </w:rPr>
        <w:t>strongly</w:t>
      </w:r>
      <w:r>
        <w:rPr>
          <w:spacing w:val="-17"/>
          <w:position w:val="2"/>
        </w:rPr>
        <w:t xml:space="preserve"> </w:t>
      </w:r>
      <w:r>
        <w:rPr>
          <w:position w:val="2"/>
        </w:rPr>
        <w:t>associated</w:t>
      </w:r>
      <w:r>
        <w:rPr>
          <w:spacing w:val="-16"/>
          <w:position w:val="2"/>
        </w:rPr>
        <w:t xml:space="preserve"> </w:t>
      </w:r>
      <w:r>
        <w:rPr>
          <w:position w:val="2"/>
        </w:rPr>
        <w:t>with</w:t>
      </w:r>
      <w:r>
        <w:rPr>
          <w:spacing w:val="-17"/>
          <w:position w:val="2"/>
        </w:rPr>
        <w:t xml:space="preserve"> </w:t>
      </w:r>
      <w:r>
        <w:rPr>
          <w:position w:val="2"/>
        </w:rPr>
        <w:t>time-based PM</w:t>
      </w:r>
      <w:r>
        <w:rPr>
          <w:spacing w:val="-5"/>
          <w:position w:val="2"/>
        </w:rPr>
        <w:t xml:space="preserve"> </w:t>
      </w:r>
      <w:r>
        <w:rPr>
          <w:position w:val="2"/>
        </w:rPr>
        <w:t>after</w:t>
      </w:r>
      <w:r>
        <w:rPr>
          <w:spacing w:val="-4"/>
          <w:position w:val="2"/>
        </w:rPr>
        <w:t xml:space="preserve"> </w:t>
      </w:r>
      <w:r>
        <w:rPr>
          <w:position w:val="2"/>
        </w:rPr>
        <w:t>controlling</w:t>
      </w:r>
      <w:r>
        <w:rPr>
          <w:spacing w:val="-7"/>
          <w:position w:val="2"/>
        </w:rPr>
        <w:t xml:space="preserve"> </w:t>
      </w:r>
      <w:r>
        <w:rPr>
          <w:position w:val="2"/>
        </w:rPr>
        <w:t>for</w:t>
      </w:r>
      <w:r>
        <w:rPr>
          <w:spacing w:val="-5"/>
          <w:position w:val="2"/>
        </w:rPr>
        <w:t xml:space="preserve"> </w:t>
      </w:r>
      <w:r>
        <w:rPr>
          <w:position w:val="2"/>
        </w:rPr>
        <w:t>interoceptive</w:t>
      </w:r>
      <w:r>
        <w:rPr>
          <w:spacing w:val="-3"/>
          <w:position w:val="2"/>
        </w:rPr>
        <w:t xml:space="preserve"> </w:t>
      </w:r>
      <w:r>
        <w:rPr>
          <w:position w:val="2"/>
        </w:rPr>
        <w:t>accuracy</w:t>
      </w:r>
      <w:r>
        <w:rPr>
          <w:spacing w:val="-7"/>
          <w:position w:val="2"/>
        </w:rPr>
        <w:t xml:space="preserve"> </w:t>
      </w:r>
      <w:r>
        <w:rPr>
          <w:position w:val="2"/>
        </w:rPr>
        <w:t>(</w:t>
      </w:r>
      <w:r>
        <w:rPr>
          <w:i/>
          <w:position w:val="2"/>
        </w:rPr>
        <w:t>r</w:t>
      </w:r>
      <w:r>
        <w:rPr>
          <w:i/>
          <w:spacing w:val="-9"/>
          <w:position w:val="2"/>
        </w:rPr>
        <w:t xml:space="preserve"> </w:t>
      </w:r>
      <w:r>
        <w:rPr>
          <w:position w:val="2"/>
        </w:rPr>
        <w:t>=</w:t>
      </w:r>
      <w:r>
        <w:rPr>
          <w:spacing w:val="-3"/>
          <w:position w:val="2"/>
        </w:rPr>
        <w:t xml:space="preserve"> </w:t>
      </w:r>
      <w:r>
        <w:rPr>
          <w:position w:val="2"/>
        </w:rPr>
        <w:t>.65,</w:t>
      </w:r>
      <w:r>
        <w:rPr>
          <w:spacing w:val="-4"/>
          <w:position w:val="2"/>
        </w:rPr>
        <w:t xml:space="preserve"> </w:t>
      </w:r>
      <w:r>
        <w:rPr>
          <w:position w:val="2"/>
        </w:rPr>
        <w:t>p</w:t>
      </w:r>
      <w:r>
        <w:rPr>
          <w:spacing w:val="-7"/>
          <w:position w:val="2"/>
        </w:rPr>
        <w:t xml:space="preserve"> </w:t>
      </w:r>
      <w:r>
        <w:rPr>
          <w:position w:val="2"/>
        </w:rPr>
        <w:t>&lt;</w:t>
      </w:r>
      <w:r>
        <w:rPr>
          <w:spacing w:val="-7"/>
          <w:position w:val="2"/>
        </w:rPr>
        <w:t xml:space="preserve"> </w:t>
      </w:r>
      <w:r>
        <w:rPr>
          <w:position w:val="2"/>
        </w:rPr>
        <w:t>.001,</w:t>
      </w:r>
      <w:r>
        <w:rPr>
          <w:spacing w:val="-4"/>
          <w:position w:val="2"/>
        </w:rPr>
        <w:t xml:space="preserve"> </w:t>
      </w:r>
      <w:r>
        <w:rPr>
          <w:position w:val="2"/>
        </w:rPr>
        <w:t>BF</w:t>
      </w:r>
      <w:r>
        <w:rPr>
          <w:position w:val="2"/>
          <w:vertAlign w:val="subscript"/>
        </w:rPr>
        <w:t>10</w:t>
      </w:r>
      <w:r>
        <w:rPr>
          <w:spacing w:val="-23"/>
          <w:position w:val="2"/>
        </w:rPr>
        <w:t xml:space="preserve"> </w:t>
      </w:r>
      <w:r>
        <w:rPr>
          <w:position w:val="2"/>
          <w:vertAlign w:val="subscript"/>
        </w:rPr>
        <w:t>positive</w:t>
      </w:r>
      <w:r>
        <w:rPr>
          <w:spacing w:val="-23"/>
          <w:position w:val="2"/>
        </w:rPr>
        <w:t xml:space="preserve"> </w:t>
      </w:r>
      <w:r>
        <w:rPr>
          <w:position w:val="2"/>
          <w:vertAlign w:val="subscript"/>
        </w:rPr>
        <w:t>correlation</w:t>
      </w:r>
      <w:r>
        <w:rPr>
          <w:position w:val="2"/>
        </w:rPr>
        <w:t xml:space="preserve"> =</w:t>
      </w:r>
      <w:r>
        <w:rPr>
          <w:spacing w:val="-3"/>
          <w:position w:val="2"/>
        </w:rPr>
        <w:t xml:space="preserve"> </w:t>
      </w:r>
      <w:r>
        <w:rPr>
          <w:position w:val="2"/>
        </w:rPr>
        <w:t>182.43, BF</w:t>
      </w:r>
      <w:r>
        <w:rPr>
          <w:sz w:val="16"/>
        </w:rPr>
        <w:t xml:space="preserve">10 correlation </w:t>
      </w:r>
      <w:r>
        <w:rPr>
          <w:position w:val="2"/>
        </w:rPr>
        <w:t>= BF</w:t>
      </w:r>
      <w:r>
        <w:rPr>
          <w:sz w:val="16"/>
        </w:rPr>
        <w:t xml:space="preserve">10 </w:t>
      </w:r>
      <w:r>
        <w:rPr>
          <w:position w:val="2"/>
        </w:rPr>
        <w:t>=</w:t>
      </w:r>
      <w:r>
        <w:rPr>
          <w:spacing w:val="-14"/>
          <w:position w:val="2"/>
        </w:rPr>
        <w:t xml:space="preserve"> </w:t>
      </w:r>
      <w:r>
        <w:rPr>
          <w:position w:val="2"/>
        </w:rPr>
        <w:t>91.24).</w:t>
      </w:r>
    </w:p>
    <w:p w14:paraId="63142145" w14:textId="77777777" w:rsidR="00C75312" w:rsidRDefault="00BB293A">
      <w:pPr>
        <w:pStyle w:val="BodyText"/>
        <w:spacing w:before="125" w:line="477" w:lineRule="auto"/>
        <w:ind w:left="140" w:right="228" w:firstLine="720"/>
        <w:jc w:val="both"/>
      </w:pPr>
      <w:r>
        <w:t xml:space="preserve">In the </w:t>
      </w:r>
      <w:r>
        <w:rPr>
          <w:i/>
        </w:rPr>
        <w:t xml:space="preserve">event-based PM condition, </w:t>
      </w:r>
      <w:r>
        <w:t>controlling for WCST performance resulted in a marginally</w:t>
      </w:r>
      <w:r>
        <w:rPr>
          <w:spacing w:val="-10"/>
        </w:rPr>
        <w:t xml:space="preserve"> </w:t>
      </w:r>
      <w:r>
        <w:t>significant</w:t>
      </w:r>
      <w:r>
        <w:rPr>
          <w:spacing w:val="-9"/>
        </w:rPr>
        <w:t xml:space="preserve"> </w:t>
      </w:r>
      <w:r>
        <w:t>correlation</w:t>
      </w:r>
      <w:r>
        <w:rPr>
          <w:spacing w:val="-10"/>
        </w:rPr>
        <w:t xml:space="preserve"> </w:t>
      </w:r>
      <w:r>
        <w:t>between</w:t>
      </w:r>
      <w:r>
        <w:rPr>
          <w:spacing w:val="-14"/>
        </w:rPr>
        <w:t xml:space="preserve"> </w:t>
      </w:r>
      <w:r>
        <w:t>PM</w:t>
      </w:r>
      <w:r>
        <w:rPr>
          <w:spacing w:val="-11"/>
        </w:rPr>
        <w:t xml:space="preserve"> </w:t>
      </w:r>
      <w:r>
        <w:t>hits</w:t>
      </w:r>
      <w:r>
        <w:rPr>
          <w:spacing w:val="-17"/>
        </w:rPr>
        <w:t xml:space="preserve"> </w:t>
      </w:r>
      <w:r>
        <w:t>and</w:t>
      </w:r>
      <w:r>
        <w:rPr>
          <w:spacing w:val="-10"/>
        </w:rPr>
        <w:t xml:space="preserve"> </w:t>
      </w:r>
      <w:r>
        <w:t>interoceptive</w:t>
      </w:r>
      <w:r>
        <w:rPr>
          <w:spacing w:val="-11"/>
        </w:rPr>
        <w:t xml:space="preserve"> </w:t>
      </w:r>
      <w:r>
        <w:t>accuracy</w:t>
      </w:r>
      <w:r>
        <w:rPr>
          <w:spacing w:val="-10"/>
        </w:rPr>
        <w:t xml:space="preserve"> </w:t>
      </w:r>
      <w:r>
        <w:t>(</w:t>
      </w:r>
      <w:r>
        <w:rPr>
          <w:i/>
        </w:rPr>
        <w:t>r</w:t>
      </w:r>
      <w:r>
        <w:rPr>
          <w:i/>
          <w:spacing w:val="-11"/>
        </w:rPr>
        <w:t xml:space="preserve"> </w:t>
      </w:r>
      <w:r>
        <w:t>=</w:t>
      </w:r>
      <w:r>
        <w:rPr>
          <w:spacing w:val="-15"/>
        </w:rPr>
        <w:t xml:space="preserve"> </w:t>
      </w:r>
      <w:r>
        <w:t>.36,</w:t>
      </w:r>
      <w:r>
        <w:rPr>
          <w:spacing w:val="-7"/>
        </w:rPr>
        <w:t xml:space="preserve"> </w:t>
      </w:r>
      <w:r>
        <w:rPr>
          <w:i/>
        </w:rPr>
        <w:t>p</w:t>
      </w:r>
      <w:r>
        <w:rPr>
          <w:i/>
          <w:spacing w:val="-14"/>
        </w:rPr>
        <w:t xml:space="preserve"> </w:t>
      </w:r>
      <w:r>
        <w:t>=</w:t>
      </w:r>
      <w:r>
        <w:rPr>
          <w:spacing w:val="-10"/>
        </w:rPr>
        <w:t xml:space="preserve"> </w:t>
      </w:r>
      <w:r>
        <w:t xml:space="preserve">.06, </w:t>
      </w:r>
      <w:r>
        <w:rPr>
          <w:position w:val="2"/>
        </w:rPr>
        <w:t>BF</w:t>
      </w:r>
      <w:r>
        <w:rPr>
          <w:position w:val="2"/>
          <w:vertAlign w:val="subscript"/>
        </w:rPr>
        <w:t>10</w:t>
      </w:r>
      <w:r>
        <w:rPr>
          <w:position w:val="2"/>
        </w:rPr>
        <w:t xml:space="preserve"> </w:t>
      </w:r>
      <w:r>
        <w:rPr>
          <w:position w:val="2"/>
          <w:vertAlign w:val="subscript"/>
        </w:rPr>
        <w:t>positive</w:t>
      </w:r>
      <w:r>
        <w:rPr>
          <w:position w:val="2"/>
        </w:rPr>
        <w:t xml:space="preserve"> </w:t>
      </w:r>
      <w:r>
        <w:rPr>
          <w:position w:val="2"/>
          <w:vertAlign w:val="subscript"/>
        </w:rPr>
        <w:t>correlation</w:t>
      </w:r>
      <w:r>
        <w:rPr>
          <w:position w:val="2"/>
        </w:rPr>
        <w:t xml:space="preserve"> = 2.43, BF</w:t>
      </w:r>
      <w:r>
        <w:rPr>
          <w:position w:val="2"/>
          <w:vertAlign w:val="subscript"/>
        </w:rPr>
        <w:t>10</w:t>
      </w:r>
      <w:r>
        <w:rPr>
          <w:position w:val="2"/>
        </w:rPr>
        <w:t xml:space="preserve"> </w:t>
      </w:r>
      <w:r>
        <w:rPr>
          <w:position w:val="2"/>
          <w:vertAlign w:val="subscript"/>
        </w:rPr>
        <w:t>correlation</w:t>
      </w:r>
      <w:r>
        <w:rPr>
          <w:position w:val="2"/>
        </w:rPr>
        <w:t xml:space="preserve"> = 1.26). This indicates that better event-based </w:t>
      </w:r>
      <w:r>
        <w:rPr>
          <w:spacing w:val="2"/>
          <w:position w:val="2"/>
        </w:rPr>
        <w:t xml:space="preserve">PM </w:t>
      </w:r>
      <w:r>
        <w:rPr>
          <w:position w:val="2"/>
        </w:rPr>
        <w:t xml:space="preserve">was </w:t>
      </w:r>
      <w:r>
        <w:t xml:space="preserve">associated with better interoceptive accuracy when excluding the influence </w:t>
      </w:r>
      <w:r>
        <w:rPr>
          <w:spacing w:val="-3"/>
        </w:rPr>
        <w:t xml:space="preserve">of </w:t>
      </w:r>
      <w:r>
        <w:t>cognitive flexibility. When reversing the partial correlation controlling for PM hits, WCST</w:t>
      </w:r>
      <w:r>
        <w:rPr>
          <w:spacing w:val="-43"/>
        </w:rPr>
        <w:t xml:space="preserve"> </w:t>
      </w:r>
      <w:r>
        <w:t xml:space="preserve">performance </w:t>
      </w:r>
      <w:r>
        <w:rPr>
          <w:position w:val="2"/>
        </w:rPr>
        <w:t>remained</w:t>
      </w:r>
      <w:r>
        <w:rPr>
          <w:spacing w:val="-8"/>
          <w:position w:val="2"/>
        </w:rPr>
        <w:t xml:space="preserve"> </w:t>
      </w:r>
      <w:r>
        <w:rPr>
          <w:position w:val="2"/>
        </w:rPr>
        <w:t>positively</w:t>
      </w:r>
      <w:r>
        <w:rPr>
          <w:spacing w:val="-7"/>
          <w:position w:val="2"/>
        </w:rPr>
        <w:t xml:space="preserve"> </w:t>
      </w:r>
      <w:r>
        <w:rPr>
          <w:position w:val="2"/>
        </w:rPr>
        <w:t>correlated</w:t>
      </w:r>
      <w:r>
        <w:rPr>
          <w:spacing w:val="-7"/>
          <w:position w:val="2"/>
        </w:rPr>
        <w:t xml:space="preserve"> </w:t>
      </w:r>
      <w:r>
        <w:rPr>
          <w:position w:val="2"/>
        </w:rPr>
        <w:t>with</w:t>
      </w:r>
      <w:r>
        <w:rPr>
          <w:spacing w:val="-7"/>
          <w:position w:val="2"/>
        </w:rPr>
        <w:t xml:space="preserve"> </w:t>
      </w:r>
      <w:r>
        <w:rPr>
          <w:position w:val="2"/>
        </w:rPr>
        <w:t>interoceptive</w:t>
      </w:r>
      <w:r>
        <w:rPr>
          <w:spacing w:val="-9"/>
          <w:position w:val="2"/>
        </w:rPr>
        <w:t xml:space="preserve"> </w:t>
      </w:r>
      <w:r>
        <w:rPr>
          <w:position w:val="2"/>
        </w:rPr>
        <w:t>accuracy</w:t>
      </w:r>
      <w:r>
        <w:rPr>
          <w:spacing w:val="-7"/>
          <w:position w:val="2"/>
        </w:rPr>
        <w:t xml:space="preserve"> </w:t>
      </w:r>
      <w:r>
        <w:rPr>
          <w:position w:val="2"/>
        </w:rPr>
        <w:t>(</w:t>
      </w:r>
      <w:r>
        <w:rPr>
          <w:i/>
          <w:position w:val="2"/>
        </w:rPr>
        <w:t>r</w:t>
      </w:r>
      <w:r>
        <w:rPr>
          <w:i/>
          <w:spacing w:val="-9"/>
          <w:position w:val="2"/>
        </w:rPr>
        <w:t xml:space="preserve"> </w:t>
      </w:r>
      <w:r>
        <w:rPr>
          <w:position w:val="2"/>
        </w:rPr>
        <w:t>=</w:t>
      </w:r>
      <w:r>
        <w:rPr>
          <w:spacing w:val="-8"/>
          <w:position w:val="2"/>
        </w:rPr>
        <w:t xml:space="preserve"> </w:t>
      </w:r>
      <w:r>
        <w:rPr>
          <w:position w:val="2"/>
        </w:rPr>
        <w:t>.43,</w:t>
      </w:r>
      <w:r>
        <w:rPr>
          <w:spacing w:val="-5"/>
          <w:position w:val="2"/>
        </w:rPr>
        <w:t xml:space="preserve"> </w:t>
      </w:r>
      <w:r>
        <w:rPr>
          <w:i/>
          <w:position w:val="2"/>
        </w:rPr>
        <w:t>p</w:t>
      </w:r>
      <w:r>
        <w:rPr>
          <w:i/>
          <w:spacing w:val="-7"/>
          <w:position w:val="2"/>
        </w:rPr>
        <w:t xml:space="preserve"> </w:t>
      </w:r>
      <w:r>
        <w:rPr>
          <w:position w:val="2"/>
        </w:rPr>
        <w:t>=</w:t>
      </w:r>
      <w:r>
        <w:rPr>
          <w:spacing w:val="-13"/>
          <w:position w:val="2"/>
        </w:rPr>
        <w:t xml:space="preserve"> </w:t>
      </w:r>
      <w:r>
        <w:rPr>
          <w:position w:val="2"/>
        </w:rPr>
        <w:t>.02,</w:t>
      </w:r>
      <w:r>
        <w:rPr>
          <w:spacing w:val="-4"/>
          <w:position w:val="2"/>
        </w:rPr>
        <w:t xml:space="preserve"> </w:t>
      </w:r>
      <w:r>
        <w:rPr>
          <w:position w:val="2"/>
        </w:rPr>
        <w:t>BF</w:t>
      </w:r>
      <w:r>
        <w:rPr>
          <w:position w:val="2"/>
          <w:vertAlign w:val="subscript"/>
        </w:rPr>
        <w:t>10</w:t>
      </w:r>
      <w:r>
        <w:rPr>
          <w:spacing w:val="-23"/>
          <w:position w:val="2"/>
        </w:rPr>
        <w:t xml:space="preserve"> </w:t>
      </w:r>
      <w:r>
        <w:rPr>
          <w:position w:val="2"/>
          <w:vertAlign w:val="subscript"/>
        </w:rPr>
        <w:t>positive</w:t>
      </w:r>
      <w:r>
        <w:rPr>
          <w:spacing w:val="-23"/>
          <w:position w:val="2"/>
        </w:rPr>
        <w:t xml:space="preserve"> </w:t>
      </w:r>
      <w:r>
        <w:rPr>
          <w:position w:val="2"/>
          <w:vertAlign w:val="subscript"/>
        </w:rPr>
        <w:t>correlation</w:t>
      </w:r>
    </w:p>
    <w:p w14:paraId="164D3E64" w14:textId="77777777" w:rsidR="00C75312" w:rsidRDefault="00BB293A">
      <w:pPr>
        <w:pStyle w:val="BodyText"/>
        <w:spacing w:line="272" w:lineRule="exact"/>
        <w:ind w:left="140"/>
        <w:jc w:val="both"/>
      </w:pPr>
      <w:r>
        <w:rPr>
          <w:position w:val="2"/>
        </w:rPr>
        <w:t>= 5.39, BF</w:t>
      </w:r>
      <w:r>
        <w:rPr>
          <w:position w:val="2"/>
          <w:vertAlign w:val="subscript"/>
        </w:rPr>
        <w:t>10</w:t>
      </w:r>
      <w:r>
        <w:rPr>
          <w:position w:val="2"/>
        </w:rPr>
        <w:t xml:space="preserve"> </w:t>
      </w:r>
      <w:r>
        <w:rPr>
          <w:position w:val="2"/>
          <w:vertAlign w:val="subscript"/>
        </w:rPr>
        <w:t>correlation</w:t>
      </w:r>
      <w:r>
        <w:rPr>
          <w:position w:val="2"/>
        </w:rPr>
        <w:t xml:space="preserve"> = 2.73).</w:t>
      </w:r>
    </w:p>
    <w:p w14:paraId="2C5F5281" w14:textId="77777777" w:rsidR="00C75312" w:rsidRDefault="00C75312">
      <w:pPr>
        <w:pStyle w:val="BodyText"/>
        <w:rPr>
          <w:sz w:val="20"/>
        </w:rPr>
      </w:pPr>
    </w:p>
    <w:p w14:paraId="5FECDFF9" w14:textId="77777777" w:rsidR="00C75312" w:rsidRDefault="00BB293A">
      <w:pPr>
        <w:pStyle w:val="BodyText"/>
        <w:spacing w:before="4"/>
        <w:rPr>
          <w:sz w:val="10"/>
        </w:rPr>
      </w:pPr>
      <w:r>
        <w:rPr>
          <w:noProof/>
        </w:rPr>
        <w:drawing>
          <wp:anchor distT="0" distB="0" distL="0" distR="0" simplePos="0" relativeHeight="163" behindDoc="0" locked="0" layoutInCell="1" allowOverlap="1" wp14:anchorId="7C576AFE" wp14:editId="40B07EC5">
            <wp:simplePos x="0" y="0"/>
            <wp:positionH relativeFrom="page">
              <wp:posOffset>946070</wp:posOffset>
            </wp:positionH>
            <wp:positionV relativeFrom="paragraph">
              <wp:posOffset>100854</wp:posOffset>
            </wp:positionV>
            <wp:extent cx="5768075" cy="1751076"/>
            <wp:effectExtent l="0" t="0" r="0" b="0"/>
            <wp:wrapTopAndBottom/>
            <wp:docPr id="3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51" cstate="print"/>
                    <a:stretch>
                      <a:fillRect/>
                    </a:stretch>
                  </pic:blipFill>
                  <pic:spPr>
                    <a:xfrm>
                      <a:off x="0" y="0"/>
                      <a:ext cx="5768075" cy="1751076"/>
                    </a:xfrm>
                    <a:prstGeom prst="rect">
                      <a:avLst/>
                    </a:prstGeom>
                  </pic:spPr>
                </pic:pic>
              </a:graphicData>
            </a:graphic>
          </wp:anchor>
        </w:drawing>
      </w:r>
    </w:p>
    <w:p w14:paraId="1D594DBE" w14:textId="77777777" w:rsidR="00C75312" w:rsidRDefault="00C75312">
      <w:pPr>
        <w:pStyle w:val="BodyText"/>
        <w:spacing w:before="9"/>
        <w:rPr>
          <w:sz w:val="22"/>
        </w:rPr>
      </w:pPr>
    </w:p>
    <w:p w14:paraId="06083649" w14:textId="77777777" w:rsidR="00C75312" w:rsidRDefault="00BB293A">
      <w:pPr>
        <w:spacing w:before="1"/>
        <w:ind w:left="140"/>
        <w:rPr>
          <w:i/>
          <w:sz w:val="20"/>
        </w:rPr>
      </w:pPr>
      <w:r>
        <w:rPr>
          <w:i/>
          <w:sz w:val="20"/>
        </w:rPr>
        <w:t>Figure 15. Illustration of partial correlations by plotting the correlations between the respective residuals for</w:t>
      </w:r>
    </w:p>
    <w:p w14:paraId="04175435" w14:textId="77777777" w:rsidR="00C75312" w:rsidRDefault="00BB293A">
      <w:pPr>
        <w:ind w:left="140" w:right="514"/>
        <w:rPr>
          <w:i/>
          <w:sz w:val="20"/>
        </w:rPr>
      </w:pPr>
      <w:r>
        <w:rPr>
          <w:i/>
          <w:sz w:val="20"/>
        </w:rPr>
        <w:t>(1) interoceptive accuracy and time-based PM target accuracy controlling for autistic traits (left), (2) autism traits and time-based PM target accuracy controlling for alexithymia traits (middle), and (3) interoceptive accuracy and event-based PM proportion hits controlling for cognitive flexibility(right)</w:t>
      </w:r>
    </w:p>
    <w:p w14:paraId="0E0625E3" w14:textId="77777777" w:rsidR="00C75312" w:rsidRDefault="00C75312">
      <w:pPr>
        <w:rPr>
          <w:sz w:val="20"/>
        </w:rPr>
        <w:sectPr w:rsidR="00C75312">
          <w:headerReference w:type="default" r:id="rId52"/>
          <w:pgSz w:w="11900" w:h="16840"/>
          <w:pgMar w:top="1160" w:right="1200" w:bottom="280" w:left="1300" w:header="715" w:footer="0" w:gutter="0"/>
          <w:pgNumType w:start="141"/>
          <w:cols w:space="720"/>
        </w:sectPr>
      </w:pPr>
    </w:p>
    <w:p w14:paraId="1CE82486" w14:textId="77777777" w:rsidR="00C75312" w:rsidRDefault="00C75312">
      <w:pPr>
        <w:pStyle w:val="BodyText"/>
        <w:spacing w:before="3"/>
        <w:rPr>
          <w:i/>
          <w:sz w:val="26"/>
        </w:rPr>
      </w:pPr>
    </w:p>
    <w:p w14:paraId="10CDDEDB" w14:textId="77777777" w:rsidR="00C75312" w:rsidRDefault="00BB293A">
      <w:pPr>
        <w:pStyle w:val="Heading1"/>
        <w:spacing w:before="90"/>
        <w:ind w:left="1801" w:right="1905"/>
        <w:jc w:val="center"/>
      </w:pPr>
      <w:bookmarkStart w:id="24" w:name="_TOC_250009"/>
      <w:bookmarkEnd w:id="24"/>
      <w:r>
        <w:t>Discussion</w:t>
      </w:r>
    </w:p>
    <w:p w14:paraId="44EB378C" w14:textId="77777777" w:rsidR="00C75312" w:rsidRDefault="00C75312">
      <w:pPr>
        <w:pStyle w:val="BodyText"/>
        <w:spacing w:before="11"/>
        <w:rPr>
          <w:b/>
          <w:sz w:val="23"/>
        </w:rPr>
      </w:pPr>
    </w:p>
    <w:p w14:paraId="0EBED459" w14:textId="77777777" w:rsidR="00C75312" w:rsidRDefault="00BB293A">
      <w:pPr>
        <w:pStyle w:val="BodyText"/>
        <w:spacing w:line="480" w:lineRule="auto"/>
        <w:ind w:left="140" w:right="228" w:firstLine="720"/>
        <w:jc w:val="both"/>
      </w:pPr>
      <w:r>
        <w:t>This study aimed to disentangle the associations between event- and time-based PM, interoceptive accuracy, ASD traits and alexithymia traits in typically developing individuals using an individual differences approach. Previous research had found associations between event-based</w:t>
      </w:r>
      <w:r>
        <w:rPr>
          <w:spacing w:val="-15"/>
        </w:rPr>
        <w:t xml:space="preserve"> </w:t>
      </w:r>
      <w:r>
        <w:t>PM</w:t>
      </w:r>
      <w:r>
        <w:rPr>
          <w:spacing w:val="-17"/>
        </w:rPr>
        <w:t xml:space="preserve"> </w:t>
      </w:r>
      <w:r>
        <w:t>and</w:t>
      </w:r>
      <w:r>
        <w:rPr>
          <w:spacing w:val="-14"/>
        </w:rPr>
        <w:t xml:space="preserve"> </w:t>
      </w:r>
      <w:r>
        <w:t>interoception</w:t>
      </w:r>
      <w:r>
        <w:rPr>
          <w:spacing w:val="-19"/>
        </w:rPr>
        <w:t xml:space="preserve"> </w:t>
      </w:r>
      <w:r>
        <w:t>(Umeda</w:t>
      </w:r>
      <w:r>
        <w:rPr>
          <w:spacing w:val="-15"/>
        </w:rPr>
        <w:t xml:space="preserve"> </w:t>
      </w:r>
      <w:r>
        <w:t>et</w:t>
      </w:r>
      <w:r>
        <w:rPr>
          <w:spacing w:val="-14"/>
        </w:rPr>
        <w:t xml:space="preserve"> </w:t>
      </w:r>
      <w:r>
        <w:t>al.,</w:t>
      </w:r>
      <w:r>
        <w:rPr>
          <w:spacing w:val="-17"/>
        </w:rPr>
        <w:t xml:space="preserve"> </w:t>
      </w:r>
      <w:r>
        <w:t>2016),</w:t>
      </w:r>
      <w:r>
        <w:rPr>
          <w:spacing w:val="-13"/>
        </w:rPr>
        <w:t xml:space="preserve"> </w:t>
      </w:r>
      <w:r>
        <w:t>although</w:t>
      </w:r>
      <w:r>
        <w:rPr>
          <w:spacing w:val="-19"/>
        </w:rPr>
        <w:t xml:space="preserve"> </w:t>
      </w:r>
      <w:r>
        <w:t>this</w:t>
      </w:r>
      <w:r>
        <w:rPr>
          <w:spacing w:val="-17"/>
        </w:rPr>
        <w:t xml:space="preserve"> </w:t>
      </w:r>
      <w:r>
        <w:t>had</w:t>
      </w:r>
      <w:r>
        <w:rPr>
          <w:spacing w:val="-19"/>
        </w:rPr>
        <w:t xml:space="preserve"> </w:t>
      </w:r>
      <w:r>
        <w:t>not</w:t>
      </w:r>
      <w:r>
        <w:rPr>
          <w:spacing w:val="-14"/>
        </w:rPr>
        <w:t xml:space="preserve"> </w:t>
      </w:r>
      <w:r>
        <w:t>yet</w:t>
      </w:r>
      <w:r>
        <w:rPr>
          <w:spacing w:val="-19"/>
        </w:rPr>
        <w:t xml:space="preserve"> </w:t>
      </w:r>
      <w:r>
        <w:t>been</w:t>
      </w:r>
      <w:r>
        <w:rPr>
          <w:spacing w:val="-14"/>
        </w:rPr>
        <w:t xml:space="preserve"> </w:t>
      </w:r>
      <w:r>
        <w:t>explored for</w:t>
      </w:r>
      <w:r>
        <w:rPr>
          <w:spacing w:val="-14"/>
        </w:rPr>
        <w:t xml:space="preserve"> </w:t>
      </w:r>
      <w:r>
        <w:t>time-based</w:t>
      </w:r>
      <w:r>
        <w:rPr>
          <w:spacing w:val="-10"/>
        </w:rPr>
        <w:t xml:space="preserve"> </w:t>
      </w:r>
      <w:r>
        <w:t>PM.</w:t>
      </w:r>
      <w:r>
        <w:rPr>
          <w:spacing w:val="39"/>
        </w:rPr>
        <w:t xml:space="preserve"> </w:t>
      </w:r>
      <w:r>
        <w:t>Due</w:t>
      </w:r>
      <w:r>
        <w:rPr>
          <w:spacing w:val="-15"/>
        </w:rPr>
        <w:t xml:space="preserve"> </w:t>
      </w:r>
      <w:r>
        <w:t>to</w:t>
      </w:r>
      <w:r>
        <w:rPr>
          <w:spacing w:val="-14"/>
        </w:rPr>
        <w:t xml:space="preserve"> </w:t>
      </w:r>
      <w:r>
        <w:t>the</w:t>
      </w:r>
      <w:r>
        <w:rPr>
          <w:spacing w:val="-15"/>
        </w:rPr>
        <w:t xml:space="preserve"> </w:t>
      </w:r>
      <w:r>
        <w:t>involvement</w:t>
      </w:r>
      <w:r>
        <w:rPr>
          <w:spacing w:val="-14"/>
        </w:rPr>
        <w:t xml:space="preserve"> </w:t>
      </w:r>
      <w:r>
        <w:rPr>
          <w:spacing w:val="-3"/>
        </w:rPr>
        <w:t>of</w:t>
      </w:r>
      <w:r>
        <w:rPr>
          <w:spacing w:val="-13"/>
        </w:rPr>
        <w:t xml:space="preserve"> </w:t>
      </w:r>
      <w:r>
        <w:t>autonomous</w:t>
      </w:r>
      <w:r>
        <w:rPr>
          <w:spacing w:val="-12"/>
        </w:rPr>
        <w:t xml:space="preserve"> </w:t>
      </w:r>
      <w:r>
        <w:t>responses</w:t>
      </w:r>
      <w:r>
        <w:rPr>
          <w:spacing w:val="-12"/>
        </w:rPr>
        <w:t xml:space="preserve"> </w:t>
      </w:r>
      <w:r>
        <w:t>and</w:t>
      </w:r>
      <w:r>
        <w:rPr>
          <w:spacing w:val="-10"/>
        </w:rPr>
        <w:t xml:space="preserve"> </w:t>
      </w:r>
      <w:r>
        <w:t>interoception</w:t>
      </w:r>
      <w:r>
        <w:rPr>
          <w:spacing w:val="-14"/>
        </w:rPr>
        <w:t xml:space="preserve"> </w:t>
      </w:r>
      <w:r>
        <w:t>in</w:t>
      </w:r>
      <w:r>
        <w:rPr>
          <w:spacing w:val="-14"/>
        </w:rPr>
        <w:t xml:space="preserve"> </w:t>
      </w:r>
      <w:r>
        <w:t xml:space="preserve">time perception (Meissner &amp; Wittmann, 2011; Wittmann, 2013), we </w:t>
      </w:r>
      <w:proofErr w:type="spellStart"/>
      <w:r>
        <w:t>hypothesised</w:t>
      </w:r>
      <w:proofErr w:type="spellEnd"/>
      <w:r>
        <w:t xml:space="preserve"> that time-based PM may equally be related to interoceptive processing. Furthermore, under the assumption that interoception may not be diminished in individuals with higher autism traits and thus unrelated to alexithymia traits, no influence of alexithymia or autism traits were expected on PM. Instead, it was predicted that autism traits would be uniquely associated with time- but not event-based PM performance. Finally, it </w:t>
      </w:r>
      <w:r>
        <w:rPr>
          <w:spacing w:val="-3"/>
        </w:rPr>
        <w:t xml:space="preserve">was </w:t>
      </w:r>
      <w:r>
        <w:t>pre</w:t>
      </w:r>
      <w:r>
        <w:t>dicted that cognitive flexibility as an indicator of top-down cognitive control would be associated with both interoception and</w:t>
      </w:r>
      <w:r>
        <w:rPr>
          <w:spacing w:val="-21"/>
        </w:rPr>
        <w:t xml:space="preserve"> </w:t>
      </w:r>
      <w:r>
        <w:t>PM.</w:t>
      </w:r>
    </w:p>
    <w:p w14:paraId="49E50FAE" w14:textId="77777777" w:rsidR="00C75312" w:rsidRDefault="00BB293A">
      <w:pPr>
        <w:pStyle w:val="BodyText"/>
        <w:spacing w:before="121" w:line="480" w:lineRule="auto"/>
        <w:ind w:left="140" w:right="228" w:firstLine="720"/>
        <w:jc w:val="both"/>
      </w:pPr>
      <w:r>
        <w:t xml:space="preserve">In the initial analysis, this study failed to directly replicate Umeda and colleagues finding of a moderate size association between interoceptive accuracy and event-based PM performance. Importantly, ongoing task performance was not associated with interoceptive processing (replicating Umeda and colleagues’ results) supporting the idea that interoceptive accuracy was not associated with general dual-task demands. Interestingly, despite </w:t>
      </w:r>
      <w:proofErr w:type="spellStart"/>
      <w:r>
        <w:t>randomisation</w:t>
      </w:r>
      <w:proofErr w:type="spellEnd"/>
      <w:r>
        <w:t>, participants in the event-based condition showed worse cognitive flexibility than</w:t>
      </w:r>
      <w:r>
        <w:rPr>
          <w:spacing w:val="-6"/>
        </w:rPr>
        <w:t xml:space="preserve"> </w:t>
      </w:r>
      <w:r>
        <w:t>participants</w:t>
      </w:r>
      <w:r>
        <w:rPr>
          <w:spacing w:val="-12"/>
        </w:rPr>
        <w:t xml:space="preserve"> </w:t>
      </w:r>
      <w:r>
        <w:t>in</w:t>
      </w:r>
      <w:r>
        <w:rPr>
          <w:spacing w:val="-10"/>
        </w:rPr>
        <w:t xml:space="preserve"> </w:t>
      </w:r>
      <w:r>
        <w:t>the</w:t>
      </w:r>
      <w:r>
        <w:rPr>
          <w:spacing w:val="-11"/>
        </w:rPr>
        <w:t xml:space="preserve"> </w:t>
      </w:r>
      <w:r>
        <w:t>time-based</w:t>
      </w:r>
      <w:r>
        <w:rPr>
          <w:spacing w:val="-5"/>
        </w:rPr>
        <w:t xml:space="preserve"> </w:t>
      </w:r>
      <w:r>
        <w:t>condition.</w:t>
      </w:r>
      <w:r>
        <w:rPr>
          <w:spacing w:val="43"/>
        </w:rPr>
        <w:t xml:space="preserve"> </w:t>
      </w:r>
      <w:r>
        <w:t>As</w:t>
      </w:r>
      <w:r>
        <w:rPr>
          <w:spacing w:val="-7"/>
        </w:rPr>
        <w:t xml:space="preserve"> </w:t>
      </w:r>
      <w:r>
        <w:t>cognitive</w:t>
      </w:r>
      <w:r>
        <w:rPr>
          <w:spacing w:val="-6"/>
        </w:rPr>
        <w:t xml:space="preserve"> </w:t>
      </w:r>
      <w:r>
        <w:t>flexibility</w:t>
      </w:r>
      <w:r>
        <w:rPr>
          <w:spacing w:val="-6"/>
        </w:rPr>
        <w:t xml:space="preserve"> </w:t>
      </w:r>
      <w:r>
        <w:t>is</w:t>
      </w:r>
      <w:r>
        <w:rPr>
          <w:spacing w:val="-12"/>
        </w:rPr>
        <w:t xml:space="preserve"> </w:t>
      </w:r>
      <w:r>
        <w:t>thought</w:t>
      </w:r>
      <w:r>
        <w:rPr>
          <w:spacing w:val="-9"/>
        </w:rPr>
        <w:t xml:space="preserve"> </w:t>
      </w:r>
      <w:r>
        <w:t>to</w:t>
      </w:r>
      <w:r>
        <w:rPr>
          <w:spacing w:val="-10"/>
        </w:rPr>
        <w:t xml:space="preserve"> </w:t>
      </w:r>
      <w:r>
        <w:t>be</w:t>
      </w:r>
      <w:r>
        <w:rPr>
          <w:spacing w:val="-11"/>
        </w:rPr>
        <w:t xml:space="preserve"> </w:t>
      </w:r>
      <w:r>
        <w:t xml:space="preserve">involved at the interface of processing salient interoceptive stimuli to guide attention and response selection, poorer cognitive flexibility could have masked the relationship between interoception and event-based PM. When controlling the influence </w:t>
      </w:r>
      <w:r>
        <w:rPr>
          <w:spacing w:val="-3"/>
        </w:rPr>
        <w:t xml:space="preserve">of </w:t>
      </w:r>
      <w:r>
        <w:t xml:space="preserve">cognitive flexibility, a marginally significant positive relationship between </w:t>
      </w:r>
      <w:r>
        <w:t>event-based PM and interoceptive accuracy</w:t>
      </w:r>
      <w:r>
        <w:rPr>
          <w:spacing w:val="24"/>
        </w:rPr>
        <w:t xml:space="preserve"> </w:t>
      </w:r>
      <w:r>
        <w:t>was</w:t>
      </w:r>
      <w:r>
        <w:rPr>
          <w:spacing w:val="23"/>
        </w:rPr>
        <w:t xml:space="preserve"> </w:t>
      </w:r>
      <w:r>
        <w:t>found,</w:t>
      </w:r>
      <w:r>
        <w:rPr>
          <w:spacing w:val="27"/>
        </w:rPr>
        <w:t xml:space="preserve"> </w:t>
      </w:r>
      <w:r>
        <w:t>which</w:t>
      </w:r>
      <w:r>
        <w:rPr>
          <w:spacing w:val="25"/>
        </w:rPr>
        <w:t xml:space="preserve"> </w:t>
      </w:r>
      <w:r>
        <w:t>was</w:t>
      </w:r>
      <w:r>
        <w:rPr>
          <w:spacing w:val="23"/>
        </w:rPr>
        <w:t xml:space="preserve"> </w:t>
      </w:r>
      <w:r>
        <w:t>comparable</w:t>
      </w:r>
      <w:r>
        <w:rPr>
          <w:spacing w:val="18"/>
        </w:rPr>
        <w:t xml:space="preserve"> </w:t>
      </w:r>
      <w:r>
        <w:t>in</w:t>
      </w:r>
      <w:r>
        <w:rPr>
          <w:spacing w:val="25"/>
        </w:rPr>
        <w:t xml:space="preserve"> </w:t>
      </w:r>
      <w:r>
        <w:rPr>
          <w:spacing w:val="-3"/>
        </w:rPr>
        <w:t>size</w:t>
      </w:r>
      <w:r>
        <w:rPr>
          <w:spacing w:val="24"/>
        </w:rPr>
        <w:t xml:space="preserve"> </w:t>
      </w:r>
      <w:r>
        <w:t>to</w:t>
      </w:r>
      <w:r>
        <w:rPr>
          <w:spacing w:val="25"/>
        </w:rPr>
        <w:t xml:space="preserve"> </w:t>
      </w:r>
      <w:r>
        <w:t>Umeda</w:t>
      </w:r>
      <w:r>
        <w:rPr>
          <w:spacing w:val="24"/>
        </w:rPr>
        <w:t xml:space="preserve"> </w:t>
      </w:r>
      <w:r>
        <w:t>and</w:t>
      </w:r>
      <w:r>
        <w:rPr>
          <w:spacing w:val="24"/>
        </w:rPr>
        <w:t xml:space="preserve"> </w:t>
      </w:r>
      <w:r>
        <w:t>colleagues</w:t>
      </w:r>
      <w:r>
        <w:rPr>
          <w:spacing w:val="23"/>
        </w:rPr>
        <w:t xml:space="preserve"> </w:t>
      </w:r>
      <w:r>
        <w:t>finding.</w:t>
      </w:r>
      <w:r>
        <w:rPr>
          <w:spacing w:val="48"/>
        </w:rPr>
        <w:t xml:space="preserve"> </w:t>
      </w:r>
      <w:r>
        <w:t>The</w:t>
      </w:r>
    </w:p>
    <w:p w14:paraId="73976CA3" w14:textId="77777777" w:rsidR="00C75312" w:rsidRDefault="00C75312">
      <w:pPr>
        <w:spacing w:line="480" w:lineRule="auto"/>
        <w:jc w:val="both"/>
        <w:sectPr w:rsidR="00C75312">
          <w:pgSz w:w="11900" w:h="16840"/>
          <w:pgMar w:top="1160" w:right="1200" w:bottom="280" w:left="1300" w:header="715" w:footer="0" w:gutter="0"/>
          <w:cols w:space="720"/>
        </w:sectPr>
      </w:pPr>
    </w:p>
    <w:p w14:paraId="132F8EAC" w14:textId="77777777" w:rsidR="00C75312" w:rsidRDefault="00C75312">
      <w:pPr>
        <w:pStyle w:val="BodyText"/>
        <w:spacing w:before="9"/>
        <w:rPr>
          <w:sz w:val="15"/>
        </w:rPr>
      </w:pPr>
    </w:p>
    <w:p w14:paraId="22810DDD" w14:textId="77777777" w:rsidR="00C75312" w:rsidRDefault="00BB293A">
      <w:pPr>
        <w:pStyle w:val="BodyText"/>
        <w:spacing w:before="90" w:line="480" w:lineRule="auto"/>
        <w:ind w:left="140" w:right="227"/>
        <w:jc w:val="both"/>
      </w:pPr>
      <w:r>
        <w:t>Bayes</w:t>
      </w:r>
      <w:r>
        <w:rPr>
          <w:spacing w:val="-18"/>
        </w:rPr>
        <w:t xml:space="preserve"> </w:t>
      </w:r>
      <w:r>
        <w:t>factor</w:t>
      </w:r>
      <w:r>
        <w:rPr>
          <w:spacing w:val="-13"/>
        </w:rPr>
        <w:t xml:space="preserve"> </w:t>
      </w:r>
      <w:r>
        <w:t>in</w:t>
      </w:r>
      <w:r>
        <w:rPr>
          <w:spacing w:val="-14"/>
        </w:rPr>
        <w:t xml:space="preserve"> </w:t>
      </w:r>
      <w:proofErr w:type="spellStart"/>
      <w:r>
        <w:t>favour</w:t>
      </w:r>
      <w:proofErr w:type="spellEnd"/>
      <w:r>
        <w:rPr>
          <w:spacing w:val="-13"/>
        </w:rPr>
        <w:t xml:space="preserve"> </w:t>
      </w:r>
      <w:r>
        <w:rPr>
          <w:spacing w:val="-3"/>
        </w:rPr>
        <w:t>of</w:t>
      </w:r>
      <w:r>
        <w:rPr>
          <w:spacing w:val="-13"/>
        </w:rPr>
        <w:t xml:space="preserve"> </w:t>
      </w:r>
      <w:r>
        <w:t>a</w:t>
      </w:r>
      <w:r>
        <w:rPr>
          <w:spacing w:val="-16"/>
        </w:rPr>
        <w:t xml:space="preserve"> </w:t>
      </w:r>
      <w:r>
        <w:t>positive</w:t>
      </w:r>
      <w:r>
        <w:rPr>
          <w:spacing w:val="-15"/>
        </w:rPr>
        <w:t xml:space="preserve"> </w:t>
      </w:r>
      <w:r>
        <w:t>correlation</w:t>
      </w:r>
      <w:r>
        <w:rPr>
          <w:spacing w:val="-14"/>
        </w:rPr>
        <w:t xml:space="preserve"> </w:t>
      </w:r>
      <w:r>
        <w:t>did</w:t>
      </w:r>
      <w:r>
        <w:rPr>
          <w:spacing w:val="-19"/>
        </w:rPr>
        <w:t xml:space="preserve"> </w:t>
      </w:r>
      <w:r>
        <w:t>just</w:t>
      </w:r>
      <w:r>
        <w:rPr>
          <w:spacing w:val="-14"/>
        </w:rPr>
        <w:t xml:space="preserve"> </w:t>
      </w:r>
      <w:r>
        <w:t>miss</w:t>
      </w:r>
      <w:r>
        <w:rPr>
          <w:spacing w:val="-17"/>
        </w:rPr>
        <w:t xml:space="preserve"> </w:t>
      </w:r>
      <w:r>
        <w:t>the</w:t>
      </w:r>
      <w:r>
        <w:rPr>
          <w:spacing w:val="-15"/>
        </w:rPr>
        <w:t xml:space="preserve"> </w:t>
      </w:r>
      <w:r>
        <w:t>threshold</w:t>
      </w:r>
      <w:r>
        <w:rPr>
          <w:spacing w:val="-15"/>
        </w:rPr>
        <w:t xml:space="preserve"> </w:t>
      </w:r>
      <w:r>
        <w:t>of</w:t>
      </w:r>
      <w:r>
        <w:rPr>
          <w:spacing w:val="-13"/>
        </w:rPr>
        <w:t xml:space="preserve"> </w:t>
      </w:r>
      <w:r>
        <w:t>providing</w:t>
      </w:r>
      <w:r>
        <w:rPr>
          <w:spacing w:val="-14"/>
        </w:rPr>
        <w:t xml:space="preserve"> </w:t>
      </w:r>
      <w:r>
        <w:t xml:space="preserve">evidence for the alternative hypothesis. However overall, </w:t>
      </w:r>
      <w:r>
        <w:rPr>
          <w:spacing w:val="-3"/>
        </w:rPr>
        <w:t xml:space="preserve">it </w:t>
      </w:r>
      <w:r>
        <w:t>indicates that there was more evidence in support</w:t>
      </w:r>
      <w:r>
        <w:rPr>
          <w:spacing w:val="-10"/>
        </w:rPr>
        <w:t xml:space="preserve"> </w:t>
      </w:r>
      <w:r>
        <w:t>of</w:t>
      </w:r>
      <w:r>
        <w:rPr>
          <w:spacing w:val="-9"/>
        </w:rPr>
        <w:t xml:space="preserve"> </w:t>
      </w:r>
      <w:r>
        <w:t>a</w:t>
      </w:r>
      <w:r>
        <w:rPr>
          <w:spacing w:val="-11"/>
        </w:rPr>
        <w:t xml:space="preserve"> </w:t>
      </w:r>
      <w:r>
        <w:t>positive</w:t>
      </w:r>
      <w:r>
        <w:rPr>
          <w:spacing w:val="-15"/>
        </w:rPr>
        <w:t xml:space="preserve"> </w:t>
      </w:r>
      <w:r>
        <w:t>association</w:t>
      </w:r>
      <w:r>
        <w:rPr>
          <w:spacing w:val="-11"/>
        </w:rPr>
        <w:t xml:space="preserve"> </w:t>
      </w:r>
      <w:r>
        <w:t>between</w:t>
      </w:r>
      <w:r>
        <w:rPr>
          <w:spacing w:val="-10"/>
        </w:rPr>
        <w:t xml:space="preserve"> </w:t>
      </w:r>
      <w:r>
        <w:t>event-based</w:t>
      </w:r>
      <w:r>
        <w:rPr>
          <w:spacing w:val="-11"/>
        </w:rPr>
        <w:t xml:space="preserve"> </w:t>
      </w:r>
      <w:r>
        <w:t>PM</w:t>
      </w:r>
      <w:r>
        <w:rPr>
          <w:spacing w:val="-12"/>
        </w:rPr>
        <w:t xml:space="preserve"> </w:t>
      </w:r>
      <w:r>
        <w:t>and</w:t>
      </w:r>
      <w:r>
        <w:rPr>
          <w:spacing w:val="-11"/>
        </w:rPr>
        <w:t xml:space="preserve"> </w:t>
      </w:r>
      <w:r>
        <w:t>interoceptive</w:t>
      </w:r>
      <w:r>
        <w:rPr>
          <w:spacing w:val="-11"/>
        </w:rPr>
        <w:t xml:space="preserve"> </w:t>
      </w:r>
      <w:r>
        <w:t>accuracy.</w:t>
      </w:r>
      <w:r>
        <w:rPr>
          <w:spacing w:val="38"/>
        </w:rPr>
        <w:t xml:space="preserve"> </w:t>
      </w:r>
      <w:r>
        <w:t>Limited statistical</w:t>
      </w:r>
      <w:r>
        <w:rPr>
          <w:spacing w:val="-1"/>
        </w:rPr>
        <w:t xml:space="preserve"> </w:t>
      </w:r>
      <w:r>
        <w:t>power</w:t>
      </w:r>
      <w:r>
        <w:rPr>
          <w:spacing w:val="1"/>
        </w:rPr>
        <w:t xml:space="preserve"> </w:t>
      </w:r>
      <w:r>
        <w:t>due</w:t>
      </w:r>
      <w:r>
        <w:rPr>
          <w:spacing w:val="-7"/>
        </w:rPr>
        <w:t xml:space="preserve"> </w:t>
      </w:r>
      <w:r>
        <w:t>to</w:t>
      </w:r>
      <w:r>
        <w:rPr>
          <w:spacing w:val="-6"/>
        </w:rPr>
        <w:t xml:space="preserve"> </w:t>
      </w:r>
      <w:r>
        <w:t>a</w:t>
      </w:r>
      <w:r>
        <w:rPr>
          <w:spacing w:val="-1"/>
        </w:rPr>
        <w:t xml:space="preserve"> </w:t>
      </w:r>
      <w:r>
        <w:t>smaller</w:t>
      </w:r>
      <w:r>
        <w:rPr>
          <w:spacing w:val="-4"/>
        </w:rPr>
        <w:t xml:space="preserve"> </w:t>
      </w:r>
      <w:r>
        <w:t>sample</w:t>
      </w:r>
      <w:r>
        <w:rPr>
          <w:spacing w:val="-2"/>
        </w:rPr>
        <w:t xml:space="preserve"> </w:t>
      </w:r>
      <w:r>
        <w:t>than</w:t>
      </w:r>
      <w:r>
        <w:rPr>
          <w:spacing w:val="-6"/>
        </w:rPr>
        <w:t xml:space="preserve"> </w:t>
      </w:r>
      <w:r>
        <w:t>Umeda</w:t>
      </w:r>
      <w:r>
        <w:rPr>
          <w:spacing w:val="-1"/>
        </w:rPr>
        <w:t xml:space="preserve"> </w:t>
      </w:r>
      <w:r>
        <w:t>et</w:t>
      </w:r>
      <w:r>
        <w:rPr>
          <w:spacing w:val="-1"/>
        </w:rPr>
        <w:t xml:space="preserve"> </w:t>
      </w:r>
      <w:r>
        <w:t>al.</w:t>
      </w:r>
      <w:r>
        <w:rPr>
          <w:spacing w:val="-3"/>
        </w:rPr>
        <w:t xml:space="preserve"> </w:t>
      </w:r>
      <w:r>
        <w:t>(2016)</w:t>
      </w:r>
      <w:r>
        <w:rPr>
          <w:spacing w:val="-4"/>
        </w:rPr>
        <w:t xml:space="preserve"> </w:t>
      </w:r>
      <w:r>
        <w:t>will</w:t>
      </w:r>
      <w:r>
        <w:rPr>
          <w:spacing w:val="-5"/>
        </w:rPr>
        <w:t xml:space="preserve"> </w:t>
      </w:r>
      <w:r>
        <w:t>likely have</w:t>
      </w:r>
      <w:r>
        <w:rPr>
          <w:spacing w:val="-7"/>
        </w:rPr>
        <w:t xml:space="preserve"> </w:t>
      </w:r>
      <w:r>
        <w:t>contributed to</w:t>
      </w:r>
      <w:r>
        <w:rPr>
          <w:spacing w:val="-10"/>
        </w:rPr>
        <w:t xml:space="preserve"> </w:t>
      </w:r>
      <w:r>
        <w:t>this.</w:t>
      </w:r>
      <w:r>
        <w:rPr>
          <w:spacing w:val="46"/>
        </w:rPr>
        <w:t xml:space="preserve"> </w:t>
      </w:r>
      <w:r>
        <w:t>Although,</w:t>
      </w:r>
      <w:r>
        <w:rPr>
          <w:spacing w:val="-11"/>
        </w:rPr>
        <w:t xml:space="preserve"> </w:t>
      </w:r>
      <w:r>
        <w:t>this</w:t>
      </w:r>
      <w:r>
        <w:rPr>
          <w:spacing w:val="-11"/>
        </w:rPr>
        <w:t xml:space="preserve"> </w:t>
      </w:r>
      <w:r>
        <w:t>result</w:t>
      </w:r>
      <w:r>
        <w:rPr>
          <w:spacing w:val="-8"/>
        </w:rPr>
        <w:t xml:space="preserve"> </w:t>
      </w:r>
      <w:r>
        <w:t>needs</w:t>
      </w:r>
      <w:r>
        <w:rPr>
          <w:spacing w:val="-11"/>
        </w:rPr>
        <w:t xml:space="preserve"> </w:t>
      </w:r>
      <w:r>
        <w:t>to</w:t>
      </w:r>
      <w:r>
        <w:rPr>
          <w:spacing w:val="-9"/>
        </w:rPr>
        <w:t xml:space="preserve"> </w:t>
      </w:r>
      <w:r>
        <w:t>be</w:t>
      </w:r>
      <w:r>
        <w:rPr>
          <w:spacing w:val="-10"/>
        </w:rPr>
        <w:t xml:space="preserve"> </w:t>
      </w:r>
      <w:r>
        <w:t>considered</w:t>
      </w:r>
      <w:r>
        <w:rPr>
          <w:spacing w:val="-4"/>
        </w:rPr>
        <w:t xml:space="preserve"> </w:t>
      </w:r>
      <w:r>
        <w:t>with</w:t>
      </w:r>
      <w:r>
        <w:rPr>
          <w:spacing w:val="-9"/>
        </w:rPr>
        <w:t xml:space="preserve"> </w:t>
      </w:r>
      <w:r>
        <w:t>care</w:t>
      </w:r>
      <w:r>
        <w:rPr>
          <w:spacing w:val="-10"/>
        </w:rPr>
        <w:t xml:space="preserve"> </w:t>
      </w:r>
      <w:r>
        <w:t>due</w:t>
      </w:r>
      <w:r>
        <w:rPr>
          <w:spacing w:val="-10"/>
        </w:rPr>
        <w:t xml:space="preserve"> </w:t>
      </w:r>
      <w:r>
        <w:t>to</w:t>
      </w:r>
      <w:r>
        <w:rPr>
          <w:spacing w:val="-9"/>
        </w:rPr>
        <w:t xml:space="preserve"> </w:t>
      </w:r>
      <w:r>
        <w:t>this</w:t>
      </w:r>
      <w:r>
        <w:rPr>
          <w:spacing w:val="-11"/>
        </w:rPr>
        <w:t xml:space="preserve"> </w:t>
      </w:r>
      <w:r>
        <w:t>restriction,</w:t>
      </w:r>
      <w:r>
        <w:rPr>
          <w:spacing w:val="-6"/>
        </w:rPr>
        <w:t xml:space="preserve"> </w:t>
      </w:r>
      <w:r>
        <w:rPr>
          <w:spacing w:val="-3"/>
        </w:rPr>
        <w:t>it</w:t>
      </w:r>
      <w:r>
        <w:rPr>
          <w:spacing w:val="-8"/>
        </w:rPr>
        <w:t xml:space="preserve"> </w:t>
      </w:r>
      <w:r>
        <w:t xml:space="preserve">provides additional tentative support for the suggestion that the ability to detect and use these autonomous afferent signals likely facilitates the recognition of the PM cue as salient for </w:t>
      </w:r>
      <w:proofErr w:type="spellStart"/>
      <w:r>
        <w:t>behaviour</w:t>
      </w:r>
      <w:proofErr w:type="spellEnd"/>
      <w:r>
        <w:t xml:space="preserve"> leading to the successful retrieval and execution of the PM response. This strengthens</w:t>
      </w:r>
      <w:r>
        <w:rPr>
          <w:spacing w:val="-13"/>
        </w:rPr>
        <w:t xml:space="preserve"> </w:t>
      </w:r>
      <w:r>
        <w:t>the</w:t>
      </w:r>
      <w:r>
        <w:rPr>
          <w:spacing w:val="-11"/>
        </w:rPr>
        <w:t xml:space="preserve"> </w:t>
      </w:r>
      <w:r>
        <w:t>evidence</w:t>
      </w:r>
      <w:r>
        <w:rPr>
          <w:spacing w:val="-11"/>
        </w:rPr>
        <w:t xml:space="preserve"> </w:t>
      </w:r>
      <w:r>
        <w:t>that</w:t>
      </w:r>
      <w:r>
        <w:rPr>
          <w:spacing w:val="-10"/>
        </w:rPr>
        <w:t xml:space="preserve"> </w:t>
      </w:r>
      <w:r>
        <w:t>suggest</w:t>
      </w:r>
      <w:r>
        <w:rPr>
          <w:spacing w:val="-9"/>
        </w:rPr>
        <w:t xml:space="preserve"> </w:t>
      </w:r>
      <w:r>
        <w:t>that</w:t>
      </w:r>
      <w:r>
        <w:rPr>
          <w:spacing w:val="-10"/>
        </w:rPr>
        <w:t xml:space="preserve"> </w:t>
      </w:r>
      <w:r>
        <w:t>greater</w:t>
      </w:r>
      <w:r>
        <w:rPr>
          <w:spacing w:val="-8"/>
        </w:rPr>
        <w:t xml:space="preserve"> </w:t>
      </w:r>
      <w:r>
        <w:t>sensitivity</w:t>
      </w:r>
      <w:r>
        <w:rPr>
          <w:spacing w:val="-11"/>
        </w:rPr>
        <w:t xml:space="preserve"> </w:t>
      </w:r>
      <w:r>
        <w:t>to</w:t>
      </w:r>
      <w:r>
        <w:rPr>
          <w:spacing w:val="-10"/>
        </w:rPr>
        <w:t xml:space="preserve"> </w:t>
      </w:r>
      <w:r>
        <w:t>interoceptive</w:t>
      </w:r>
      <w:r>
        <w:rPr>
          <w:spacing w:val="-11"/>
        </w:rPr>
        <w:t xml:space="preserve"> </w:t>
      </w:r>
      <w:r>
        <w:t>processes</w:t>
      </w:r>
      <w:r>
        <w:rPr>
          <w:spacing w:val="-13"/>
        </w:rPr>
        <w:t xml:space="preserve"> </w:t>
      </w:r>
      <w:r>
        <w:t>benefits event-based PM</w:t>
      </w:r>
      <w:r>
        <w:rPr>
          <w:spacing w:val="1"/>
        </w:rPr>
        <w:t xml:space="preserve"> </w:t>
      </w:r>
      <w:r>
        <w:t>performance.</w:t>
      </w:r>
    </w:p>
    <w:p w14:paraId="4BFDA5A9" w14:textId="77777777" w:rsidR="00C75312" w:rsidRDefault="00BB293A">
      <w:pPr>
        <w:pStyle w:val="BodyText"/>
        <w:spacing w:before="120" w:line="480" w:lineRule="auto"/>
        <w:ind w:left="140" w:right="228" w:firstLine="720"/>
        <w:jc w:val="both"/>
      </w:pPr>
      <w:r>
        <w:t xml:space="preserve">Although this study found at least a trend for an association between PM and interoception, alexithymia did not play a role in PM performance. This supports the assumption that the ability to interpret physiological signals is what drives the association between interoception and PM. Thus, alexithymia can be excluded as a potential confound, which could have explained heterogeneous event-based PM results in ASD. Instead, since no association between event-based </w:t>
      </w:r>
      <w:r>
        <w:rPr>
          <w:spacing w:val="2"/>
        </w:rPr>
        <w:t xml:space="preserve">PM </w:t>
      </w:r>
      <w:r>
        <w:t>and autism traits was found, this strengthens the view of unimpaired</w:t>
      </w:r>
      <w:r>
        <w:rPr>
          <w:spacing w:val="-11"/>
        </w:rPr>
        <w:t xml:space="preserve"> </w:t>
      </w:r>
      <w:r>
        <w:t>event-based</w:t>
      </w:r>
      <w:r>
        <w:rPr>
          <w:spacing w:val="-10"/>
        </w:rPr>
        <w:t xml:space="preserve"> </w:t>
      </w:r>
      <w:r>
        <w:t>PM</w:t>
      </w:r>
      <w:r>
        <w:rPr>
          <w:spacing w:val="-13"/>
        </w:rPr>
        <w:t xml:space="preserve"> </w:t>
      </w:r>
      <w:r>
        <w:t>in</w:t>
      </w:r>
      <w:r>
        <w:rPr>
          <w:spacing w:val="-10"/>
        </w:rPr>
        <w:t xml:space="preserve"> </w:t>
      </w:r>
      <w:r>
        <w:t>ASD.</w:t>
      </w:r>
      <w:r>
        <w:rPr>
          <w:spacing w:val="43"/>
        </w:rPr>
        <w:t xml:space="preserve"> </w:t>
      </w:r>
      <w:r>
        <w:t>The</w:t>
      </w:r>
      <w:r>
        <w:rPr>
          <w:spacing w:val="-12"/>
        </w:rPr>
        <w:t xml:space="preserve"> </w:t>
      </w:r>
      <w:r>
        <w:t>corresponding</w:t>
      </w:r>
      <w:r>
        <w:rPr>
          <w:spacing w:val="-10"/>
        </w:rPr>
        <w:t xml:space="preserve"> </w:t>
      </w:r>
      <w:r>
        <w:t>Bayes</w:t>
      </w:r>
      <w:r>
        <w:rPr>
          <w:spacing w:val="-12"/>
        </w:rPr>
        <w:t xml:space="preserve"> </w:t>
      </w:r>
      <w:r>
        <w:t>factors</w:t>
      </w:r>
      <w:r>
        <w:rPr>
          <w:spacing w:val="-13"/>
        </w:rPr>
        <w:t xml:space="preserve"> </w:t>
      </w:r>
      <w:r>
        <w:t>support</w:t>
      </w:r>
      <w:r>
        <w:rPr>
          <w:spacing w:val="-9"/>
        </w:rPr>
        <w:t xml:space="preserve"> </w:t>
      </w:r>
      <w:r>
        <w:t>this</w:t>
      </w:r>
      <w:r>
        <w:rPr>
          <w:spacing w:val="-13"/>
        </w:rPr>
        <w:t xml:space="preserve"> </w:t>
      </w:r>
      <w:r>
        <w:t xml:space="preserve">conclusion in </w:t>
      </w:r>
      <w:proofErr w:type="spellStart"/>
      <w:r>
        <w:t>favour</w:t>
      </w:r>
      <w:proofErr w:type="spellEnd"/>
      <w:r>
        <w:t xml:space="preserve"> of the null</w:t>
      </w:r>
      <w:r>
        <w:rPr>
          <w:spacing w:val="-2"/>
        </w:rPr>
        <w:t xml:space="preserve"> </w:t>
      </w:r>
      <w:r>
        <w:t>hypothesis.</w:t>
      </w:r>
    </w:p>
    <w:p w14:paraId="5CC91E15" w14:textId="77777777" w:rsidR="00C75312" w:rsidRDefault="00BB293A">
      <w:pPr>
        <w:pStyle w:val="BodyText"/>
        <w:spacing w:before="121" w:line="480" w:lineRule="auto"/>
        <w:ind w:left="140" w:right="229" w:firstLine="720"/>
        <w:jc w:val="both"/>
      </w:pPr>
      <w:r>
        <w:t>With regards to time-based PM, it was hypothesized that increased interoceptive accuracy would be related to more accurate PM responses; i.e., responses more closely to the 2-minute target time, rather than the number of PM hits per se. Contrary to this prediction, no correlation between time-based PM performance and interoception was found. However, it was found that PM target accuracy was strongly positively related to the level of autism traits in this sample of typically-developing individuals, indicati</w:t>
      </w:r>
      <w:r>
        <w:t>ng that more autistic features were associated with less accurate correct PM responses. When controlling for autism traits, results</w:t>
      </w:r>
    </w:p>
    <w:p w14:paraId="2A93F5BB" w14:textId="77777777" w:rsidR="00C75312" w:rsidRDefault="00C75312">
      <w:pPr>
        <w:spacing w:line="480" w:lineRule="auto"/>
        <w:jc w:val="both"/>
        <w:sectPr w:rsidR="00C75312">
          <w:pgSz w:w="11900" w:h="16840"/>
          <w:pgMar w:top="1160" w:right="1200" w:bottom="280" w:left="1300" w:header="715" w:footer="0" w:gutter="0"/>
          <w:cols w:space="720"/>
        </w:sectPr>
      </w:pPr>
    </w:p>
    <w:p w14:paraId="0946C235" w14:textId="77777777" w:rsidR="00C75312" w:rsidRDefault="00C75312">
      <w:pPr>
        <w:pStyle w:val="BodyText"/>
        <w:spacing w:before="9"/>
        <w:rPr>
          <w:sz w:val="15"/>
        </w:rPr>
      </w:pPr>
    </w:p>
    <w:p w14:paraId="7A95125D" w14:textId="77777777" w:rsidR="00C75312" w:rsidRDefault="00BB293A">
      <w:pPr>
        <w:pStyle w:val="BodyText"/>
        <w:spacing w:before="90" w:line="477" w:lineRule="auto"/>
        <w:ind w:left="140" w:right="226"/>
        <w:jc w:val="both"/>
      </w:pPr>
      <w:r>
        <w:t xml:space="preserve">revealed a trend indicating that PM target accuracy was associated with greater interoceptive accuracy. This might reflect the ability to make better use of bodily signals feeding temporal estimates in individuals who are more attuned to interoceptive processes. The Bayes factor for this correlation, similarly to the event-based PM result, provided more evidence for the alternative hypothesis but also missed the threshold to provide stronger support in </w:t>
      </w:r>
      <w:proofErr w:type="spellStart"/>
      <w:r>
        <w:t>favour</w:t>
      </w:r>
      <w:proofErr w:type="spellEnd"/>
      <w:r>
        <w:t xml:space="preserve"> of </w:t>
      </w:r>
      <w:r>
        <w:rPr>
          <w:position w:val="2"/>
        </w:rPr>
        <w:t>H</w:t>
      </w:r>
      <w:r>
        <w:rPr>
          <w:position w:val="2"/>
          <w:vertAlign w:val="subscript"/>
        </w:rPr>
        <w:t>1</w:t>
      </w:r>
      <w:r>
        <w:rPr>
          <w:position w:val="2"/>
        </w:rPr>
        <w:t>,</w:t>
      </w:r>
      <w:r>
        <w:rPr>
          <w:spacing w:val="-7"/>
          <w:position w:val="2"/>
        </w:rPr>
        <w:t xml:space="preserve"> </w:t>
      </w:r>
      <w:r>
        <w:rPr>
          <w:position w:val="2"/>
        </w:rPr>
        <w:t>which</w:t>
      </w:r>
      <w:r>
        <w:rPr>
          <w:spacing w:val="-13"/>
          <w:position w:val="2"/>
        </w:rPr>
        <w:t xml:space="preserve"> </w:t>
      </w:r>
      <w:r>
        <w:rPr>
          <w:position w:val="2"/>
        </w:rPr>
        <w:t>again</w:t>
      </w:r>
      <w:r>
        <w:rPr>
          <w:spacing w:val="-10"/>
          <w:position w:val="2"/>
        </w:rPr>
        <w:t xml:space="preserve"> </w:t>
      </w:r>
      <w:r>
        <w:rPr>
          <w:position w:val="2"/>
        </w:rPr>
        <w:t>could</w:t>
      </w:r>
      <w:r>
        <w:rPr>
          <w:spacing w:val="-9"/>
          <w:position w:val="2"/>
        </w:rPr>
        <w:t xml:space="preserve"> </w:t>
      </w:r>
      <w:r>
        <w:rPr>
          <w:position w:val="2"/>
        </w:rPr>
        <w:t>be</w:t>
      </w:r>
      <w:r>
        <w:rPr>
          <w:spacing w:val="-14"/>
          <w:position w:val="2"/>
        </w:rPr>
        <w:t xml:space="preserve"> </w:t>
      </w:r>
      <w:r>
        <w:rPr>
          <w:position w:val="2"/>
        </w:rPr>
        <w:t>due</w:t>
      </w:r>
      <w:r>
        <w:rPr>
          <w:spacing w:val="-11"/>
          <w:position w:val="2"/>
        </w:rPr>
        <w:t xml:space="preserve"> </w:t>
      </w:r>
      <w:r>
        <w:rPr>
          <w:position w:val="2"/>
        </w:rPr>
        <w:t>to</w:t>
      </w:r>
      <w:r>
        <w:rPr>
          <w:spacing w:val="-13"/>
          <w:position w:val="2"/>
        </w:rPr>
        <w:t xml:space="preserve"> </w:t>
      </w:r>
      <w:r>
        <w:rPr>
          <w:position w:val="2"/>
        </w:rPr>
        <w:t>lower</w:t>
      </w:r>
      <w:r>
        <w:rPr>
          <w:spacing w:val="-8"/>
          <w:position w:val="2"/>
        </w:rPr>
        <w:t xml:space="preserve"> </w:t>
      </w:r>
      <w:r>
        <w:rPr>
          <w:position w:val="2"/>
        </w:rPr>
        <w:t>than</w:t>
      </w:r>
      <w:r>
        <w:rPr>
          <w:spacing w:val="-13"/>
          <w:position w:val="2"/>
        </w:rPr>
        <w:t xml:space="preserve"> </w:t>
      </w:r>
      <w:r>
        <w:rPr>
          <w:position w:val="2"/>
        </w:rPr>
        <w:t>desired</w:t>
      </w:r>
      <w:r>
        <w:rPr>
          <w:spacing w:val="-13"/>
          <w:position w:val="2"/>
        </w:rPr>
        <w:t xml:space="preserve"> </w:t>
      </w:r>
      <w:r>
        <w:rPr>
          <w:position w:val="2"/>
        </w:rPr>
        <w:t>power</w:t>
      </w:r>
      <w:r>
        <w:rPr>
          <w:spacing w:val="-8"/>
          <w:position w:val="2"/>
        </w:rPr>
        <w:t xml:space="preserve"> </w:t>
      </w:r>
      <w:r>
        <w:rPr>
          <w:position w:val="2"/>
        </w:rPr>
        <w:t>in</w:t>
      </w:r>
      <w:r>
        <w:rPr>
          <w:spacing w:val="-9"/>
          <w:position w:val="2"/>
        </w:rPr>
        <w:t xml:space="preserve"> </w:t>
      </w:r>
      <w:r>
        <w:rPr>
          <w:position w:val="2"/>
        </w:rPr>
        <w:t>this</w:t>
      </w:r>
      <w:r>
        <w:rPr>
          <w:spacing w:val="-12"/>
          <w:position w:val="2"/>
        </w:rPr>
        <w:t xml:space="preserve"> </w:t>
      </w:r>
      <w:r>
        <w:rPr>
          <w:position w:val="2"/>
        </w:rPr>
        <w:t>study</w:t>
      </w:r>
      <w:r>
        <w:rPr>
          <w:position w:val="2"/>
          <w:vertAlign w:val="subscript"/>
        </w:rPr>
        <w:t>.</w:t>
      </w:r>
      <w:r>
        <w:rPr>
          <w:spacing w:val="37"/>
          <w:position w:val="2"/>
        </w:rPr>
        <w:t xml:space="preserve"> </w:t>
      </w:r>
      <w:r>
        <w:rPr>
          <w:position w:val="2"/>
        </w:rPr>
        <w:t>Thus,</w:t>
      </w:r>
      <w:r>
        <w:rPr>
          <w:spacing w:val="-12"/>
          <w:position w:val="2"/>
        </w:rPr>
        <w:t xml:space="preserve"> </w:t>
      </w:r>
      <w:r>
        <w:rPr>
          <w:position w:val="2"/>
        </w:rPr>
        <w:t>this</w:t>
      </w:r>
      <w:r>
        <w:rPr>
          <w:spacing w:val="-11"/>
          <w:position w:val="2"/>
        </w:rPr>
        <w:t xml:space="preserve"> </w:t>
      </w:r>
      <w:r>
        <w:rPr>
          <w:position w:val="2"/>
        </w:rPr>
        <w:t>result</w:t>
      </w:r>
      <w:r>
        <w:rPr>
          <w:spacing w:val="-9"/>
          <w:position w:val="2"/>
        </w:rPr>
        <w:t xml:space="preserve"> </w:t>
      </w:r>
      <w:r>
        <w:rPr>
          <w:position w:val="2"/>
        </w:rPr>
        <w:t xml:space="preserve">should </w:t>
      </w:r>
      <w:r>
        <w:t>be treated with</w:t>
      </w:r>
      <w:r>
        <w:rPr>
          <w:spacing w:val="4"/>
        </w:rPr>
        <w:t xml:space="preserve"> </w:t>
      </w:r>
      <w:r>
        <w:t>caution.</w:t>
      </w:r>
    </w:p>
    <w:p w14:paraId="43EE72F2" w14:textId="77777777" w:rsidR="00C75312" w:rsidRDefault="00BB293A">
      <w:pPr>
        <w:pStyle w:val="BodyText"/>
        <w:spacing w:before="120" w:line="480" w:lineRule="auto"/>
        <w:ind w:left="140" w:right="226" w:firstLine="720"/>
        <w:jc w:val="both"/>
      </w:pPr>
      <w:r>
        <w:t xml:space="preserve">Importantly, autism traits were not associated with interoceptive accuracy, nor was the relationship between PM and autism traits mediated by alexithymia traits in this condition. This finding is clearly in line with the consistent time-based PM impairments found in individuals with ASD (see Chapter 1). Moreover, the results from the pilot study in Appendix 4 (pp. 173-175) revealed a similar pattern </w:t>
      </w:r>
      <w:r>
        <w:rPr>
          <w:spacing w:val="-3"/>
        </w:rPr>
        <w:t xml:space="preserve">of </w:t>
      </w:r>
      <w:r>
        <w:t>correlations and also no association between interoceptive accuracy and PM performance in a group of individuals with a confirmed diagnosis of ASD. This is important because although ASD is a continuous disorder, with ASD traits likely distributed continuously throughout the general population (e.g., Frazier et al., 2014), there can still be qualitative differences in the mechanisms/processes that underpin those</w:t>
      </w:r>
      <w:r>
        <w:rPr>
          <w:spacing w:val="-7"/>
        </w:rPr>
        <w:t xml:space="preserve"> </w:t>
      </w:r>
      <w:r>
        <w:t>traits</w:t>
      </w:r>
      <w:r>
        <w:rPr>
          <w:spacing w:val="-7"/>
        </w:rPr>
        <w:t xml:space="preserve"> </w:t>
      </w:r>
      <w:r>
        <w:t>in</w:t>
      </w:r>
      <w:r>
        <w:rPr>
          <w:spacing w:val="-11"/>
        </w:rPr>
        <w:t xml:space="preserve"> </w:t>
      </w:r>
      <w:r>
        <w:t>each</w:t>
      </w:r>
      <w:r>
        <w:rPr>
          <w:spacing w:val="-10"/>
        </w:rPr>
        <w:t xml:space="preserve"> </w:t>
      </w:r>
      <w:r>
        <w:t>population</w:t>
      </w:r>
      <w:r>
        <w:rPr>
          <w:spacing w:val="-10"/>
        </w:rPr>
        <w:t xml:space="preserve"> </w:t>
      </w:r>
      <w:r>
        <w:t>(e.g.</w:t>
      </w:r>
      <w:r>
        <w:rPr>
          <w:spacing w:val="-7"/>
        </w:rPr>
        <w:t xml:space="preserve"> </w:t>
      </w:r>
      <w:r>
        <w:t>Peterson</w:t>
      </w:r>
      <w:r>
        <w:rPr>
          <w:spacing w:val="-6"/>
        </w:rPr>
        <w:t xml:space="preserve"> </w:t>
      </w:r>
      <w:r>
        <w:t>et</w:t>
      </w:r>
      <w:r>
        <w:rPr>
          <w:spacing w:val="-9"/>
        </w:rPr>
        <w:t xml:space="preserve"> </w:t>
      </w:r>
      <w:r>
        <w:t>al.,</w:t>
      </w:r>
      <w:r>
        <w:rPr>
          <w:spacing w:val="-12"/>
        </w:rPr>
        <w:t xml:space="preserve"> </w:t>
      </w:r>
      <w:r>
        <w:t>2005;</w:t>
      </w:r>
      <w:r>
        <w:rPr>
          <w:spacing w:val="-5"/>
        </w:rPr>
        <w:t xml:space="preserve"> </w:t>
      </w:r>
      <w:r>
        <w:t>Mandy</w:t>
      </w:r>
      <w:r>
        <w:rPr>
          <w:spacing w:val="-5"/>
        </w:rPr>
        <w:t xml:space="preserve"> </w:t>
      </w:r>
      <w:r>
        <w:t>et</w:t>
      </w:r>
      <w:r>
        <w:rPr>
          <w:spacing w:val="-10"/>
        </w:rPr>
        <w:t xml:space="preserve"> </w:t>
      </w:r>
      <w:r>
        <w:t>al.,</w:t>
      </w:r>
      <w:r>
        <w:rPr>
          <w:spacing w:val="-7"/>
        </w:rPr>
        <w:t xml:space="preserve"> </w:t>
      </w:r>
      <w:r>
        <w:t>2012).</w:t>
      </w:r>
      <w:r>
        <w:rPr>
          <w:spacing w:val="43"/>
        </w:rPr>
        <w:t xml:space="preserve"> </w:t>
      </w:r>
      <w:r>
        <w:t>Therefore,</w:t>
      </w:r>
      <w:r>
        <w:rPr>
          <w:spacing w:val="-7"/>
        </w:rPr>
        <w:t xml:space="preserve"> </w:t>
      </w:r>
      <w:r>
        <w:t>these fin</w:t>
      </w:r>
      <w:r>
        <w:t>dings suggest that time-based PM difficulties are unique to ASD and that they are not the result of interoceptive abilities in ASD. However, further research with a comparing a larger sample of ASD and NT individuals is needed to corroborate this conclusion.</w:t>
      </w:r>
    </w:p>
    <w:p w14:paraId="2DBC7CD1" w14:textId="77777777" w:rsidR="00C75312" w:rsidRDefault="00BB293A">
      <w:pPr>
        <w:pStyle w:val="BodyText"/>
        <w:spacing w:before="120" w:line="480" w:lineRule="auto"/>
        <w:ind w:left="140" w:right="224" w:firstLine="720"/>
        <w:jc w:val="both"/>
      </w:pPr>
      <w:r>
        <w:t>Overall,</w:t>
      </w:r>
      <w:r>
        <w:rPr>
          <w:spacing w:val="-8"/>
        </w:rPr>
        <w:t xml:space="preserve"> </w:t>
      </w:r>
      <w:r>
        <w:t>this</w:t>
      </w:r>
      <w:r>
        <w:rPr>
          <w:spacing w:val="-7"/>
        </w:rPr>
        <w:t xml:space="preserve"> </w:t>
      </w:r>
      <w:r>
        <w:t>gives</w:t>
      </w:r>
      <w:r>
        <w:rPr>
          <w:spacing w:val="-12"/>
        </w:rPr>
        <w:t xml:space="preserve"> </w:t>
      </w:r>
      <w:r>
        <w:t>some</w:t>
      </w:r>
      <w:r>
        <w:rPr>
          <w:spacing w:val="-6"/>
        </w:rPr>
        <w:t xml:space="preserve"> </w:t>
      </w:r>
      <w:r>
        <w:t>initial</w:t>
      </w:r>
      <w:r>
        <w:rPr>
          <w:spacing w:val="-9"/>
        </w:rPr>
        <w:t xml:space="preserve"> </w:t>
      </w:r>
      <w:r>
        <w:t>tentative</w:t>
      </w:r>
      <w:r>
        <w:rPr>
          <w:spacing w:val="-6"/>
        </w:rPr>
        <w:t xml:space="preserve"> </w:t>
      </w:r>
      <w:r>
        <w:t>support</w:t>
      </w:r>
      <w:r>
        <w:rPr>
          <w:spacing w:val="-14"/>
        </w:rPr>
        <w:t xml:space="preserve"> </w:t>
      </w:r>
      <w:r>
        <w:t>that</w:t>
      </w:r>
      <w:r>
        <w:rPr>
          <w:spacing w:val="-4"/>
        </w:rPr>
        <w:t xml:space="preserve"> </w:t>
      </w:r>
      <w:r>
        <w:t>interoceptive</w:t>
      </w:r>
      <w:r>
        <w:rPr>
          <w:spacing w:val="-11"/>
        </w:rPr>
        <w:t xml:space="preserve"> </w:t>
      </w:r>
      <w:r>
        <w:t>processes</w:t>
      </w:r>
      <w:r>
        <w:rPr>
          <w:spacing w:val="-7"/>
        </w:rPr>
        <w:t xml:space="preserve"> </w:t>
      </w:r>
      <w:r>
        <w:t>play</w:t>
      </w:r>
      <w:r>
        <w:rPr>
          <w:spacing w:val="-6"/>
        </w:rPr>
        <w:t xml:space="preserve"> </w:t>
      </w:r>
      <w:r>
        <w:t>a</w:t>
      </w:r>
      <w:r>
        <w:rPr>
          <w:spacing w:val="-14"/>
        </w:rPr>
        <w:t xml:space="preserve"> </w:t>
      </w:r>
      <w:r>
        <w:t>role in</w:t>
      </w:r>
      <w:r>
        <w:rPr>
          <w:spacing w:val="-11"/>
        </w:rPr>
        <w:t xml:space="preserve"> </w:t>
      </w:r>
      <w:r>
        <w:t>time-based</w:t>
      </w:r>
      <w:r>
        <w:rPr>
          <w:spacing w:val="-10"/>
        </w:rPr>
        <w:t xml:space="preserve"> </w:t>
      </w:r>
      <w:r>
        <w:t>PM.</w:t>
      </w:r>
      <w:r>
        <w:rPr>
          <w:spacing w:val="44"/>
        </w:rPr>
        <w:t xml:space="preserve"> </w:t>
      </w:r>
      <w:r>
        <w:t>Future</w:t>
      </w:r>
      <w:r>
        <w:rPr>
          <w:spacing w:val="-15"/>
        </w:rPr>
        <w:t xml:space="preserve"> </w:t>
      </w:r>
      <w:r>
        <w:t>research</w:t>
      </w:r>
      <w:r>
        <w:rPr>
          <w:spacing w:val="-10"/>
        </w:rPr>
        <w:t xml:space="preserve"> </w:t>
      </w:r>
      <w:r>
        <w:t>should</w:t>
      </w:r>
      <w:r>
        <w:rPr>
          <w:spacing w:val="-11"/>
        </w:rPr>
        <w:t xml:space="preserve"> </w:t>
      </w:r>
      <w:r>
        <w:t>aim</w:t>
      </w:r>
      <w:r>
        <w:rPr>
          <w:spacing w:val="-9"/>
        </w:rPr>
        <w:t xml:space="preserve"> </w:t>
      </w:r>
      <w:r>
        <w:t>to</w:t>
      </w:r>
      <w:r>
        <w:rPr>
          <w:spacing w:val="-14"/>
        </w:rPr>
        <w:t xml:space="preserve"> </w:t>
      </w:r>
      <w:r>
        <w:t>confirm</w:t>
      </w:r>
      <w:r>
        <w:rPr>
          <w:spacing w:val="-14"/>
        </w:rPr>
        <w:t xml:space="preserve"> </w:t>
      </w:r>
      <w:r>
        <w:t>this</w:t>
      </w:r>
      <w:r>
        <w:rPr>
          <w:spacing w:val="-12"/>
        </w:rPr>
        <w:t xml:space="preserve"> </w:t>
      </w:r>
      <w:r>
        <w:t>finding</w:t>
      </w:r>
      <w:r>
        <w:rPr>
          <w:spacing w:val="-14"/>
        </w:rPr>
        <w:t xml:space="preserve"> </w:t>
      </w:r>
      <w:r>
        <w:t>and</w:t>
      </w:r>
      <w:r>
        <w:rPr>
          <w:spacing w:val="-10"/>
        </w:rPr>
        <w:t xml:space="preserve"> </w:t>
      </w:r>
      <w:r>
        <w:t>establish</w:t>
      </w:r>
      <w:r>
        <w:rPr>
          <w:spacing w:val="-10"/>
        </w:rPr>
        <w:t xml:space="preserve"> </w:t>
      </w:r>
      <w:r>
        <w:t>how</w:t>
      </w:r>
      <w:r>
        <w:rPr>
          <w:spacing w:val="-10"/>
        </w:rPr>
        <w:t xml:space="preserve"> </w:t>
      </w:r>
      <w:r>
        <w:t>bodily signals</w:t>
      </w:r>
      <w:r>
        <w:rPr>
          <w:spacing w:val="-8"/>
        </w:rPr>
        <w:t xml:space="preserve"> </w:t>
      </w:r>
      <w:r>
        <w:t>such</w:t>
      </w:r>
      <w:r>
        <w:rPr>
          <w:spacing w:val="-6"/>
        </w:rPr>
        <w:t xml:space="preserve"> </w:t>
      </w:r>
      <w:r>
        <w:t>as</w:t>
      </w:r>
      <w:r>
        <w:rPr>
          <w:spacing w:val="-7"/>
        </w:rPr>
        <w:t xml:space="preserve"> </w:t>
      </w:r>
      <w:r>
        <w:t>heart</w:t>
      </w:r>
      <w:r>
        <w:rPr>
          <w:spacing w:val="-5"/>
        </w:rPr>
        <w:t xml:space="preserve"> </w:t>
      </w:r>
      <w:r>
        <w:t>rate</w:t>
      </w:r>
      <w:r>
        <w:rPr>
          <w:spacing w:val="-6"/>
        </w:rPr>
        <w:t xml:space="preserve"> </w:t>
      </w:r>
      <w:r>
        <w:t>variability</w:t>
      </w:r>
      <w:r>
        <w:rPr>
          <w:spacing w:val="-6"/>
        </w:rPr>
        <w:t xml:space="preserve"> </w:t>
      </w:r>
      <w:r>
        <w:t>reflect</w:t>
      </w:r>
      <w:r>
        <w:rPr>
          <w:spacing w:val="-9"/>
        </w:rPr>
        <w:t xml:space="preserve"> </w:t>
      </w:r>
      <w:r>
        <w:t>the</w:t>
      </w:r>
      <w:r>
        <w:rPr>
          <w:spacing w:val="-7"/>
        </w:rPr>
        <w:t xml:space="preserve"> </w:t>
      </w:r>
      <w:r>
        <w:t>association</w:t>
      </w:r>
      <w:r>
        <w:rPr>
          <w:spacing w:val="-5"/>
        </w:rPr>
        <w:t xml:space="preserve"> </w:t>
      </w:r>
      <w:r>
        <w:t>between</w:t>
      </w:r>
      <w:r>
        <w:rPr>
          <w:spacing w:val="-6"/>
        </w:rPr>
        <w:t xml:space="preserve"> </w:t>
      </w:r>
      <w:r>
        <w:t>interoceptive</w:t>
      </w:r>
      <w:r>
        <w:rPr>
          <w:spacing w:val="-6"/>
        </w:rPr>
        <w:t xml:space="preserve"> </w:t>
      </w:r>
      <w:r>
        <w:t>accuracy</w:t>
      </w:r>
      <w:r>
        <w:rPr>
          <w:spacing w:val="-6"/>
        </w:rPr>
        <w:t xml:space="preserve"> </w:t>
      </w:r>
      <w:r>
        <w:t>and time-based PM. Previous studies have shown that heart rate variability is associated with time perception</w:t>
      </w:r>
      <w:r>
        <w:rPr>
          <w:spacing w:val="10"/>
        </w:rPr>
        <w:t xml:space="preserve"> </w:t>
      </w:r>
      <w:r>
        <w:t>in</w:t>
      </w:r>
      <w:r>
        <w:rPr>
          <w:spacing w:val="11"/>
        </w:rPr>
        <w:t xml:space="preserve"> </w:t>
      </w:r>
      <w:r>
        <w:t>the</w:t>
      </w:r>
      <w:r>
        <w:rPr>
          <w:spacing w:val="10"/>
        </w:rPr>
        <w:t xml:space="preserve"> </w:t>
      </w:r>
      <w:r>
        <w:t>range</w:t>
      </w:r>
      <w:r>
        <w:rPr>
          <w:spacing w:val="10"/>
        </w:rPr>
        <w:t xml:space="preserve"> </w:t>
      </w:r>
      <w:r>
        <w:t>of</w:t>
      </w:r>
      <w:r>
        <w:rPr>
          <w:spacing w:val="12"/>
        </w:rPr>
        <w:t xml:space="preserve"> </w:t>
      </w:r>
      <w:r>
        <w:t>2</w:t>
      </w:r>
      <w:r>
        <w:rPr>
          <w:spacing w:val="6"/>
        </w:rPr>
        <w:t xml:space="preserve"> </w:t>
      </w:r>
      <w:r>
        <w:t>to</w:t>
      </w:r>
      <w:r>
        <w:rPr>
          <w:spacing w:val="10"/>
        </w:rPr>
        <w:t xml:space="preserve"> </w:t>
      </w:r>
      <w:r>
        <w:t>20</w:t>
      </w:r>
      <w:r>
        <w:rPr>
          <w:spacing w:val="11"/>
        </w:rPr>
        <w:t xml:space="preserve"> </w:t>
      </w:r>
      <w:r>
        <w:t>seconds</w:t>
      </w:r>
      <w:r>
        <w:rPr>
          <w:spacing w:val="8"/>
        </w:rPr>
        <w:t xml:space="preserve"> </w:t>
      </w:r>
      <w:r>
        <w:t>(Meissner</w:t>
      </w:r>
      <w:r>
        <w:rPr>
          <w:spacing w:val="12"/>
        </w:rPr>
        <w:t xml:space="preserve"> </w:t>
      </w:r>
      <w:r>
        <w:t>&amp;</w:t>
      </w:r>
      <w:r>
        <w:rPr>
          <w:spacing w:val="11"/>
        </w:rPr>
        <w:t xml:space="preserve"> </w:t>
      </w:r>
      <w:r>
        <w:t>Wittmann,</w:t>
      </w:r>
      <w:r>
        <w:rPr>
          <w:spacing w:val="13"/>
        </w:rPr>
        <w:t xml:space="preserve"> </w:t>
      </w:r>
      <w:r>
        <w:t>2011).</w:t>
      </w:r>
      <w:r>
        <w:rPr>
          <w:spacing w:val="18"/>
        </w:rPr>
        <w:t xml:space="preserve"> </w:t>
      </w:r>
      <w:r>
        <w:t>Thus,</w:t>
      </w:r>
      <w:r>
        <w:rPr>
          <w:spacing w:val="8"/>
        </w:rPr>
        <w:t xml:space="preserve"> </w:t>
      </w:r>
      <w:r>
        <w:t>it</w:t>
      </w:r>
      <w:r>
        <w:rPr>
          <w:spacing w:val="11"/>
        </w:rPr>
        <w:t xml:space="preserve"> </w:t>
      </w:r>
      <w:r>
        <w:t>would</w:t>
      </w:r>
      <w:r>
        <w:rPr>
          <w:spacing w:val="11"/>
        </w:rPr>
        <w:t xml:space="preserve"> </w:t>
      </w:r>
      <w:r>
        <w:t>be</w:t>
      </w:r>
    </w:p>
    <w:p w14:paraId="330D1BAB" w14:textId="77777777" w:rsidR="00C75312" w:rsidRDefault="00C75312">
      <w:pPr>
        <w:spacing w:line="480" w:lineRule="auto"/>
        <w:jc w:val="both"/>
        <w:sectPr w:rsidR="00C75312">
          <w:pgSz w:w="11900" w:h="16840"/>
          <w:pgMar w:top="1160" w:right="1200" w:bottom="280" w:left="1300" w:header="715" w:footer="0" w:gutter="0"/>
          <w:cols w:space="720"/>
        </w:sectPr>
      </w:pPr>
    </w:p>
    <w:p w14:paraId="18EB3C60" w14:textId="77777777" w:rsidR="00C75312" w:rsidRDefault="00C75312">
      <w:pPr>
        <w:pStyle w:val="BodyText"/>
        <w:spacing w:before="9"/>
        <w:rPr>
          <w:sz w:val="15"/>
        </w:rPr>
      </w:pPr>
    </w:p>
    <w:p w14:paraId="1377ECC5" w14:textId="77777777" w:rsidR="00C75312" w:rsidRDefault="00BB293A">
      <w:pPr>
        <w:pStyle w:val="BodyText"/>
        <w:spacing w:before="90" w:line="480" w:lineRule="auto"/>
        <w:ind w:left="140" w:right="234"/>
        <w:jc w:val="both"/>
      </w:pPr>
      <w:r>
        <w:t>interesting to study cardiac reactivity in this time windows leading up to PM target times, and whether any increase in heart rate may be associated with PM performance.</w:t>
      </w:r>
    </w:p>
    <w:p w14:paraId="7AC2F663" w14:textId="77777777" w:rsidR="00C75312" w:rsidRDefault="00BB293A">
      <w:pPr>
        <w:pStyle w:val="BodyText"/>
        <w:spacing w:before="120" w:line="480" w:lineRule="auto"/>
        <w:ind w:left="140" w:right="229" w:firstLine="720"/>
        <w:jc w:val="both"/>
      </w:pPr>
      <w:r>
        <w:t xml:space="preserve">Furthermore, the real-life implications of this finding would be an important area of research. Usually time-based intentions cover longer time intervals and are not </w:t>
      </w:r>
      <w:proofErr w:type="spellStart"/>
      <w:r>
        <w:t>characterised</w:t>
      </w:r>
      <w:proofErr w:type="spellEnd"/>
      <w:r>
        <w:t xml:space="preserve"> by frequent monitoring processes (Terry, 1988) or do involve restricted access to a clock. It would be interesting to explore whether interoceptive accuracy is positively related to time- based PM with no or restricted access to a time-monitoring device. A prediction to explore would be that individuals with greater interoceptive accuracy are more on time and reliable when it comes to fulfilling naturalistic time-based intentions.</w:t>
      </w:r>
    </w:p>
    <w:p w14:paraId="24733658" w14:textId="77777777" w:rsidR="00C75312" w:rsidRDefault="00BB293A">
      <w:pPr>
        <w:pStyle w:val="Heading1"/>
        <w:spacing w:before="120"/>
        <w:jc w:val="both"/>
      </w:pPr>
      <w:r>
        <w:t>Implications for alexithymia account of PM in ASD</w:t>
      </w:r>
    </w:p>
    <w:p w14:paraId="72F8838A" w14:textId="77777777" w:rsidR="00C75312" w:rsidRDefault="00C75312">
      <w:pPr>
        <w:pStyle w:val="BodyText"/>
        <w:rPr>
          <w:b/>
        </w:rPr>
      </w:pPr>
    </w:p>
    <w:p w14:paraId="42DB4077" w14:textId="77777777" w:rsidR="00C75312" w:rsidRDefault="00BB293A">
      <w:pPr>
        <w:pStyle w:val="BodyText"/>
        <w:spacing w:line="480" w:lineRule="auto"/>
        <w:ind w:left="140" w:right="228" w:firstLine="720"/>
        <w:jc w:val="both"/>
      </w:pPr>
      <w:r>
        <w:t xml:space="preserve">In this study, interoception was not associated with autism traits, nor did </w:t>
      </w:r>
      <w:r>
        <w:rPr>
          <w:spacing w:val="-3"/>
        </w:rPr>
        <w:t xml:space="preserve">it </w:t>
      </w:r>
      <w:r>
        <w:t>find a link between</w:t>
      </w:r>
      <w:r>
        <w:rPr>
          <w:spacing w:val="-10"/>
        </w:rPr>
        <w:t xml:space="preserve"> </w:t>
      </w:r>
      <w:r>
        <w:t>interoception</w:t>
      </w:r>
      <w:r>
        <w:rPr>
          <w:spacing w:val="-10"/>
        </w:rPr>
        <w:t xml:space="preserve"> </w:t>
      </w:r>
      <w:r>
        <w:t>and</w:t>
      </w:r>
      <w:r>
        <w:rPr>
          <w:spacing w:val="-10"/>
        </w:rPr>
        <w:t xml:space="preserve"> </w:t>
      </w:r>
      <w:r>
        <w:t>alexithymia.</w:t>
      </w:r>
      <w:r>
        <w:rPr>
          <w:spacing w:val="44"/>
        </w:rPr>
        <w:t xml:space="preserve"> </w:t>
      </w:r>
      <w:r>
        <w:t>This</w:t>
      </w:r>
      <w:r>
        <w:rPr>
          <w:spacing w:val="-12"/>
        </w:rPr>
        <w:t xml:space="preserve"> </w:t>
      </w:r>
      <w:r>
        <w:t>is</w:t>
      </w:r>
      <w:r>
        <w:rPr>
          <w:spacing w:val="-12"/>
        </w:rPr>
        <w:t xml:space="preserve"> </w:t>
      </w:r>
      <w:r>
        <w:t>in</w:t>
      </w:r>
      <w:r>
        <w:rPr>
          <w:spacing w:val="-10"/>
        </w:rPr>
        <w:t xml:space="preserve"> </w:t>
      </w:r>
      <w:r>
        <w:t>contradiction</w:t>
      </w:r>
      <w:r>
        <w:rPr>
          <w:spacing w:val="-10"/>
        </w:rPr>
        <w:t xml:space="preserve"> </w:t>
      </w:r>
      <w:r>
        <w:t>with</w:t>
      </w:r>
      <w:r>
        <w:rPr>
          <w:spacing w:val="-10"/>
        </w:rPr>
        <w:t xml:space="preserve"> </w:t>
      </w:r>
      <w:r>
        <w:t>the</w:t>
      </w:r>
      <w:r>
        <w:rPr>
          <w:spacing w:val="-11"/>
        </w:rPr>
        <w:t xml:space="preserve"> </w:t>
      </w:r>
      <w:r>
        <w:t>emerging</w:t>
      </w:r>
      <w:r>
        <w:rPr>
          <w:spacing w:val="-13"/>
        </w:rPr>
        <w:t xml:space="preserve"> </w:t>
      </w:r>
      <w:r>
        <w:t>alexithymia hypothesis of ASD, which attributes social-affective and interoception difficulties in ASD to co-occurring alexithymia in ASD (Bird &amp; Cook, 2013; Bird et al, 2010; Cook, Brewer, Shah, &amp; Bird, 2013; Milosavljevic et al. 2016) and casts doubt into the associations between interoception,</w:t>
      </w:r>
      <w:r>
        <w:rPr>
          <w:spacing w:val="-13"/>
        </w:rPr>
        <w:t xml:space="preserve"> </w:t>
      </w:r>
      <w:r>
        <w:t>autism,</w:t>
      </w:r>
      <w:r>
        <w:rPr>
          <w:spacing w:val="-12"/>
        </w:rPr>
        <w:t xml:space="preserve"> </w:t>
      </w:r>
      <w:r>
        <w:t>and</w:t>
      </w:r>
      <w:r>
        <w:rPr>
          <w:spacing w:val="-14"/>
        </w:rPr>
        <w:t xml:space="preserve"> </w:t>
      </w:r>
      <w:r>
        <w:t>alexithymia.</w:t>
      </w:r>
      <w:r>
        <w:rPr>
          <w:spacing w:val="33"/>
        </w:rPr>
        <w:t xml:space="preserve"> </w:t>
      </w:r>
      <w:r>
        <w:t>A</w:t>
      </w:r>
      <w:r>
        <w:rPr>
          <w:spacing w:val="-15"/>
        </w:rPr>
        <w:t xml:space="preserve"> </w:t>
      </w:r>
      <w:r>
        <w:t>recent</w:t>
      </w:r>
      <w:r>
        <w:rPr>
          <w:spacing w:val="-15"/>
        </w:rPr>
        <w:t xml:space="preserve"> </w:t>
      </w:r>
      <w:r>
        <w:t>study</w:t>
      </w:r>
      <w:r>
        <w:rPr>
          <w:spacing w:val="-14"/>
        </w:rPr>
        <w:t xml:space="preserve"> </w:t>
      </w:r>
      <w:r>
        <w:t>(Nicholson</w:t>
      </w:r>
      <w:r>
        <w:rPr>
          <w:spacing w:val="-14"/>
        </w:rPr>
        <w:t xml:space="preserve"> </w:t>
      </w:r>
      <w:r>
        <w:t>et</w:t>
      </w:r>
      <w:r>
        <w:rPr>
          <w:spacing w:val="-14"/>
        </w:rPr>
        <w:t xml:space="preserve"> </w:t>
      </w:r>
      <w:r>
        <w:t>al.,</w:t>
      </w:r>
      <w:r>
        <w:rPr>
          <w:spacing w:val="-13"/>
        </w:rPr>
        <w:t xml:space="preserve"> </w:t>
      </w:r>
      <w:r>
        <w:t>2017)</w:t>
      </w:r>
      <w:r>
        <w:rPr>
          <w:spacing w:val="-13"/>
        </w:rPr>
        <w:t xml:space="preserve"> </w:t>
      </w:r>
      <w:r>
        <w:t>that</w:t>
      </w:r>
      <w:r>
        <w:rPr>
          <w:spacing w:val="-14"/>
        </w:rPr>
        <w:t xml:space="preserve"> </w:t>
      </w:r>
      <w:r>
        <w:t>specifically aimed</w:t>
      </w:r>
      <w:r>
        <w:rPr>
          <w:spacing w:val="-5"/>
        </w:rPr>
        <w:t xml:space="preserve"> </w:t>
      </w:r>
      <w:r>
        <w:t>to</w:t>
      </w:r>
      <w:r>
        <w:rPr>
          <w:spacing w:val="-10"/>
        </w:rPr>
        <w:t xml:space="preserve"> </w:t>
      </w:r>
      <w:r>
        <w:t>test</w:t>
      </w:r>
      <w:r>
        <w:rPr>
          <w:spacing w:val="-4"/>
        </w:rPr>
        <w:t xml:space="preserve"> </w:t>
      </w:r>
      <w:r>
        <w:t>the</w:t>
      </w:r>
      <w:r>
        <w:rPr>
          <w:spacing w:val="-6"/>
        </w:rPr>
        <w:t xml:space="preserve"> </w:t>
      </w:r>
      <w:r>
        <w:t>predictions</w:t>
      </w:r>
      <w:r>
        <w:rPr>
          <w:spacing w:val="-6"/>
        </w:rPr>
        <w:t xml:space="preserve"> </w:t>
      </w:r>
      <w:r>
        <w:t>of</w:t>
      </w:r>
      <w:r>
        <w:rPr>
          <w:spacing w:val="-8"/>
        </w:rPr>
        <w:t xml:space="preserve"> </w:t>
      </w:r>
      <w:r>
        <w:t>Shah</w:t>
      </w:r>
      <w:r>
        <w:rPr>
          <w:spacing w:val="-10"/>
        </w:rPr>
        <w:t xml:space="preserve"> </w:t>
      </w:r>
      <w:r>
        <w:t>et</w:t>
      </w:r>
      <w:r>
        <w:rPr>
          <w:spacing w:val="-8"/>
        </w:rPr>
        <w:t xml:space="preserve"> </w:t>
      </w:r>
      <w:r>
        <w:t>al.</w:t>
      </w:r>
      <w:r>
        <w:rPr>
          <w:spacing w:val="-7"/>
        </w:rPr>
        <w:t xml:space="preserve"> </w:t>
      </w:r>
      <w:r>
        <w:t>(2016)</w:t>
      </w:r>
      <w:r>
        <w:rPr>
          <w:spacing w:val="-8"/>
        </w:rPr>
        <w:t xml:space="preserve"> </w:t>
      </w:r>
      <w:r>
        <w:t>has</w:t>
      </w:r>
      <w:r>
        <w:rPr>
          <w:spacing w:val="-7"/>
        </w:rPr>
        <w:t xml:space="preserve"> </w:t>
      </w:r>
      <w:r>
        <w:t>found</w:t>
      </w:r>
      <w:r>
        <w:rPr>
          <w:spacing w:val="-4"/>
        </w:rPr>
        <w:t xml:space="preserve"> </w:t>
      </w:r>
      <w:r>
        <w:t>similar</w:t>
      </w:r>
      <w:r>
        <w:rPr>
          <w:spacing w:val="-8"/>
        </w:rPr>
        <w:t xml:space="preserve"> </w:t>
      </w:r>
      <w:r>
        <w:t>results</w:t>
      </w:r>
      <w:r>
        <w:rPr>
          <w:spacing w:val="-7"/>
        </w:rPr>
        <w:t xml:space="preserve"> </w:t>
      </w:r>
      <w:r>
        <w:t>as</w:t>
      </w:r>
      <w:r>
        <w:rPr>
          <w:spacing w:val="-12"/>
        </w:rPr>
        <w:t xml:space="preserve"> </w:t>
      </w:r>
      <w:r>
        <w:t>this</w:t>
      </w:r>
      <w:r>
        <w:rPr>
          <w:spacing w:val="-6"/>
        </w:rPr>
        <w:t xml:space="preserve"> </w:t>
      </w:r>
      <w:r>
        <w:t>study</w:t>
      </w:r>
      <w:r>
        <w:rPr>
          <w:spacing w:val="-5"/>
        </w:rPr>
        <w:t xml:space="preserve"> </w:t>
      </w:r>
      <w:r>
        <w:t>did.</w:t>
      </w:r>
      <w:r>
        <w:rPr>
          <w:spacing w:val="44"/>
        </w:rPr>
        <w:t xml:space="preserve"> </w:t>
      </w:r>
      <w:r>
        <w:t>In a much larger sample of neuroty</w:t>
      </w:r>
      <w:r>
        <w:t>pical individuals (</w:t>
      </w:r>
      <w:r>
        <w:rPr>
          <w:i/>
        </w:rPr>
        <w:t xml:space="preserve">n </w:t>
      </w:r>
      <w:r>
        <w:t>= 137), Nicholson and colleagues did not find any associations between interoceptive accuracy and autism or alexithymia. Moreover, interoception was not impaired in a large sample (</w:t>
      </w:r>
      <w:r>
        <w:rPr>
          <w:i/>
        </w:rPr>
        <w:t xml:space="preserve">n </w:t>
      </w:r>
      <w:r>
        <w:t>= 46) of individuals with a full diagnosis of ASD (compared to 48 controls), even though more than half of the sample manifested clinically significant levels of alexithymia. Those and the present findings therefore provide support for unimpaired interoception along the autism spectrum in line with evidence</w:t>
      </w:r>
      <w:r>
        <w:t xml:space="preserve"> of</w:t>
      </w:r>
      <w:r>
        <w:rPr>
          <w:spacing w:val="-41"/>
        </w:rPr>
        <w:t xml:space="preserve"> </w:t>
      </w:r>
      <w:r>
        <w:t>intact physical self-awareness in</w:t>
      </w:r>
      <w:r>
        <w:rPr>
          <w:spacing w:val="3"/>
        </w:rPr>
        <w:t xml:space="preserve"> </w:t>
      </w:r>
      <w:r>
        <w:t>ASD.</w:t>
      </w:r>
    </w:p>
    <w:p w14:paraId="7044EE78" w14:textId="77777777" w:rsidR="00C75312" w:rsidRDefault="00C75312">
      <w:pPr>
        <w:spacing w:line="480" w:lineRule="auto"/>
        <w:jc w:val="both"/>
        <w:sectPr w:rsidR="00C75312">
          <w:pgSz w:w="11900" w:h="16840"/>
          <w:pgMar w:top="1160" w:right="1200" w:bottom="280" w:left="1300" w:header="715" w:footer="0" w:gutter="0"/>
          <w:cols w:space="720"/>
        </w:sectPr>
      </w:pPr>
    </w:p>
    <w:p w14:paraId="1F7D583F" w14:textId="77777777" w:rsidR="00C75312" w:rsidRDefault="00C75312">
      <w:pPr>
        <w:pStyle w:val="BodyText"/>
        <w:spacing w:before="9"/>
        <w:rPr>
          <w:sz w:val="15"/>
        </w:rPr>
      </w:pPr>
    </w:p>
    <w:p w14:paraId="26AF3D08" w14:textId="77777777" w:rsidR="00C75312" w:rsidRDefault="00BB293A">
      <w:pPr>
        <w:pStyle w:val="Heading1"/>
        <w:spacing w:before="90"/>
      </w:pPr>
      <w:r>
        <w:t>Conclusion</w:t>
      </w:r>
    </w:p>
    <w:p w14:paraId="2BC53513" w14:textId="77777777" w:rsidR="00C75312" w:rsidRDefault="00C75312">
      <w:pPr>
        <w:pStyle w:val="BodyText"/>
        <w:rPr>
          <w:b/>
        </w:rPr>
      </w:pPr>
    </w:p>
    <w:p w14:paraId="4791D339" w14:textId="77777777" w:rsidR="00C75312" w:rsidRDefault="00BB293A">
      <w:pPr>
        <w:pStyle w:val="BodyText"/>
        <w:spacing w:line="480" w:lineRule="auto"/>
        <w:ind w:left="140" w:right="229" w:firstLine="720"/>
        <w:jc w:val="both"/>
      </w:pPr>
      <w:r>
        <w:t>In sum, the current results tentatively support and extend prior evidence linking interoception and PM. Furthermore, the associations found between autism traits and PM in this</w:t>
      </w:r>
      <w:r>
        <w:rPr>
          <w:spacing w:val="-10"/>
        </w:rPr>
        <w:t xml:space="preserve"> </w:t>
      </w:r>
      <w:r>
        <w:t>study</w:t>
      </w:r>
      <w:r>
        <w:rPr>
          <w:spacing w:val="-7"/>
        </w:rPr>
        <w:t xml:space="preserve"> </w:t>
      </w:r>
      <w:r>
        <w:t>precisely</w:t>
      </w:r>
      <w:r>
        <w:rPr>
          <w:spacing w:val="-7"/>
        </w:rPr>
        <w:t xml:space="preserve"> </w:t>
      </w:r>
      <w:r>
        <w:t>mirrored</w:t>
      </w:r>
      <w:r>
        <w:rPr>
          <w:spacing w:val="-12"/>
        </w:rPr>
        <w:t xml:space="preserve"> </w:t>
      </w:r>
      <w:r>
        <w:t>the</w:t>
      </w:r>
      <w:r>
        <w:rPr>
          <w:spacing w:val="-8"/>
        </w:rPr>
        <w:t xml:space="preserve"> </w:t>
      </w:r>
      <w:r>
        <w:t>pattern</w:t>
      </w:r>
      <w:r>
        <w:rPr>
          <w:spacing w:val="-12"/>
        </w:rPr>
        <w:t xml:space="preserve"> </w:t>
      </w:r>
      <w:r>
        <w:rPr>
          <w:spacing w:val="-3"/>
        </w:rPr>
        <w:t>of</w:t>
      </w:r>
      <w:r>
        <w:rPr>
          <w:spacing w:val="-10"/>
        </w:rPr>
        <w:t xml:space="preserve"> </w:t>
      </w:r>
      <w:r>
        <w:t>unimpaired</w:t>
      </w:r>
      <w:r>
        <w:rPr>
          <w:spacing w:val="-7"/>
        </w:rPr>
        <w:t xml:space="preserve"> </w:t>
      </w:r>
      <w:r>
        <w:t>event-based</w:t>
      </w:r>
      <w:r>
        <w:rPr>
          <w:spacing w:val="-7"/>
        </w:rPr>
        <w:t xml:space="preserve"> </w:t>
      </w:r>
      <w:r>
        <w:t>and</w:t>
      </w:r>
      <w:r>
        <w:rPr>
          <w:spacing w:val="-8"/>
        </w:rPr>
        <w:t xml:space="preserve"> </w:t>
      </w:r>
      <w:r>
        <w:t>diminished</w:t>
      </w:r>
      <w:r>
        <w:rPr>
          <w:spacing w:val="-11"/>
        </w:rPr>
        <w:t xml:space="preserve"> </w:t>
      </w:r>
      <w:r>
        <w:t>time-based PM in individuals with ASD. Finally, the evidence suggests that neither the level of alexithymia traits nor interoceptive accuracy will have explanatory power to further advance our understanding of time-based PM problems in ASD (although this remains to be tested in an actual sample of ASD</w:t>
      </w:r>
      <w:r>
        <w:rPr>
          <w:spacing w:val="5"/>
        </w:rPr>
        <w:t xml:space="preserve"> </w:t>
      </w:r>
      <w:r>
        <w:t>individuals).</w:t>
      </w:r>
    </w:p>
    <w:p w14:paraId="406109D3" w14:textId="77777777" w:rsidR="00C75312" w:rsidRDefault="00C75312">
      <w:pPr>
        <w:spacing w:line="480" w:lineRule="auto"/>
        <w:jc w:val="both"/>
        <w:sectPr w:rsidR="00C75312">
          <w:pgSz w:w="11900" w:h="16840"/>
          <w:pgMar w:top="1160" w:right="1200" w:bottom="280" w:left="1300" w:header="715" w:footer="0" w:gutter="0"/>
          <w:cols w:space="720"/>
        </w:sectPr>
      </w:pPr>
    </w:p>
    <w:p w14:paraId="65C2AE81" w14:textId="77777777" w:rsidR="00C75312" w:rsidRDefault="00C75312">
      <w:pPr>
        <w:pStyle w:val="BodyText"/>
        <w:spacing w:before="3"/>
        <w:rPr>
          <w:sz w:val="26"/>
        </w:rPr>
      </w:pPr>
    </w:p>
    <w:p w14:paraId="78AD764F" w14:textId="77777777" w:rsidR="00C75312" w:rsidRDefault="00BB293A">
      <w:pPr>
        <w:pStyle w:val="Heading1"/>
        <w:spacing w:before="90"/>
        <w:ind w:left="1807" w:right="1901"/>
        <w:jc w:val="center"/>
      </w:pPr>
      <w:r>
        <w:t>CHAPTER 6</w:t>
      </w:r>
    </w:p>
    <w:p w14:paraId="31A0A0AC" w14:textId="77777777" w:rsidR="00C75312" w:rsidRDefault="00C75312">
      <w:pPr>
        <w:pStyle w:val="BodyText"/>
        <w:rPr>
          <w:b/>
          <w:sz w:val="26"/>
        </w:rPr>
      </w:pPr>
    </w:p>
    <w:p w14:paraId="7A40B694" w14:textId="77777777" w:rsidR="00C75312" w:rsidRDefault="00BB293A">
      <w:pPr>
        <w:spacing w:before="217"/>
        <w:ind w:left="1807" w:right="1842"/>
        <w:jc w:val="center"/>
        <w:rPr>
          <w:b/>
          <w:sz w:val="24"/>
        </w:rPr>
      </w:pPr>
      <w:r>
        <w:rPr>
          <w:b/>
          <w:sz w:val="24"/>
        </w:rPr>
        <w:t>GENERAL DISCUSSION</w:t>
      </w:r>
    </w:p>
    <w:p w14:paraId="1FA952A4" w14:textId="77777777" w:rsidR="00C75312" w:rsidRDefault="00C75312">
      <w:pPr>
        <w:pStyle w:val="BodyText"/>
        <w:spacing w:before="11"/>
        <w:rPr>
          <w:b/>
          <w:sz w:val="23"/>
        </w:rPr>
      </w:pPr>
    </w:p>
    <w:p w14:paraId="3DD40F42" w14:textId="77777777" w:rsidR="00C75312" w:rsidRDefault="00BB293A">
      <w:pPr>
        <w:pStyle w:val="BodyText"/>
        <w:spacing w:line="480" w:lineRule="auto"/>
        <w:ind w:left="140" w:right="228" w:firstLine="720"/>
        <w:jc w:val="both"/>
      </w:pPr>
      <w:r>
        <w:t>Previous research has so far disputed whether event-based PM is impaired or not in whilst seeking to find an explanation for time-based PM impairments in ASD. This thesis explored both of these important aspects of PM in an attempt to advance our understanding of PM abilities as well as the underlying mechanisms for diminished PM in ASD. Two studies addressed the question of impairment of event-based PM in ASD, one study explored contributing factors for time-based PM impairments in ASD, and one study explo</w:t>
      </w:r>
      <w:r>
        <w:t>red both event-based PM and time-based PM in relation to interoception and ASD traits among neurotypical individuals using an individual differences approach.</w:t>
      </w:r>
    </w:p>
    <w:p w14:paraId="0B5A1ADD" w14:textId="77777777" w:rsidR="00C75312" w:rsidRDefault="00BB293A">
      <w:pPr>
        <w:pStyle w:val="BodyText"/>
        <w:spacing w:before="120" w:line="480" w:lineRule="auto"/>
        <w:ind w:left="140" w:right="227" w:firstLine="720"/>
        <w:jc w:val="both"/>
      </w:pPr>
      <w:r>
        <w:t xml:space="preserve">The results of this thesis enhance existing knowledge on PM, in general, and PM in ASD specifically. Results from Chapters 2 and 3 offer strong support for genuinely undiminished event-based PM in ASD. Chapter 4 provides novel insight into why time-based PM in ASD is impaired and that there may be ways to alleviate some </w:t>
      </w:r>
      <w:r>
        <w:rPr>
          <w:spacing w:val="-3"/>
        </w:rPr>
        <w:t xml:space="preserve">of </w:t>
      </w:r>
      <w:r>
        <w:t xml:space="preserve">the severity of difficulties using simple strategies. Finally, Chapter 5 confirms this dichotomy in the association of PM abilities with autism traits in </w:t>
      </w:r>
      <w:r>
        <w:rPr>
          <w:spacing w:val="-3"/>
        </w:rPr>
        <w:t xml:space="preserve">NT </w:t>
      </w:r>
      <w:r>
        <w:t>healthy individuals and gives insight into their relation with interoception and related constructs. The following discussion of the</w:t>
      </w:r>
      <w:r>
        <w:rPr>
          <w:spacing w:val="-44"/>
        </w:rPr>
        <w:t xml:space="preserve"> </w:t>
      </w:r>
      <w:r>
        <w:t>results presented in this thesis will integrate the findings within the broader literature, discuss their implications for everyday life in ASD, consider wider issues of PM research in ASD, as well as explore directions</w:t>
      </w:r>
      <w:r>
        <w:t xml:space="preserve"> for future research.</w:t>
      </w:r>
    </w:p>
    <w:p w14:paraId="1AC5597E" w14:textId="77777777" w:rsidR="00C75312" w:rsidRDefault="00BB293A">
      <w:pPr>
        <w:pStyle w:val="Heading1"/>
        <w:spacing w:before="121"/>
      </w:pPr>
      <w:bookmarkStart w:id="25" w:name="_TOC_250008"/>
      <w:bookmarkEnd w:id="25"/>
      <w:r>
        <w:t>Event-based PM in ASD</w:t>
      </w:r>
    </w:p>
    <w:p w14:paraId="2006FC02" w14:textId="77777777" w:rsidR="00C75312" w:rsidRDefault="00C75312">
      <w:pPr>
        <w:pStyle w:val="BodyText"/>
        <w:rPr>
          <w:b/>
        </w:rPr>
      </w:pPr>
    </w:p>
    <w:p w14:paraId="46FEAC46" w14:textId="77777777" w:rsidR="00C75312" w:rsidRDefault="00BB293A">
      <w:pPr>
        <w:pStyle w:val="BodyText"/>
        <w:spacing w:line="480" w:lineRule="auto"/>
        <w:ind w:left="140" w:right="228" w:firstLine="720"/>
        <w:jc w:val="both"/>
      </w:pPr>
      <w:r>
        <w:t>Chapters 2 and 3 assessed event-based PM in children with ASD and presented a consistent pattern of findings that indicated undiminished performance in ASD. Event-based PM was tested under two different assumptions to elucidate whether a specific pattern or the</w:t>
      </w:r>
    </w:p>
    <w:p w14:paraId="3323C136" w14:textId="77777777" w:rsidR="00C75312" w:rsidRDefault="00C75312">
      <w:pPr>
        <w:spacing w:line="480" w:lineRule="auto"/>
        <w:jc w:val="both"/>
        <w:sectPr w:rsidR="00C75312">
          <w:headerReference w:type="default" r:id="rId53"/>
          <w:pgSz w:w="11900" w:h="16840"/>
          <w:pgMar w:top="1160" w:right="1200" w:bottom="280" w:left="1300" w:header="715" w:footer="0" w:gutter="0"/>
          <w:pgNumType w:start="147"/>
          <w:cols w:space="720"/>
        </w:sectPr>
      </w:pPr>
    </w:p>
    <w:p w14:paraId="7DB80EE7" w14:textId="77777777" w:rsidR="00C75312" w:rsidRDefault="00C75312">
      <w:pPr>
        <w:pStyle w:val="BodyText"/>
        <w:spacing w:before="9"/>
        <w:rPr>
          <w:sz w:val="15"/>
        </w:rPr>
      </w:pPr>
    </w:p>
    <w:p w14:paraId="1920AF67" w14:textId="77777777" w:rsidR="00C75312" w:rsidRDefault="00BB293A">
      <w:pPr>
        <w:pStyle w:val="BodyText"/>
        <w:spacing w:before="90" w:line="480" w:lineRule="auto"/>
        <w:ind w:left="140" w:right="226"/>
        <w:jc w:val="both"/>
      </w:pPr>
      <w:r>
        <w:t>use</w:t>
      </w:r>
      <w:r>
        <w:rPr>
          <w:spacing w:val="-8"/>
        </w:rPr>
        <w:t xml:space="preserve"> </w:t>
      </w:r>
      <w:r>
        <w:t>of</w:t>
      </w:r>
      <w:r>
        <w:rPr>
          <w:spacing w:val="-5"/>
        </w:rPr>
        <w:t xml:space="preserve"> </w:t>
      </w:r>
      <w:r>
        <w:t>compensatory</w:t>
      </w:r>
      <w:r>
        <w:rPr>
          <w:spacing w:val="-7"/>
        </w:rPr>
        <w:t xml:space="preserve"> </w:t>
      </w:r>
      <w:r>
        <w:t>strategies</w:t>
      </w:r>
      <w:r>
        <w:rPr>
          <w:spacing w:val="-9"/>
        </w:rPr>
        <w:t xml:space="preserve"> </w:t>
      </w:r>
      <w:r>
        <w:t>underpinned</w:t>
      </w:r>
      <w:r>
        <w:rPr>
          <w:spacing w:val="-12"/>
        </w:rPr>
        <w:t xml:space="preserve"> </w:t>
      </w:r>
      <w:r>
        <w:t>the</w:t>
      </w:r>
      <w:r>
        <w:rPr>
          <w:spacing w:val="-7"/>
        </w:rPr>
        <w:t xml:space="preserve"> </w:t>
      </w:r>
      <w:r>
        <w:t>inconsistent</w:t>
      </w:r>
      <w:r>
        <w:rPr>
          <w:spacing w:val="-6"/>
        </w:rPr>
        <w:t xml:space="preserve"> </w:t>
      </w:r>
      <w:r>
        <w:t>previous</w:t>
      </w:r>
      <w:r>
        <w:rPr>
          <w:spacing w:val="-9"/>
        </w:rPr>
        <w:t xml:space="preserve"> </w:t>
      </w:r>
      <w:r>
        <w:t>evidence</w:t>
      </w:r>
      <w:r>
        <w:rPr>
          <w:spacing w:val="-8"/>
        </w:rPr>
        <w:t xml:space="preserve"> </w:t>
      </w:r>
      <w:r>
        <w:t>on</w:t>
      </w:r>
      <w:r>
        <w:rPr>
          <w:spacing w:val="-7"/>
        </w:rPr>
        <w:t xml:space="preserve"> </w:t>
      </w:r>
      <w:r>
        <w:t>event-based PM abilities in ASD. The results of both studies were in keeping with previous studies that report</w:t>
      </w:r>
      <w:r>
        <w:rPr>
          <w:spacing w:val="-2"/>
        </w:rPr>
        <w:t xml:space="preserve"> </w:t>
      </w:r>
      <w:r>
        <w:t>unimpaired</w:t>
      </w:r>
      <w:r>
        <w:rPr>
          <w:spacing w:val="-6"/>
        </w:rPr>
        <w:t xml:space="preserve"> </w:t>
      </w:r>
      <w:r>
        <w:t>event-based</w:t>
      </w:r>
      <w:r>
        <w:rPr>
          <w:spacing w:val="-1"/>
        </w:rPr>
        <w:t xml:space="preserve"> </w:t>
      </w:r>
      <w:r>
        <w:t>PM</w:t>
      </w:r>
      <w:r>
        <w:rPr>
          <w:spacing w:val="-3"/>
        </w:rPr>
        <w:t xml:space="preserve"> </w:t>
      </w:r>
      <w:r>
        <w:t>performance</w:t>
      </w:r>
      <w:r>
        <w:rPr>
          <w:spacing w:val="-7"/>
        </w:rPr>
        <w:t xml:space="preserve"> </w:t>
      </w:r>
      <w:r>
        <w:t>in</w:t>
      </w:r>
      <w:r>
        <w:rPr>
          <w:spacing w:val="-11"/>
        </w:rPr>
        <w:t xml:space="preserve"> </w:t>
      </w:r>
      <w:r>
        <w:t>ASD</w:t>
      </w:r>
      <w:r>
        <w:rPr>
          <w:spacing w:val="-2"/>
        </w:rPr>
        <w:t xml:space="preserve"> </w:t>
      </w:r>
      <w:r>
        <w:t>(</w:t>
      </w:r>
      <w:proofErr w:type="spellStart"/>
      <w:r>
        <w:t>Altgassen</w:t>
      </w:r>
      <w:proofErr w:type="spellEnd"/>
      <w:r>
        <w:rPr>
          <w:spacing w:val="-1"/>
        </w:rPr>
        <w:t xml:space="preserve"> </w:t>
      </w:r>
      <w:r>
        <w:t>&amp;</w:t>
      </w:r>
      <w:r>
        <w:rPr>
          <w:spacing w:val="-5"/>
        </w:rPr>
        <w:t xml:space="preserve"> </w:t>
      </w:r>
      <w:r>
        <w:t>Koch,</w:t>
      </w:r>
      <w:r>
        <w:rPr>
          <w:spacing w:val="-3"/>
        </w:rPr>
        <w:t xml:space="preserve"> </w:t>
      </w:r>
      <w:r>
        <w:t>2014;</w:t>
      </w:r>
      <w:r>
        <w:rPr>
          <w:spacing w:val="-6"/>
        </w:rPr>
        <w:t xml:space="preserve"> </w:t>
      </w:r>
      <w:proofErr w:type="spellStart"/>
      <w:r>
        <w:t>Altgassen</w:t>
      </w:r>
      <w:proofErr w:type="spellEnd"/>
      <w:r>
        <w:t>, Schmitz-Hübsch, et al., 2010; Henry et al., 2014; Williams et al., 2013; Williams et al.,</w:t>
      </w:r>
      <w:r>
        <w:rPr>
          <w:spacing w:val="-36"/>
        </w:rPr>
        <w:t xml:space="preserve"> </w:t>
      </w:r>
      <w:r>
        <w:t xml:space="preserve">2014). These findings have added to those previous results in two ways. (1) Results from Chapter 2 indicate that event-based PM is not significantly more negatively affected in ASD than in NT children, irrespective of the way the </w:t>
      </w:r>
      <w:r>
        <w:t>PM cue is embedded into the ongoing task (cue focality), as</w:t>
      </w:r>
      <w:r>
        <w:rPr>
          <w:spacing w:val="-16"/>
        </w:rPr>
        <w:t xml:space="preserve"> </w:t>
      </w:r>
      <w:r>
        <w:t>well</w:t>
      </w:r>
      <w:r>
        <w:rPr>
          <w:spacing w:val="-13"/>
        </w:rPr>
        <w:t xml:space="preserve"> </w:t>
      </w:r>
      <w:r>
        <w:t>as</w:t>
      </w:r>
      <w:r>
        <w:rPr>
          <w:spacing w:val="-16"/>
        </w:rPr>
        <w:t xml:space="preserve"> </w:t>
      </w:r>
      <w:r>
        <w:t>regardless</w:t>
      </w:r>
      <w:r>
        <w:rPr>
          <w:spacing w:val="-15"/>
        </w:rPr>
        <w:t xml:space="preserve"> </w:t>
      </w:r>
      <w:r>
        <w:t>of</w:t>
      </w:r>
      <w:r>
        <w:rPr>
          <w:spacing w:val="-12"/>
        </w:rPr>
        <w:t xml:space="preserve"> </w:t>
      </w:r>
      <w:r>
        <w:t>its</w:t>
      </w:r>
      <w:r>
        <w:rPr>
          <w:spacing w:val="-16"/>
        </w:rPr>
        <w:t xml:space="preserve"> </w:t>
      </w:r>
      <w:r>
        <w:t>sensory</w:t>
      </w:r>
      <w:r>
        <w:rPr>
          <w:spacing w:val="-12"/>
        </w:rPr>
        <w:t xml:space="preserve"> </w:t>
      </w:r>
      <w:r>
        <w:t>modality</w:t>
      </w:r>
      <w:r>
        <w:rPr>
          <w:spacing w:val="-13"/>
        </w:rPr>
        <w:t xml:space="preserve"> </w:t>
      </w:r>
      <w:r>
        <w:t>(auditory/visual).</w:t>
      </w:r>
      <w:r>
        <w:rPr>
          <w:spacing w:val="32"/>
        </w:rPr>
        <w:t xml:space="preserve"> </w:t>
      </w:r>
      <w:r>
        <w:t>This</w:t>
      </w:r>
      <w:r>
        <w:rPr>
          <w:spacing w:val="-16"/>
        </w:rPr>
        <w:t xml:space="preserve"> </w:t>
      </w:r>
      <w:r>
        <w:t>finding</w:t>
      </w:r>
      <w:r>
        <w:rPr>
          <w:spacing w:val="-13"/>
        </w:rPr>
        <w:t xml:space="preserve"> </w:t>
      </w:r>
      <w:r>
        <w:t>aligns</w:t>
      </w:r>
      <w:r>
        <w:rPr>
          <w:spacing w:val="-15"/>
        </w:rPr>
        <w:t xml:space="preserve"> </w:t>
      </w:r>
      <w:r>
        <w:t>with</w:t>
      </w:r>
      <w:r>
        <w:rPr>
          <w:spacing w:val="-18"/>
        </w:rPr>
        <w:t xml:space="preserve"> </w:t>
      </w:r>
      <w:r>
        <w:t xml:space="preserve">findings of a recent study, which found that PM cue salience did also not negatively impact PM performance (Sheppard &amp; </w:t>
      </w:r>
      <w:proofErr w:type="spellStart"/>
      <w:r>
        <w:t>Altgassen</w:t>
      </w:r>
      <w:proofErr w:type="spellEnd"/>
      <w:r>
        <w:t xml:space="preserve">, 2016). This suggests that the </w:t>
      </w:r>
      <w:proofErr w:type="spellStart"/>
      <w:r>
        <w:t>multiprocess</w:t>
      </w:r>
      <w:proofErr w:type="spellEnd"/>
      <w:r>
        <w:t xml:space="preserve"> model (McDaniel &amp; Einstein, 2000, 2007), as a descriptive framework </w:t>
      </w:r>
      <w:r>
        <w:rPr>
          <w:spacing w:val="-3"/>
        </w:rPr>
        <w:t xml:space="preserve">of </w:t>
      </w:r>
      <w:r>
        <w:t>event-based PM, can be applied to PM in ASD. (2) Results from Chapter 3 strongly increase the confidence in the finding</w:t>
      </w:r>
      <w:r>
        <w:rPr>
          <w:spacing w:val="-10"/>
        </w:rPr>
        <w:t xml:space="preserve"> </w:t>
      </w:r>
      <w:r>
        <w:t>of</w:t>
      </w:r>
      <w:r>
        <w:rPr>
          <w:spacing w:val="-7"/>
        </w:rPr>
        <w:t xml:space="preserve"> </w:t>
      </w:r>
      <w:r>
        <w:t>unimpaired</w:t>
      </w:r>
      <w:r>
        <w:rPr>
          <w:spacing w:val="-10"/>
        </w:rPr>
        <w:t xml:space="preserve"> </w:t>
      </w:r>
      <w:r>
        <w:t>event-based</w:t>
      </w:r>
      <w:r>
        <w:rPr>
          <w:spacing w:val="-9"/>
        </w:rPr>
        <w:t xml:space="preserve"> </w:t>
      </w:r>
      <w:r>
        <w:t>PM</w:t>
      </w:r>
      <w:r>
        <w:rPr>
          <w:spacing w:val="-12"/>
        </w:rPr>
        <w:t xml:space="preserve"> </w:t>
      </w:r>
      <w:r>
        <w:t>in</w:t>
      </w:r>
      <w:r>
        <w:rPr>
          <w:spacing w:val="-9"/>
        </w:rPr>
        <w:t xml:space="preserve"> </w:t>
      </w:r>
      <w:r>
        <w:t>ASD</w:t>
      </w:r>
      <w:r>
        <w:rPr>
          <w:spacing w:val="-10"/>
        </w:rPr>
        <w:t xml:space="preserve"> </w:t>
      </w:r>
      <w:r>
        <w:t>since</w:t>
      </w:r>
      <w:r>
        <w:rPr>
          <w:spacing w:val="-10"/>
        </w:rPr>
        <w:t xml:space="preserve"> </w:t>
      </w:r>
      <w:r>
        <w:t>it</w:t>
      </w:r>
      <w:r>
        <w:rPr>
          <w:spacing w:val="-8"/>
        </w:rPr>
        <w:t xml:space="preserve"> </w:t>
      </w:r>
      <w:r>
        <w:t>ruled</w:t>
      </w:r>
      <w:r>
        <w:rPr>
          <w:spacing w:val="-10"/>
        </w:rPr>
        <w:t xml:space="preserve"> </w:t>
      </w:r>
      <w:r>
        <w:t>out</w:t>
      </w:r>
      <w:r>
        <w:rPr>
          <w:spacing w:val="-8"/>
        </w:rPr>
        <w:t xml:space="preserve"> </w:t>
      </w:r>
      <w:r>
        <w:t>the</w:t>
      </w:r>
      <w:r>
        <w:rPr>
          <w:spacing w:val="-11"/>
        </w:rPr>
        <w:t xml:space="preserve"> </w:t>
      </w:r>
      <w:r>
        <w:t>possibility</w:t>
      </w:r>
      <w:r>
        <w:rPr>
          <w:spacing w:val="-9"/>
        </w:rPr>
        <w:t xml:space="preserve"> </w:t>
      </w:r>
      <w:r>
        <w:t>that</w:t>
      </w:r>
      <w:r>
        <w:rPr>
          <w:spacing w:val="-9"/>
        </w:rPr>
        <w:t xml:space="preserve"> </w:t>
      </w:r>
      <w:r>
        <w:t xml:space="preserve">individuals with ASD might “hack out” solutions to event-based PM tasks </w:t>
      </w:r>
      <w:r>
        <w:t xml:space="preserve">using compensatory verbal strategies. Finally, findings from Chapter 5 confirm this pattern indicating that event-based PM is not associated with autistic traits in healthy adults. Complementary Bayesian analyses reliably supported this evidence in </w:t>
      </w:r>
      <w:proofErr w:type="spellStart"/>
      <w:r>
        <w:t>favour</w:t>
      </w:r>
      <w:proofErr w:type="spellEnd"/>
      <w:r>
        <w:t xml:space="preserve"> of the null</w:t>
      </w:r>
      <w:r>
        <w:rPr>
          <w:spacing w:val="-1"/>
        </w:rPr>
        <w:t xml:space="preserve"> </w:t>
      </w:r>
      <w:r>
        <w:t>hypothesis.</w:t>
      </w:r>
    </w:p>
    <w:p w14:paraId="15F5C315" w14:textId="77777777" w:rsidR="00C75312" w:rsidRDefault="00BB293A">
      <w:pPr>
        <w:pStyle w:val="Heading1"/>
        <w:spacing w:before="121"/>
        <w:jc w:val="both"/>
      </w:pPr>
      <w:bookmarkStart w:id="26" w:name="_TOC_250007"/>
      <w:bookmarkEnd w:id="26"/>
      <w:r>
        <w:t>Time-based PM in ASD</w:t>
      </w:r>
    </w:p>
    <w:p w14:paraId="1049CD1B" w14:textId="77777777" w:rsidR="00C75312" w:rsidRDefault="00C75312">
      <w:pPr>
        <w:pStyle w:val="BodyText"/>
        <w:rPr>
          <w:b/>
        </w:rPr>
      </w:pPr>
    </w:p>
    <w:p w14:paraId="7A4E3B6E" w14:textId="77777777" w:rsidR="00C75312" w:rsidRDefault="00BB293A">
      <w:pPr>
        <w:pStyle w:val="BodyText"/>
        <w:spacing w:line="480" w:lineRule="auto"/>
        <w:ind w:left="140" w:right="228" w:firstLine="720"/>
        <w:jc w:val="both"/>
      </w:pPr>
      <w:r>
        <w:t>In line with the general research and the findings of the meta-analysis conducted in Chapter</w:t>
      </w:r>
      <w:r>
        <w:rPr>
          <w:spacing w:val="-9"/>
        </w:rPr>
        <w:t xml:space="preserve"> </w:t>
      </w:r>
      <w:r>
        <w:t>1,</w:t>
      </w:r>
      <w:r>
        <w:rPr>
          <w:spacing w:val="-8"/>
        </w:rPr>
        <w:t xml:space="preserve"> </w:t>
      </w:r>
      <w:r>
        <w:t>findings</w:t>
      </w:r>
      <w:r>
        <w:rPr>
          <w:spacing w:val="-13"/>
        </w:rPr>
        <w:t xml:space="preserve"> </w:t>
      </w:r>
      <w:r>
        <w:t>of</w:t>
      </w:r>
      <w:r>
        <w:rPr>
          <w:spacing w:val="-8"/>
        </w:rPr>
        <w:t xml:space="preserve"> </w:t>
      </w:r>
      <w:r>
        <w:t>Chapters</w:t>
      </w:r>
      <w:r>
        <w:rPr>
          <w:spacing w:val="-13"/>
        </w:rPr>
        <w:t xml:space="preserve"> </w:t>
      </w:r>
      <w:r>
        <w:t>4</w:t>
      </w:r>
      <w:r>
        <w:rPr>
          <w:spacing w:val="-11"/>
        </w:rPr>
        <w:t xml:space="preserve"> </w:t>
      </w:r>
      <w:r>
        <w:t>and</w:t>
      </w:r>
      <w:r>
        <w:rPr>
          <w:spacing w:val="-10"/>
        </w:rPr>
        <w:t xml:space="preserve"> </w:t>
      </w:r>
      <w:r>
        <w:t>5</w:t>
      </w:r>
      <w:r>
        <w:rPr>
          <w:spacing w:val="-15"/>
        </w:rPr>
        <w:t xml:space="preserve"> </w:t>
      </w:r>
      <w:r>
        <w:t>replicated</w:t>
      </w:r>
      <w:r>
        <w:rPr>
          <w:spacing w:val="-10"/>
        </w:rPr>
        <w:t xml:space="preserve"> </w:t>
      </w:r>
      <w:r>
        <w:t>the</w:t>
      </w:r>
      <w:r>
        <w:rPr>
          <w:spacing w:val="-12"/>
        </w:rPr>
        <w:t xml:space="preserve"> </w:t>
      </w:r>
      <w:r>
        <w:t>association</w:t>
      </w:r>
      <w:r>
        <w:rPr>
          <w:spacing w:val="-11"/>
        </w:rPr>
        <w:t xml:space="preserve"> </w:t>
      </w:r>
      <w:r>
        <w:t>of</w:t>
      </w:r>
      <w:r>
        <w:rPr>
          <w:spacing w:val="-9"/>
        </w:rPr>
        <w:t xml:space="preserve"> </w:t>
      </w:r>
      <w:r>
        <w:t>time-based</w:t>
      </w:r>
      <w:r>
        <w:rPr>
          <w:spacing w:val="-10"/>
        </w:rPr>
        <w:t xml:space="preserve"> </w:t>
      </w:r>
      <w:r>
        <w:t>PM</w:t>
      </w:r>
      <w:r>
        <w:rPr>
          <w:spacing w:val="-13"/>
        </w:rPr>
        <w:t xml:space="preserve"> </w:t>
      </w:r>
      <w:r>
        <w:t xml:space="preserve">difficulties with autism in both healthy typically developing individuals as well as individuals with a clinical diagnosis of ASD. Most importantly, however, using a manipulation that </w:t>
      </w:r>
      <w:proofErr w:type="spellStart"/>
      <w:r>
        <w:t>emphasised</w:t>
      </w:r>
      <w:proofErr w:type="spellEnd"/>
      <w:r>
        <w:t xml:space="preserve"> the importance of the time-based delayed intention (Chapter 4), </w:t>
      </w:r>
      <w:r>
        <w:rPr>
          <w:spacing w:val="-3"/>
        </w:rPr>
        <w:t xml:space="preserve">it </w:t>
      </w:r>
      <w:r>
        <w:t>was found that time-based PM performance was significantly improved among individuals with ASD. The extent of the improvement in performance was significantly related to exe</w:t>
      </w:r>
      <w:r>
        <w:t>cutive functioning in ASD</w:t>
      </w:r>
      <w:r>
        <w:rPr>
          <w:spacing w:val="54"/>
        </w:rPr>
        <w:t xml:space="preserve"> </w:t>
      </w:r>
      <w:r>
        <w:t>(both</w:t>
      </w:r>
    </w:p>
    <w:p w14:paraId="264AD4C3" w14:textId="77777777" w:rsidR="00C75312" w:rsidRDefault="00C75312">
      <w:pPr>
        <w:spacing w:line="480" w:lineRule="auto"/>
        <w:jc w:val="both"/>
        <w:sectPr w:rsidR="00C75312">
          <w:pgSz w:w="11900" w:h="16840"/>
          <w:pgMar w:top="1160" w:right="1200" w:bottom="280" w:left="1300" w:header="715" w:footer="0" w:gutter="0"/>
          <w:cols w:space="720"/>
        </w:sectPr>
      </w:pPr>
    </w:p>
    <w:p w14:paraId="1FD1029A" w14:textId="77777777" w:rsidR="00C75312" w:rsidRDefault="00C75312">
      <w:pPr>
        <w:pStyle w:val="BodyText"/>
        <w:spacing w:before="9"/>
        <w:rPr>
          <w:sz w:val="15"/>
        </w:rPr>
      </w:pPr>
    </w:p>
    <w:p w14:paraId="305D858B" w14:textId="77777777" w:rsidR="00C75312" w:rsidRDefault="00BB293A">
      <w:pPr>
        <w:pStyle w:val="BodyText"/>
        <w:spacing w:before="90" w:line="480" w:lineRule="auto"/>
        <w:ind w:left="140" w:right="228"/>
        <w:jc w:val="both"/>
      </w:pPr>
      <w:r>
        <w:t xml:space="preserve">on a </w:t>
      </w:r>
      <w:proofErr w:type="spellStart"/>
      <w:r>
        <w:t>behavioural</w:t>
      </w:r>
      <w:proofErr w:type="spellEnd"/>
      <w:r>
        <w:t xml:space="preserve"> measure </w:t>
      </w:r>
      <w:r>
        <w:rPr>
          <w:spacing w:val="-3"/>
        </w:rPr>
        <w:t xml:space="preserve">of </w:t>
      </w:r>
      <w:r>
        <w:t xml:space="preserve">cognitive flexibility and a self-report measure </w:t>
      </w:r>
      <w:r>
        <w:rPr>
          <w:spacing w:val="-3"/>
        </w:rPr>
        <w:t xml:space="preserve">of </w:t>
      </w:r>
      <w:r>
        <w:t xml:space="preserve">inhibition). Individuals who were </w:t>
      </w:r>
      <w:proofErr w:type="spellStart"/>
      <w:r>
        <w:t>characterised</w:t>
      </w:r>
      <w:proofErr w:type="spellEnd"/>
      <w:r>
        <w:t xml:space="preserve"> by lower executive functions benefitted </w:t>
      </w:r>
      <w:r>
        <w:rPr>
          <w:i/>
        </w:rPr>
        <w:t xml:space="preserve">most </w:t>
      </w:r>
      <w:r>
        <w:t>from the manipulation of relative task importance whereas mindreading ability was not involved in facilitating</w:t>
      </w:r>
      <w:r>
        <w:rPr>
          <w:spacing w:val="-14"/>
        </w:rPr>
        <w:t xml:space="preserve"> </w:t>
      </w:r>
      <w:r>
        <w:t>PM</w:t>
      </w:r>
      <w:r>
        <w:rPr>
          <w:spacing w:val="-17"/>
        </w:rPr>
        <w:t xml:space="preserve"> </w:t>
      </w:r>
      <w:r>
        <w:t>performance.</w:t>
      </w:r>
      <w:r>
        <w:rPr>
          <w:spacing w:val="29"/>
        </w:rPr>
        <w:t xml:space="preserve"> </w:t>
      </w:r>
      <w:r>
        <w:t>The</w:t>
      </w:r>
      <w:r>
        <w:rPr>
          <w:spacing w:val="-15"/>
        </w:rPr>
        <w:t xml:space="preserve"> </w:t>
      </w:r>
      <w:r>
        <w:t>results</w:t>
      </w:r>
      <w:r>
        <w:rPr>
          <w:spacing w:val="-17"/>
        </w:rPr>
        <w:t xml:space="preserve"> </w:t>
      </w:r>
      <w:r>
        <w:t>of</w:t>
      </w:r>
      <w:r>
        <w:rPr>
          <w:spacing w:val="-13"/>
        </w:rPr>
        <w:t xml:space="preserve"> </w:t>
      </w:r>
      <w:r>
        <w:t>the</w:t>
      </w:r>
      <w:r>
        <w:rPr>
          <w:spacing w:val="-15"/>
        </w:rPr>
        <w:t xml:space="preserve"> </w:t>
      </w:r>
      <w:r>
        <w:t>Bayesian</w:t>
      </w:r>
      <w:r>
        <w:rPr>
          <w:spacing w:val="-14"/>
        </w:rPr>
        <w:t xml:space="preserve"> </w:t>
      </w:r>
      <w:r>
        <w:t>analyses</w:t>
      </w:r>
      <w:r>
        <w:rPr>
          <w:spacing w:val="-17"/>
        </w:rPr>
        <w:t xml:space="preserve"> </w:t>
      </w:r>
      <w:r>
        <w:t>supported</w:t>
      </w:r>
      <w:r>
        <w:rPr>
          <w:spacing w:val="-14"/>
        </w:rPr>
        <w:t xml:space="preserve"> </w:t>
      </w:r>
      <w:r>
        <w:t>the</w:t>
      </w:r>
      <w:r>
        <w:rPr>
          <w:spacing w:val="-15"/>
        </w:rPr>
        <w:t xml:space="preserve"> </w:t>
      </w:r>
      <w:r>
        <w:t>corresponding pattern of results.</w:t>
      </w:r>
    </w:p>
    <w:p w14:paraId="0ED8F6CC" w14:textId="77777777" w:rsidR="00C75312" w:rsidRDefault="00BB293A">
      <w:pPr>
        <w:pStyle w:val="Heading1"/>
        <w:spacing w:before="120"/>
        <w:jc w:val="both"/>
      </w:pPr>
      <w:bookmarkStart w:id="27" w:name="_TOC_250006"/>
      <w:bookmarkEnd w:id="27"/>
      <w:r>
        <w:t>PM in ASD in the context of broader theory</w:t>
      </w:r>
    </w:p>
    <w:p w14:paraId="3480A6A8" w14:textId="77777777" w:rsidR="00C75312" w:rsidRDefault="00C75312">
      <w:pPr>
        <w:pStyle w:val="BodyText"/>
        <w:rPr>
          <w:b/>
        </w:rPr>
      </w:pPr>
    </w:p>
    <w:p w14:paraId="46865DDD" w14:textId="77777777" w:rsidR="00C75312" w:rsidRDefault="00BB293A">
      <w:pPr>
        <w:pStyle w:val="BodyText"/>
        <w:spacing w:line="480" w:lineRule="auto"/>
        <w:ind w:left="140" w:right="226" w:firstLine="720"/>
        <w:jc w:val="both"/>
      </w:pPr>
      <w:r>
        <w:t xml:space="preserve">Taking the result of this thesis together and reflecting on them it in the light </w:t>
      </w:r>
      <w:r>
        <w:rPr>
          <w:spacing w:val="-3"/>
        </w:rPr>
        <w:t xml:space="preserve">of </w:t>
      </w:r>
      <w:r>
        <w:t>the gateway hypothesis provides a promising approach to PM abilities in ASD. The gateway hypothesis suggests that a supervisory attentional gate constantly balances resources allocated to stimulus-oriented and stimulus-independent thought (Burgess et al., 2007). The key brain region</w:t>
      </w:r>
      <w:r>
        <w:rPr>
          <w:spacing w:val="-6"/>
        </w:rPr>
        <w:t xml:space="preserve"> </w:t>
      </w:r>
      <w:r>
        <w:t>involved</w:t>
      </w:r>
      <w:r>
        <w:rPr>
          <w:spacing w:val="-5"/>
        </w:rPr>
        <w:t xml:space="preserve"> </w:t>
      </w:r>
      <w:r>
        <w:t>in</w:t>
      </w:r>
      <w:r>
        <w:rPr>
          <w:spacing w:val="-9"/>
        </w:rPr>
        <w:t xml:space="preserve"> </w:t>
      </w:r>
      <w:r>
        <w:t>this</w:t>
      </w:r>
      <w:r>
        <w:rPr>
          <w:spacing w:val="-7"/>
        </w:rPr>
        <w:t xml:space="preserve"> </w:t>
      </w:r>
      <w:r>
        <w:t>process</w:t>
      </w:r>
      <w:r>
        <w:rPr>
          <w:spacing w:val="-7"/>
        </w:rPr>
        <w:t xml:space="preserve"> </w:t>
      </w:r>
      <w:r>
        <w:t>is</w:t>
      </w:r>
      <w:r>
        <w:rPr>
          <w:spacing w:val="-7"/>
        </w:rPr>
        <w:t xml:space="preserve"> </w:t>
      </w:r>
      <w:r>
        <w:t>the</w:t>
      </w:r>
      <w:r>
        <w:rPr>
          <w:spacing w:val="-6"/>
        </w:rPr>
        <w:t xml:space="preserve"> </w:t>
      </w:r>
      <w:r>
        <w:t>rostral</w:t>
      </w:r>
      <w:r>
        <w:rPr>
          <w:spacing w:val="-4"/>
        </w:rPr>
        <w:t xml:space="preserve"> </w:t>
      </w:r>
      <w:r>
        <w:t>prefrontal</w:t>
      </w:r>
      <w:r>
        <w:rPr>
          <w:spacing w:val="-4"/>
        </w:rPr>
        <w:t xml:space="preserve"> </w:t>
      </w:r>
      <w:r>
        <w:t>cortex</w:t>
      </w:r>
      <w:r>
        <w:rPr>
          <w:spacing w:val="-10"/>
        </w:rPr>
        <w:t xml:space="preserve"> </w:t>
      </w:r>
      <w:r>
        <w:t>(</w:t>
      </w:r>
      <w:proofErr w:type="spellStart"/>
      <w:r>
        <w:t>rPFC</w:t>
      </w:r>
      <w:proofErr w:type="spellEnd"/>
      <w:r>
        <w:t>)</w:t>
      </w:r>
      <w:r>
        <w:rPr>
          <w:spacing w:val="-8"/>
        </w:rPr>
        <w:t xml:space="preserve"> </w:t>
      </w:r>
      <w:r>
        <w:t>with</w:t>
      </w:r>
      <w:r>
        <w:rPr>
          <w:spacing w:val="-5"/>
        </w:rPr>
        <w:t xml:space="preserve"> </w:t>
      </w:r>
      <w:r>
        <w:t>its</w:t>
      </w:r>
      <w:r>
        <w:rPr>
          <w:spacing w:val="-7"/>
        </w:rPr>
        <w:t xml:space="preserve"> </w:t>
      </w:r>
      <w:r>
        <w:t>medial</w:t>
      </w:r>
      <w:r>
        <w:rPr>
          <w:spacing w:val="-4"/>
        </w:rPr>
        <w:t xml:space="preserve"> </w:t>
      </w:r>
      <w:r>
        <w:t>part</w:t>
      </w:r>
      <w:r>
        <w:rPr>
          <w:spacing w:val="-9"/>
        </w:rPr>
        <w:t xml:space="preserve"> </w:t>
      </w:r>
      <w:r>
        <w:t>being involved in the former, and the lateral part being involved in the latter (Burgess et al., 2011). Applied to PM, it has been suggeste</w:t>
      </w:r>
      <w:r>
        <w:t xml:space="preserve">d that the medial </w:t>
      </w:r>
      <w:proofErr w:type="spellStart"/>
      <w:r>
        <w:t>rPFC</w:t>
      </w:r>
      <w:proofErr w:type="spellEnd"/>
      <w:r>
        <w:t xml:space="preserve"> is activated while performing the ongoing task in response to external stimuli, but also plays a role in the detection of PM cues in</w:t>
      </w:r>
      <w:r>
        <w:rPr>
          <w:spacing w:val="-12"/>
        </w:rPr>
        <w:t xml:space="preserve"> </w:t>
      </w:r>
      <w:r>
        <w:t>event-based</w:t>
      </w:r>
      <w:r>
        <w:rPr>
          <w:spacing w:val="-11"/>
        </w:rPr>
        <w:t xml:space="preserve"> </w:t>
      </w:r>
      <w:r>
        <w:t>PM</w:t>
      </w:r>
      <w:r>
        <w:rPr>
          <w:spacing w:val="-12"/>
        </w:rPr>
        <w:t xml:space="preserve"> </w:t>
      </w:r>
      <w:r>
        <w:t>tasks.</w:t>
      </w:r>
      <w:r>
        <w:rPr>
          <w:spacing w:val="41"/>
        </w:rPr>
        <w:t xml:space="preserve"> </w:t>
      </w:r>
      <w:r>
        <w:t>Furthermore,</w:t>
      </w:r>
      <w:r>
        <w:rPr>
          <w:spacing w:val="-13"/>
        </w:rPr>
        <w:t xml:space="preserve"> </w:t>
      </w:r>
      <w:r>
        <w:t>regardless</w:t>
      </w:r>
      <w:r>
        <w:rPr>
          <w:spacing w:val="-17"/>
        </w:rPr>
        <w:t xml:space="preserve"> </w:t>
      </w:r>
      <w:r>
        <w:t>of</w:t>
      </w:r>
      <w:r>
        <w:rPr>
          <w:spacing w:val="-9"/>
        </w:rPr>
        <w:t xml:space="preserve"> </w:t>
      </w:r>
      <w:r>
        <w:t>the</w:t>
      </w:r>
      <w:r>
        <w:rPr>
          <w:spacing w:val="-16"/>
        </w:rPr>
        <w:t xml:space="preserve"> </w:t>
      </w:r>
      <w:r>
        <w:t>type</w:t>
      </w:r>
      <w:r>
        <w:rPr>
          <w:spacing w:val="-12"/>
        </w:rPr>
        <w:t xml:space="preserve"> </w:t>
      </w:r>
      <w:r>
        <w:rPr>
          <w:spacing w:val="-3"/>
        </w:rPr>
        <w:t>of</w:t>
      </w:r>
      <w:r>
        <w:rPr>
          <w:spacing w:val="-14"/>
        </w:rPr>
        <w:t xml:space="preserve"> </w:t>
      </w:r>
      <w:r>
        <w:t>PM</w:t>
      </w:r>
      <w:r>
        <w:rPr>
          <w:spacing w:val="-13"/>
        </w:rPr>
        <w:t xml:space="preserve"> </w:t>
      </w:r>
      <w:r>
        <w:t>task</w:t>
      </w:r>
      <w:r>
        <w:rPr>
          <w:spacing w:val="-11"/>
        </w:rPr>
        <w:t xml:space="preserve"> </w:t>
      </w:r>
      <w:r>
        <w:t>(time</w:t>
      </w:r>
      <w:r>
        <w:rPr>
          <w:spacing w:val="-12"/>
        </w:rPr>
        <w:t xml:space="preserve"> </w:t>
      </w:r>
      <w:r>
        <w:rPr>
          <w:spacing w:val="-3"/>
        </w:rPr>
        <w:t>or</w:t>
      </w:r>
      <w:r>
        <w:rPr>
          <w:spacing w:val="-9"/>
        </w:rPr>
        <w:t xml:space="preserve"> </w:t>
      </w:r>
      <w:r>
        <w:t xml:space="preserve">event-based), it has been found that in NT participants, medial </w:t>
      </w:r>
      <w:proofErr w:type="spellStart"/>
      <w:r>
        <w:t>rPFC</w:t>
      </w:r>
      <w:proofErr w:type="spellEnd"/>
      <w:r>
        <w:t xml:space="preserve"> is deactivated on PM trials indicating disengagement of attention away from the ongoing task accompanied by an increase in lateral </w:t>
      </w:r>
      <w:proofErr w:type="spellStart"/>
      <w:r>
        <w:t>rPFC</w:t>
      </w:r>
      <w:proofErr w:type="spellEnd"/>
      <w:r>
        <w:rPr>
          <w:spacing w:val="-11"/>
        </w:rPr>
        <w:t xml:space="preserve"> </w:t>
      </w:r>
      <w:r>
        <w:t>activation</w:t>
      </w:r>
      <w:r>
        <w:rPr>
          <w:spacing w:val="-14"/>
        </w:rPr>
        <w:t xml:space="preserve"> </w:t>
      </w:r>
      <w:r>
        <w:t>(</w:t>
      </w:r>
      <w:proofErr w:type="spellStart"/>
      <w:r>
        <w:t>Gonneaud</w:t>
      </w:r>
      <w:proofErr w:type="spellEnd"/>
      <w:r>
        <w:rPr>
          <w:spacing w:val="-13"/>
        </w:rPr>
        <w:t xml:space="preserve"> </w:t>
      </w:r>
      <w:r>
        <w:t>et</w:t>
      </w:r>
      <w:r>
        <w:rPr>
          <w:spacing w:val="-9"/>
        </w:rPr>
        <w:t xml:space="preserve"> </w:t>
      </w:r>
      <w:r>
        <w:t>al.,</w:t>
      </w:r>
      <w:r>
        <w:rPr>
          <w:spacing w:val="-12"/>
        </w:rPr>
        <w:t xml:space="preserve"> </w:t>
      </w:r>
      <w:r>
        <w:t>2014).</w:t>
      </w:r>
      <w:r>
        <w:rPr>
          <w:spacing w:val="35"/>
        </w:rPr>
        <w:t xml:space="preserve"> </w:t>
      </w:r>
      <w:r>
        <w:t>This</w:t>
      </w:r>
      <w:r>
        <w:rPr>
          <w:spacing w:val="-16"/>
        </w:rPr>
        <w:t xml:space="preserve"> </w:t>
      </w:r>
      <w:r>
        <w:t>is</w:t>
      </w:r>
      <w:r>
        <w:rPr>
          <w:spacing w:val="-12"/>
        </w:rPr>
        <w:t xml:space="preserve"> </w:t>
      </w:r>
      <w:r>
        <w:t>thought</w:t>
      </w:r>
      <w:r>
        <w:rPr>
          <w:spacing w:val="-9"/>
        </w:rPr>
        <w:t xml:space="preserve"> </w:t>
      </w:r>
      <w:r>
        <w:t>to</w:t>
      </w:r>
      <w:r>
        <w:rPr>
          <w:spacing w:val="-13"/>
        </w:rPr>
        <w:t xml:space="preserve"> </w:t>
      </w:r>
      <w:r>
        <w:t>reflect</w:t>
      </w:r>
      <w:r>
        <w:rPr>
          <w:spacing w:val="-9"/>
        </w:rPr>
        <w:t xml:space="preserve"> </w:t>
      </w:r>
      <w:r>
        <w:t>the</w:t>
      </w:r>
      <w:r>
        <w:rPr>
          <w:spacing w:val="-15"/>
        </w:rPr>
        <w:t xml:space="preserve"> </w:t>
      </w:r>
      <w:r>
        <w:t>shift</w:t>
      </w:r>
      <w:r>
        <w:rPr>
          <w:spacing w:val="-13"/>
        </w:rPr>
        <w:t xml:space="preserve"> </w:t>
      </w:r>
      <w:r>
        <w:t>of</w:t>
      </w:r>
      <w:r>
        <w:rPr>
          <w:spacing w:val="-13"/>
        </w:rPr>
        <w:t xml:space="preserve"> </w:t>
      </w:r>
      <w:r>
        <w:t>attention</w:t>
      </w:r>
      <w:r>
        <w:rPr>
          <w:spacing w:val="-14"/>
        </w:rPr>
        <w:t xml:space="preserve"> </w:t>
      </w:r>
      <w:r>
        <w:t>towards the internal representation of one’s intention in order to subsequently execute</w:t>
      </w:r>
      <w:r>
        <w:rPr>
          <w:spacing w:val="2"/>
        </w:rPr>
        <w:t xml:space="preserve"> </w:t>
      </w:r>
      <w:r>
        <w:t>it</w:t>
      </w:r>
    </w:p>
    <w:p w14:paraId="2BCBB12A" w14:textId="77777777" w:rsidR="00C75312" w:rsidRDefault="00BB293A">
      <w:pPr>
        <w:pStyle w:val="BodyText"/>
        <w:spacing w:before="121" w:line="480" w:lineRule="auto"/>
        <w:ind w:left="140" w:right="228" w:firstLine="720"/>
        <w:jc w:val="both"/>
      </w:pPr>
      <w:proofErr w:type="spellStart"/>
      <w:r>
        <w:t>Dumontheil</w:t>
      </w:r>
      <w:proofErr w:type="spellEnd"/>
      <w:r>
        <w:t xml:space="preserve">, Burgess, and Blakemore (2008) have proposed that </w:t>
      </w:r>
      <w:proofErr w:type="spellStart"/>
      <w:r>
        <w:t>rPFC</w:t>
      </w:r>
      <w:proofErr w:type="spellEnd"/>
      <w:r>
        <w:t xml:space="preserve"> functioning might play a pivotal role in atypical cognitive functioning in ASD. Based on the findings </w:t>
      </w:r>
      <w:r>
        <w:rPr>
          <w:spacing w:val="-3"/>
        </w:rPr>
        <w:t xml:space="preserve">of </w:t>
      </w:r>
      <w:r>
        <w:t>PM in ASD - the dichotomy of impaired time-based and spared event-based PM - it may be that</w:t>
      </w:r>
      <w:r>
        <w:rPr>
          <w:spacing w:val="-5"/>
        </w:rPr>
        <w:t xml:space="preserve"> </w:t>
      </w:r>
      <w:r>
        <w:t>there</w:t>
      </w:r>
      <w:r>
        <w:rPr>
          <w:spacing w:val="-11"/>
        </w:rPr>
        <w:t xml:space="preserve"> </w:t>
      </w:r>
      <w:r>
        <w:t>is</w:t>
      </w:r>
      <w:r>
        <w:rPr>
          <w:spacing w:val="-7"/>
        </w:rPr>
        <w:t xml:space="preserve"> </w:t>
      </w:r>
      <w:r>
        <w:t>an</w:t>
      </w:r>
      <w:r>
        <w:rPr>
          <w:spacing w:val="-5"/>
        </w:rPr>
        <w:t xml:space="preserve"> </w:t>
      </w:r>
      <w:r>
        <w:t>imbalance</w:t>
      </w:r>
      <w:r>
        <w:rPr>
          <w:spacing w:val="-6"/>
        </w:rPr>
        <w:t xml:space="preserve"> </w:t>
      </w:r>
      <w:r>
        <w:t>between</w:t>
      </w:r>
      <w:r>
        <w:rPr>
          <w:spacing w:val="-10"/>
        </w:rPr>
        <w:t xml:space="preserve"> </w:t>
      </w:r>
      <w:r>
        <w:t>the</w:t>
      </w:r>
      <w:r>
        <w:rPr>
          <w:spacing w:val="-7"/>
        </w:rPr>
        <w:t xml:space="preserve"> </w:t>
      </w:r>
      <w:r>
        <w:t>two</w:t>
      </w:r>
      <w:r>
        <w:rPr>
          <w:spacing w:val="-10"/>
        </w:rPr>
        <w:t xml:space="preserve"> </w:t>
      </w:r>
      <w:r>
        <w:t>systems</w:t>
      </w:r>
      <w:r>
        <w:rPr>
          <w:spacing w:val="-2"/>
        </w:rPr>
        <w:t xml:space="preserve"> </w:t>
      </w:r>
      <w:r>
        <w:t>towards</w:t>
      </w:r>
      <w:r>
        <w:rPr>
          <w:spacing w:val="-7"/>
        </w:rPr>
        <w:t xml:space="preserve"> </w:t>
      </w:r>
      <w:r>
        <w:t>the</w:t>
      </w:r>
      <w:r>
        <w:rPr>
          <w:spacing w:val="-11"/>
        </w:rPr>
        <w:t xml:space="preserve"> </w:t>
      </w:r>
      <w:r>
        <w:t>medial</w:t>
      </w:r>
      <w:r>
        <w:rPr>
          <w:spacing w:val="-9"/>
        </w:rPr>
        <w:t xml:space="preserve"> </w:t>
      </w:r>
      <w:proofErr w:type="spellStart"/>
      <w:r>
        <w:t>rPFC</w:t>
      </w:r>
      <w:proofErr w:type="spellEnd"/>
      <w:r>
        <w:rPr>
          <w:spacing w:val="-7"/>
        </w:rPr>
        <w:t xml:space="preserve"> </w:t>
      </w:r>
      <w:r>
        <w:t>stimulus-oriented system</w:t>
      </w:r>
      <w:r>
        <w:rPr>
          <w:spacing w:val="-10"/>
        </w:rPr>
        <w:t xml:space="preserve"> </w:t>
      </w:r>
      <w:r>
        <w:t>or</w:t>
      </w:r>
      <w:r>
        <w:rPr>
          <w:spacing w:val="-9"/>
        </w:rPr>
        <w:t xml:space="preserve"> </w:t>
      </w:r>
      <w:r>
        <w:t>problems</w:t>
      </w:r>
      <w:r>
        <w:rPr>
          <w:spacing w:val="-12"/>
        </w:rPr>
        <w:t xml:space="preserve"> </w:t>
      </w:r>
      <w:r>
        <w:t>in</w:t>
      </w:r>
      <w:r>
        <w:rPr>
          <w:spacing w:val="-11"/>
        </w:rPr>
        <w:t xml:space="preserve"> </w:t>
      </w:r>
      <w:r>
        <w:t>the</w:t>
      </w:r>
      <w:r>
        <w:rPr>
          <w:spacing w:val="-11"/>
        </w:rPr>
        <w:t xml:space="preserve"> </w:t>
      </w:r>
      <w:r>
        <w:t>switch</w:t>
      </w:r>
      <w:r>
        <w:rPr>
          <w:spacing w:val="-10"/>
        </w:rPr>
        <w:t xml:space="preserve"> </w:t>
      </w:r>
      <w:r>
        <w:t>from</w:t>
      </w:r>
      <w:r>
        <w:rPr>
          <w:spacing w:val="-10"/>
        </w:rPr>
        <w:t xml:space="preserve"> </w:t>
      </w:r>
      <w:r>
        <w:t>medial</w:t>
      </w:r>
      <w:r>
        <w:rPr>
          <w:spacing w:val="-14"/>
        </w:rPr>
        <w:t xml:space="preserve"> </w:t>
      </w:r>
      <w:proofErr w:type="spellStart"/>
      <w:r>
        <w:t>rPFC</w:t>
      </w:r>
      <w:proofErr w:type="spellEnd"/>
      <w:r>
        <w:rPr>
          <w:spacing w:val="-17"/>
        </w:rPr>
        <w:t xml:space="preserve"> </w:t>
      </w:r>
      <w:r>
        <w:t>stimulus-oriented</w:t>
      </w:r>
      <w:r>
        <w:rPr>
          <w:spacing w:val="-10"/>
        </w:rPr>
        <w:t xml:space="preserve"> </w:t>
      </w:r>
      <w:r>
        <w:t>to</w:t>
      </w:r>
      <w:r>
        <w:rPr>
          <w:spacing w:val="-11"/>
        </w:rPr>
        <w:t xml:space="preserve"> </w:t>
      </w:r>
      <w:r>
        <w:t>lateral</w:t>
      </w:r>
      <w:r>
        <w:rPr>
          <w:spacing w:val="-9"/>
        </w:rPr>
        <w:t xml:space="preserve"> </w:t>
      </w:r>
      <w:proofErr w:type="spellStart"/>
      <w:r>
        <w:t>rPFC</w:t>
      </w:r>
      <w:proofErr w:type="spellEnd"/>
      <w:r>
        <w:rPr>
          <w:spacing w:val="-12"/>
        </w:rPr>
        <w:t xml:space="preserve"> </w:t>
      </w:r>
      <w:r>
        <w:t>stimulus- independent processing in ASD.</w:t>
      </w:r>
      <w:r>
        <w:rPr>
          <w:spacing w:val="16"/>
        </w:rPr>
        <w:t xml:space="preserve"> </w:t>
      </w:r>
      <w:r>
        <w:t>While this switch is facilitated by cues in the case of event-</w:t>
      </w:r>
    </w:p>
    <w:p w14:paraId="405875D8" w14:textId="77777777" w:rsidR="00C75312" w:rsidRDefault="00C75312">
      <w:pPr>
        <w:spacing w:line="480" w:lineRule="auto"/>
        <w:jc w:val="both"/>
        <w:sectPr w:rsidR="00C75312">
          <w:pgSz w:w="11900" w:h="16840"/>
          <w:pgMar w:top="1160" w:right="1200" w:bottom="280" w:left="1300" w:header="715" w:footer="0" w:gutter="0"/>
          <w:cols w:space="720"/>
        </w:sectPr>
      </w:pPr>
    </w:p>
    <w:p w14:paraId="1CADB44A" w14:textId="77777777" w:rsidR="00C75312" w:rsidRDefault="00C75312">
      <w:pPr>
        <w:pStyle w:val="BodyText"/>
        <w:spacing w:before="9"/>
        <w:rPr>
          <w:sz w:val="15"/>
        </w:rPr>
      </w:pPr>
    </w:p>
    <w:p w14:paraId="4EEA4609" w14:textId="77777777" w:rsidR="00C75312" w:rsidRDefault="00BB293A">
      <w:pPr>
        <w:pStyle w:val="BodyText"/>
        <w:spacing w:before="90" w:line="480" w:lineRule="auto"/>
        <w:ind w:left="140" w:right="224"/>
        <w:jc w:val="both"/>
      </w:pPr>
      <w:r>
        <w:t>based PM, for time-based PM in absence of any specific cues and thus greater involvement of self-initiated processes, participants with ASD likely have problems to initiate a switch to disengage</w:t>
      </w:r>
      <w:r>
        <w:rPr>
          <w:spacing w:val="-10"/>
        </w:rPr>
        <w:t xml:space="preserve"> </w:t>
      </w:r>
      <w:r>
        <w:t>from</w:t>
      </w:r>
      <w:r>
        <w:rPr>
          <w:spacing w:val="-8"/>
        </w:rPr>
        <w:t xml:space="preserve"> </w:t>
      </w:r>
      <w:r>
        <w:t>the</w:t>
      </w:r>
      <w:r>
        <w:rPr>
          <w:spacing w:val="-10"/>
        </w:rPr>
        <w:t xml:space="preserve"> </w:t>
      </w:r>
      <w:r>
        <w:t>ongoing</w:t>
      </w:r>
      <w:r>
        <w:rPr>
          <w:spacing w:val="-9"/>
        </w:rPr>
        <w:t xml:space="preserve"> </w:t>
      </w:r>
      <w:r>
        <w:t>task</w:t>
      </w:r>
      <w:r>
        <w:rPr>
          <w:spacing w:val="-9"/>
        </w:rPr>
        <w:t xml:space="preserve"> </w:t>
      </w:r>
      <w:r>
        <w:t>and</w:t>
      </w:r>
      <w:r>
        <w:rPr>
          <w:spacing w:val="-8"/>
        </w:rPr>
        <w:t xml:space="preserve"> </w:t>
      </w:r>
      <w:r>
        <w:t>bring</w:t>
      </w:r>
      <w:r>
        <w:rPr>
          <w:spacing w:val="-9"/>
        </w:rPr>
        <w:t xml:space="preserve"> </w:t>
      </w:r>
      <w:r>
        <w:t>the</w:t>
      </w:r>
      <w:r>
        <w:rPr>
          <w:spacing w:val="-10"/>
        </w:rPr>
        <w:t xml:space="preserve"> </w:t>
      </w:r>
      <w:r>
        <w:t>intention</w:t>
      </w:r>
      <w:r>
        <w:rPr>
          <w:spacing w:val="-9"/>
        </w:rPr>
        <w:t xml:space="preserve"> </w:t>
      </w:r>
      <w:r>
        <w:t>to</w:t>
      </w:r>
      <w:r>
        <w:rPr>
          <w:spacing w:val="-9"/>
        </w:rPr>
        <w:t xml:space="preserve"> </w:t>
      </w:r>
      <w:r>
        <w:t>mind</w:t>
      </w:r>
      <w:r>
        <w:rPr>
          <w:spacing w:val="-9"/>
        </w:rPr>
        <w:t xml:space="preserve"> </w:t>
      </w:r>
      <w:r>
        <w:t>at</w:t>
      </w:r>
      <w:r>
        <w:rPr>
          <w:spacing w:val="-7"/>
        </w:rPr>
        <w:t xml:space="preserve"> </w:t>
      </w:r>
      <w:r>
        <w:t>the</w:t>
      </w:r>
      <w:r>
        <w:rPr>
          <w:spacing w:val="-10"/>
        </w:rPr>
        <w:t xml:space="preserve"> </w:t>
      </w:r>
      <w:r>
        <w:t>appropriate</w:t>
      </w:r>
      <w:r>
        <w:rPr>
          <w:spacing w:val="-10"/>
        </w:rPr>
        <w:t xml:space="preserve"> </w:t>
      </w:r>
      <w:r>
        <w:t>time</w:t>
      </w:r>
      <w:r>
        <w:rPr>
          <w:spacing w:val="-10"/>
        </w:rPr>
        <w:t xml:space="preserve"> </w:t>
      </w:r>
      <w:r>
        <w:t>despite having</w:t>
      </w:r>
      <w:r>
        <w:rPr>
          <w:spacing w:val="-10"/>
        </w:rPr>
        <w:t xml:space="preserve"> </w:t>
      </w:r>
      <w:r>
        <w:t>access</w:t>
      </w:r>
      <w:r>
        <w:rPr>
          <w:spacing w:val="-11"/>
        </w:rPr>
        <w:t xml:space="preserve"> </w:t>
      </w:r>
      <w:r>
        <w:t>to</w:t>
      </w:r>
      <w:r>
        <w:rPr>
          <w:spacing w:val="-9"/>
        </w:rPr>
        <w:t xml:space="preserve"> </w:t>
      </w:r>
      <w:r>
        <w:t>clocks.</w:t>
      </w:r>
      <w:r>
        <w:rPr>
          <w:spacing w:val="45"/>
        </w:rPr>
        <w:t xml:space="preserve"> </w:t>
      </w:r>
      <w:r>
        <w:t>On</w:t>
      </w:r>
      <w:r>
        <w:rPr>
          <w:spacing w:val="-9"/>
        </w:rPr>
        <w:t xml:space="preserve"> </w:t>
      </w:r>
      <w:r>
        <w:t>a</w:t>
      </w:r>
      <w:r>
        <w:rPr>
          <w:spacing w:val="-10"/>
        </w:rPr>
        <w:t xml:space="preserve"> </w:t>
      </w:r>
      <w:proofErr w:type="spellStart"/>
      <w:r>
        <w:t>behavioural</w:t>
      </w:r>
      <w:proofErr w:type="spellEnd"/>
      <w:r>
        <w:rPr>
          <w:spacing w:val="-8"/>
        </w:rPr>
        <w:t xml:space="preserve"> </w:t>
      </w:r>
      <w:r>
        <w:t>level</w:t>
      </w:r>
      <w:r>
        <w:rPr>
          <w:spacing w:val="-8"/>
        </w:rPr>
        <w:t xml:space="preserve"> </w:t>
      </w:r>
      <w:r>
        <w:t>this</w:t>
      </w:r>
      <w:r>
        <w:rPr>
          <w:spacing w:val="-12"/>
        </w:rPr>
        <w:t xml:space="preserve"> </w:t>
      </w:r>
      <w:r>
        <w:t>hypothesis</w:t>
      </w:r>
      <w:r>
        <w:rPr>
          <w:spacing w:val="-11"/>
        </w:rPr>
        <w:t xml:space="preserve"> </w:t>
      </w:r>
      <w:r>
        <w:t>is</w:t>
      </w:r>
      <w:r>
        <w:rPr>
          <w:spacing w:val="-6"/>
        </w:rPr>
        <w:t xml:space="preserve"> </w:t>
      </w:r>
      <w:r>
        <w:t>supported</w:t>
      </w:r>
      <w:r>
        <w:rPr>
          <w:spacing w:val="-9"/>
        </w:rPr>
        <w:t xml:space="preserve"> </w:t>
      </w:r>
      <w:r>
        <w:t>by</w:t>
      </w:r>
      <w:r>
        <w:rPr>
          <w:spacing w:val="-9"/>
        </w:rPr>
        <w:t xml:space="preserve"> </w:t>
      </w:r>
      <w:r>
        <w:t>the</w:t>
      </w:r>
      <w:r>
        <w:rPr>
          <w:spacing w:val="-11"/>
        </w:rPr>
        <w:t xml:space="preserve"> </w:t>
      </w:r>
      <w:r>
        <w:t>finding</w:t>
      </w:r>
      <w:r>
        <w:rPr>
          <w:spacing w:val="-9"/>
        </w:rPr>
        <w:t xml:space="preserve"> </w:t>
      </w:r>
      <w:r>
        <w:t xml:space="preserve">that cognitive flexibility was involved in successful PM in ASD (see Chapter 4). This would mean that stimulus-independent processing in ASD on </w:t>
      </w:r>
      <w:r>
        <w:rPr>
          <w:spacing w:val="-4"/>
        </w:rPr>
        <w:t xml:space="preserve">its </w:t>
      </w:r>
      <w:r>
        <w:t xml:space="preserve">own should be intact however, without a cue these representations cannot be accessed. This idea fits well when considering the retrospective memory profile in ASD, the pattern of intact cued memory recall </w:t>
      </w:r>
      <w:r>
        <w:rPr>
          <w:spacing w:val="-3"/>
        </w:rPr>
        <w:t xml:space="preserve">or </w:t>
      </w:r>
      <w:r>
        <w:t>recognition memory relying on stimulus-oriented processed, in the face of diminished free memory recall and autobiographical memory (Bowler et al., 2004; Li</w:t>
      </w:r>
      <w:r>
        <w:t xml:space="preserve">nd, 2010), requiring stimulus- independent retrieval of mental representations. This also corresponds with findings on reduced metacognitive monitoring in ASD (the awareness of one’s own current mental states and thoughts), which equally taps into stimulus-independent processing (Grainger, Williams, &amp; Lind, 2014; Williams, Bergstrom, &amp; Grainger, 2016; Wojcik, Moulin, &amp; </w:t>
      </w:r>
      <w:proofErr w:type="spellStart"/>
      <w:r>
        <w:t>Souchay</w:t>
      </w:r>
      <w:proofErr w:type="spellEnd"/>
      <w:r>
        <w:t xml:space="preserve">, 2013). Altogether, this adds to the </w:t>
      </w:r>
      <w:proofErr w:type="spellStart"/>
      <w:r>
        <w:t>behavioural</w:t>
      </w:r>
      <w:proofErr w:type="spellEnd"/>
      <w:r>
        <w:t xml:space="preserve"> evidence supporting the above notion </w:t>
      </w:r>
      <w:r>
        <w:rPr>
          <w:spacing w:val="-3"/>
        </w:rPr>
        <w:t xml:space="preserve">of </w:t>
      </w:r>
      <w:r>
        <w:t>problems to access stimulus-independent men</w:t>
      </w:r>
      <w:r>
        <w:t>tal representations in ASD, which would explain the pattern of impaired time- but unimpaired event-based</w:t>
      </w:r>
      <w:r>
        <w:rPr>
          <w:spacing w:val="4"/>
        </w:rPr>
        <w:t xml:space="preserve"> </w:t>
      </w:r>
      <w:r>
        <w:t>PM.</w:t>
      </w:r>
    </w:p>
    <w:p w14:paraId="0C8DA83B" w14:textId="77777777" w:rsidR="00C75312" w:rsidRDefault="00BB293A">
      <w:pPr>
        <w:pStyle w:val="BodyText"/>
        <w:spacing w:before="121" w:line="480" w:lineRule="auto"/>
        <w:ind w:left="140" w:right="228" w:firstLine="720"/>
        <w:jc w:val="both"/>
      </w:pPr>
      <w:r>
        <w:t>On</w:t>
      </w:r>
      <w:r>
        <w:rPr>
          <w:spacing w:val="-10"/>
        </w:rPr>
        <w:t xml:space="preserve"> </w:t>
      </w:r>
      <w:r>
        <w:t>a</w:t>
      </w:r>
      <w:r>
        <w:rPr>
          <w:spacing w:val="-15"/>
        </w:rPr>
        <w:t xml:space="preserve"> </w:t>
      </w:r>
      <w:r>
        <w:t>neural</w:t>
      </w:r>
      <w:r>
        <w:rPr>
          <w:spacing w:val="-13"/>
        </w:rPr>
        <w:t xml:space="preserve"> </w:t>
      </w:r>
      <w:r>
        <w:t>level,</w:t>
      </w:r>
      <w:r>
        <w:rPr>
          <w:spacing w:val="-12"/>
        </w:rPr>
        <w:t xml:space="preserve"> </w:t>
      </w:r>
      <w:r>
        <w:t>lateral</w:t>
      </w:r>
      <w:r>
        <w:rPr>
          <w:spacing w:val="-18"/>
        </w:rPr>
        <w:t xml:space="preserve"> </w:t>
      </w:r>
      <w:proofErr w:type="spellStart"/>
      <w:r>
        <w:t>rPFC</w:t>
      </w:r>
      <w:proofErr w:type="spellEnd"/>
      <w:r>
        <w:rPr>
          <w:spacing w:val="-16"/>
        </w:rPr>
        <w:t xml:space="preserve"> </w:t>
      </w:r>
      <w:r>
        <w:t>is</w:t>
      </w:r>
      <w:r>
        <w:rPr>
          <w:spacing w:val="-11"/>
        </w:rPr>
        <w:t xml:space="preserve"> </w:t>
      </w:r>
      <w:r>
        <w:t>thought</w:t>
      </w:r>
      <w:r>
        <w:rPr>
          <w:spacing w:val="-14"/>
        </w:rPr>
        <w:t xml:space="preserve"> </w:t>
      </w:r>
      <w:r>
        <w:t>to</w:t>
      </w:r>
      <w:r>
        <w:rPr>
          <w:spacing w:val="-14"/>
        </w:rPr>
        <w:t xml:space="preserve"> </w:t>
      </w:r>
      <w:r>
        <w:t>play</w:t>
      </w:r>
      <w:r>
        <w:rPr>
          <w:spacing w:val="-13"/>
        </w:rPr>
        <w:t xml:space="preserve"> </w:t>
      </w:r>
      <w:r>
        <w:t>a</w:t>
      </w:r>
      <w:r>
        <w:rPr>
          <w:spacing w:val="-11"/>
        </w:rPr>
        <w:t xml:space="preserve"> </w:t>
      </w:r>
      <w:r>
        <w:t>content-free</w:t>
      </w:r>
      <w:r>
        <w:rPr>
          <w:spacing w:val="-10"/>
        </w:rPr>
        <w:t xml:space="preserve"> </w:t>
      </w:r>
      <w:r>
        <w:t>role</w:t>
      </w:r>
      <w:r>
        <w:rPr>
          <w:spacing w:val="-15"/>
        </w:rPr>
        <w:t xml:space="preserve"> </w:t>
      </w:r>
      <w:r>
        <w:t>in</w:t>
      </w:r>
      <w:r>
        <w:rPr>
          <w:spacing w:val="-13"/>
        </w:rPr>
        <w:t xml:space="preserve"> </w:t>
      </w:r>
      <w:r>
        <w:t>PM;</w:t>
      </w:r>
      <w:r>
        <w:rPr>
          <w:spacing w:val="-14"/>
        </w:rPr>
        <w:t xml:space="preserve"> </w:t>
      </w:r>
      <w:r>
        <w:t>its</w:t>
      </w:r>
      <w:r>
        <w:rPr>
          <w:spacing w:val="-17"/>
        </w:rPr>
        <w:t xml:space="preserve"> </w:t>
      </w:r>
      <w:r>
        <w:t>activation representing</w:t>
      </w:r>
      <w:r>
        <w:rPr>
          <w:spacing w:val="-6"/>
        </w:rPr>
        <w:t xml:space="preserve"> </w:t>
      </w:r>
      <w:r>
        <w:t>a</w:t>
      </w:r>
      <w:r>
        <w:rPr>
          <w:spacing w:val="-6"/>
        </w:rPr>
        <w:t xml:space="preserve"> </w:t>
      </w:r>
      <w:r>
        <w:t>state</w:t>
      </w:r>
      <w:r>
        <w:rPr>
          <w:spacing w:val="-6"/>
        </w:rPr>
        <w:t xml:space="preserve"> </w:t>
      </w:r>
      <w:r>
        <w:t>of</w:t>
      </w:r>
      <w:r>
        <w:rPr>
          <w:spacing w:val="-3"/>
        </w:rPr>
        <w:t xml:space="preserve"> </w:t>
      </w:r>
      <w:r>
        <w:t>readiness</w:t>
      </w:r>
      <w:r>
        <w:rPr>
          <w:spacing w:val="-7"/>
        </w:rPr>
        <w:t xml:space="preserve"> </w:t>
      </w:r>
      <w:r>
        <w:t>that</w:t>
      </w:r>
      <w:r>
        <w:rPr>
          <w:spacing w:val="-4"/>
        </w:rPr>
        <w:t xml:space="preserve"> </w:t>
      </w:r>
      <w:r>
        <w:t>an</w:t>
      </w:r>
      <w:r>
        <w:rPr>
          <w:spacing w:val="-5"/>
        </w:rPr>
        <w:t xml:space="preserve"> </w:t>
      </w:r>
      <w:r>
        <w:t>intention</w:t>
      </w:r>
      <w:r>
        <w:rPr>
          <w:spacing w:val="-6"/>
        </w:rPr>
        <w:t xml:space="preserve"> </w:t>
      </w:r>
      <w:r>
        <w:t>needs</w:t>
      </w:r>
      <w:r>
        <w:rPr>
          <w:spacing w:val="-7"/>
        </w:rPr>
        <w:t xml:space="preserve"> </w:t>
      </w:r>
      <w:r>
        <w:t>to</w:t>
      </w:r>
      <w:r>
        <w:rPr>
          <w:spacing w:val="-5"/>
        </w:rPr>
        <w:t xml:space="preserve"> </w:t>
      </w:r>
      <w:r>
        <w:t>be</w:t>
      </w:r>
      <w:r>
        <w:rPr>
          <w:spacing w:val="-6"/>
        </w:rPr>
        <w:t xml:space="preserve"> </w:t>
      </w:r>
      <w:r>
        <w:t>fulfilled</w:t>
      </w:r>
      <w:r>
        <w:rPr>
          <w:spacing w:val="-5"/>
        </w:rPr>
        <w:t xml:space="preserve"> </w:t>
      </w:r>
      <w:r>
        <w:t>in</w:t>
      </w:r>
      <w:r>
        <w:rPr>
          <w:spacing w:val="-10"/>
        </w:rPr>
        <w:t xml:space="preserve"> </w:t>
      </w:r>
      <w:r>
        <w:t>the</w:t>
      </w:r>
      <w:r>
        <w:rPr>
          <w:spacing w:val="-6"/>
        </w:rPr>
        <w:t xml:space="preserve"> </w:t>
      </w:r>
      <w:r>
        <w:t>future</w:t>
      </w:r>
      <w:r>
        <w:rPr>
          <w:spacing w:val="-6"/>
        </w:rPr>
        <w:t xml:space="preserve"> </w:t>
      </w:r>
      <w:r>
        <w:t xml:space="preserve">(Landsiedel &amp; Gilbert, 2015). In line with this Gilbert, Bird, Brindley, Frith, and Burgess (2008) found similar lateral </w:t>
      </w:r>
      <w:proofErr w:type="spellStart"/>
      <w:r>
        <w:t>rPFC</w:t>
      </w:r>
      <w:proofErr w:type="spellEnd"/>
      <w:r>
        <w:t xml:space="preserve"> activation in ASD compared </w:t>
      </w:r>
      <w:r>
        <w:rPr>
          <w:spacing w:val="-3"/>
        </w:rPr>
        <w:t xml:space="preserve">to </w:t>
      </w:r>
      <w:r>
        <w:t>NT participants in a task that specifically contrasted</w:t>
      </w:r>
      <w:r>
        <w:rPr>
          <w:spacing w:val="-11"/>
        </w:rPr>
        <w:t xml:space="preserve"> </w:t>
      </w:r>
      <w:r>
        <w:t>stimulus-oriented</w:t>
      </w:r>
      <w:r>
        <w:rPr>
          <w:spacing w:val="-10"/>
        </w:rPr>
        <w:t xml:space="preserve"> </w:t>
      </w:r>
      <w:r>
        <w:t>and</w:t>
      </w:r>
      <w:r>
        <w:rPr>
          <w:spacing w:val="-11"/>
        </w:rPr>
        <w:t xml:space="preserve"> </w:t>
      </w:r>
      <w:r>
        <w:t>stimulus-independent</w:t>
      </w:r>
      <w:r>
        <w:rPr>
          <w:spacing w:val="-9"/>
        </w:rPr>
        <w:t xml:space="preserve"> </w:t>
      </w:r>
      <w:r>
        <w:t>thought.</w:t>
      </w:r>
      <w:r>
        <w:rPr>
          <w:spacing w:val="34"/>
        </w:rPr>
        <w:t xml:space="preserve"> </w:t>
      </w:r>
      <w:r>
        <w:t>This</w:t>
      </w:r>
      <w:r>
        <w:rPr>
          <w:spacing w:val="-13"/>
        </w:rPr>
        <w:t xml:space="preserve"> </w:t>
      </w:r>
      <w:r>
        <w:t>is</w:t>
      </w:r>
      <w:r>
        <w:rPr>
          <w:spacing w:val="-12"/>
        </w:rPr>
        <w:t xml:space="preserve"> </w:t>
      </w:r>
      <w:r>
        <w:t>in</w:t>
      </w:r>
      <w:r>
        <w:rPr>
          <w:spacing w:val="-10"/>
        </w:rPr>
        <w:t xml:space="preserve"> </w:t>
      </w:r>
      <w:r>
        <w:t>line</w:t>
      </w:r>
      <w:r>
        <w:rPr>
          <w:spacing w:val="-12"/>
        </w:rPr>
        <w:t xml:space="preserve"> </w:t>
      </w:r>
      <w:r>
        <w:t>with</w:t>
      </w:r>
      <w:r>
        <w:rPr>
          <w:spacing w:val="-14"/>
        </w:rPr>
        <w:t xml:space="preserve"> </w:t>
      </w:r>
      <w:r>
        <w:t>the</w:t>
      </w:r>
      <w:r>
        <w:rPr>
          <w:spacing w:val="-11"/>
        </w:rPr>
        <w:t xml:space="preserve"> </w:t>
      </w:r>
      <w:r>
        <w:t xml:space="preserve">finding that individuals with ASD do remember that there was an intention when being asked at the end of an experiment (thus they are able to form </w:t>
      </w:r>
      <w:r>
        <w:rPr>
          <w:spacing w:val="-3"/>
        </w:rPr>
        <w:t xml:space="preserve">an </w:t>
      </w:r>
      <w:r>
        <w:t>intention in the first place). It may be that atypical</w:t>
      </w:r>
      <w:r>
        <w:rPr>
          <w:spacing w:val="13"/>
        </w:rPr>
        <w:t xml:space="preserve"> </w:t>
      </w:r>
      <w:r>
        <w:t>functional</w:t>
      </w:r>
      <w:r>
        <w:rPr>
          <w:spacing w:val="14"/>
        </w:rPr>
        <w:t xml:space="preserve"> </w:t>
      </w:r>
      <w:proofErr w:type="spellStart"/>
      <w:r>
        <w:t>organisa</w:t>
      </w:r>
      <w:r>
        <w:t>tion</w:t>
      </w:r>
      <w:proofErr w:type="spellEnd"/>
      <w:r>
        <w:rPr>
          <w:spacing w:val="13"/>
        </w:rPr>
        <w:t xml:space="preserve"> </w:t>
      </w:r>
      <w:r>
        <w:t>within</w:t>
      </w:r>
      <w:r>
        <w:rPr>
          <w:spacing w:val="13"/>
        </w:rPr>
        <w:t xml:space="preserve"> </w:t>
      </w:r>
      <w:r>
        <w:t>medial</w:t>
      </w:r>
      <w:r>
        <w:rPr>
          <w:spacing w:val="14"/>
        </w:rPr>
        <w:t xml:space="preserve"> </w:t>
      </w:r>
      <w:proofErr w:type="spellStart"/>
      <w:r>
        <w:t>rPFC</w:t>
      </w:r>
      <w:proofErr w:type="spellEnd"/>
      <w:r>
        <w:rPr>
          <w:spacing w:val="12"/>
        </w:rPr>
        <w:t xml:space="preserve"> </w:t>
      </w:r>
      <w:r>
        <w:t>(Gilbert</w:t>
      </w:r>
      <w:r>
        <w:rPr>
          <w:spacing w:val="14"/>
        </w:rPr>
        <w:t xml:space="preserve"> </w:t>
      </w:r>
      <w:r>
        <w:t>et</w:t>
      </w:r>
      <w:r>
        <w:rPr>
          <w:spacing w:val="14"/>
        </w:rPr>
        <w:t xml:space="preserve"> </w:t>
      </w:r>
      <w:r>
        <w:t>al.,</w:t>
      </w:r>
      <w:r>
        <w:rPr>
          <w:spacing w:val="16"/>
        </w:rPr>
        <w:t xml:space="preserve"> </w:t>
      </w:r>
      <w:r>
        <w:t>2008;</w:t>
      </w:r>
      <w:r>
        <w:rPr>
          <w:spacing w:val="14"/>
        </w:rPr>
        <w:t xml:space="preserve"> </w:t>
      </w:r>
      <w:r>
        <w:t>Gilbert,</w:t>
      </w:r>
      <w:r>
        <w:rPr>
          <w:spacing w:val="16"/>
        </w:rPr>
        <w:t xml:space="preserve"> </w:t>
      </w:r>
      <w:proofErr w:type="spellStart"/>
      <w:r>
        <w:t>Meuwese</w:t>
      </w:r>
      <w:proofErr w:type="spellEnd"/>
      <w:r>
        <w:t>,</w:t>
      </w:r>
    </w:p>
    <w:p w14:paraId="317B948F" w14:textId="77777777" w:rsidR="00C75312" w:rsidRDefault="00C75312">
      <w:pPr>
        <w:spacing w:line="480" w:lineRule="auto"/>
        <w:jc w:val="both"/>
        <w:sectPr w:rsidR="00C75312">
          <w:pgSz w:w="11900" w:h="16840"/>
          <w:pgMar w:top="1160" w:right="1200" w:bottom="280" w:left="1300" w:header="715" w:footer="0" w:gutter="0"/>
          <w:cols w:space="720"/>
        </w:sectPr>
      </w:pPr>
    </w:p>
    <w:p w14:paraId="6CFF0378" w14:textId="77777777" w:rsidR="00C75312" w:rsidRDefault="00C75312">
      <w:pPr>
        <w:pStyle w:val="BodyText"/>
        <w:spacing w:before="9"/>
        <w:rPr>
          <w:sz w:val="15"/>
        </w:rPr>
      </w:pPr>
    </w:p>
    <w:p w14:paraId="0E35046A" w14:textId="77777777" w:rsidR="00C75312" w:rsidRDefault="00BB293A">
      <w:pPr>
        <w:pStyle w:val="BodyText"/>
        <w:spacing w:before="90" w:line="480" w:lineRule="auto"/>
        <w:ind w:left="140" w:right="228"/>
        <w:jc w:val="both"/>
      </w:pPr>
      <w:r>
        <w:t>Towgood, Frith, &amp; Burgess, 2009) might be involved in an increased stimulus-oriented attending in ASD. Based on the findings in Chapter 4, the switch from stimulus-oriented to stimulus-independent processing may have been facilitated when participants were instructed that the PM intention was more important than the ongoing task. This might have shifted the overall</w:t>
      </w:r>
      <w:r>
        <w:rPr>
          <w:spacing w:val="-11"/>
        </w:rPr>
        <w:t xml:space="preserve"> </w:t>
      </w:r>
      <w:r>
        <w:t>focus</w:t>
      </w:r>
      <w:r>
        <w:rPr>
          <w:spacing w:val="-13"/>
        </w:rPr>
        <w:t xml:space="preserve"> </w:t>
      </w:r>
      <w:r>
        <w:t>more</w:t>
      </w:r>
      <w:r>
        <w:rPr>
          <w:spacing w:val="-12"/>
        </w:rPr>
        <w:t xml:space="preserve"> </w:t>
      </w:r>
      <w:r>
        <w:t>towards</w:t>
      </w:r>
      <w:r>
        <w:rPr>
          <w:spacing w:val="-13"/>
        </w:rPr>
        <w:t xml:space="preserve"> </w:t>
      </w:r>
      <w:r>
        <w:t>one’s</w:t>
      </w:r>
      <w:r>
        <w:rPr>
          <w:spacing w:val="-18"/>
        </w:rPr>
        <w:t xml:space="preserve"> </w:t>
      </w:r>
      <w:r>
        <w:t>internal</w:t>
      </w:r>
      <w:r>
        <w:rPr>
          <w:spacing w:val="-15"/>
        </w:rPr>
        <w:t xml:space="preserve"> </w:t>
      </w:r>
      <w:r>
        <w:t>representations.</w:t>
      </w:r>
      <w:r>
        <w:rPr>
          <w:spacing w:val="41"/>
        </w:rPr>
        <w:t xml:space="preserve"> </w:t>
      </w:r>
      <w:r>
        <w:t>Alternatively,</w:t>
      </w:r>
      <w:r>
        <w:rPr>
          <w:spacing w:val="-13"/>
        </w:rPr>
        <w:t xml:space="preserve"> </w:t>
      </w:r>
      <w:r>
        <w:t>the</w:t>
      </w:r>
      <w:r>
        <w:rPr>
          <w:spacing w:val="-12"/>
        </w:rPr>
        <w:t xml:space="preserve"> </w:t>
      </w:r>
      <w:r>
        <w:t>observed</w:t>
      </w:r>
      <w:r>
        <w:rPr>
          <w:spacing w:val="-11"/>
        </w:rPr>
        <w:t xml:space="preserve"> </w:t>
      </w:r>
      <w:r>
        <w:t>increase in</w:t>
      </w:r>
      <w:r>
        <w:rPr>
          <w:spacing w:val="-5"/>
        </w:rPr>
        <w:t xml:space="preserve"> </w:t>
      </w:r>
      <w:r>
        <w:t>time-monitoring</w:t>
      </w:r>
      <w:r>
        <w:rPr>
          <w:spacing w:val="-4"/>
        </w:rPr>
        <w:t xml:space="preserve"> </w:t>
      </w:r>
      <w:r>
        <w:t>might</w:t>
      </w:r>
      <w:r>
        <w:rPr>
          <w:spacing w:val="-3"/>
        </w:rPr>
        <w:t xml:space="preserve"> </w:t>
      </w:r>
      <w:r>
        <w:t>have</w:t>
      </w:r>
      <w:r>
        <w:rPr>
          <w:spacing w:val="-5"/>
        </w:rPr>
        <w:t xml:space="preserve"> </w:t>
      </w:r>
      <w:r>
        <w:t>provided</w:t>
      </w:r>
      <w:r>
        <w:rPr>
          <w:spacing w:val="-4"/>
        </w:rPr>
        <w:t xml:space="preserve"> </w:t>
      </w:r>
      <w:r>
        <w:t>the</w:t>
      </w:r>
      <w:r>
        <w:rPr>
          <w:spacing w:val="-5"/>
        </w:rPr>
        <w:t xml:space="preserve"> </w:t>
      </w:r>
      <w:r>
        <w:t>necessary</w:t>
      </w:r>
      <w:r>
        <w:rPr>
          <w:spacing w:val="-4"/>
        </w:rPr>
        <w:t xml:space="preserve"> </w:t>
      </w:r>
      <w:r>
        <w:t>cue</w:t>
      </w:r>
      <w:r>
        <w:rPr>
          <w:spacing w:val="-5"/>
        </w:rPr>
        <w:t xml:space="preserve"> </w:t>
      </w:r>
      <w:r>
        <w:t>to</w:t>
      </w:r>
      <w:r>
        <w:rPr>
          <w:spacing w:val="-4"/>
        </w:rPr>
        <w:t xml:space="preserve"> </w:t>
      </w:r>
      <w:r>
        <w:t>bring</w:t>
      </w:r>
      <w:r>
        <w:rPr>
          <w:spacing w:val="-4"/>
        </w:rPr>
        <w:t xml:space="preserve"> </w:t>
      </w:r>
      <w:r>
        <w:t>the</w:t>
      </w:r>
      <w:r>
        <w:rPr>
          <w:spacing w:val="-5"/>
        </w:rPr>
        <w:t xml:space="preserve"> </w:t>
      </w:r>
      <w:r>
        <w:t>intention</w:t>
      </w:r>
      <w:r>
        <w:rPr>
          <w:spacing w:val="-4"/>
        </w:rPr>
        <w:t xml:space="preserve"> </w:t>
      </w:r>
      <w:r>
        <w:t>to</w:t>
      </w:r>
      <w:r>
        <w:rPr>
          <w:spacing w:val="-9"/>
        </w:rPr>
        <w:t xml:space="preserve"> </w:t>
      </w:r>
      <w:r>
        <w:t>mind</w:t>
      </w:r>
      <w:r>
        <w:rPr>
          <w:spacing w:val="-4"/>
        </w:rPr>
        <w:t xml:space="preserve"> </w:t>
      </w:r>
      <w:r>
        <w:t>at</w:t>
      </w:r>
      <w:r>
        <w:rPr>
          <w:spacing w:val="-3"/>
        </w:rPr>
        <w:t xml:space="preserve"> </w:t>
      </w:r>
      <w:r>
        <w:t>the appropriate time if it occurred closely enough to target time</w:t>
      </w:r>
    </w:p>
    <w:p w14:paraId="22F706B0" w14:textId="77777777" w:rsidR="00C75312" w:rsidRDefault="00BB293A">
      <w:pPr>
        <w:pStyle w:val="BodyText"/>
        <w:spacing w:before="120" w:line="480" w:lineRule="auto"/>
        <w:ind w:left="140" w:right="226" w:firstLine="720"/>
        <w:jc w:val="both"/>
      </w:pPr>
      <w:r>
        <w:t xml:space="preserve">Furthermore, lateral and medial </w:t>
      </w:r>
      <w:proofErr w:type="spellStart"/>
      <w:r>
        <w:t>rPFC</w:t>
      </w:r>
      <w:proofErr w:type="spellEnd"/>
      <w:r>
        <w:t xml:space="preserve"> have been described as part of two separate</w:t>
      </w:r>
      <w:r>
        <w:rPr>
          <w:spacing w:val="-40"/>
        </w:rPr>
        <w:t xml:space="preserve"> </w:t>
      </w:r>
      <w:r>
        <w:t>anti- correlated brain networks 1) the “task-positive”, “multiple-demand” network, as well as the</w:t>
      </w:r>
      <w:r>
        <w:rPr>
          <w:spacing w:val="-41"/>
        </w:rPr>
        <w:t xml:space="preserve"> </w:t>
      </w:r>
      <w:r>
        <w:t>2) task negative or default mode network (Duncan, 2010; Fox et al., 2005; Raichle et al., 2001). Several studies have suggested that the switch between these two networks is orchestrated by the anterior insula, which lies at the core of the saliency or cingulo-opercular network</w:t>
      </w:r>
      <w:r>
        <w:rPr>
          <w:spacing w:val="-37"/>
        </w:rPr>
        <w:t xml:space="preserve"> </w:t>
      </w:r>
      <w:r>
        <w:t>(Menon &amp; Uddin, 2010). The insula is thought to mediate attention to external, thus st</w:t>
      </w:r>
      <w:r>
        <w:t>imulus-oriented, and internal, thus stimulus-independent, processing. This aligns with evidence that the insula is particularly activated during PM retrieval (</w:t>
      </w:r>
      <w:proofErr w:type="spellStart"/>
      <w:r>
        <w:t>Cona</w:t>
      </w:r>
      <w:proofErr w:type="spellEnd"/>
      <w:r>
        <w:t xml:space="preserve">, </w:t>
      </w:r>
      <w:proofErr w:type="spellStart"/>
      <w:r>
        <w:t>Scarpazza</w:t>
      </w:r>
      <w:proofErr w:type="spellEnd"/>
      <w:r>
        <w:t xml:space="preserve">, Sartori, Moscovitch, &amp; </w:t>
      </w:r>
      <w:proofErr w:type="spellStart"/>
      <w:r>
        <w:t>Bisiacchi</w:t>
      </w:r>
      <w:proofErr w:type="spellEnd"/>
      <w:r>
        <w:t>,</w:t>
      </w:r>
      <w:r>
        <w:rPr>
          <w:spacing w:val="-8"/>
        </w:rPr>
        <w:t xml:space="preserve"> </w:t>
      </w:r>
      <w:r>
        <w:t>2015).</w:t>
      </w:r>
      <w:r>
        <w:rPr>
          <w:spacing w:val="39"/>
        </w:rPr>
        <w:t xml:space="preserve"> </w:t>
      </w:r>
      <w:r>
        <w:t>This</w:t>
      </w:r>
      <w:r>
        <w:rPr>
          <w:spacing w:val="-12"/>
        </w:rPr>
        <w:t xml:space="preserve"> </w:t>
      </w:r>
      <w:r>
        <w:t>indicates</w:t>
      </w:r>
      <w:r>
        <w:rPr>
          <w:spacing w:val="-12"/>
        </w:rPr>
        <w:t xml:space="preserve"> </w:t>
      </w:r>
      <w:r>
        <w:t>insula</w:t>
      </w:r>
      <w:r>
        <w:rPr>
          <w:spacing w:val="-11"/>
        </w:rPr>
        <w:t xml:space="preserve"> </w:t>
      </w:r>
      <w:r>
        <w:t>function</w:t>
      </w:r>
      <w:r>
        <w:rPr>
          <w:spacing w:val="-10"/>
        </w:rPr>
        <w:t xml:space="preserve"> </w:t>
      </w:r>
      <w:r>
        <w:t>might</w:t>
      </w:r>
      <w:r>
        <w:rPr>
          <w:spacing w:val="-9"/>
        </w:rPr>
        <w:t xml:space="preserve"> </w:t>
      </w:r>
      <w:r>
        <w:t>be</w:t>
      </w:r>
      <w:r>
        <w:rPr>
          <w:spacing w:val="-11"/>
        </w:rPr>
        <w:t xml:space="preserve"> </w:t>
      </w:r>
      <w:r>
        <w:t>involved</w:t>
      </w:r>
      <w:r>
        <w:rPr>
          <w:spacing w:val="-14"/>
        </w:rPr>
        <w:t xml:space="preserve"> </w:t>
      </w:r>
      <w:r>
        <w:t>in</w:t>
      </w:r>
      <w:r>
        <w:rPr>
          <w:spacing w:val="-10"/>
        </w:rPr>
        <w:t xml:space="preserve"> </w:t>
      </w:r>
      <w:r>
        <w:t>the</w:t>
      </w:r>
      <w:r>
        <w:rPr>
          <w:spacing w:val="-11"/>
        </w:rPr>
        <w:t xml:space="preserve"> </w:t>
      </w:r>
      <w:r>
        <w:t>switch</w:t>
      </w:r>
      <w:r>
        <w:rPr>
          <w:spacing w:val="-14"/>
        </w:rPr>
        <w:t xml:space="preserve"> </w:t>
      </w:r>
      <w:r>
        <w:t>from</w:t>
      </w:r>
      <w:r>
        <w:rPr>
          <w:spacing w:val="-14"/>
        </w:rPr>
        <w:t xml:space="preserve"> </w:t>
      </w:r>
      <w:r>
        <w:t>stimulus- oriented</w:t>
      </w:r>
      <w:r>
        <w:rPr>
          <w:spacing w:val="-11"/>
        </w:rPr>
        <w:t xml:space="preserve"> </w:t>
      </w:r>
      <w:r>
        <w:t>ongoing</w:t>
      </w:r>
      <w:r>
        <w:rPr>
          <w:spacing w:val="-15"/>
        </w:rPr>
        <w:t xml:space="preserve"> </w:t>
      </w:r>
      <w:r>
        <w:t>task</w:t>
      </w:r>
      <w:r>
        <w:rPr>
          <w:spacing w:val="-11"/>
        </w:rPr>
        <w:t xml:space="preserve"> </w:t>
      </w:r>
      <w:r>
        <w:t>processing</w:t>
      </w:r>
      <w:r>
        <w:rPr>
          <w:spacing w:val="-10"/>
        </w:rPr>
        <w:t xml:space="preserve"> </w:t>
      </w:r>
      <w:r>
        <w:t>to</w:t>
      </w:r>
      <w:r>
        <w:rPr>
          <w:spacing w:val="-11"/>
        </w:rPr>
        <w:t xml:space="preserve"> </w:t>
      </w:r>
      <w:r>
        <w:t>accessing</w:t>
      </w:r>
      <w:r>
        <w:rPr>
          <w:spacing w:val="-11"/>
        </w:rPr>
        <w:t xml:space="preserve"> </w:t>
      </w:r>
      <w:r>
        <w:t>and</w:t>
      </w:r>
      <w:r>
        <w:rPr>
          <w:spacing w:val="-11"/>
        </w:rPr>
        <w:t xml:space="preserve"> </w:t>
      </w:r>
      <w:r>
        <w:t>retrieving</w:t>
      </w:r>
      <w:r>
        <w:rPr>
          <w:spacing w:val="-10"/>
        </w:rPr>
        <w:t xml:space="preserve"> </w:t>
      </w:r>
      <w:r>
        <w:t>a</w:t>
      </w:r>
      <w:r>
        <w:rPr>
          <w:spacing w:val="-12"/>
        </w:rPr>
        <w:t xml:space="preserve"> </w:t>
      </w:r>
      <w:r>
        <w:t>delayed</w:t>
      </w:r>
      <w:r>
        <w:rPr>
          <w:spacing w:val="-15"/>
        </w:rPr>
        <w:t xml:space="preserve"> </w:t>
      </w:r>
      <w:r>
        <w:t>intention,</w:t>
      </w:r>
      <w:r>
        <w:rPr>
          <w:spacing w:val="-12"/>
        </w:rPr>
        <w:t xml:space="preserve"> </w:t>
      </w:r>
      <w:r>
        <w:t>in</w:t>
      </w:r>
      <w:r>
        <w:rPr>
          <w:spacing w:val="-15"/>
        </w:rPr>
        <w:t xml:space="preserve"> </w:t>
      </w:r>
      <w:r>
        <w:t>the</w:t>
      </w:r>
      <w:r>
        <w:rPr>
          <w:spacing w:val="-12"/>
        </w:rPr>
        <w:t xml:space="preserve"> </w:t>
      </w:r>
      <w:r>
        <w:t xml:space="preserve">bottom- up detection of PM cues as salient stimuli (internal time- </w:t>
      </w:r>
      <w:r>
        <w:rPr>
          <w:spacing w:val="-3"/>
        </w:rPr>
        <w:t xml:space="preserve">or </w:t>
      </w:r>
      <w:r>
        <w:t xml:space="preserve">external event-cues), and in the subsequent change in attentional allocation to promote task switching. However, in ASD, the anterior insula seems to be </w:t>
      </w:r>
      <w:proofErr w:type="spellStart"/>
      <w:r>
        <w:t>characterised</w:t>
      </w:r>
      <w:proofErr w:type="spellEnd"/>
      <w:r>
        <w:t xml:space="preserve"> by hypoactivity (Di Martino et al., 2009), possibly resulting in dysfunctional connectivity patterns with other brain regions (Uddin &amp; Menon, 2009), which may be relevant here.</w:t>
      </w:r>
    </w:p>
    <w:p w14:paraId="79C85FE8" w14:textId="77777777" w:rsidR="00C75312" w:rsidRDefault="00BB293A">
      <w:pPr>
        <w:pStyle w:val="BodyText"/>
        <w:spacing w:before="121" w:line="480" w:lineRule="auto"/>
        <w:ind w:left="140" w:right="229" w:firstLine="720"/>
        <w:jc w:val="both"/>
      </w:pPr>
      <w:r>
        <w:t>To test these hypotheses, further research needs to explicitly compare neural activity associated with stimulus-oriented and stimulus-independent processing for both time- and</w:t>
      </w:r>
    </w:p>
    <w:p w14:paraId="17143C8C" w14:textId="77777777" w:rsidR="00C75312" w:rsidRDefault="00C75312">
      <w:pPr>
        <w:spacing w:line="480" w:lineRule="auto"/>
        <w:jc w:val="both"/>
        <w:sectPr w:rsidR="00C75312">
          <w:pgSz w:w="11900" w:h="16840"/>
          <w:pgMar w:top="1160" w:right="1200" w:bottom="280" w:left="1300" w:header="715" w:footer="0" w:gutter="0"/>
          <w:cols w:space="720"/>
        </w:sectPr>
      </w:pPr>
    </w:p>
    <w:p w14:paraId="7E6384AC" w14:textId="77777777" w:rsidR="00C75312" w:rsidRDefault="00C75312">
      <w:pPr>
        <w:pStyle w:val="BodyText"/>
        <w:spacing w:before="9"/>
        <w:rPr>
          <w:sz w:val="15"/>
        </w:rPr>
      </w:pPr>
    </w:p>
    <w:p w14:paraId="4AE5B511" w14:textId="77777777" w:rsidR="00C75312" w:rsidRDefault="00BB293A">
      <w:pPr>
        <w:pStyle w:val="BodyText"/>
        <w:spacing w:before="90" w:line="480" w:lineRule="auto"/>
        <w:ind w:left="140" w:right="514"/>
      </w:pPr>
      <w:r>
        <w:t xml:space="preserve">event-based PM in ASD. The analysis of psychophysiological interactions (e.g., between insula activity and </w:t>
      </w:r>
      <w:proofErr w:type="spellStart"/>
      <w:r>
        <w:t>rPFC</w:t>
      </w:r>
      <w:proofErr w:type="spellEnd"/>
      <w:r>
        <w:t>) might further elucidate this question.</w:t>
      </w:r>
    </w:p>
    <w:p w14:paraId="69602D4E" w14:textId="77777777" w:rsidR="00C75312" w:rsidRDefault="00BB293A">
      <w:pPr>
        <w:pStyle w:val="Heading1"/>
        <w:spacing w:before="120"/>
      </w:pPr>
      <w:bookmarkStart w:id="28" w:name="_TOC_250005"/>
      <w:bookmarkEnd w:id="28"/>
      <w:r>
        <w:t>Mitigation of PM problems in ASD</w:t>
      </w:r>
    </w:p>
    <w:p w14:paraId="29B70B43" w14:textId="77777777" w:rsidR="00C75312" w:rsidRDefault="00C75312">
      <w:pPr>
        <w:pStyle w:val="BodyText"/>
        <w:rPr>
          <w:b/>
        </w:rPr>
      </w:pPr>
    </w:p>
    <w:p w14:paraId="6E37E1D4" w14:textId="77777777" w:rsidR="00C75312" w:rsidRDefault="00BB293A">
      <w:pPr>
        <w:pStyle w:val="BodyText"/>
        <w:spacing w:line="480" w:lineRule="auto"/>
        <w:ind w:left="140" w:right="226" w:firstLine="720"/>
        <w:jc w:val="both"/>
      </w:pPr>
      <w:r>
        <w:t xml:space="preserve">On a day-to-day basis, PM impairments in ASD may result in reduced autonomy and greater dependency on carers, parents, or partners to support daily activities and time- management. For instance, PM problems might lead to forgetting to pay their mobile phone bill, pick up a parcel from the post-office, or to attend a medical appointment (Blomqvist, </w:t>
      </w:r>
      <w:proofErr w:type="spellStart"/>
      <w:r>
        <w:t>Bejerot</w:t>
      </w:r>
      <w:proofErr w:type="spellEnd"/>
      <w:r>
        <w:t xml:space="preserve">, &amp; </w:t>
      </w:r>
      <w:proofErr w:type="spellStart"/>
      <w:r>
        <w:t>Dahllöf</w:t>
      </w:r>
      <w:proofErr w:type="spellEnd"/>
      <w:r>
        <w:t xml:space="preserve">, 2015). Equally, PM impairments could negatively impact employment opportunities for individuals with ASD (employers might understandably perceive a person with diminished PM as unreliable, because they forget to complete assignments, meet deadlines, or pass on important messages), which may contribute to low rates </w:t>
      </w:r>
      <w:r>
        <w:rPr>
          <w:spacing w:val="-3"/>
        </w:rPr>
        <w:t xml:space="preserve">of </w:t>
      </w:r>
      <w:r>
        <w:t>full-time employment among individuals with ASD (Howlin &amp; Moss, 2012). Based on the results of this thesis and previous research, PM abilities and mechanisms in ASD are more</w:t>
      </w:r>
      <w:r>
        <w:t xml:space="preserve"> clearly understood.</w:t>
      </w:r>
      <w:r>
        <w:rPr>
          <w:spacing w:val="43"/>
        </w:rPr>
        <w:t xml:space="preserve"> </w:t>
      </w:r>
      <w:r>
        <w:t>This</w:t>
      </w:r>
      <w:r>
        <w:rPr>
          <w:spacing w:val="-7"/>
        </w:rPr>
        <w:t xml:space="preserve"> </w:t>
      </w:r>
      <w:r>
        <w:t>offers</w:t>
      </w:r>
      <w:r>
        <w:rPr>
          <w:spacing w:val="-12"/>
        </w:rPr>
        <w:t xml:space="preserve"> </w:t>
      </w:r>
      <w:r>
        <w:t>the</w:t>
      </w:r>
      <w:r>
        <w:rPr>
          <w:spacing w:val="-11"/>
        </w:rPr>
        <w:t xml:space="preserve"> </w:t>
      </w:r>
      <w:r>
        <w:t>possibility</w:t>
      </w:r>
      <w:r>
        <w:rPr>
          <w:spacing w:val="-5"/>
        </w:rPr>
        <w:t xml:space="preserve"> </w:t>
      </w:r>
      <w:r>
        <w:t>to</w:t>
      </w:r>
      <w:r>
        <w:rPr>
          <w:spacing w:val="-10"/>
        </w:rPr>
        <w:t xml:space="preserve"> </w:t>
      </w:r>
      <w:r>
        <w:t>consider</w:t>
      </w:r>
      <w:r>
        <w:rPr>
          <w:spacing w:val="-13"/>
        </w:rPr>
        <w:t xml:space="preserve"> </w:t>
      </w:r>
      <w:r>
        <w:t>what</w:t>
      </w:r>
      <w:r>
        <w:rPr>
          <w:spacing w:val="-4"/>
        </w:rPr>
        <w:t xml:space="preserve"> </w:t>
      </w:r>
      <w:r>
        <w:t>type</w:t>
      </w:r>
      <w:r>
        <w:rPr>
          <w:spacing w:val="-11"/>
        </w:rPr>
        <w:t xml:space="preserve"> </w:t>
      </w:r>
      <w:r>
        <w:t>of</w:t>
      </w:r>
      <w:r>
        <w:rPr>
          <w:spacing w:val="-9"/>
        </w:rPr>
        <w:t xml:space="preserve"> </w:t>
      </w:r>
      <w:r>
        <w:t>strategies</w:t>
      </w:r>
      <w:r>
        <w:rPr>
          <w:spacing w:val="-7"/>
        </w:rPr>
        <w:t xml:space="preserve"> </w:t>
      </w:r>
      <w:r>
        <w:t>might</w:t>
      </w:r>
      <w:r>
        <w:rPr>
          <w:spacing w:val="-9"/>
        </w:rPr>
        <w:t xml:space="preserve"> </w:t>
      </w:r>
      <w:r>
        <w:t>be</w:t>
      </w:r>
      <w:r>
        <w:rPr>
          <w:spacing w:val="-6"/>
        </w:rPr>
        <w:t xml:space="preserve"> </w:t>
      </w:r>
      <w:r>
        <w:t>most</w:t>
      </w:r>
      <w:r>
        <w:rPr>
          <w:spacing w:val="-9"/>
        </w:rPr>
        <w:t xml:space="preserve"> </w:t>
      </w:r>
      <w:r>
        <w:t>useful to support PM under everyday life demands in</w:t>
      </w:r>
      <w:r>
        <w:rPr>
          <w:spacing w:val="5"/>
        </w:rPr>
        <w:t xml:space="preserve"> </w:t>
      </w:r>
      <w:r>
        <w:t>ASD.</w:t>
      </w:r>
    </w:p>
    <w:p w14:paraId="70DF6FB5" w14:textId="77777777" w:rsidR="00C75312" w:rsidRDefault="00BB293A">
      <w:pPr>
        <w:pStyle w:val="BodyText"/>
        <w:spacing w:before="121" w:line="480" w:lineRule="auto"/>
        <w:ind w:left="140" w:right="227" w:firstLine="720"/>
        <w:jc w:val="both"/>
      </w:pPr>
      <w:r>
        <w:t>When</w:t>
      </w:r>
      <w:r>
        <w:rPr>
          <w:spacing w:val="-6"/>
        </w:rPr>
        <w:t xml:space="preserve"> </w:t>
      </w:r>
      <w:r>
        <w:t>PM</w:t>
      </w:r>
      <w:r>
        <w:rPr>
          <w:spacing w:val="-7"/>
        </w:rPr>
        <w:t xml:space="preserve"> </w:t>
      </w:r>
      <w:r>
        <w:t>is</w:t>
      </w:r>
      <w:r>
        <w:rPr>
          <w:spacing w:val="-7"/>
        </w:rPr>
        <w:t xml:space="preserve"> </w:t>
      </w:r>
      <w:r>
        <w:t>cued,</w:t>
      </w:r>
      <w:r>
        <w:rPr>
          <w:spacing w:val="-3"/>
        </w:rPr>
        <w:t xml:space="preserve"> </w:t>
      </w:r>
      <w:r>
        <w:t>no</w:t>
      </w:r>
      <w:r>
        <w:rPr>
          <w:spacing w:val="-10"/>
        </w:rPr>
        <w:t xml:space="preserve"> </w:t>
      </w:r>
      <w:r>
        <w:t>performance</w:t>
      </w:r>
      <w:r>
        <w:rPr>
          <w:spacing w:val="-6"/>
        </w:rPr>
        <w:t xml:space="preserve"> </w:t>
      </w:r>
      <w:r>
        <w:t>impairment</w:t>
      </w:r>
      <w:r>
        <w:rPr>
          <w:spacing w:val="-9"/>
        </w:rPr>
        <w:t xml:space="preserve"> </w:t>
      </w:r>
      <w:r>
        <w:t>is</w:t>
      </w:r>
      <w:r>
        <w:rPr>
          <w:spacing w:val="-8"/>
        </w:rPr>
        <w:t xml:space="preserve"> </w:t>
      </w:r>
      <w:r>
        <w:t>observed</w:t>
      </w:r>
      <w:r>
        <w:rPr>
          <w:spacing w:val="-5"/>
        </w:rPr>
        <w:t xml:space="preserve"> </w:t>
      </w:r>
      <w:r>
        <w:t>in</w:t>
      </w:r>
      <w:r>
        <w:rPr>
          <w:spacing w:val="-5"/>
        </w:rPr>
        <w:t xml:space="preserve"> </w:t>
      </w:r>
      <w:r>
        <w:t>ASD</w:t>
      </w:r>
      <w:r>
        <w:rPr>
          <w:spacing w:val="-11"/>
        </w:rPr>
        <w:t xml:space="preserve"> </w:t>
      </w:r>
      <w:r>
        <w:t>in</w:t>
      </w:r>
      <w:r>
        <w:rPr>
          <w:spacing w:val="-10"/>
        </w:rPr>
        <w:t xml:space="preserve"> </w:t>
      </w:r>
      <w:r>
        <w:t>line</w:t>
      </w:r>
      <w:r>
        <w:rPr>
          <w:spacing w:val="-11"/>
        </w:rPr>
        <w:t xml:space="preserve"> </w:t>
      </w:r>
      <w:r>
        <w:t>with</w:t>
      </w:r>
      <w:r>
        <w:rPr>
          <w:spacing w:val="-10"/>
        </w:rPr>
        <w:t xml:space="preserve"> </w:t>
      </w:r>
      <w:r>
        <w:t>the</w:t>
      </w:r>
      <w:r>
        <w:rPr>
          <w:spacing w:val="-6"/>
        </w:rPr>
        <w:t xml:space="preserve"> </w:t>
      </w:r>
      <w:r>
        <w:t>task support hypothesis of memory (Bowler et al., 2004). This indicates that delayed intentions should</w:t>
      </w:r>
      <w:r>
        <w:rPr>
          <w:spacing w:val="-10"/>
        </w:rPr>
        <w:t xml:space="preserve"> </w:t>
      </w:r>
      <w:r>
        <w:t>not</w:t>
      </w:r>
      <w:r>
        <w:rPr>
          <w:spacing w:val="-8"/>
        </w:rPr>
        <w:t xml:space="preserve"> </w:t>
      </w:r>
      <w:r>
        <w:t>be</w:t>
      </w:r>
      <w:r>
        <w:rPr>
          <w:spacing w:val="-11"/>
        </w:rPr>
        <w:t xml:space="preserve"> </w:t>
      </w:r>
      <w:r>
        <w:t>a</w:t>
      </w:r>
      <w:r>
        <w:rPr>
          <w:spacing w:val="-10"/>
        </w:rPr>
        <w:t xml:space="preserve"> </w:t>
      </w:r>
      <w:r>
        <w:t>problem</w:t>
      </w:r>
      <w:r>
        <w:rPr>
          <w:spacing w:val="-9"/>
        </w:rPr>
        <w:t xml:space="preserve"> </w:t>
      </w:r>
      <w:r>
        <w:t>in</w:t>
      </w:r>
      <w:r>
        <w:rPr>
          <w:spacing w:val="-9"/>
        </w:rPr>
        <w:t xml:space="preserve"> </w:t>
      </w:r>
      <w:r>
        <w:t>ASD</w:t>
      </w:r>
      <w:r>
        <w:rPr>
          <w:spacing w:val="-9"/>
        </w:rPr>
        <w:t xml:space="preserve"> </w:t>
      </w:r>
      <w:r>
        <w:t>given</w:t>
      </w:r>
      <w:r>
        <w:rPr>
          <w:spacing w:val="-10"/>
        </w:rPr>
        <w:t xml:space="preserve"> </w:t>
      </w:r>
      <w:r>
        <w:t>the</w:t>
      </w:r>
      <w:r>
        <w:rPr>
          <w:spacing w:val="-10"/>
        </w:rPr>
        <w:t xml:space="preserve"> </w:t>
      </w:r>
      <w:r>
        <w:t>appropriate</w:t>
      </w:r>
      <w:r>
        <w:rPr>
          <w:spacing w:val="-11"/>
        </w:rPr>
        <w:t xml:space="preserve"> </w:t>
      </w:r>
      <w:r>
        <w:t>implementation</w:t>
      </w:r>
      <w:r>
        <w:rPr>
          <w:spacing w:val="-9"/>
        </w:rPr>
        <w:t xml:space="preserve"> </w:t>
      </w:r>
      <w:r>
        <w:t>of</w:t>
      </w:r>
      <w:r>
        <w:rPr>
          <w:spacing w:val="-7"/>
        </w:rPr>
        <w:t xml:space="preserve"> </w:t>
      </w:r>
      <w:r>
        <w:t>cues</w:t>
      </w:r>
      <w:r>
        <w:rPr>
          <w:spacing w:val="-12"/>
        </w:rPr>
        <w:t xml:space="preserve"> </w:t>
      </w:r>
      <w:r>
        <w:t>in</w:t>
      </w:r>
      <w:r>
        <w:rPr>
          <w:spacing w:val="-9"/>
        </w:rPr>
        <w:t xml:space="preserve"> </w:t>
      </w:r>
      <w:r>
        <w:t>everyday</w:t>
      </w:r>
      <w:r>
        <w:rPr>
          <w:spacing w:val="-10"/>
        </w:rPr>
        <w:t xml:space="preserve"> </w:t>
      </w:r>
      <w:r>
        <w:t xml:space="preserve">life. In contrast in unstructured time-based situations </w:t>
      </w:r>
      <w:r>
        <w:rPr>
          <w:spacing w:val="2"/>
        </w:rPr>
        <w:t xml:space="preserve">PM </w:t>
      </w:r>
      <w:r>
        <w:t xml:space="preserve">impairment occurs. In Chapter 4, it was found that increasing structure through explicit task instructions reduced time-based PM impairment. This finding equally aligns with the </w:t>
      </w:r>
      <w:r>
        <w:rPr>
          <w:spacing w:val="-3"/>
        </w:rPr>
        <w:t xml:space="preserve">task </w:t>
      </w:r>
      <w:r>
        <w:t>support</w:t>
      </w:r>
      <w:r>
        <w:rPr>
          <w:spacing w:val="-1"/>
        </w:rPr>
        <w:t xml:space="preserve"> </w:t>
      </w:r>
      <w:r>
        <w:t>hypothesis.</w:t>
      </w:r>
    </w:p>
    <w:p w14:paraId="46CD6FF6" w14:textId="77777777" w:rsidR="00C75312" w:rsidRDefault="00BB293A">
      <w:pPr>
        <w:pStyle w:val="BodyText"/>
        <w:spacing w:before="120" w:line="480" w:lineRule="auto"/>
        <w:ind w:left="140" w:right="230" w:firstLine="720"/>
        <w:jc w:val="both"/>
      </w:pPr>
      <w:r>
        <w:t>Importantly, no other study could previously demonstrate that time-based PM can be improved in ASD. One previous study (Kretschmer et al., 2014), used the method of implementation intentions unsuccessfully in an attempt to improve time-based PM in ASD. Although both manipulations targeted intention encoding to improve PM, their respective</w:t>
      </w:r>
    </w:p>
    <w:p w14:paraId="524CF7EC" w14:textId="77777777" w:rsidR="00C75312" w:rsidRDefault="00C75312">
      <w:pPr>
        <w:spacing w:line="480" w:lineRule="auto"/>
        <w:jc w:val="both"/>
        <w:sectPr w:rsidR="00C75312">
          <w:pgSz w:w="11900" w:h="16840"/>
          <w:pgMar w:top="1160" w:right="1200" w:bottom="280" w:left="1300" w:header="715" w:footer="0" w:gutter="0"/>
          <w:cols w:space="720"/>
        </w:sectPr>
      </w:pPr>
    </w:p>
    <w:p w14:paraId="6DD0047B" w14:textId="77777777" w:rsidR="00C75312" w:rsidRDefault="00C75312">
      <w:pPr>
        <w:pStyle w:val="BodyText"/>
        <w:spacing w:before="9"/>
        <w:rPr>
          <w:sz w:val="15"/>
        </w:rPr>
      </w:pPr>
    </w:p>
    <w:p w14:paraId="6048C42A" w14:textId="77777777" w:rsidR="00C75312" w:rsidRDefault="00BB293A">
      <w:pPr>
        <w:pStyle w:val="BodyText"/>
        <w:spacing w:before="90" w:line="480" w:lineRule="auto"/>
        <w:ind w:left="140" w:right="224"/>
        <w:jc w:val="both"/>
      </w:pPr>
      <w:r>
        <w:t>underlying mechanism differs substantially. The manipulation of importance influences the allocation of strategic resources, which has been shown to be beneficial for both types of PM (Walter &amp; Meier, 2014). In contrast, implementation intentions are especially beneficial for event-based PM (Chen et al., 2015), because they result in an increased association between the future retrieval context and the intended action, and thus facilitate PM retrieval upon encountering the retrieval context (Gollwitzer, 199</w:t>
      </w:r>
      <w:r>
        <w:t>9). For time-based PM in real-life situations, it may actually be more beneficial to formulate an implementation intention on keeping track of the passage of time additionally to one about executing the delayed intention itself. For example, a person might have to remember to call a friend after one hour. To keep track of the time, they might form the intention to check the clock every time they go into the kitchen. The efficiency of this strategy remains to be tested in both typically developing individual</w:t>
      </w:r>
      <w:r>
        <w:t>s and ASD.</w:t>
      </w:r>
    </w:p>
    <w:p w14:paraId="629A653C" w14:textId="77777777" w:rsidR="00C75312" w:rsidRDefault="00BB293A">
      <w:pPr>
        <w:pStyle w:val="BodyText"/>
        <w:spacing w:before="121" w:line="480" w:lineRule="auto"/>
        <w:ind w:left="140" w:right="226" w:firstLine="720"/>
        <w:jc w:val="both"/>
      </w:pPr>
      <w:r>
        <w:t xml:space="preserve">Crucially, implementation intentions and manipulation of an intention’s importance differ in another important aspect. The former requires the </w:t>
      </w:r>
      <w:r>
        <w:rPr>
          <w:i/>
        </w:rPr>
        <w:t xml:space="preserve">self-initiated </w:t>
      </w:r>
      <w:r>
        <w:t xml:space="preserve">use in everyday life whereas the latter does not require the individual with ASD to apply a strategy themselves. Instead the structure </w:t>
      </w:r>
      <w:r>
        <w:rPr>
          <w:spacing w:val="-3"/>
        </w:rPr>
        <w:t xml:space="preserve">of </w:t>
      </w:r>
      <w:r>
        <w:t>the task is externally enhanced by explicit task instructions. Thus, it is of interest whether individuals with ASD would be able to implement strategy use flexibly (such as implementation intentions or use of reminders, such setting an alarm or placing an object</w:t>
      </w:r>
      <w:r>
        <w:rPr>
          <w:spacing w:val="-9"/>
        </w:rPr>
        <w:t xml:space="preserve"> </w:t>
      </w:r>
      <w:r>
        <w:t>in</w:t>
      </w:r>
      <w:r>
        <w:rPr>
          <w:spacing w:val="-13"/>
        </w:rPr>
        <w:t xml:space="preserve"> </w:t>
      </w:r>
      <w:r>
        <w:t>an</w:t>
      </w:r>
      <w:r>
        <w:rPr>
          <w:spacing w:val="-14"/>
        </w:rPr>
        <w:t xml:space="preserve"> </w:t>
      </w:r>
      <w:r>
        <w:t>obvious</w:t>
      </w:r>
      <w:r>
        <w:rPr>
          <w:spacing w:val="-11"/>
        </w:rPr>
        <w:t xml:space="preserve"> </w:t>
      </w:r>
      <w:r>
        <w:t>location</w:t>
      </w:r>
      <w:r>
        <w:rPr>
          <w:spacing w:val="-13"/>
        </w:rPr>
        <w:t xml:space="preserve"> </w:t>
      </w:r>
      <w:r>
        <w:t>as</w:t>
      </w:r>
      <w:r>
        <w:rPr>
          <w:spacing w:val="-12"/>
        </w:rPr>
        <w:t xml:space="preserve"> </w:t>
      </w:r>
      <w:r>
        <w:t>a</w:t>
      </w:r>
      <w:r>
        <w:rPr>
          <w:spacing w:val="-14"/>
        </w:rPr>
        <w:t xml:space="preserve"> </w:t>
      </w:r>
      <w:r>
        <w:t>reminder)</w:t>
      </w:r>
      <w:r>
        <w:rPr>
          <w:spacing w:val="-12"/>
        </w:rPr>
        <w:t xml:space="preserve"> </w:t>
      </w:r>
      <w:r>
        <w:t>into</w:t>
      </w:r>
      <w:r>
        <w:rPr>
          <w:spacing w:val="-14"/>
        </w:rPr>
        <w:t xml:space="preserve"> </w:t>
      </w:r>
      <w:r>
        <w:t>their</w:t>
      </w:r>
      <w:r>
        <w:rPr>
          <w:spacing w:val="-7"/>
        </w:rPr>
        <w:t xml:space="preserve"> </w:t>
      </w:r>
      <w:r>
        <w:t>everyday</w:t>
      </w:r>
      <w:r>
        <w:rPr>
          <w:spacing w:val="-14"/>
        </w:rPr>
        <w:t xml:space="preserve"> </w:t>
      </w:r>
      <w:r>
        <w:t>lives</w:t>
      </w:r>
      <w:r>
        <w:rPr>
          <w:spacing w:val="-15"/>
        </w:rPr>
        <w:t xml:space="preserve"> </w:t>
      </w:r>
      <w:r>
        <w:t>or</w:t>
      </w:r>
      <w:r>
        <w:rPr>
          <w:spacing w:val="-12"/>
        </w:rPr>
        <w:t xml:space="preserve"> </w:t>
      </w:r>
      <w:r>
        <w:t>not.</w:t>
      </w:r>
      <w:r>
        <w:rPr>
          <w:spacing w:val="35"/>
        </w:rPr>
        <w:t xml:space="preserve"> </w:t>
      </w:r>
      <w:r>
        <w:t>This</w:t>
      </w:r>
      <w:r>
        <w:rPr>
          <w:spacing w:val="-11"/>
        </w:rPr>
        <w:t xml:space="preserve"> </w:t>
      </w:r>
      <w:r>
        <w:t>would</w:t>
      </w:r>
      <w:r>
        <w:rPr>
          <w:spacing w:val="-18"/>
        </w:rPr>
        <w:t xml:space="preserve"> </w:t>
      </w:r>
      <w:r>
        <w:t>require</w:t>
      </w:r>
    </w:p>
    <w:p w14:paraId="582A90CD" w14:textId="77777777" w:rsidR="00C75312" w:rsidRDefault="00BB293A">
      <w:pPr>
        <w:pStyle w:val="BodyText"/>
        <w:spacing w:line="480" w:lineRule="auto"/>
        <w:ind w:left="140" w:right="229"/>
        <w:jc w:val="both"/>
      </w:pPr>
      <w:r>
        <w:t>a) self-awareness that one is prone to forgetting to accurately carry out delayed intentions; b) understanding of the potential (negative) consequences that forgetting of intentions carry;</w:t>
      </w:r>
      <w:r>
        <w:rPr>
          <w:spacing w:val="5"/>
        </w:rPr>
        <w:t xml:space="preserve"> </w:t>
      </w:r>
      <w:r>
        <w:t>and</w:t>
      </w:r>
    </w:p>
    <w:p w14:paraId="7401F8CA" w14:textId="77777777" w:rsidR="00C75312" w:rsidRDefault="00BB293A">
      <w:pPr>
        <w:pStyle w:val="BodyText"/>
        <w:spacing w:line="480" w:lineRule="auto"/>
        <w:ind w:left="140" w:right="226"/>
        <w:jc w:val="both"/>
      </w:pPr>
      <w:r>
        <w:t xml:space="preserve">c) insight that this necessitates the use of memory aids/strategies. Reduced psychological self- awareness (Lind, 2010; Williams, 2010) as well as problems with planning (Olde </w:t>
      </w:r>
      <w:proofErr w:type="spellStart"/>
      <w:r>
        <w:t>Dubbelink</w:t>
      </w:r>
      <w:proofErr w:type="spellEnd"/>
      <w:r>
        <w:t xml:space="preserve"> &amp; Geurts, 2017) and cognitive flexibility (Landry &amp; Al-Taie, 2016; Leung &amp; </w:t>
      </w:r>
      <w:proofErr w:type="spellStart"/>
      <w:r>
        <w:t>Zakzanis</w:t>
      </w:r>
      <w:proofErr w:type="spellEnd"/>
      <w:r>
        <w:t>, 2014) in  ASD  might  therefore reduce  the  usefulness  of  memory strategies  that  need  to be</w:t>
      </w:r>
      <w:r>
        <w:rPr>
          <w:spacing w:val="-18"/>
        </w:rPr>
        <w:t xml:space="preserve"> </w:t>
      </w:r>
      <w:r>
        <w:t>self-</w:t>
      </w:r>
    </w:p>
    <w:p w14:paraId="0AB241F1" w14:textId="77777777" w:rsidR="00C75312" w:rsidRDefault="00C75312">
      <w:pPr>
        <w:spacing w:line="480" w:lineRule="auto"/>
        <w:jc w:val="both"/>
        <w:sectPr w:rsidR="00C75312">
          <w:pgSz w:w="11900" w:h="16840"/>
          <w:pgMar w:top="1160" w:right="1200" w:bottom="280" w:left="1300" w:header="715" w:footer="0" w:gutter="0"/>
          <w:cols w:space="720"/>
        </w:sectPr>
      </w:pPr>
    </w:p>
    <w:p w14:paraId="73986508" w14:textId="77777777" w:rsidR="00C75312" w:rsidRDefault="00C75312">
      <w:pPr>
        <w:pStyle w:val="BodyText"/>
        <w:spacing w:before="9"/>
        <w:rPr>
          <w:sz w:val="15"/>
        </w:rPr>
      </w:pPr>
    </w:p>
    <w:p w14:paraId="3868E3BC" w14:textId="77777777" w:rsidR="00C75312" w:rsidRDefault="00BB293A">
      <w:pPr>
        <w:pStyle w:val="BodyText"/>
        <w:spacing w:before="90" w:line="480" w:lineRule="auto"/>
        <w:ind w:left="140" w:right="224"/>
        <w:jc w:val="both"/>
      </w:pPr>
      <w:r>
        <w:t>initiated. Furthermore, problems with episodic future thinking in ASD (Lind et al., 2014; Terrett et al., 2013) might lead to reduced awareness of the negative consequences of PM forgetting.</w:t>
      </w:r>
      <w:r>
        <w:rPr>
          <w:spacing w:val="39"/>
        </w:rPr>
        <w:t xml:space="preserve"> </w:t>
      </w:r>
      <w:r>
        <w:t>A</w:t>
      </w:r>
      <w:r>
        <w:rPr>
          <w:spacing w:val="-15"/>
        </w:rPr>
        <w:t xml:space="preserve"> </w:t>
      </w:r>
      <w:r>
        <w:t>recent</w:t>
      </w:r>
      <w:r>
        <w:rPr>
          <w:spacing w:val="-9"/>
        </w:rPr>
        <w:t xml:space="preserve"> </w:t>
      </w:r>
      <w:r>
        <w:t>study</w:t>
      </w:r>
      <w:r>
        <w:rPr>
          <w:spacing w:val="-10"/>
        </w:rPr>
        <w:t xml:space="preserve"> </w:t>
      </w:r>
      <w:r>
        <w:t>which</w:t>
      </w:r>
      <w:r>
        <w:rPr>
          <w:spacing w:val="-10"/>
        </w:rPr>
        <w:t xml:space="preserve"> </w:t>
      </w:r>
      <w:r>
        <w:t>explored</w:t>
      </w:r>
      <w:r>
        <w:rPr>
          <w:spacing w:val="-10"/>
        </w:rPr>
        <w:t xml:space="preserve"> </w:t>
      </w:r>
      <w:r>
        <w:t>the</w:t>
      </w:r>
      <w:r>
        <w:rPr>
          <w:spacing w:val="-11"/>
        </w:rPr>
        <w:t xml:space="preserve"> </w:t>
      </w:r>
      <w:r>
        <w:t>use</w:t>
      </w:r>
      <w:r>
        <w:rPr>
          <w:spacing w:val="-11"/>
        </w:rPr>
        <w:t xml:space="preserve"> </w:t>
      </w:r>
      <w:r>
        <w:t>of</w:t>
      </w:r>
      <w:r>
        <w:rPr>
          <w:spacing w:val="-8"/>
        </w:rPr>
        <w:t xml:space="preserve"> </w:t>
      </w:r>
      <w:r>
        <w:t>external</w:t>
      </w:r>
      <w:r>
        <w:rPr>
          <w:spacing w:val="-9"/>
        </w:rPr>
        <w:t xml:space="preserve"> </w:t>
      </w:r>
      <w:r>
        <w:t>reminders</w:t>
      </w:r>
      <w:r>
        <w:rPr>
          <w:spacing w:val="-12"/>
        </w:rPr>
        <w:t xml:space="preserve"> </w:t>
      </w:r>
      <w:r>
        <w:t>in</w:t>
      </w:r>
      <w:r>
        <w:rPr>
          <w:spacing w:val="-10"/>
        </w:rPr>
        <w:t xml:space="preserve"> </w:t>
      </w:r>
      <w:r>
        <w:t>ASD</w:t>
      </w:r>
      <w:r>
        <w:rPr>
          <w:spacing w:val="-10"/>
        </w:rPr>
        <w:t xml:space="preserve"> </w:t>
      </w:r>
      <w:r>
        <w:t>provides</w:t>
      </w:r>
      <w:r>
        <w:rPr>
          <w:spacing w:val="-12"/>
        </w:rPr>
        <w:t xml:space="preserve"> </w:t>
      </w:r>
      <w:r>
        <w:t>some support for this claim (Cherkaoui &amp; Gilbert, 2017). Participants completed a PM task twice, once with the possibility to offload their delayed intentions and once without (see pp.</w:t>
      </w:r>
      <w:r>
        <w:rPr>
          <w:spacing w:val="-38"/>
        </w:rPr>
        <w:t xml:space="preserve"> </w:t>
      </w:r>
      <w:r>
        <w:t>160-161 for</w:t>
      </w:r>
      <w:r>
        <w:rPr>
          <w:spacing w:val="-13"/>
        </w:rPr>
        <w:t xml:space="preserve"> </w:t>
      </w:r>
      <w:r>
        <w:t>a</w:t>
      </w:r>
      <w:r>
        <w:rPr>
          <w:spacing w:val="-14"/>
        </w:rPr>
        <w:t xml:space="preserve"> </w:t>
      </w:r>
      <w:r>
        <w:t>detailed</w:t>
      </w:r>
      <w:r>
        <w:rPr>
          <w:spacing w:val="-14"/>
        </w:rPr>
        <w:t xml:space="preserve"> </w:t>
      </w:r>
      <w:r>
        <w:t>task</w:t>
      </w:r>
      <w:r>
        <w:rPr>
          <w:spacing w:val="-13"/>
        </w:rPr>
        <w:t xml:space="preserve"> </w:t>
      </w:r>
      <w:r>
        <w:t>description).</w:t>
      </w:r>
      <w:r>
        <w:rPr>
          <w:spacing w:val="30"/>
        </w:rPr>
        <w:t xml:space="preserve"> </w:t>
      </w:r>
      <w:r>
        <w:t>Prior</w:t>
      </w:r>
      <w:r>
        <w:rPr>
          <w:spacing w:val="-18"/>
        </w:rPr>
        <w:t xml:space="preserve"> </w:t>
      </w:r>
      <w:r>
        <w:t>to</w:t>
      </w:r>
      <w:r>
        <w:rPr>
          <w:spacing w:val="-13"/>
        </w:rPr>
        <w:t xml:space="preserve"> </w:t>
      </w:r>
      <w:r>
        <w:t>each</w:t>
      </w:r>
      <w:r>
        <w:rPr>
          <w:spacing w:val="-14"/>
        </w:rPr>
        <w:t xml:space="preserve"> </w:t>
      </w:r>
      <w:r>
        <w:t>condition,</w:t>
      </w:r>
      <w:r>
        <w:rPr>
          <w:spacing w:val="-11"/>
        </w:rPr>
        <w:t xml:space="preserve"> </w:t>
      </w:r>
      <w:r>
        <w:t>participants</w:t>
      </w:r>
      <w:r>
        <w:rPr>
          <w:spacing w:val="-17"/>
        </w:rPr>
        <w:t xml:space="preserve"> </w:t>
      </w:r>
      <w:r>
        <w:t>had</w:t>
      </w:r>
      <w:r>
        <w:rPr>
          <w:spacing w:val="-13"/>
        </w:rPr>
        <w:t xml:space="preserve"> </w:t>
      </w:r>
      <w:r>
        <w:t>to</w:t>
      </w:r>
      <w:r>
        <w:rPr>
          <w:spacing w:val="-14"/>
        </w:rPr>
        <w:t xml:space="preserve"> </w:t>
      </w:r>
      <w:r>
        <w:t>rate</w:t>
      </w:r>
      <w:r>
        <w:rPr>
          <w:spacing w:val="-14"/>
        </w:rPr>
        <w:t xml:space="preserve"> </w:t>
      </w:r>
      <w:r>
        <w:t>their</w:t>
      </w:r>
      <w:r>
        <w:rPr>
          <w:spacing w:val="-13"/>
        </w:rPr>
        <w:t xml:space="preserve"> </w:t>
      </w:r>
      <w:r>
        <w:t>confidence that they would remember to fulfil the upcoming delayed intentions. Participants also completed an implicit measure of general self-confidenc</w:t>
      </w:r>
      <w:r>
        <w:t>e. Their results revealed that participants</w:t>
      </w:r>
      <w:r>
        <w:rPr>
          <w:spacing w:val="-17"/>
        </w:rPr>
        <w:t xml:space="preserve"> </w:t>
      </w:r>
      <w:r>
        <w:t>with</w:t>
      </w:r>
      <w:r>
        <w:rPr>
          <w:spacing w:val="-14"/>
        </w:rPr>
        <w:t xml:space="preserve"> </w:t>
      </w:r>
      <w:r>
        <w:t>ASD</w:t>
      </w:r>
      <w:r>
        <w:rPr>
          <w:spacing w:val="-15"/>
        </w:rPr>
        <w:t xml:space="preserve"> </w:t>
      </w:r>
      <w:r>
        <w:t>performed</w:t>
      </w:r>
      <w:r>
        <w:rPr>
          <w:spacing w:val="-19"/>
        </w:rPr>
        <w:t xml:space="preserve"> </w:t>
      </w:r>
      <w:r>
        <w:t>significantly</w:t>
      </w:r>
      <w:r>
        <w:rPr>
          <w:spacing w:val="-14"/>
        </w:rPr>
        <w:t xml:space="preserve"> </w:t>
      </w:r>
      <w:r>
        <w:t>poorer</w:t>
      </w:r>
      <w:r>
        <w:rPr>
          <w:spacing w:val="-14"/>
        </w:rPr>
        <w:t xml:space="preserve"> </w:t>
      </w:r>
      <w:r>
        <w:t>than</w:t>
      </w:r>
      <w:r>
        <w:rPr>
          <w:spacing w:val="-14"/>
        </w:rPr>
        <w:t xml:space="preserve"> </w:t>
      </w:r>
      <w:r>
        <w:t>NT</w:t>
      </w:r>
      <w:r>
        <w:rPr>
          <w:spacing w:val="-16"/>
        </w:rPr>
        <w:t xml:space="preserve"> </w:t>
      </w:r>
      <w:r>
        <w:t>controls</w:t>
      </w:r>
      <w:r>
        <w:rPr>
          <w:spacing w:val="-17"/>
        </w:rPr>
        <w:t xml:space="preserve"> </w:t>
      </w:r>
      <w:r>
        <w:t>in</w:t>
      </w:r>
      <w:r>
        <w:rPr>
          <w:spacing w:val="-19"/>
        </w:rPr>
        <w:t xml:space="preserve"> </w:t>
      </w:r>
      <w:r>
        <w:t>both</w:t>
      </w:r>
      <w:r>
        <w:rPr>
          <w:spacing w:val="-19"/>
        </w:rPr>
        <w:t xml:space="preserve"> </w:t>
      </w:r>
      <w:r>
        <w:t>conditions</w:t>
      </w:r>
      <w:r>
        <w:rPr>
          <w:spacing w:val="-17"/>
        </w:rPr>
        <w:t xml:space="preserve"> </w:t>
      </w:r>
      <w:r>
        <w:t xml:space="preserve">(with and without the chance to use reminders). Importantly, individuals with ASD did not completely fail to use the reminders and used more reminders when they had to keep three in comparison to one PM target in mind. However, despite being aware of their own PM difficulties, individuals with ASD did not set a greater number </w:t>
      </w:r>
      <w:r>
        <w:rPr>
          <w:spacing w:val="-3"/>
        </w:rPr>
        <w:t xml:space="preserve">of </w:t>
      </w:r>
      <w:r>
        <w:t>reminders in order to compensate for PM problems. One possible explanation for this pattern of results was that the use of reminders may have been influenced by implicit overconfide</w:t>
      </w:r>
      <w:r>
        <w:t>nce into their PM</w:t>
      </w:r>
      <w:r>
        <w:rPr>
          <w:spacing w:val="-34"/>
        </w:rPr>
        <w:t xml:space="preserve"> </w:t>
      </w:r>
      <w:r>
        <w:t xml:space="preserve">abilities, despite their accurate explicit performance perception. The further exploration of the role </w:t>
      </w:r>
      <w:r>
        <w:rPr>
          <w:spacing w:val="-3"/>
        </w:rPr>
        <w:t xml:space="preserve">of </w:t>
      </w:r>
      <w:r>
        <w:t>metacognitive abilities in ASD is therefore required to further inform the usefulness of self- initiated memory strategies in ASD.</w:t>
      </w:r>
    </w:p>
    <w:p w14:paraId="2AF578A4" w14:textId="77777777" w:rsidR="00C75312" w:rsidRDefault="00BB293A">
      <w:pPr>
        <w:pStyle w:val="BodyText"/>
        <w:spacing w:before="121" w:line="480" w:lineRule="auto"/>
        <w:ind w:left="140" w:right="227" w:firstLine="720"/>
        <w:jc w:val="both"/>
      </w:pPr>
      <w:r>
        <w:t>Thus, the existing evidence suggests that when individuals with ASD are merely “users” of memory cues or a structured environment/instruction, they do not encounter PM problems, or that they encounter them to a much smaller degree at least. In keeping with this view, successful approaches to support independent functioning (which usually requires successful PM) in children and adults with ASD entail supported learning and skill development by providing a structured classroom environment and explicit task in</w:t>
      </w:r>
      <w:r>
        <w:t>structions (</w:t>
      </w:r>
      <w:proofErr w:type="spellStart"/>
      <w:r>
        <w:t>Iovannone</w:t>
      </w:r>
      <w:proofErr w:type="spellEnd"/>
      <w:r>
        <w:t>, Dunlap, Huber, &amp; Kincaid, 2003). For instance, visual cues are used to help</w:t>
      </w:r>
    </w:p>
    <w:p w14:paraId="26220126" w14:textId="77777777" w:rsidR="00C75312" w:rsidRDefault="00C75312">
      <w:pPr>
        <w:spacing w:line="480" w:lineRule="auto"/>
        <w:jc w:val="both"/>
        <w:sectPr w:rsidR="00C75312">
          <w:pgSz w:w="11900" w:h="16840"/>
          <w:pgMar w:top="1160" w:right="1200" w:bottom="280" w:left="1300" w:header="715" w:footer="0" w:gutter="0"/>
          <w:cols w:space="720"/>
        </w:sectPr>
      </w:pPr>
    </w:p>
    <w:p w14:paraId="0192D2EB" w14:textId="77777777" w:rsidR="00C75312" w:rsidRDefault="00C75312">
      <w:pPr>
        <w:pStyle w:val="BodyText"/>
        <w:spacing w:before="9"/>
        <w:rPr>
          <w:sz w:val="15"/>
        </w:rPr>
      </w:pPr>
    </w:p>
    <w:p w14:paraId="78B2391D" w14:textId="77777777" w:rsidR="00C75312" w:rsidRDefault="00BB293A">
      <w:pPr>
        <w:pStyle w:val="BodyText"/>
        <w:spacing w:before="90" w:line="480" w:lineRule="auto"/>
        <w:ind w:left="140" w:right="229"/>
        <w:jc w:val="both"/>
      </w:pPr>
      <w:r>
        <w:t>children with ASD to transition between activities. Similarly, supported employment programs</w:t>
      </w:r>
      <w:r>
        <w:rPr>
          <w:spacing w:val="-13"/>
        </w:rPr>
        <w:t xml:space="preserve"> </w:t>
      </w:r>
      <w:r>
        <w:t>in</w:t>
      </w:r>
      <w:r>
        <w:rPr>
          <w:spacing w:val="-10"/>
        </w:rPr>
        <w:t xml:space="preserve"> </w:t>
      </w:r>
      <w:r>
        <w:t>ASD</w:t>
      </w:r>
      <w:r>
        <w:rPr>
          <w:spacing w:val="-10"/>
        </w:rPr>
        <w:t xml:space="preserve"> </w:t>
      </w:r>
      <w:r>
        <w:t>incorporate</w:t>
      </w:r>
      <w:r>
        <w:rPr>
          <w:spacing w:val="-11"/>
        </w:rPr>
        <w:t xml:space="preserve"> </w:t>
      </w:r>
      <w:r>
        <w:t>clear</w:t>
      </w:r>
      <w:r>
        <w:rPr>
          <w:spacing w:val="-8"/>
        </w:rPr>
        <w:t xml:space="preserve"> </w:t>
      </w:r>
      <w:r>
        <w:t>structuring</w:t>
      </w:r>
      <w:r>
        <w:rPr>
          <w:spacing w:val="-11"/>
        </w:rPr>
        <w:t xml:space="preserve"> </w:t>
      </w:r>
      <w:r>
        <w:rPr>
          <w:spacing w:val="-3"/>
        </w:rPr>
        <w:t>of</w:t>
      </w:r>
      <w:r>
        <w:rPr>
          <w:spacing w:val="-8"/>
        </w:rPr>
        <w:t xml:space="preserve"> </w:t>
      </w:r>
      <w:r>
        <w:t>work</w:t>
      </w:r>
      <w:r>
        <w:rPr>
          <w:spacing w:val="-10"/>
        </w:rPr>
        <w:t xml:space="preserve"> </w:t>
      </w:r>
      <w:r>
        <w:t>environment</w:t>
      </w:r>
      <w:r>
        <w:rPr>
          <w:spacing w:val="-9"/>
        </w:rPr>
        <w:t xml:space="preserve"> </w:t>
      </w:r>
      <w:r>
        <w:t>and</w:t>
      </w:r>
      <w:r>
        <w:rPr>
          <w:spacing w:val="-11"/>
        </w:rPr>
        <w:t xml:space="preserve"> </w:t>
      </w:r>
      <w:r>
        <w:t>duties,</w:t>
      </w:r>
      <w:r>
        <w:rPr>
          <w:spacing w:val="-7"/>
        </w:rPr>
        <w:t xml:space="preserve"> </w:t>
      </w:r>
      <w:r>
        <w:t>which</w:t>
      </w:r>
      <w:r>
        <w:rPr>
          <w:spacing w:val="-10"/>
        </w:rPr>
        <w:t xml:space="preserve"> </w:t>
      </w:r>
      <w:r>
        <w:t>benefits job</w:t>
      </w:r>
      <w:r>
        <w:rPr>
          <w:spacing w:val="-6"/>
        </w:rPr>
        <w:t xml:space="preserve"> </w:t>
      </w:r>
      <w:r>
        <w:t>performance</w:t>
      </w:r>
      <w:r>
        <w:rPr>
          <w:spacing w:val="-12"/>
        </w:rPr>
        <w:t xml:space="preserve"> </w:t>
      </w:r>
      <w:r>
        <w:t>(Hendricks,</w:t>
      </w:r>
      <w:r>
        <w:rPr>
          <w:spacing w:val="-7"/>
        </w:rPr>
        <w:t xml:space="preserve"> </w:t>
      </w:r>
      <w:r>
        <w:t>2010),</w:t>
      </w:r>
      <w:r>
        <w:rPr>
          <w:spacing w:val="-8"/>
        </w:rPr>
        <w:t xml:space="preserve"> </w:t>
      </w:r>
      <w:r>
        <w:t>and</w:t>
      </w:r>
      <w:r>
        <w:rPr>
          <w:spacing w:val="-10"/>
        </w:rPr>
        <w:t xml:space="preserve"> </w:t>
      </w:r>
      <w:r>
        <w:t>have</w:t>
      </w:r>
      <w:r>
        <w:rPr>
          <w:spacing w:val="-7"/>
        </w:rPr>
        <w:t xml:space="preserve"> </w:t>
      </w:r>
      <w:r>
        <w:t>been</w:t>
      </w:r>
      <w:r>
        <w:rPr>
          <w:spacing w:val="-14"/>
        </w:rPr>
        <w:t xml:space="preserve"> </w:t>
      </w:r>
      <w:r>
        <w:t>shown</w:t>
      </w:r>
      <w:r>
        <w:rPr>
          <w:spacing w:val="-6"/>
        </w:rPr>
        <w:t xml:space="preserve"> </w:t>
      </w:r>
      <w:r>
        <w:t>to</w:t>
      </w:r>
      <w:r>
        <w:rPr>
          <w:spacing w:val="-5"/>
        </w:rPr>
        <w:t xml:space="preserve"> </w:t>
      </w:r>
      <w:r>
        <w:t>improve</w:t>
      </w:r>
      <w:r>
        <w:rPr>
          <w:spacing w:val="-12"/>
        </w:rPr>
        <w:t xml:space="preserve"> </w:t>
      </w:r>
      <w:r>
        <w:t>executive</w:t>
      </w:r>
      <w:r>
        <w:rPr>
          <w:spacing w:val="-7"/>
        </w:rPr>
        <w:t xml:space="preserve"> </w:t>
      </w:r>
      <w:r>
        <w:t>functions</w:t>
      </w:r>
      <w:r>
        <w:rPr>
          <w:spacing w:val="-7"/>
        </w:rPr>
        <w:t xml:space="preserve"> </w:t>
      </w:r>
      <w:r>
        <w:t>such as planning and flexibility (García-</w:t>
      </w:r>
      <w:proofErr w:type="spellStart"/>
      <w:r>
        <w:t>Villamisar</w:t>
      </w:r>
      <w:proofErr w:type="spellEnd"/>
      <w:r>
        <w:t xml:space="preserve"> &amp; Hughes, 2007). This indicates a promising way to support PM in ASD. Future research should further explore how enhanced everyday structure might support PM in ASD, and also explicitly study </w:t>
      </w:r>
      <w:r>
        <w:rPr>
          <w:spacing w:val="-3"/>
        </w:rPr>
        <w:t xml:space="preserve">if </w:t>
      </w:r>
      <w:r>
        <w:t xml:space="preserve">and why self-initiated use </w:t>
      </w:r>
      <w:r>
        <w:rPr>
          <w:spacing w:val="-3"/>
        </w:rPr>
        <w:t xml:space="preserve">of </w:t>
      </w:r>
      <w:r>
        <w:t>PM strategies might be impaired in</w:t>
      </w:r>
      <w:r>
        <w:rPr>
          <w:spacing w:val="1"/>
        </w:rPr>
        <w:t xml:space="preserve"> </w:t>
      </w:r>
      <w:r>
        <w:t>ASD.</w:t>
      </w:r>
    </w:p>
    <w:p w14:paraId="68461322" w14:textId="77777777" w:rsidR="00C75312" w:rsidRDefault="00BB293A">
      <w:pPr>
        <w:pStyle w:val="Heading1"/>
        <w:spacing w:before="120"/>
        <w:jc w:val="both"/>
      </w:pPr>
      <w:bookmarkStart w:id="29" w:name="_TOC_250004"/>
      <w:bookmarkEnd w:id="29"/>
      <w:r>
        <w:t>Ecological validity of PM research in ASD</w:t>
      </w:r>
    </w:p>
    <w:p w14:paraId="6358DFA2" w14:textId="77777777" w:rsidR="00C75312" w:rsidRDefault="00C75312">
      <w:pPr>
        <w:pStyle w:val="BodyText"/>
        <w:rPr>
          <w:b/>
        </w:rPr>
      </w:pPr>
    </w:p>
    <w:p w14:paraId="63883359" w14:textId="77777777" w:rsidR="00C75312" w:rsidRDefault="00BB293A">
      <w:pPr>
        <w:pStyle w:val="BodyText"/>
        <w:spacing w:line="480" w:lineRule="auto"/>
        <w:ind w:left="140" w:right="226" w:firstLine="720"/>
        <w:jc w:val="both"/>
      </w:pPr>
      <w:r>
        <w:t xml:space="preserve">Most conclusions about PM abilities in ASD have been derived based on laboratory experiments. Laboratory research of </w:t>
      </w:r>
      <w:r>
        <w:rPr>
          <w:spacing w:val="-3"/>
        </w:rPr>
        <w:t xml:space="preserve">PM, </w:t>
      </w:r>
      <w:r>
        <w:t>however, significantly differs in the level of control exerted</w:t>
      </w:r>
      <w:r>
        <w:rPr>
          <w:spacing w:val="-14"/>
        </w:rPr>
        <w:t xml:space="preserve"> </w:t>
      </w:r>
      <w:r>
        <w:t>on</w:t>
      </w:r>
      <w:r>
        <w:rPr>
          <w:spacing w:val="-14"/>
        </w:rPr>
        <w:t xml:space="preserve"> </w:t>
      </w:r>
      <w:r>
        <w:t>various</w:t>
      </w:r>
      <w:r>
        <w:rPr>
          <w:spacing w:val="-17"/>
        </w:rPr>
        <w:t xml:space="preserve"> </w:t>
      </w:r>
      <w:r>
        <w:t>variables</w:t>
      </w:r>
      <w:r>
        <w:rPr>
          <w:spacing w:val="-17"/>
        </w:rPr>
        <w:t xml:space="preserve"> </w:t>
      </w:r>
      <w:r>
        <w:t>in</w:t>
      </w:r>
      <w:r>
        <w:rPr>
          <w:spacing w:val="-14"/>
        </w:rPr>
        <w:t xml:space="preserve"> </w:t>
      </w:r>
      <w:r>
        <w:t>comparison</w:t>
      </w:r>
      <w:r>
        <w:rPr>
          <w:spacing w:val="-14"/>
        </w:rPr>
        <w:t xml:space="preserve"> </w:t>
      </w:r>
      <w:r>
        <w:t>to</w:t>
      </w:r>
      <w:r>
        <w:rPr>
          <w:spacing w:val="-18"/>
        </w:rPr>
        <w:t xml:space="preserve"> </w:t>
      </w:r>
      <w:r>
        <w:t>real-life</w:t>
      </w:r>
      <w:r>
        <w:rPr>
          <w:spacing w:val="-15"/>
        </w:rPr>
        <w:t xml:space="preserve"> </w:t>
      </w:r>
      <w:r>
        <w:t>PM</w:t>
      </w:r>
      <w:r>
        <w:rPr>
          <w:spacing w:val="-17"/>
        </w:rPr>
        <w:t xml:space="preserve"> </w:t>
      </w:r>
      <w:r>
        <w:t>tasks.</w:t>
      </w:r>
      <w:r>
        <w:rPr>
          <w:spacing w:val="34"/>
        </w:rPr>
        <w:t xml:space="preserve"> </w:t>
      </w:r>
      <w:r>
        <w:t>In</w:t>
      </w:r>
      <w:r>
        <w:rPr>
          <w:spacing w:val="-19"/>
        </w:rPr>
        <w:t xml:space="preserve"> </w:t>
      </w:r>
      <w:r>
        <w:t>Chapter</w:t>
      </w:r>
      <w:r>
        <w:rPr>
          <w:spacing w:val="-13"/>
        </w:rPr>
        <w:t xml:space="preserve"> </w:t>
      </w:r>
      <w:r>
        <w:rPr>
          <w:spacing w:val="-3"/>
        </w:rPr>
        <w:t>1,</w:t>
      </w:r>
      <w:r>
        <w:rPr>
          <w:spacing w:val="-12"/>
        </w:rPr>
        <w:t xml:space="preserve"> </w:t>
      </w:r>
      <w:r>
        <w:t>it</w:t>
      </w:r>
      <w:r>
        <w:rPr>
          <w:spacing w:val="-18"/>
        </w:rPr>
        <w:t xml:space="preserve"> </w:t>
      </w:r>
      <w:r>
        <w:t>was</w:t>
      </w:r>
      <w:r>
        <w:rPr>
          <w:spacing w:val="-17"/>
        </w:rPr>
        <w:t xml:space="preserve"> </w:t>
      </w:r>
      <w:r>
        <w:t>concluded that the existing research clearly demonstrates time-based PM impairments in ASD, but that heterogeneity across event-based PM studies did not allow clear conclusions about the true level of event-based PM ability in ASD. Therefore, in all empirical chapters in this thesis, the aim</w:t>
      </w:r>
      <w:r>
        <w:rPr>
          <w:spacing w:val="-10"/>
        </w:rPr>
        <w:t xml:space="preserve"> </w:t>
      </w:r>
      <w:r>
        <w:t>was</w:t>
      </w:r>
      <w:r>
        <w:rPr>
          <w:spacing w:val="-13"/>
        </w:rPr>
        <w:t xml:space="preserve"> </w:t>
      </w:r>
      <w:r>
        <w:t>to</w:t>
      </w:r>
      <w:r>
        <w:rPr>
          <w:spacing w:val="-15"/>
        </w:rPr>
        <w:t xml:space="preserve"> </w:t>
      </w:r>
      <w:r>
        <w:t>consistently</w:t>
      </w:r>
      <w:r>
        <w:rPr>
          <w:spacing w:val="-10"/>
        </w:rPr>
        <w:t xml:space="preserve"> </w:t>
      </w:r>
      <w:r>
        <w:t>and</w:t>
      </w:r>
      <w:r>
        <w:rPr>
          <w:spacing w:val="-15"/>
        </w:rPr>
        <w:t xml:space="preserve"> </w:t>
      </w:r>
      <w:r>
        <w:t>rigorously</w:t>
      </w:r>
      <w:r>
        <w:rPr>
          <w:spacing w:val="-15"/>
        </w:rPr>
        <w:t xml:space="preserve"> </w:t>
      </w:r>
      <w:r>
        <w:t>apply</w:t>
      </w:r>
      <w:r>
        <w:rPr>
          <w:spacing w:val="-14"/>
        </w:rPr>
        <w:t xml:space="preserve"> </w:t>
      </w:r>
      <w:r>
        <w:t>the</w:t>
      </w:r>
      <w:r>
        <w:rPr>
          <w:spacing w:val="-12"/>
        </w:rPr>
        <w:t xml:space="preserve"> </w:t>
      </w:r>
      <w:r>
        <w:t>methodological</w:t>
      </w:r>
      <w:r>
        <w:rPr>
          <w:spacing w:val="-10"/>
        </w:rPr>
        <w:t xml:space="preserve"> </w:t>
      </w:r>
      <w:r>
        <w:t>guidelines</w:t>
      </w:r>
      <w:r>
        <w:rPr>
          <w:spacing w:val="-13"/>
        </w:rPr>
        <w:t xml:space="preserve"> </w:t>
      </w:r>
      <w:r>
        <w:t>ou</w:t>
      </w:r>
      <w:r>
        <w:t>tlined</w:t>
      </w:r>
      <w:r>
        <w:rPr>
          <w:spacing w:val="-10"/>
        </w:rPr>
        <w:t xml:space="preserve"> </w:t>
      </w:r>
      <w:r>
        <w:t>in</w:t>
      </w:r>
      <w:r>
        <w:rPr>
          <w:spacing w:val="-15"/>
        </w:rPr>
        <w:t xml:space="preserve"> </w:t>
      </w:r>
      <w:r>
        <w:t xml:space="preserve">Chapter 1: a) matching the ASD and control group for baseline characteristics (age and intellectual abilities) and ongoing performance; </w:t>
      </w:r>
      <w:r>
        <w:rPr>
          <w:spacing w:val="-3"/>
        </w:rPr>
        <w:t xml:space="preserve">b) </w:t>
      </w:r>
      <w:r>
        <w:t>not mixing demands of different PM types within one condition; and c) ensuring that PM failure was not due to a failure to retain task instructions. The advantage of adhering to these guidelines is that it offers the opportunity to establish whether, under “ideal”/stable/experimentally-rigorous conditions, an impairment of event- based PM is present or not. How</w:t>
      </w:r>
      <w:r>
        <w:t>ever, due to this level of control, one might argue that laboratory studies of PM do not reflect the demands of real-life situations in which PM is required. It has been found that, among neurotypical individuals, performance on laboratory measures of PM does not correlate with naturalistic PM task performance (</w:t>
      </w:r>
      <w:proofErr w:type="spellStart"/>
      <w:r>
        <w:t>Uttl</w:t>
      </w:r>
      <w:proofErr w:type="spellEnd"/>
      <w:r>
        <w:t xml:space="preserve"> &amp; </w:t>
      </w:r>
      <w:proofErr w:type="spellStart"/>
      <w:r>
        <w:t>Kibreab</w:t>
      </w:r>
      <w:proofErr w:type="spellEnd"/>
      <w:r>
        <w:t>, 2011). Likewise, self-report measures of PM only show small associations with</w:t>
      </w:r>
      <w:r>
        <w:rPr>
          <w:spacing w:val="46"/>
        </w:rPr>
        <w:t xml:space="preserve"> </w:t>
      </w:r>
      <w:proofErr w:type="spellStart"/>
      <w:r>
        <w:t>behavioural</w:t>
      </w:r>
      <w:proofErr w:type="spellEnd"/>
    </w:p>
    <w:p w14:paraId="7B26D3F1" w14:textId="77777777" w:rsidR="00C75312" w:rsidRDefault="00C75312">
      <w:pPr>
        <w:spacing w:line="480" w:lineRule="auto"/>
        <w:jc w:val="both"/>
        <w:sectPr w:rsidR="00C75312">
          <w:pgSz w:w="11900" w:h="16840"/>
          <w:pgMar w:top="1160" w:right="1200" w:bottom="280" w:left="1300" w:header="715" w:footer="0" w:gutter="0"/>
          <w:cols w:space="720"/>
        </w:sectPr>
      </w:pPr>
    </w:p>
    <w:p w14:paraId="1B9DB2FF" w14:textId="77777777" w:rsidR="00C75312" w:rsidRDefault="00C75312">
      <w:pPr>
        <w:pStyle w:val="BodyText"/>
        <w:spacing w:before="9"/>
        <w:rPr>
          <w:sz w:val="15"/>
        </w:rPr>
      </w:pPr>
    </w:p>
    <w:p w14:paraId="0BE8B097" w14:textId="77777777" w:rsidR="00C75312" w:rsidRDefault="00BB293A">
      <w:pPr>
        <w:pStyle w:val="BodyText"/>
        <w:spacing w:before="90" w:line="480" w:lineRule="auto"/>
        <w:ind w:left="140" w:right="226"/>
        <w:jc w:val="both"/>
      </w:pPr>
      <w:r>
        <w:t>PM</w:t>
      </w:r>
      <w:r>
        <w:rPr>
          <w:spacing w:val="-7"/>
        </w:rPr>
        <w:t xml:space="preserve"> </w:t>
      </w:r>
      <w:r>
        <w:t>performance</w:t>
      </w:r>
      <w:r>
        <w:rPr>
          <w:spacing w:val="-5"/>
        </w:rPr>
        <w:t xml:space="preserve"> </w:t>
      </w:r>
      <w:r>
        <w:t>in</w:t>
      </w:r>
      <w:r>
        <w:rPr>
          <w:spacing w:val="-5"/>
        </w:rPr>
        <w:t xml:space="preserve"> </w:t>
      </w:r>
      <w:r>
        <w:t>the</w:t>
      </w:r>
      <w:r>
        <w:rPr>
          <w:spacing w:val="-6"/>
        </w:rPr>
        <w:t xml:space="preserve"> </w:t>
      </w:r>
      <w:r>
        <w:t>lab</w:t>
      </w:r>
      <w:r>
        <w:rPr>
          <w:spacing w:val="-4"/>
        </w:rPr>
        <w:t xml:space="preserve"> </w:t>
      </w:r>
      <w:r>
        <w:t>(Cherkaoui</w:t>
      </w:r>
      <w:r>
        <w:rPr>
          <w:spacing w:val="-4"/>
        </w:rPr>
        <w:t xml:space="preserve"> </w:t>
      </w:r>
      <w:r>
        <w:t>&amp;</w:t>
      </w:r>
      <w:r>
        <w:rPr>
          <w:spacing w:val="-3"/>
        </w:rPr>
        <w:t xml:space="preserve"> </w:t>
      </w:r>
      <w:r>
        <w:t>Gilbert,</w:t>
      </w:r>
      <w:r>
        <w:rPr>
          <w:spacing w:val="-7"/>
        </w:rPr>
        <w:t xml:space="preserve"> </w:t>
      </w:r>
      <w:r>
        <w:t>2017;</w:t>
      </w:r>
      <w:r>
        <w:rPr>
          <w:spacing w:val="-3"/>
        </w:rPr>
        <w:t xml:space="preserve"> </w:t>
      </w:r>
      <w:proofErr w:type="spellStart"/>
      <w:r>
        <w:t>Uttl</w:t>
      </w:r>
      <w:proofErr w:type="spellEnd"/>
      <w:r>
        <w:rPr>
          <w:spacing w:val="-4"/>
        </w:rPr>
        <w:t xml:space="preserve"> </w:t>
      </w:r>
      <w:r>
        <w:t>&amp;</w:t>
      </w:r>
      <w:r>
        <w:rPr>
          <w:spacing w:val="-3"/>
        </w:rPr>
        <w:t xml:space="preserve"> </w:t>
      </w:r>
      <w:proofErr w:type="spellStart"/>
      <w:r>
        <w:t>Kibreab</w:t>
      </w:r>
      <w:proofErr w:type="spellEnd"/>
      <w:r>
        <w:t>,</w:t>
      </w:r>
      <w:r>
        <w:rPr>
          <w:spacing w:val="-2"/>
        </w:rPr>
        <w:t xml:space="preserve"> </w:t>
      </w:r>
      <w:r>
        <w:t>2011;</w:t>
      </w:r>
      <w:r>
        <w:rPr>
          <w:spacing w:val="-4"/>
        </w:rPr>
        <w:t xml:space="preserve"> </w:t>
      </w:r>
      <w:r>
        <w:t>Williams</w:t>
      </w:r>
      <w:r>
        <w:rPr>
          <w:spacing w:val="-6"/>
        </w:rPr>
        <w:t xml:space="preserve"> </w:t>
      </w:r>
      <w:r>
        <w:t>et</w:t>
      </w:r>
      <w:r>
        <w:rPr>
          <w:spacing w:val="-4"/>
        </w:rPr>
        <w:t xml:space="preserve"> </w:t>
      </w:r>
      <w:r>
        <w:t>al., 2014). This was also observed in this thesis: individuals with ASD reported higher levels of PM problems (see Chapter 4), however this was uncorrelated with actual PM performance. A recent</w:t>
      </w:r>
      <w:r>
        <w:rPr>
          <w:spacing w:val="-15"/>
        </w:rPr>
        <w:t xml:space="preserve"> </w:t>
      </w:r>
      <w:r>
        <w:t>study</w:t>
      </w:r>
      <w:r>
        <w:rPr>
          <w:spacing w:val="-15"/>
        </w:rPr>
        <w:t xml:space="preserve"> </w:t>
      </w:r>
      <w:r>
        <w:t>(Cherkaoui</w:t>
      </w:r>
      <w:r>
        <w:rPr>
          <w:spacing w:val="-15"/>
        </w:rPr>
        <w:t xml:space="preserve"> </w:t>
      </w:r>
      <w:r>
        <w:t>&amp;</w:t>
      </w:r>
      <w:r>
        <w:rPr>
          <w:spacing w:val="-14"/>
        </w:rPr>
        <w:t xml:space="preserve"> </w:t>
      </w:r>
      <w:r>
        <w:t>Gilbert,</w:t>
      </w:r>
      <w:r>
        <w:rPr>
          <w:spacing w:val="-13"/>
        </w:rPr>
        <w:t xml:space="preserve"> </w:t>
      </w:r>
      <w:r>
        <w:t>2017)</w:t>
      </w:r>
      <w:r>
        <w:rPr>
          <w:spacing w:val="-14"/>
        </w:rPr>
        <w:t xml:space="preserve"> </w:t>
      </w:r>
      <w:r>
        <w:t>suggested</w:t>
      </w:r>
      <w:r>
        <w:rPr>
          <w:spacing w:val="-15"/>
        </w:rPr>
        <w:t xml:space="preserve"> </w:t>
      </w:r>
      <w:r>
        <w:t>that</w:t>
      </w:r>
      <w:r>
        <w:rPr>
          <w:spacing w:val="-15"/>
        </w:rPr>
        <w:t xml:space="preserve"> </w:t>
      </w:r>
      <w:r>
        <w:t>these</w:t>
      </w:r>
      <w:r>
        <w:rPr>
          <w:spacing w:val="-15"/>
        </w:rPr>
        <w:t xml:space="preserve"> </w:t>
      </w:r>
      <w:r>
        <w:t>findings</w:t>
      </w:r>
      <w:r>
        <w:rPr>
          <w:spacing w:val="-18"/>
        </w:rPr>
        <w:t xml:space="preserve"> </w:t>
      </w:r>
      <w:r>
        <w:t>arise</w:t>
      </w:r>
      <w:r>
        <w:rPr>
          <w:spacing w:val="-16"/>
        </w:rPr>
        <w:t xml:space="preserve"> </w:t>
      </w:r>
      <w:r>
        <w:t>because</w:t>
      </w:r>
      <w:r>
        <w:rPr>
          <w:spacing w:val="-15"/>
        </w:rPr>
        <w:t xml:space="preserve"> </w:t>
      </w:r>
      <w:r>
        <w:t>traditional laboratory</w:t>
      </w:r>
      <w:r>
        <w:rPr>
          <w:spacing w:val="-11"/>
        </w:rPr>
        <w:t xml:space="preserve"> </w:t>
      </w:r>
      <w:r>
        <w:t>PM</w:t>
      </w:r>
      <w:r>
        <w:rPr>
          <w:spacing w:val="-7"/>
        </w:rPr>
        <w:t xml:space="preserve"> </w:t>
      </w:r>
      <w:r>
        <w:t>measures</w:t>
      </w:r>
      <w:r>
        <w:rPr>
          <w:spacing w:val="-7"/>
        </w:rPr>
        <w:t xml:space="preserve"> </w:t>
      </w:r>
      <w:r>
        <w:t>may</w:t>
      </w:r>
      <w:r>
        <w:rPr>
          <w:spacing w:val="-11"/>
        </w:rPr>
        <w:t xml:space="preserve"> </w:t>
      </w:r>
      <w:r>
        <w:t>not</w:t>
      </w:r>
      <w:r>
        <w:rPr>
          <w:spacing w:val="-9"/>
        </w:rPr>
        <w:t xml:space="preserve"> </w:t>
      </w:r>
      <w:r>
        <w:t>capture</w:t>
      </w:r>
      <w:r>
        <w:rPr>
          <w:spacing w:val="-11"/>
        </w:rPr>
        <w:t xml:space="preserve"> </w:t>
      </w:r>
      <w:r>
        <w:t>the</w:t>
      </w:r>
      <w:r>
        <w:rPr>
          <w:spacing w:val="-11"/>
        </w:rPr>
        <w:t xml:space="preserve"> </w:t>
      </w:r>
      <w:r>
        <w:t>demands</w:t>
      </w:r>
      <w:r>
        <w:rPr>
          <w:spacing w:val="-8"/>
        </w:rPr>
        <w:t xml:space="preserve"> </w:t>
      </w:r>
      <w:r>
        <w:t>imposed</w:t>
      </w:r>
      <w:r>
        <w:rPr>
          <w:spacing w:val="-5"/>
        </w:rPr>
        <w:t xml:space="preserve"> </w:t>
      </w:r>
      <w:r>
        <w:t>on</w:t>
      </w:r>
      <w:r>
        <w:rPr>
          <w:spacing w:val="-10"/>
        </w:rPr>
        <w:t xml:space="preserve"> </w:t>
      </w:r>
      <w:r>
        <w:t>PM</w:t>
      </w:r>
      <w:r>
        <w:rPr>
          <w:spacing w:val="-12"/>
        </w:rPr>
        <w:t xml:space="preserve"> </w:t>
      </w:r>
      <w:r>
        <w:t>in</w:t>
      </w:r>
      <w:r>
        <w:rPr>
          <w:spacing w:val="-11"/>
        </w:rPr>
        <w:t xml:space="preserve"> </w:t>
      </w:r>
      <w:r>
        <w:t>real-world</w:t>
      </w:r>
      <w:r>
        <w:rPr>
          <w:spacing w:val="-10"/>
        </w:rPr>
        <w:t xml:space="preserve"> </w:t>
      </w:r>
      <w:r>
        <w:t>scenarios. They proposed that traditional PM tasks are limited in their ecological validity as they usually involve a single intention, which might l</w:t>
      </w:r>
      <w:r>
        <w:t>ead to a more habitual or automated execution of the delayed intention. In everyday life, however, individuals have to manage multiple demands and remember various intentions which need executing within different time frames. Thus, it is</w:t>
      </w:r>
      <w:r>
        <w:rPr>
          <w:spacing w:val="-7"/>
        </w:rPr>
        <w:t xml:space="preserve"> </w:t>
      </w:r>
      <w:r>
        <w:t>a</w:t>
      </w:r>
      <w:r>
        <w:rPr>
          <w:spacing w:val="-5"/>
        </w:rPr>
        <w:t xml:space="preserve"> </w:t>
      </w:r>
      <w:r>
        <w:t>viable</w:t>
      </w:r>
      <w:r>
        <w:rPr>
          <w:spacing w:val="-5"/>
        </w:rPr>
        <w:t xml:space="preserve"> </w:t>
      </w:r>
      <w:r>
        <w:t>possibility</w:t>
      </w:r>
      <w:r>
        <w:rPr>
          <w:spacing w:val="-5"/>
        </w:rPr>
        <w:t xml:space="preserve"> </w:t>
      </w:r>
      <w:r>
        <w:t>that</w:t>
      </w:r>
      <w:r>
        <w:rPr>
          <w:spacing w:val="-3"/>
        </w:rPr>
        <w:t xml:space="preserve"> </w:t>
      </w:r>
      <w:r>
        <w:t>the</w:t>
      </w:r>
      <w:r>
        <w:rPr>
          <w:spacing w:val="-5"/>
        </w:rPr>
        <w:t xml:space="preserve"> </w:t>
      </w:r>
      <w:r>
        <w:t>finding</w:t>
      </w:r>
      <w:r>
        <w:rPr>
          <w:spacing w:val="-4"/>
        </w:rPr>
        <w:t xml:space="preserve"> </w:t>
      </w:r>
      <w:r>
        <w:t>of</w:t>
      </w:r>
      <w:r>
        <w:rPr>
          <w:spacing w:val="-3"/>
        </w:rPr>
        <w:t xml:space="preserve"> </w:t>
      </w:r>
      <w:r>
        <w:t>unimpaired</w:t>
      </w:r>
      <w:r>
        <w:rPr>
          <w:spacing w:val="-4"/>
        </w:rPr>
        <w:t xml:space="preserve"> </w:t>
      </w:r>
      <w:r>
        <w:t>event-based</w:t>
      </w:r>
      <w:r>
        <w:rPr>
          <w:spacing w:val="-4"/>
        </w:rPr>
        <w:t xml:space="preserve"> </w:t>
      </w:r>
      <w:r>
        <w:t>PM</w:t>
      </w:r>
      <w:r>
        <w:rPr>
          <w:spacing w:val="-7"/>
        </w:rPr>
        <w:t xml:space="preserve"> </w:t>
      </w:r>
      <w:r>
        <w:t>in</w:t>
      </w:r>
      <w:r>
        <w:rPr>
          <w:spacing w:val="-4"/>
        </w:rPr>
        <w:t xml:space="preserve"> </w:t>
      </w:r>
      <w:r>
        <w:t>the</w:t>
      </w:r>
      <w:r>
        <w:rPr>
          <w:spacing w:val="-5"/>
        </w:rPr>
        <w:t xml:space="preserve"> </w:t>
      </w:r>
      <w:r>
        <w:t>laboratory</w:t>
      </w:r>
      <w:r>
        <w:rPr>
          <w:spacing w:val="-4"/>
        </w:rPr>
        <w:t xml:space="preserve"> </w:t>
      </w:r>
      <w:r>
        <w:t>may</w:t>
      </w:r>
      <w:r>
        <w:rPr>
          <w:spacing w:val="-5"/>
        </w:rPr>
        <w:t xml:space="preserve"> </w:t>
      </w:r>
      <w:r>
        <w:t xml:space="preserve">not be true in everyday life situations for individuals with ASD in comparison to NT peers. </w:t>
      </w:r>
      <w:r>
        <w:rPr>
          <w:spacing w:val="-3"/>
        </w:rPr>
        <w:t>Of</w:t>
      </w:r>
      <w:r>
        <w:rPr>
          <w:spacing w:val="-39"/>
        </w:rPr>
        <w:t xml:space="preserve"> </w:t>
      </w:r>
      <w:r>
        <w:t>the three</w:t>
      </w:r>
      <w:r>
        <w:rPr>
          <w:spacing w:val="-1"/>
        </w:rPr>
        <w:t xml:space="preserve"> </w:t>
      </w:r>
      <w:r>
        <w:t>studies</w:t>
      </w:r>
      <w:r>
        <w:rPr>
          <w:spacing w:val="-2"/>
        </w:rPr>
        <w:t xml:space="preserve"> </w:t>
      </w:r>
      <w:r>
        <w:t>that</w:t>
      </w:r>
      <w:r>
        <w:rPr>
          <w:spacing w:val="-4"/>
        </w:rPr>
        <w:t xml:space="preserve"> </w:t>
      </w:r>
      <w:r>
        <w:t>previously</w:t>
      </w:r>
      <w:r>
        <w:rPr>
          <w:spacing w:val="-5"/>
        </w:rPr>
        <w:t xml:space="preserve"> </w:t>
      </w:r>
      <w:r>
        <w:t>tried</w:t>
      </w:r>
      <w:r>
        <w:rPr>
          <w:spacing w:val="-4"/>
        </w:rPr>
        <w:t xml:space="preserve"> </w:t>
      </w:r>
      <w:r>
        <w:t>to</w:t>
      </w:r>
      <w:r>
        <w:rPr>
          <w:spacing w:val="-5"/>
        </w:rPr>
        <w:t xml:space="preserve"> </w:t>
      </w:r>
      <w:r>
        <w:t>test</w:t>
      </w:r>
      <w:r>
        <w:rPr>
          <w:spacing w:val="-4"/>
        </w:rPr>
        <w:t xml:space="preserve"> </w:t>
      </w:r>
      <w:r>
        <w:t>PM</w:t>
      </w:r>
      <w:r>
        <w:rPr>
          <w:spacing w:val="-2"/>
        </w:rPr>
        <w:t xml:space="preserve"> </w:t>
      </w:r>
      <w:r>
        <w:t>under</w:t>
      </w:r>
      <w:r>
        <w:rPr>
          <w:spacing w:val="-7"/>
        </w:rPr>
        <w:t xml:space="preserve"> </w:t>
      </w:r>
      <w:r>
        <w:t>more</w:t>
      </w:r>
      <w:r>
        <w:rPr>
          <w:spacing w:val="-1"/>
        </w:rPr>
        <w:t xml:space="preserve"> </w:t>
      </w:r>
      <w:r>
        <w:t>naturalistic</w:t>
      </w:r>
      <w:r>
        <w:rPr>
          <w:spacing w:val="-6"/>
        </w:rPr>
        <w:t xml:space="preserve"> </w:t>
      </w:r>
      <w:r>
        <w:t>conditions</w:t>
      </w:r>
      <w:r>
        <w:rPr>
          <w:spacing w:val="-7"/>
        </w:rPr>
        <w:t xml:space="preserve"> </w:t>
      </w:r>
      <w:r>
        <w:t>but</w:t>
      </w:r>
      <w:r>
        <w:rPr>
          <w:spacing w:val="-4"/>
        </w:rPr>
        <w:t xml:space="preserve"> </w:t>
      </w:r>
      <w:r>
        <w:t>still</w:t>
      </w:r>
      <w:r>
        <w:rPr>
          <w:spacing w:val="1"/>
        </w:rPr>
        <w:t xml:space="preserve"> </w:t>
      </w:r>
      <w:r>
        <w:t>within the lab (</w:t>
      </w:r>
      <w:proofErr w:type="spellStart"/>
      <w:r>
        <w:t>Altgassen</w:t>
      </w:r>
      <w:proofErr w:type="spellEnd"/>
      <w:r>
        <w:t xml:space="preserve"> et al., 2012; Henry et al., 2014; Kretschmer et al., 2014), two reported PM impairments. As all these studies used a mixed design of time- and event-based PM, which could conflate impairments in one PM domain with the other, this question needs to be addressed in a future study using an event-based only condition. Nonetheless, rigorous laboratory studies on event-based PM in ASD are essential. Their findings provided a clear understanding of what underpins an a</w:t>
      </w:r>
      <w:r>
        <w:t>bility under stable conditions, free from the influence of potential confounding variables. In particular, these findings can serve as a foundation for</w:t>
      </w:r>
      <w:r>
        <w:rPr>
          <w:spacing w:val="-31"/>
        </w:rPr>
        <w:t xml:space="preserve"> </w:t>
      </w:r>
      <w:r>
        <w:t>the design of naturalistic studies, and more importantly, they could inform strategies how event- based</w:t>
      </w:r>
      <w:r>
        <w:rPr>
          <w:spacing w:val="-10"/>
        </w:rPr>
        <w:t xml:space="preserve"> </w:t>
      </w:r>
      <w:r>
        <w:t>PM</w:t>
      </w:r>
      <w:r>
        <w:rPr>
          <w:spacing w:val="-11"/>
        </w:rPr>
        <w:t xml:space="preserve"> </w:t>
      </w:r>
      <w:r>
        <w:t>problems</w:t>
      </w:r>
      <w:r>
        <w:rPr>
          <w:spacing w:val="-12"/>
        </w:rPr>
        <w:t xml:space="preserve"> </w:t>
      </w:r>
      <w:r>
        <w:t>in</w:t>
      </w:r>
      <w:r>
        <w:rPr>
          <w:spacing w:val="-9"/>
        </w:rPr>
        <w:t xml:space="preserve"> </w:t>
      </w:r>
      <w:r>
        <w:t>everyday</w:t>
      </w:r>
      <w:r>
        <w:rPr>
          <w:spacing w:val="-10"/>
        </w:rPr>
        <w:t xml:space="preserve"> </w:t>
      </w:r>
      <w:r>
        <w:t>life</w:t>
      </w:r>
      <w:r>
        <w:rPr>
          <w:spacing w:val="-10"/>
        </w:rPr>
        <w:t xml:space="preserve"> </w:t>
      </w:r>
      <w:r>
        <w:t>might</w:t>
      </w:r>
      <w:r>
        <w:rPr>
          <w:spacing w:val="-9"/>
        </w:rPr>
        <w:t xml:space="preserve"> </w:t>
      </w:r>
      <w:r>
        <w:t>be</w:t>
      </w:r>
      <w:r>
        <w:rPr>
          <w:spacing w:val="-10"/>
        </w:rPr>
        <w:t xml:space="preserve"> </w:t>
      </w:r>
      <w:r>
        <w:t>addressed</w:t>
      </w:r>
      <w:r>
        <w:rPr>
          <w:spacing w:val="-10"/>
        </w:rPr>
        <w:t xml:space="preserve"> </w:t>
      </w:r>
      <w:r>
        <w:t>if</w:t>
      </w:r>
      <w:r>
        <w:rPr>
          <w:spacing w:val="-7"/>
        </w:rPr>
        <w:t xml:space="preserve"> </w:t>
      </w:r>
      <w:r>
        <w:t>they</w:t>
      </w:r>
      <w:r>
        <w:rPr>
          <w:spacing w:val="-10"/>
        </w:rPr>
        <w:t xml:space="preserve"> </w:t>
      </w:r>
      <w:r>
        <w:t>were</w:t>
      </w:r>
      <w:r>
        <w:rPr>
          <w:spacing w:val="-10"/>
        </w:rPr>
        <w:t xml:space="preserve"> </w:t>
      </w:r>
      <w:r>
        <w:t>to</w:t>
      </w:r>
      <w:r>
        <w:rPr>
          <w:spacing w:val="-10"/>
        </w:rPr>
        <w:t xml:space="preserve"> </w:t>
      </w:r>
      <w:r>
        <w:t>be</w:t>
      </w:r>
      <w:r>
        <w:rPr>
          <w:spacing w:val="-10"/>
        </w:rPr>
        <w:t xml:space="preserve"> </w:t>
      </w:r>
      <w:r>
        <w:t>found.</w:t>
      </w:r>
      <w:r>
        <w:rPr>
          <w:spacing w:val="40"/>
        </w:rPr>
        <w:t xml:space="preserve"> </w:t>
      </w:r>
      <w:r>
        <w:t>For</w:t>
      </w:r>
      <w:r>
        <w:rPr>
          <w:spacing w:val="-7"/>
        </w:rPr>
        <w:t xml:space="preserve"> </w:t>
      </w:r>
      <w:r>
        <w:t>instance, the notion that individuals with ASD struggle in everyday life with PM because they have to maintain multiple intentions at the same time could be addressed by giving specific instructions; e.g.; completing delayed intentions consecutively or back-to-back instead of coordinating</w:t>
      </w:r>
      <w:r>
        <w:rPr>
          <w:spacing w:val="13"/>
        </w:rPr>
        <w:t xml:space="preserve"> </w:t>
      </w:r>
      <w:r>
        <w:t>the</w:t>
      </w:r>
      <w:r>
        <w:rPr>
          <w:spacing w:val="12"/>
        </w:rPr>
        <w:t xml:space="preserve"> </w:t>
      </w:r>
      <w:r>
        <w:t>parallel</w:t>
      </w:r>
      <w:r>
        <w:rPr>
          <w:spacing w:val="14"/>
        </w:rPr>
        <w:t xml:space="preserve"> </w:t>
      </w:r>
      <w:r>
        <w:t>completion</w:t>
      </w:r>
      <w:r>
        <w:rPr>
          <w:spacing w:val="9"/>
        </w:rPr>
        <w:t xml:space="preserve"> </w:t>
      </w:r>
      <w:r>
        <w:t>of</w:t>
      </w:r>
      <w:r>
        <w:rPr>
          <w:spacing w:val="10"/>
        </w:rPr>
        <w:t xml:space="preserve"> </w:t>
      </w:r>
      <w:r>
        <w:t>several</w:t>
      </w:r>
      <w:r>
        <w:rPr>
          <w:spacing w:val="15"/>
        </w:rPr>
        <w:t xml:space="preserve"> </w:t>
      </w:r>
      <w:r>
        <w:t>intentions.</w:t>
      </w:r>
      <w:r>
        <w:rPr>
          <w:spacing w:val="30"/>
        </w:rPr>
        <w:t xml:space="preserve"> </w:t>
      </w:r>
      <w:r>
        <w:t>With</w:t>
      </w:r>
      <w:r>
        <w:rPr>
          <w:spacing w:val="9"/>
        </w:rPr>
        <w:t xml:space="preserve"> </w:t>
      </w:r>
      <w:r>
        <w:t>regard</w:t>
      </w:r>
      <w:r>
        <w:rPr>
          <w:spacing w:val="9"/>
        </w:rPr>
        <w:t xml:space="preserve"> </w:t>
      </w:r>
      <w:r>
        <w:t>to</w:t>
      </w:r>
      <w:r>
        <w:rPr>
          <w:spacing w:val="10"/>
        </w:rPr>
        <w:t xml:space="preserve"> </w:t>
      </w:r>
      <w:r>
        <w:t>time-based</w:t>
      </w:r>
      <w:r>
        <w:rPr>
          <w:spacing w:val="13"/>
        </w:rPr>
        <w:t xml:space="preserve"> </w:t>
      </w:r>
      <w:r>
        <w:t>PM,</w:t>
      </w:r>
      <w:r>
        <w:rPr>
          <w:spacing w:val="16"/>
        </w:rPr>
        <w:t xml:space="preserve"> </w:t>
      </w:r>
      <w:r>
        <w:t>it</w:t>
      </w:r>
    </w:p>
    <w:p w14:paraId="78CB3D0F" w14:textId="77777777" w:rsidR="00C75312" w:rsidRDefault="00C75312">
      <w:pPr>
        <w:spacing w:line="480" w:lineRule="auto"/>
        <w:jc w:val="both"/>
        <w:sectPr w:rsidR="00C75312">
          <w:pgSz w:w="11900" w:h="16840"/>
          <w:pgMar w:top="1160" w:right="1200" w:bottom="280" w:left="1300" w:header="715" w:footer="0" w:gutter="0"/>
          <w:cols w:space="720"/>
        </w:sectPr>
      </w:pPr>
    </w:p>
    <w:p w14:paraId="27F26F19" w14:textId="77777777" w:rsidR="00C75312" w:rsidRDefault="00C75312">
      <w:pPr>
        <w:pStyle w:val="BodyText"/>
        <w:spacing w:before="9"/>
        <w:rPr>
          <w:sz w:val="15"/>
        </w:rPr>
      </w:pPr>
    </w:p>
    <w:p w14:paraId="1A9CD54C" w14:textId="77777777" w:rsidR="00C75312" w:rsidRDefault="00BB293A">
      <w:pPr>
        <w:pStyle w:val="BodyText"/>
        <w:spacing w:before="90" w:line="480" w:lineRule="auto"/>
        <w:ind w:left="140" w:right="228"/>
        <w:jc w:val="both"/>
      </w:pPr>
      <w:r>
        <w:t>will</w:t>
      </w:r>
      <w:r>
        <w:rPr>
          <w:spacing w:val="-5"/>
        </w:rPr>
        <w:t xml:space="preserve"> </w:t>
      </w:r>
      <w:r>
        <w:t>be</w:t>
      </w:r>
      <w:r>
        <w:rPr>
          <w:spacing w:val="-12"/>
        </w:rPr>
        <w:t xml:space="preserve"> </w:t>
      </w:r>
      <w:r>
        <w:t>also</w:t>
      </w:r>
      <w:r>
        <w:rPr>
          <w:spacing w:val="-6"/>
        </w:rPr>
        <w:t xml:space="preserve"> </w:t>
      </w:r>
      <w:r>
        <w:t>important</w:t>
      </w:r>
      <w:r>
        <w:rPr>
          <w:spacing w:val="-10"/>
        </w:rPr>
        <w:t xml:space="preserve"> </w:t>
      </w:r>
      <w:r>
        <w:t>to</w:t>
      </w:r>
      <w:r>
        <w:rPr>
          <w:spacing w:val="-10"/>
        </w:rPr>
        <w:t xml:space="preserve"> </w:t>
      </w:r>
      <w:r>
        <w:t>explore</w:t>
      </w:r>
      <w:r>
        <w:rPr>
          <w:spacing w:val="-7"/>
        </w:rPr>
        <w:t xml:space="preserve"> </w:t>
      </w:r>
      <w:r>
        <w:t>whether</w:t>
      </w:r>
      <w:r>
        <w:rPr>
          <w:spacing w:val="-4"/>
        </w:rPr>
        <w:t xml:space="preserve"> </w:t>
      </w:r>
      <w:r>
        <w:t>difficulties</w:t>
      </w:r>
      <w:r>
        <w:rPr>
          <w:spacing w:val="-8"/>
        </w:rPr>
        <w:t xml:space="preserve"> </w:t>
      </w:r>
      <w:r>
        <w:t>manifest</w:t>
      </w:r>
      <w:r>
        <w:rPr>
          <w:spacing w:val="-5"/>
        </w:rPr>
        <w:t xml:space="preserve"> </w:t>
      </w:r>
      <w:r>
        <w:t>in</w:t>
      </w:r>
      <w:r>
        <w:rPr>
          <w:spacing w:val="-11"/>
        </w:rPr>
        <w:t xml:space="preserve"> </w:t>
      </w:r>
      <w:r>
        <w:t>the</w:t>
      </w:r>
      <w:r>
        <w:rPr>
          <w:spacing w:val="-12"/>
        </w:rPr>
        <w:t xml:space="preserve"> </w:t>
      </w:r>
      <w:r>
        <w:t>same</w:t>
      </w:r>
      <w:r>
        <w:rPr>
          <w:spacing w:val="-6"/>
        </w:rPr>
        <w:t xml:space="preserve"> </w:t>
      </w:r>
      <w:r>
        <w:t>way</w:t>
      </w:r>
      <w:r>
        <w:rPr>
          <w:spacing w:val="-11"/>
        </w:rPr>
        <w:t xml:space="preserve"> </w:t>
      </w:r>
      <w:r>
        <w:t>in</w:t>
      </w:r>
      <w:r>
        <w:rPr>
          <w:spacing w:val="-6"/>
        </w:rPr>
        <w:t xml:space="preserve"> </w:t>
      </w:r>
      <w:r>
        <w:t>everyday</w:t>
      </w:r>
      <w:r>
        <w:rPr>
          <w:spacing w:val="-11"/>
        </w:rPr>
        <w:t xml:space="preserve"> </w:t>
      </w:r>
      <w:r>
        <w:t xml:space="preserve">life situations in ASD. To be able to make predictions regarding these questions, it is </w:t>
      </w:r>
      <w:r>
        <w:rPr>
          <w:spacing w:val="-3"/>
        </w:rPr>
        <w:t xml:space="preserve">of </w:t>
      </w:r>
      <w:r>
        <w:t xml:space="preserve">interest to consider three factors (changing context, motivation, and the use </w:t>
      </w:r>
      <w:r>
        <w:rPr>
          <w:spacing w:val="-3"/>
        </w:rPr>
        <w:t xml:space="preserve">of </w:t>
      </w:r>
      <w:r>
        <w:t>reminders) that clearly distinguish laboratory tasks from real-world situations involving</w:t>
      </w:r>
      <w:r>
        <w:rPr>
          <w:spacing w:val="2"/>
        </w:rPr>
        <w:t xml:space="preserve"> </w:t>
      </w:r>
      <w:r>
        <w:t>PM.</w:t>
      </w:r>
    </w:p>
    <w:p w14:paraId="0DAF7577" w14:textId="77777777" w:rsidR="00C75312" w:rsidRDefault="00BB293A">
      <w:pPr>
        <w:pStyle w:val="BodyText"/>
        <w:spacing w:before="120" w:line="480" w:lineRule="auto"/>
        <w:ind w:left="140" w:right="224" w:firstLine="720"/>
        <w:jc w:val="both"/>
      </w:pPr>
      <w:r>
        <w:rPr>
          <w:b/>
        </w:rPr>
        <w:t xml:space="preserve">Influence of context on PM. </w:t>
      </w:r>
      <w:r>
        <w:t>Everyday life situations are far less structured, require the</w:t>
      </w:r>
      <w:r>
        <w:rPr>
          <w:spacing w:val="-7"/>
        </w:rPr>
        <w:t xml:space="preserve"> </w:t>
      </w:r>
      <w:r>
        <w:t>processing</w:t>
      </w:r>
      <w:r>
        <w:rPr>
          <w:spacing w:val="-5"/>
        </w:rPr>
        <w:t xml:space="preserve"> </w:t>
      </w:r>
      <w:r>
        <w:t>of</w:t>
      </w:r>
      <w:r>
        <w:rPr>
          <w:spacing w:val="-3"/>
        </w:rPr>
        <w:t xml:space="preserve"> </w:t>
      </w:r>
      <w:r>
        <w:t>more</w:t>
      </w:r>
      <w:r>
        <w:rPr>
          <w:spacing w:val="-11"/>
        </w:rPr>
        <w:t xml:space="preserve"> </w:t>
      </w:r>
      <w:r>
        <w:t>complex</w:t>
      </w:r>
      <w:r>
        <w:rPr>
          <w:spacing w:val="-10"/>
        </w:rPr>
        <w:t xml:space="preserve"> </w:t>
      </w:r>
      <w:r>
        <w:t>information,</w:t>
      </w:r>
      <w:r>
        <w:rPr>
          <w:spacing w:val="-2"/>
        </w:rPr>
        <w:t xml:space="preserve"> </w:t>
      </w:r>
      <w:r>
        <w:t>and</w:t>
      </w:r>
      <w:r>
        <w:rPr>
          <w:spacing w:val="-10"/>
        </w:rPr>
        <w:t xml:space="preserve"> </w:t>
      </w:r>
      <w:r>
        <w:t>involve</w:t>
      </w:r>
      <w:r>
        <w:rPr>
          <w:spacing w:val="-7"/>
        </w:rPr>
        <w:t xml:space="preserve"> </w:t>
      </w:r>
      <w:r>
        <w:t>constant</w:t>
      </w:r>
      <w:r>
        <w:rPr>
          <w:spacing w:val="-4"/>
        </w:rPr>
        <w:t xml:space="preserve"> </w:t>
      </w:r>
      <w:r>
        <w:t>changes</w:t>
      </w:r>
      <w:r>
        <w:rPr>
          <w:spacing w:val="-7"/>
        </w:rPr>
        <w:t xml:space="preserve"> </w:t>
      </w:r>
      <w:r>
        <w:t>in</w:t>
      </w:r>
      <w:r>
        <w:rPr>
          <w:spacing w:val="-5"/>
        </w:rPr>
        <w:t xml:space="preserve"> </w:t>
      </w:r>
      <w:r>
        <w:t>the</w:t>
      </w:r>
      <w:r>
        <w:rPr>
          <w:spacing w:val="-6"/>
        </w:rPr>
        <w:t xml:space="preserve"> </w:t>
      </w:r>
      <w:r>
        <w:t>environment in comparison to the laboratory. These situational demands are clearly implicated in PM. Usually in laboratory experiments the context within which tasks are carried out are held constant whereas in everyday life the context in which an intention is encoded might be very different</w:t>
      </w:r>
      <w:r>
        <w:rPr>
          <w:spacing w:val="-8"/>
        </w:rPr>
        <w:t xml:space="preserve"> </w:t>
      </w:r>
      <w:r>
        <w:t>from</w:t>
      </w:r>
      <w:r>
        <w:rPr>
          <w:spacing w:val="-3"/>
        </w:rPr>
        <w:t xml:space="preserve"> </w:t>
      </w:r>
      <w:r>
        <w:t>the</w:t>
      </w:r>
      <w:r>
        <w:rPr>
          <w:spacing w:val="-10"/>
        </w:rPr>
        <w:t xml:space="preserve"> </w:t>
      </w:r>
      <w:r>
        <w:t>one</w:t>
      </w:r>
      <w:r>
        <w:rPr>
          <w:spacing w:val="-10"/>
        </w:rPr>
        <w:t xml:space="preserve"> </w:t>
      </w:r>
      <w:r>
        <w:t>at</w:t>
      </w:r>
      <w:r>
        <w:rPr>
          <w:spacing w:val="-7"/>
        </w:rPr>
        <w:t xml:space="preserve"> </w:t>
      </w:r>
      <w:r>
        <w:t>retrieval.</w:t>
      </w:r>
      <w:r>
        <w:rPr>
          <w:spacing w:val="46"/>
        </w:rPr>
        <w:t xml:space="preserve"> </w:t>
      </w:r>
      <w:r>
        <w:t>Imagine</w:t>
      </w:r>
      <w:r>
        <w:rPr>
          <w:spacing w:val="-10"/>
        </w:rPr>
        <w:t xml:space="preserve"> </w:t>
      </w:r>
      <w:r>
        <w:t>you</w:t>
      </w:r>
      <w:r>
        <w:rPr>
          <w:spacing w:val="-8"/>
        </w:rPr>
        <w:t xml:space="preserve"> </w:t>
      </w:r>
      <w:r>
        <w:t>are</w:t>
      </w:r>
      <w:r>
        <w:rPr>
          <w:spacing w:val="-10"/>
        </w:rPr>
        <w:t xml:space="preserve"> </w:t>
      </w:r>
      <w:r>
        <w:t>cooking</w:t>
      </w:r>
      <w:r>
        <w:rPr>
          <w:spacing w:val="-9"/>
        </w:rPr>
        <w:t xml:space="preserve"> </w:t>
      </w:r>
      <w:r>
        <w:t>a</w:t>
      </w:r>
      <w:r>
        <w:rPr>
          <w:spacing w:val="-5"/>
        </w:rPr>
        <w:t xml:space="preserve"> </w:t>
      </w:r>
      <w:r>
        <w:t>meal</w:t>
      </w:r>
      <w:r>
        <w:rPr>
          <w:spacing w:val="-7"/>
        </w:rPr>
        <w:t xml:space="preserve"> </w:t>
      </w:r>
      <w:r>
        <w:t>and</w:t>
      </w:r>
      <w:r>
        <w:rPr>
          <w:spacing w:val="-4"/>
        </w:rPr>
        <w:t xml:space="preserve"> </w:t>
      </w:r>
      <w:r>
        <w:t>you</w:t>
      </w:r>
      <w:r>
        <w:rPr>
          <w:spacing w:val="-9"/>
        </w:rPr>
        <w:t xml:space="preserve"> </w:t>
      </w:r>
      <w:r>
        <w:t>need</w:t>
      </w:r>
      <w:r>
        <w:rPr>
          <w:spacing w:val="-9"/>
        </w:rPr>
        <w:t xml:space="preserve"> </w:t>
      </w:r>
      <w:r>
        <w:t>to</w:t>
      </w:r>
      <w:r>
        <w:rPr>
          <w:spacing w:val="-3"/>
        </w:rPr>
        <w:t xml:space="preserve"> </w:t>
      </w:r>
      <w:r>
        <w:t>go</w:t>
      </w:r>
      <w:r>
        <w:rPr>
          <w:spacing w:val="-9"/>
        </w:rPr>
        <w:t xml:space="preserve"> </w:t>
      </w:r>
      <w:r>
        <w:t>into</w:t>
      </w:r>
      <w:r>
        <w:rPr>
          <w:spacing w:val="-4"/>
        </w:rPr>
        <w:t xml:space="preserve"> </w:t>
      </w:r>
      <w:r>
        <w:t>the pantry to retrieve some ingredients. However, once you enter the pantry you do not remember anymore what you needed to get there. Ba</w:t>
      </w:r>
      <w:r>
        <w:t>ck upstairs in the kitchen you suddenly remember and subsequently go to get your required items. Probably everybody has</w:t>
      </w:r>
      <w:r>
        <w:rPr>
          <w:spacing w:val="-46"/>
        </w:rPr>
        <w:t xml:space="preserve"> </w:t>
      </w:r>
      <w:r>
        <w:t>experienced a similar situation</w:t>
      </w:r>
      <w:r>
        <w:rPr>
          <w:spacing w:val="-5"/>
        </w:rPr>
        <w:t xml:space="preserve"> </w:t>
      </w:r>
      <w:r>
        <w:t>as</w:t>
      </w:r>
      <w:r>
        <w:rPr>
          <w:spacing w:val="-7"/>
        </w:rPr>
        <w:t xml:space="preserve"> </w:t>
      </w:r>
      <w:r>
        <w:t>described</w:t>
      </w:r>
      <w:r>
        <w:rPr>
          <w:spacing w:val="-5"/>
        </w:rPr>
        <w:t xml:space="preserve"> </w:t>
      </w:r>
      <w:r>
        <w:t>in</w:t>
      </w:r>
      <w:r>
        <w:rPr>
          <w:spacing w:val="-5"/>
        </w:rPr>
        <w:t xml:space="preserve"> </w:t>
      </w:r>
      <w:r>
        <w:t>this</w:t>
      </w:r>
      <w:r>
        <w:rPr>
          <w:spacing w:val="-7"/>
        </w:rPr>
        <w:t xml:space="preserve"> </w:t>
      </w:r>
      <w:r>
        <w:t>anecdote,</w:t>
      </w:r>
      <w:r>
        <w:rPr>
          <w:spacing w:val="-2"/>
        </w:rPr>
        <w:t xml:space="preserve"> </w:t>
      </w:r>
      <w:r>
        <w:t>which</w:t>
      </w:r>
      <w:r>
        <w:rPr>
          <w:spacing w:val="-5"/>
        </w:rPr>
        <w:t xml:space="preserve"> </w:t>
      </w:r>
      <w:r>
        <w:t>illustrates</w:t>
      </w:r>
      <w:r>
        <w:rPr>
          <w:spacing w:val="-7"/>
        </w:rPr>
        <w:t xml:space="preserve"> </w:t>
      </w:r>
      <w:r>
        <w:t>the</w:t>
      </w:r>
      <w:r>
        <w:rPr>
          <w:spacing w:val="-5"/>
        </w:rPr>
        <w:t xml:space="preserve"> </w:t>
      </w:r>
      <w:r>
        <w:t>effect</w:t>
      </w:r>
      <w:r>
        <w:rPr>
          <w:spacing w:val="-4"/>
        </w:rPr>
        <w:t xml:space="preserve"> </w:t>
      </w:r>
      <w:r>
        <w:t>of</w:t>
      </w:r>
      <w:r>
        <w:rPr>
          <w:spacing w:val="-3"/>
        </w:rPr>
        <w:t xml:space="preserve"> </w:t>
      </w:r>
      <w:r>
        <w:t>environmental</w:t>
      </w:r>
      <w:r>
        <w:rPr>
          <w:spacing w:val="-4"/>
        </w:rPr>
        <w:t xml:space="preserve"> </w:t>
      </w:r>
      <w:r>
        <w:t>context</w:t>
      </w:r>
      <w:r>
        <w:rPr>
          <w:spacing w:val="-4"/>
        </w:rPr>
        <w:t xml:space="preserve"> </w:t>
      </w:r>
      <w:r>
        <w:t>on PM. Other context effects emerge due to emotional context or context expectations (Marsh, Hicks, &amp; Cook,</w:t>
      </w:r>
      <w:r>
        <w:rPr>
          <w:spacing w:val="5"/>
        </w:rPr>
        <w:t xml:space="preserve"> </w:t>
      </w:r>
      <w:r>
        <w:t>2008).</w:t>
      </w:r>
    </w:p>
    <w:p w14:paraId="1F3A1A31" w14:textId="77777777" w:rsidR="00C75312" w:rsidRDefault="00BB293A">
      <w:pPr>
        <w:pStyle w:val="BodyText"/>
        <w:spacing w:before="121" w:line="480" w:lineRule="auto"/>
        <w:ind w:left="140" w:right="227" w:firstLine="720"/>
        <w:jc w:val="both"/>
      </w:pPr>
      <w:r>
        <w:t xml:space="preserve">In general, context can have both enhancing or detrimental effects on PM. Beneficial effects of context on PM were reported by </w:t>
      </w:r>
      <w:proofErr w:type="spellStart"/>
      <w:r>
        <w:t>Waldum</w:t>
      </w:r>
      <w:proofErr w:type="spellEnd"/>
      <w:r>
        <w:t xml:space="preserve"> and Sahakyan (2013). They found that context information in the form of background music positively informed time-based PM responses</w:t>
      </w:r>
      <w:r>
        <w:rPr>
          <w:spacing w:val="-7"/>
        </w:rPr>
        <w:t xml:space="preserve"> </w:t>
      </w:r>
      <w:r>
        <w:t>when</w:t>
      </w:r>
      <w:r>
        <w:rPr>
          <w:spacing w:val="-5"/>
        </w:rPr>
        <w:t xml:space="preserve"> </w:t>
      </w:r>
      <w:r>
        <w:t>participants</w:t>
      </w:r>
      <w:r>
        <w:rPr>
          <w:spacing w:val="-7"/>
        </w:rPr>
        <w:t xml:space="preserve"> </w:t>
      </w:r>
      <w:r>
        <w:t>did</w:t>
      </w:r>
      <w:r>
        <w:rPr>
          <w:spacing w:val="-9"/>
        </w:rPr>
        <w:t xml:space="preserve"> </w:t>
      </w:r>
      <w:r>
        <w:t>not</w:t>
      </w:r>
      <w:r>
        <w:rPr>
          <w:spacing w:val="-9"/>
        </w:rPr>
        <w:t xml:space="preserve"> </w:t>
      </w:r>
      <w:r>
        <w:t>have</w:t>
      </w:r>
      <w:r>
        <w:rPr>
          <w:spacing w:val="-6"/>
        </w:rPr>
        <w:t xml:space="preserve"> </w:t>
      </w:r>
      <w:r>
        <w:t>the</w:t>
      </w:r>
      <w:r>
        <w:rPr>
          <w:spacing w:val="-10"/>
        </w:rPr>
        <w:t xml:space="preserve"> </w:t>
      </w:r>
      <w:r>
        <w:t>opportunity</w:t>
      </w:r>
      <w:r>
        <w:rPr>
          <w:spacing w:val="-5"/>
        </w:rPr>
        <w:t xml:space="preserve"> </w:t>
      </w:r>
      <w:r>
        <w:t>to</w:t>
      </w:r>
      <w:r>
        <w:rPr>
          <w:spacing w:val="-10"/>
        </w:rPr>
        <w:t xml:space="preserve"> </w:t>
      </w:r>
      <w:r>
        <w:t>use</w:t>
      </w:r>
      <w:r>
        <w:rPr>
          <w:spacing w:val="-5"/>
        </w:rPr>
        <w:t xml:space="preserve"> </w:t>
      </w:r>
      <w:r>
        <w:t>a</w:t>
      </w:r>
      <w:r>
        <w:rPr>
          <w:spacing w:val="-11"/>
        </w:rPr>
        <w:t xml:space="preserve"> </w:t>
      </w:r>
      <w:r>
        <w:t>clock</w:t>
      </w:r>
      <w:r>
        <w:rPr>
          <w:spacing w:val="-10"/>
        </w:rPr>
        <w:t xml:space="preserve"> </w:t>
      </w:r>
      <w:r>
        <w:t>to</w:t>
      </w:r>
      <w:r>
        <w:rPr>
          <w:spacing w:val="-9"/>
        </w:rPr>
        <w:t xml:space="preserve"> </w:t>
      </w:r>
      <w:r>
        <w:t>monitor</w:t>
      </w:r>
      <w:r>
        <w:rPr>
          <w:spacing w:val="-8"/>
        </w:rPr>
        <w:t xml:space="preserve"> </w:t>
      </w:r>
      <w:r>
        <w:t>the</w:t>
      </w:r>
      <w:r>
        <w:rPr>
          <w:spacing w:val="-11"/>
        </w:rPr>
        <w:t xml:space="preserve"> </w:t>
      </w:r>
      <w:r>
        <w:t>elapsing time. In contrast, a study by McDaniel, Robinson-Riegler, and Einstein (1998) found that</w:t>
      </w:r>
      <w:r>
        <w:rPr>
          <w:spacing w:val="-37"/>
        </w:rPr>
        <w:t xml:space="preserve"> </w:t>
      </w:r>
      <w:r>
        <w:t xml:space="preserve">PM performance was worse when the encoding </w:t>
      </w:r>
      <w:r>
        <w:rPr>
          <w:spacing w:val="-3"/>
        </w:rPr>
        <w:t xml:space="preserve">of </w:t>
      </w:r>
      <w:r>
        <w:t>the PM intention took place in a room that was different to the one where an intention had to be retrieved. Other studies demonstrated that a change</w:t>
      </w:r>
      <w:r>
        <w:rPr>
          <w:spacing w:val="-16"/>
        </w:rPr>
        <w:t xml:space="preserve"> </w:t>
      </w:r>
      <w:r>
        <w:t>in</w:t>
      </w:r>
      <w:r>
        <w:rPr>
          <w:spacing w:val="-15"/>
        </w:rPr>
        <w:t xml:space="preserve"> </w:t>
      </w:r>
      <w:r>
        <w:t>context</w:t>
      </w:r>
      <w:r>
        <w:rPr>
          <w:spacing w:val="-14"/>
        </w:rPr>
        <w:t xml:space="preserve"> </w:t>
      </w:r>
      <w:r>
        <w:t>can</w:t>
      </w:r>
      <w:r>
        <w:rPr>
          <w:spacing w:val="-15"/>
        </w:rPr>
        <w:t xml:space="preserve"> </w:t>
      </w:r>
      <w:r>
        <w:t>lead</w:t>
      </w:r>
      <w:r>
        <w:rPr>
          <w:spacing w:val="-15"/>
        </w:rPr>
        <w:t xml:space="preserve"> </w:t>
      </w:r>
      <w:r>
        <w:t>to</w:t>
      </w:r>
      <w:r>
        <w:rPr>
          <w:spacing w:val="-14"/>
        </w:rPr>
        <w:t xml:space="preserve"> </w:t>
      </w:r>
      <w:r>
        <w:t>forgetting</w:t>
      </w:r>
      <w:r>
        <w:rPr>
          <w:spacing w:val="-15"/>
        </w:rPr>
        <w:t xml:space="preserve"> </w:t>
      </w:r>
      <w:r>
        <w:t>whether</w:t>
      </w:r>
      <w:r>
        <w:rPr>
          <w:spacing w:val="-14"/>
        </w:rPr>
        <w:t xml:space="preserve"> </w:t>
      </w:r>
      <w:r>
        <w:t>an</w:t>
      </w:r>
      <w:r>
        <w:rPr>
          <w:spacing w:val="-24"/>
        </w:rPr>
        <w:t xml:space="preserve"> </w:t>
      </w:r>
      <w:r>
        <w:t>intention</w:t>
      </w:r>
      <w:r>
        <w:rPr>
          <w:spacing w:val="-14"/>
        </w:rPr>
        <w:t xml:space="preserve"> </w:t>
      </w:r>
      <w:r>
        <w:t>was</w:t>
      </w:r>
      <w:r>
        <w:rPr>
          <w:spacing w:val="-18"/>
        </w:rPr>
        <w:t xml:space="preserve"> </w:t>
      </w:r>
      <w:r>
        <w:t>previously</w:t>
      </w:r>
      <w:r>
        <w:rPr>
          <w:spacing w:val="-14"/>
        </w:rPr>
        <w:t xml:space="preserve"> </w:t>
      </w:r>
      <w:r>
        <w:t>completed</w:t>
      </w:r>
      <w:r>
        <w:rPr>
          <w:spacing w:val="-15"/>
        </w:rPr>
        <w:t xml:space="preserve"> </w:t>
      </w:r>
      <w:r>
        <w:t>(Marsh, Hicks,</w:t>
      </w:r>
      <w:r>
        <w:rPr>
          <w:spacing w:val="16"/>
        </w:rPr>
        <w:t xml:space="preserve"> </w:t>
      </w:r>
      <w:r>
        <w:t>Cook,</w:t>
      </w:r>
      <w:r>
        <w:rPr>
          <w:spacing w:val="17"/>
        </w:rPr>
        <w:t xml:space="preserve"> </w:t>
      </w:r>
      <w:r>
        <w:t>&amp;</w:t>
      </w:r>
      <w:r>
        <w:rPr>
          <w:spacing w:val="14"/>
        </w:rPr>
        <w:t xml:space="preserve"> </w:t>
      </w:r>
      <w:r>
        <w:t>Mayhorn,</w:t>
      </w:r>
      <w:r>
        <w:rPr>
          <w:spacing w:val="17"/>
        </w:rPr>
        <w:t xml:space="preserve"> </w:t>
      </w:r>
      <w:r>
        <w:t>2007),</w:t>
      </w:r>
      <w:r>
        <w:rPr>
          <w:spacing w:val="16"/>
        </w:rPr>
        <w:t xml:space="preserve"> </w:t>
      </w:r>
      <w:r>
        <w:rPr>
          <w:spacing w:val="-3"/>
        </w:rPr>
        <w:t>or</w:t>
      </w:r>
      <w:r>
        <w:rPr>
          <w:spacing w:val="16"/>
        </w:rPr>
        <w:t xml:space="preserve"> </w:t>
      </w:r>
      <w:r>
        <w:t>that</w:t>
      </w:r>
      <w:r>
        <w:rPr>
          <w:spacing w:val="10"/>
        </w:rPr>
        <w:t xml:space="preserve"> </w:t>
      </w:r>
      <w:r>
        <w:t>PM</w:t>
      </w:r>
      <w:r>
        <w:rPr>
          <w:spacing w:val="12"/>
        </w:rPr>
        <w:t xml:space="preserve"> </w:t>
      </w:r>
      <w:r>
        <w:t>performance</w:t>
      </w:r>
      <w:r>
        <w:rPr>
          <w:spacing w:val="12"/>
        </w:rPr>
        <w:t xml:space="preserve"> </w:t>
      </w:r>
      <w:r>
        <w:t>is</w:t>
      </w:r>
      <w:r>
        <w:rPr>
          <w:spacing w:val="12"/>
        </w:rPr>
        <w:t xml:space="preserve"> </w:t>
      </w:r>
      <w:r>
        <w:t>worse</w:t>
      </w:r>
      <w:r>
        <w:rPr>
          <w:spacing w:val="13"/>
        </w:rPr>
        <w:t xml:space="preserve"> </w:t>
      </w:r>
      <w:r>
        <w:t>if</w:t>
      </w:r>
      <w:r>
        <w:rPr>
          <w:spacing w:val="15"/>
        </w:rPr>
        <w:t xml:space="preserve"> </w:t>
      </w:r>
      <w:r>
        <w:t>the</w:t>
      </w:r>
      <w:r>
        <w:rPr>
          <w:spacing w:val="9"/>
        </w:rPr>
        <w:t xml:space="preserve"> </w:t>
      </w:r>
      <w:r>
        <w:t>retrieval</w:t>
      </w:r>
      <w:r>
        <w:rPr>
          <w:spacing w:val="10"/>
        </w:rPr>
        <w:t xml:space="preserve"> </w:t>
      </w:r>
      <w:r>
        <w:t>context</w:t>
      </w:r>
      <w:r>
        <w:rPr>
          <w:spacing w:val="14"/>
        </w:rPr>
        <w:t xml:space="preserve"> </w:t>
      </w:r>
      <w:r>
        <w:t>is</w:t>
      </w:r>
    </w:p>
    <w:p w14:paraId="130B99FA" w14:textId="77777777" w:rsidR="00C75312" w:rsidRDefault="00C75312">
      <w:pPr>
        <w:spacing w:line="480" w:lineRule="auto"/>
        <w:jc w:val="both"/>
        <w:sectPr w:rsidR="00C75312">
          <w:pgSz w:w="11900" w:h="16840"/>
          <w:pgMar w:top="1160" w:right="1200" w:bottom="280" w:left="1300" w:header="715" w:footer="0" w:gutter="0"/>
          <w:cols w:space="720"/>
        </w:sectPr>
      </w:pPr>
    </w:p>
    <w:p w14:paraId="3F1ECCEF" w14:textId="77777777" w:rsidR="00C75312" w:rsidRDefault="00C75312">
      <w:pPr>
        <w:pStyle w:val="BodyText"/>
        <w:spacing w:before="9"/>
        <w:rPr>
          <w:sz w:val="15"/>
        </w:rPr>
      </w:pPr>
    </w:p>
    <w:p w14:paraId="1BA8C0BF" w14:textId="77777777" w:rsidR="00C75312" w:rsidRDefault="00BB293A">
      <w:pPr>
        <w:pStyle w:val="BodyText"/>
        <w:spacing w:before="90" w:line="480" w:lineRule="auto"/>
        <w:ind w:left="140" w:right="229"/>
        <w:jc w:val="both"/>
      </w:pPr>
      <w:r>
        <w:t xml:space="preserve">different to the one a person expected a PM cue </w:t>
      </w:r>
      <w:r>
        <w:rPr>
          <w:spacing w:val="2"/>
        </w:rPr>
        <w:t xml:space="preserve">to </w:t>
      </w:r>
      <w:r>
        <w:t xml:space="preserve">appear in (Nowinski &amp; Dismukes, 2005). Other studies (Clark-Foos, Brewer, Marsh, </w:t>
      </w:r>
      <w:r>
        <w:rPr>
          <w:spacing w:val="-3"/>
        </w:rPr>
        <w:t xml:space="preserve">Meeks, </w:t>
      </w:r>
      <w:r>
        <w:t xml:space="preserve">&amp; Cook, 2009; Graf &amp; Yu, 2015) have found that positive or negative valence of a PM cue results in worse PM in comparison to neutral cues, whereas neutral cues appearing in </w:t>
      </w:r>
      <w:proofErr w:type="spellStart"/>
      <w:r>
        <w:t>valenced</w:t>
      </w:r>
      <w:proofErr w:type="spellEnd"/>
      <w:r>
        <w:t xml:space="preserve"> context have a greater impact than</w:t>
      </w:r>
      <w:r>
        <w:rPr>
          <w:spacing w:val="-33"/>
        </w:rPr>
        <w:t xml:space="preserve"> </w:t>
      </w:r>
      <w:r>
        <w:t xml:space="preserve">in a neutral context. Finally on a neural level, Gilbert, Armbruster, and </w:t>
      </w:r>
      <w:proofErr w:type="spellStart"/>
      <w:r>
        <w:t>Panagiotidi</w:t>
      </w:r>
      <w:proofErr w:type="spellEnd"/>
      <w:r>
        <w:t xml:space="preserve"> (2012) found that PM hits were </w:t>
      </w:r>
      <w:proofErr w:type="spellStart"/>
      <w:r>
        <w:t>characterised</w:t>
      </w:r>
      <w:proofErr w:type="spellEnd"/>
      <w:r>
        <w:t xml:space="preserve"> by a greater similarity in the pattern </w:t>
      </w:r>
      <w:r>
        <w:rPr>
          <w:spacing w:val="-3"/>
        </w:rPr>
        <w:t xml:space="preserve">of </w:t>
      </w:r>
      <w:r>
        <w:t xml:space="preserve">brain activity than PM failure </w:t>
      </w:r>
      <w:r>
        <w:t>indicating a positive “cortical context” reinstatement</w:t>
      </w:r>
      <w:r>
        <w:rPr>
          <w:spacing w:val="-2"/>
        </w:rPr>
        <w:t xml:space="preserve"> </w:t>
      </w:r>
      <w:r>
        <w:t>effect.</w:t>
      </w:r>
    </w:p>
    <w:p w14:paraId="33F723A6" w14:textId="77777777" w:rsidR="00C75312" w:rsidRDefault="00BB293A">
      <w:pPr>
        <w:pStyle w:val="BodyText"/>
        <w:spacing w:before="120" w:line="480" w:lineRule="auto"/>
        <w:ind w:left="140" w:right="228" w:firstLine="720"/>
        <w:jc w:val="both"/>
      </w:pPr>
      <w:r>
        <w:t xml:space="preserve">Context effects on PM in ASD have not been explicitly studied however research on retrospective memory might give some indication how context affects cognition in ASD. Bowler, </w:t>
      </w:r>
      <w:proofErr w:type="spellStart"/>
      <w:r>
        <w:t>Gaigg</w:t>
      </w:r>
      <w:proofErr w:type="spellEnd"/>
      <w:r>
        <w:t>, and Gardiner (2008) have found that individuals with ASD require support in situations where memory recall is usually enhanced by contextual effects. This may be due to source memory problems in ASD in free recall tasks, which indicate that without support individuals with ASD struggle to retrieve the context in which a memory was encoded in (Bowler et al., 2004). In line with these findings, Maras and Bowler (2012) found that mental reinstatement of context at encoding only benefitted memory retriev</w:t>
      </w:r>
      <w:r>
        <w:t xml:space="preserve">al in ASD if it was supported by physical cues. With regards to emotional context, </w:t>
      </w:r>
      <w:proofErr w:type="spellStart"/>
      <w:r>
        <w:t>Deruelle</w:t>
      </w:r>
      <w:proofErr w:type="spellEnd"/>
      <w:r>
        <w:t xml:space="preserve">, Hubert, Santos, and Wicker (2008) reported a significantly reduced influence of negative valence on memory in ASD in a memory recognition task involving pictures. NT individuals showed better recognition memory for negative pictures in comparison to the ASD group, whereas no group differences were observed for positive or neutral stimuli. Furthermore, </w:t>
      </w:r>
      <w:proofErr w:type="spellStart"/>
      <w:r>
        <w:t>Gaigg</w:t>
      </w:r>
      <w:proofErr w:type="spellEnd"/>
      <w:r>
        <w:t xml:space="preserve"> and Bowler (2008)</w:t>
      </w:r>
      <w:r>
        <w:rPr>
          <w:spacing w:val="-3"/>
        </w:rPr>
        <w:t xml:space="preserve"> </w:t>
      </w:r>
      <w:r>
        <w:t>found</w:t>
      </w:r>
      <w:r>
        <w:rPr>
          <w:spacing w:val="-9"/>
        </w:rPr>
        <w:t xml:space="preserve"> </w:t>
      </w:r>
      <w:r>
        <w:t>some</w:t>
      </w:r>
      <w:r>
        <w:rPr>
          <w:spacing w:val="-6"/>
        </w:rPr>
        <w:t xml:space="preserve"> </w:t>
      </w:r>
      <w:r>
        <w:t>benefit</w:t>
      </w:r>
      <w:r>
        <w:rPr>
          <w:spacing w:val="-3"/>
        </w:rPr>
        <w:t xml:space="preserve"> </w:t>
      </w:r>
      <w:r>
        <w:t>of</w:t>
      </w:r>
      <w:r>
        <w:rPr>
          <w:spacing w:val="-8"/>
        </w:rPr>
        <w:t xml:space="preserve"> </w:t>
      </w:r>
      <w:r>
        <w:t>emotionally</w:t>
      </w:r>
      <w:r>
        <w:rPr>
          <w:spacing w:val="-4"/>
        </w:rPr>
        <w:t xml:space="preserve"> </w:t>
      </w:r>
      <w:r>
        <w:t>arousin</w:t>
      </w:r>
      <w:r>
        <w:t>g</w:t>
      </w:r>
      <w:r>
        <w:rPr>
          <w:spacing w:val="-5"/>
        </w:rPr>
        <w:t xml:space="preserve"> </w:t>
      </w:r>
      <w:r>
        <w:t>word</w:t>
      </w:r>
      <w:r>
        <w:rPr>
          <w:spacing w:val="-4"/>
        </w:rPr>
        <w:t xml:space="preserve"> </w:t>
      </w:r>
      <w:r>
        <w:t>stimuli</w:t>
      </w:r>
      <w:r>
        <w:rPr>
          <w:spacing w:val="-4"/>
        </w:rPr>
        <w:t xml:space="preserve"> </w:t>
      </w:r>
      <w:r>
        <w:t>on</w:t>
      </w:r>
      <w:r>
        <w:rPr>
          <w:spacing w:val="-9"/>
        </w:rPr>
        <w:t xml:space="preserve"> </w:t>
      </w:r>
      <w:r>
        <w:t>memory</w:t>
      </w:r>
      <w:r>
        <w:rPr>
          <w:spacing w:val="-10"/>
        </w:rPr>
        <w:t xml:space="preserve"> </w:t>
      </w:r>
      <w:r>
        <w:t>in</w:t>
      </w:r>
      <w:r>
        <w:rPr>
          <w:spacing w:val="-4"/>
        </w:rPr>
        <w:t xml:space="preserve"> </w:t>
      </w:r>
      <w:r>
        <w:t>ASD,</w:t>
      </w:r>
      <w:r>
        <w:rPr>
          <w:spacing w:val="-7"/>
        </w:rPr>
        <w:t xml:space="preserve"> </w:t>
      </w:r>
      <w:r>
        <w:t>however in contrast to typically developing participant this effect did not prevail over a longer delay. These findings suggest that emotional valence has reduced impact on memory in</w:t>
      </w:r>
      <w:r>
        <w:rPr>
          <w:spacing w:val="-6"/>
        </w:rPr>
        <w:t xml:space="preserve"> </w:t>
      </w:r>
      <w:r>
        <w:t>ASD.</w:t>
      </w:r>
    </w:p>
    <w:p w14:paraId="2B1F5CFD" w14:textId="77777777" w:rsidR="00C75312" w:rsidRDefault="00BB293A">
      <w:pPr>
        <w:pStyle w:val="BodyText"/>
        <w:spacing w:before="121" w:line="480" w:lineRule="auto"/>
        <w:ind w:left="140" w:right="230" w:firstLine="720"/>
        <w:jc w:val="both"/>
      </w:pPr>
      <w:r>
        <w:t>In sum, this suggests that changing context might at least to some extent present an additional challenge when performing PM in everyday life for individuals with ASD. Based</w:t>
      </w:r>
    </w:p>
    <w:p w14:paraId="6D3F2CE6" w14:textId="77777777" w:rsidR="00C75312" w:rsidRDefault="00C75312">
      <w:pPr>
        <w:spacing w:line="480" w:lineRule="auto"/>
        <w:jc w:val="both"/>
        <w:sectPr w:rsidR="00C75312">
          <w:pgSz w:w="11900" w:h="16840"/>
          <w:pgMar w:top="1160" w:right="1200" w:bottom="280" w:left="1300" w:header="715" w:footer="0" w:gutter="0"/>
          <w:cols w:space="720"/>
        </w:sectPr>
      </w:pPr>
    </w:p>
    <w:p w14:paraId="2BAA6F56" w14:textId="77777777" w:rsidR="00C75312" w:rsidRDefault="00C75312">
      <w:pPr>
        <w:pStyle w:val="BodyText"/>
        <w:spacing w:before="9"/>
        <w:rPr>
          <w:sz w:val="15"/>
        </w:rPr>
      </w:pPr>
    </w:p>
    <w:p w14:paraId="447E12C7" w14:textId="77777777" w:rsidR="00C75312" w:rsidRDefault="00BB293A">
      <w:pPr>
        <w:pStyle w:val="BodyText"/>
        <w:spacing w:before="90" w:line="480" w:lineRule="auto"/>
        <w:ind w:left="140" w:right="224"/>
        <w:jc w:val="both"/>
      </w:pPr>
      <w:r>
        <w:t>on</w:t>
      </w:r>
      <w:r>
        <w:rPr>
          <w:spacing w:val="-5"/>
        </w:rPr>
        <w:t xml:space="preserve"> </w:t>
      </w:r>
      <w:r>
        <w:t>the</w:t>
      </w:r>
      <w:r>
        <w:rPr>
          <w:spacing w:val="-6"/>
        </w:rPr>
        <w:t xml:space="preserve"> </w:t>
      </w:r>
      <w:r>
        <w:t>above</w:t>
      </w:r>
      <w:r>
        <w:rPr>
          <w:spacing w:val="-6"/>
        </w:rPr>
        <w:t xml:space="preserve"> </w:t>
      </w:r>
      <w:r>
        <w:t>evidence,</w:t>
      </w:r>
      <w:r>
        <w:rPr>
          <w:spacing w:val="-2"/>
        </w:rPr>
        <w:t xml:space="preserve"> </w:t>
      </w:r>
      <w:r>
        <w:t>one</w:t>
      </w:r>
      <w:r>
        <w:rPr>
          <w:spacing w:val="-10"/>
        </w:rPr>
        <w:t xml:space="preserve"> </w:t>
      </w:r>
      <w:r>
        <w:t>might</w:t>
      </w:r>
      <w:r>
        <w:rPr>
          <w:spacing w:val="-4"/>
        </w:rPr>
        <w:t xml:space="preserve"> </w:t>
      </w:r>
      <w:r>
        <w:t>predict</w:t>
      </w:r>
      <w:r>
        <w:rPr>
          <w:spacing w:val="-4"/>
        </w:rPr>
        <w:t xml:space="preserve"> </w:t>
      </w:r>
      <w:r>
        <w:t>that</w:t>
      </w:r>
      <w:r>
        <w:rPr>
          <w:spacing w:val="-4"/>
        </w:rPr>
        <w:t xml:space="preserve"> </w:t>
      </w:r>
      <w:r>
        <w:t>positive</w:t>
      </w:r>
      <w:r>
        <w:rPr>
          <w:spacing w:val="-6"/>
        </w:rPr>
        <w:t xml:space="preserve"> </w:t>
      </w:r>
      <w:r>
        <w:t>context</w:t>
      </w:r>
      <w:r>
        <w:rPr>
          <w:spacing w:val="-3"/>
        </w:rPr>
        <w:t xml:space="preserve"> </w:t>
      </w:r>
      <w:r>
        <w:t>effect</w:t>
      </w:r>
      <w:r>
        <w:rPr>
          <w:spacing w:val="-4"/>
        </w:rPr>
        <w:t xml:space="preserve"> </w:t>
      </w:r>
      <w:r>
        <w:t>on</w:t>
      </w:r>
      <w:r>
        <w:rPr>
          <w:spacing w:val="-5"/>
        </w:rPr>
        <w:t xml:space="preserve"> </w:t>
      </w:r>
      <w:r>
        <w:t>PM</w:t>
      </w:r>
      <w:r>
        <w:rPr>
          <w:spacing w:val="-7"/>
        </w:rPr>
        <w:t xml:space="preserve"> </w:t>
      </w:r>
      <w:r>
        <w:t>in</w:t>
      </w:r>
      <w:r>
        <w:rPr>
          <w:spacing w:val="-10"/>
        </w:rPr>
        <w:t xml:space="preserve"> </w:t>
      </w:r>
      <w:r>
        <w:t>ASD</w:t>
      </w:r>
      <w:r>
        <w:rPr>
          <w:spacing w:val="-5"/>
        </w:rPr>
        <w:t xml:space="preserve"> </w:t>
      </w:r>
      <w:r>
        <w:t>will</w:t>
      </w:r>
      <w:r>
        <w:rPr>
          <w:spacing w:val="-9"/>
        </w:rPr>
        <w:t xml:space="preserve"> </w:t>
      </w:r>
      <w:r>
        <w:t>likely only occur in event-based, but not time-based, PM tasks. Conversely though, context induced forgetting effects might affect them less than NT participants. These predictions remain to be explored in future studies. If positive effects of context on PM were to be found in ASD, this would</w:t>
      </w:r>
      <w:r>
        <w:rPr>
          <w:spacing w:val="-1"/>
        </w:rPr>
        <w:t xml:space="preserve"> </w:t>
      </w:r>
      <w:r>
        <w:t>present</w:t>
      </w:r>
      <w:r>
        <w:rPr>
          <w:spacing w:val="-1"/>
        </w:rPr>
        <w:t xml:space="preserve"> </w:t>
      </w:r>
      <w:r>
        <w:t>a</w:t>
      </w:r>
      <w:r>
        <w:rPr>
          <w:spacing w:val="-6"/>
        </w:rPr>
        <w:t xml:space="preserve"> </w:t>
      </w:r>
      <w:r>
        <w:t>unique</w:t>
      </w:r>
      <w:r>
        <w:rPr>
          <w:spacing w:val="-7"/>
        </w:rPr>
        <w:t xml:space="preserve"> </w:t>
      </w:r>
      <w:r>
        <w:t>opportunity</w:t>
      </w:r>
      <w:r>
        <w:rPr>
          <w:spacing w:val="-5"/>
        </w:rPr>
        <w:t xml:space="preserve"> </w:t>
      </w:r>
      <w:r>
        <w:t>to</w:t>
      </w:r>
      <w:r>
        <w:rPr>
          <w:spacing w:val="-6"/>
        </w:rPr>
        <w:t xml:space="preserve"> </w:t>
      </w:r>
      <w:r>
        <w:t>develop</w:t>
      </w:r>
      <w:r>
        <w:rPr>
          <w:spacing w:val="-5"/>
        </w:rPr>
        <w:t xml:space="preserve"> </w:t>
      </w:r>
      <w:r>
        <w:t>further</w:t>
      </w:r>
      <w:r>
        <w:rPr>
          <w:spacing w:val="1"/>
        </w:rPr>
        <w:t xml:space="preserve"> </w:t>
      </w:r>
      <w:r>
        <w:t>strategies</w:t>
      </w:r>
      <w:r>
        <w:rPr>
          <w:spacing w:val="-3"/>
        </w:rPr>
        <w:t xml:space="preserve"> </w:t>
      </w:r>
      <w:r>
        <w:t>to</w:t>
      </w:r>
      <w:r>
        <w:rPr>
          <w:spacing w:val="-5"/>
        </w:rPr>
        <w:t xml:space="preserve"> </w:t>
      </w:r>
      <w:r>
        <w:t>improve</w:t>
      </w:r>
      <w:r>
        <w:rPr>
          <w:spacing w:val="-7"/>
        </w:rPr>
        <w:t xml:space="preserve"> </w:t>
      </w:r>
      <w:r>
        <w:t>their</w:t>
      </w:r>
      <w:r>
        <w:rPr>
          <w:spacing w:val="-3"/>
        </w:rPr>
        <w:t xml:space="preserve"> </w:t>
      </w:r>
      <w:r>
        <w:t>PM</w:t>
      </w:r>
      <w:r>
        <w:rPr>
          <w:spacing w:val="-3"/>
        </w:rPr>
        <w:t xml:space="preserve"> </w:t>
      </w:r>
      <w:r>
        <w:t>abilities. For</w:t>
      </w:r>
      <w:r>
        <w:rPr>
          <w:spacing w:val="-9"/>
        </w:rPr>
        <w:t xml:space="preserve"> </w:t>
      </w:r>
      <w:r>
        <w:t>instance,</w:t>
      </w:r>
      <w:r>
        <w:rPr>
          <w:spacing w:val="-7"/>
        </w:rPr>
        <w:t xml:space="preserve"> </w:t>
      </w:r>
      <w:r>
        <w:t>similarly</w:t>
      </w:r>
      <w:r>
        <w:rPr>
          <w:spacing w:val="-10"/>
        </w:rPr>
        <w:t xml:space="preserve"> </w:t>
      </w:r>
      <w:r>
        <w:t>to</w:t>
      </w:r>
      <w:r>
        <w:rPr>
          <w:spacing w:val="-14"/>
        </w:rPr>
        <w:t xml:space="preserve"> </w:t>
      </w:r>
      <w:proofErr w:type="spellStart"/>
      <w:r>
        <w:t>Waldum</w:t>
      </w:r>
      <w:proofErr w:type="spellEnd"/>
      <w:r>
        <w:rPr>
          <w:spacing w:val="-9"/>
        </w:rPr>
        <w:t xml:space="preserve"> </w:t>
      </w:r>
      <w:r>
        <w:t>and</w:t>
      </w:r>
      <w:r>
        <w:rPr>
          <w:spacing w:val="-14"/>
        </w:rPr>
        <w:t xml:space="preserve"> </w:t>
      </w:r>
      <w:r>
        <w:t>Sahakyan’s</w:t>
      </w:r>
      <w:r>
        <w:rPr>
          <w:spacing w:val="-12"/>
        </w:rPr>
        <w:t xml:space="preserve"> </w:t>
      </w:r>
      <w:r>
        <w:t>(2013)</w:t>
      </w:r>
      <w:r>
        <w:rPr>
          <w:spacing w:val="-9"/>
        </w:rPr>
        <w:t xml:space="preserve"> </w:t>
      </w:r>
      <w:r>
        <w:t>study,</w:t>
      </w:r>
      <w:r>
        <w:rPr>
          <w:spacing w:val="-12"/>
        </w:rPr>
        <w:t xml:space="preserve"> </w:t>
      </w:r>
      <w:r>
        <w:t>the</w:t>
      </w:r>
      <w:r>
        <w:rPr>
          <w:spacing w:val="-11"/>
        </w:rPr>
        <w:t xml:space="preserve"> </w:t>
      </w:r>
      <w:r>
        <w:t>use</w:t>
      </w:r>
      <w:r>
        <w:rPr>
          <w:spacing w:val="-11"/>
        </w:rPr>
        <w:t xml:space="preserve"> </w:t>
      </w:r>
      <w:r>
        <w:rPr>
          <w:spacing w:val="-3"/>
        </w:rPr>
        <w:t>of</w:t>
      </w:r>
      <w:r>
        <w:rPr>
          <w:spacing w:val="-8"/>
        </w:rPr>
        <w:t xml:space="preserve"> </w:t>
      </w:r>
      <w:r>
        <w:t>context</w:t>
      </w:r>
      <w:r>
        <w:rPr>
          <w:spacing w:val="-9"/>
        </w:rPr>
        <w:t xml:space="preserve"> </w:t>
      </w:r>
      <w:r>
        <w:t>information could be used to improve time-bas</w:t>
      </w:r>
      <w:r>
        <w:t xml:space="preserve">ed PM in ASD </w:t>
      </w:r>
      <w:r>
        <w:rPr>
          <w:spacing w:val="-3"/>
        </w:rPr>
        <w:t xml:space="preserve">if </w:t>
      </w:r>
      <w:r>
        <w:t>context itself served as PM</w:t>
      </w:r>
      <w:r>
        <w:rPr>
          <w:spacing w:val="6"/>
        </w:rPr>
        <w:t xml:space="preserve"> </w:t>
      </w:r>
      <w:r>
        <w:t>cue.</w:t>
      </w:r>
    </w:p>
    <w:p w14:paraId="33A342A5" w14:textId="77777777" w:rsidR="00C75312" w:rsidRDefault="00BB293A">
      <w:pPr>
        <w:pStyle w:val="BodyText"/>
        <w:spacing w:before="120" w:line="480" w:lineRule="auto"/>
        <w:ind w:left="140" w:right="228" w:firstLine="720"/>
        <w:jc w:val="both"/>
      </w:pPr>
      <w:r>
        <w:rPr>
          <w:b/>
        </w:rPr>
        <w:t xml:space="preserve">Influence of intention source and motivation </w:t>
      </w:r>
      <w:r>
        <w:rPr>
          <w:b/>
          <w:spacing w:val="-3"/>
        </w:rPr>
        <w:t xml:space="preserve">on </w:t>
      </w:r>
      <w:r>
        <w:rPr>
          <w:b/>
        </w:rPr>
        <w:t>PM</w:t>
      </w:r>
      <w:r>
        <w:t>. The source of one’s delayed intentions is another important factor when considering PM tasks in the lab and the real life. In experimental studies, intentions are usually provided by the experimenter</w:t>
      </w:r>
      <w:r>
        <w:rPr>
          <w:spacing w:val="-26"/>
        </w:rPr>
        <w:t xml:space="preserve"> </w:t>
      </w:r>
      <w:r>
        <w:t>(other-generated) whereas in everyday life individuals generate their intentions themselves based on their individual</w:t>
      </w:r>
      <w:r>
        <w:rPr>
          <w:spacing w:val="-10"/>
        </w:rPr>
        <w:t xml:space="preserve"> </w:t>
      </w:r>
      <w:r>
        <w:t>goals</w:t>
      </w:r>
      <w:r>
        <w:rPr>
          <w:spacing w:val="-11"/>
        </w:rPr>
        <w:t xml:space="preserve"> </w:t>
      </w:r>
      <w:r>
        <w:t>and</w:t>
      </w:r>
      <w:r>
        <w:rPr>
          <w:spacing w:val="-14"/>
        </w:rPr>
        <w:t xml:space="preserve"> </w:t>
      </w:r>
      <w:r>
        <w:t>needs</w:t>
      </w:r>
      <w:r>
        <w:rPr>
          <w:spacing w:val="-12"/>
        </w:rPr>
        <w:t xml:space="preserve"> </w:t>
      </w:r>
      <w:r>
        <w:t>(self-generated),</w:t>
      </w:r>
      <w:r>
        <w:rPr>
          <w:spacing w:val="-7"/>
        </w:rPr>
        <w:t xml:space="preserve"> </w:t>
      </w:r>
      <w:r>
        <w:t>which</w:t>
      </w:r>
      <w:r>
        <w:rPr>
          <w:spacing w:val="-19"/>
        </w:rPr>
        <w:t xml:space="preserve"> </w:t>
      </w:r>
      <w:r>
        <w:t>will</w:t>
      </w:r>
      <w:r>
        <w:rPr>
          <w:spacing w:val="-9"/>
        </w:rPr>
        <w:t xml:space="preserve"> </w:t>
      </w:r>
      <w:r>
        <w:t>naturally</w:t>
      </w:r>
      <w:r>
        <w:rPr>
          <w:spacing w:val="-14"/>
        </w:rPr>
        <w:t xml:space="preserve"> </w:t>
      </w:r>
      <w:r>
        <w:t>influence</w:t>
      </w:r>
      <w:r>
        <w:rPr>
          <w:spacing w:val="-15"/>
        </w:rPr>
        <w:t xml:space="preserve"> </w:t>
      </w:r>
      <w:r>
        <w:t>the</w:t>
      </w:r>
      <w:r>
        <w:rPr>
          <w:spacing w:val="-11"/>
        </w:rPr>
        <w:t xml:space="preserve"> </w:t>
      </w:r>
      <w:r>
        <w:t>level</w:t>
      </w:r>
      <w:r>
        <w:rPr>
          <w:spacing w:val="-13"/>
        </w:rPr>
        <w:t xml:space="preserve"> </w:t>
      </w:r>
      <w:r>
        <w:t>of</w:t>
      </w:r>
      <w:r>
        <w:rPr>
          <w:spacing w:val="-13"/>
        </w:rPr>
        <w:t xml:space="preserve"> </w:t>
      </w:r>
      <w:r>
        <w:t>personal importance of these intentions. As discussed in Chapter 4, the importance of an intention influences</w:t>
      </w:r>
      <w:r>
        <w:rPr>
          <w:spacing w:val="-17"/>
        </w:rPr>
        <w:t xml:space="preserve"> </w:t>
      </w:r>
      <w:r>
        <w:t>the</w:t>
      </w:r>
      <w:r>
        <w:rPr>
          <w:spacing w:val="-14"/>
        </w:rPr>
        <w:t xml:space="preserve"> </w:t>
      </w:r>
      <w:r>
        <w:t>motivation</w:t>
      </w:r>
      <w:r>
        <w:rPr>
          <w:spacing w:val="-18"/>
        </w:rPr>
        <w:t xml:space="preserve"> </w:t>
      </w:r>
      <w:r>
        <w:t>to</w:t>
      </w:r>
      <w:r>
        <w:rPr>
          <w:spacing w:val="-19"/>
        </w:rPr>
        <w:t xml:space="preserve"> </w:t>
      </w:r>
      <w:r>
        <w:t>fulfil</w:t>
      </w:r>
      <w:r>
        <w:rPr>
          <w:spacing w:val="-18"/>
        </w:rPr>
        <w:t xml:space="preserve"> </w:t>
      </w:r>
      <w:r>
        <w:t>it</w:t>
      </w:r>
      <w:r>
        <w:rPr>
          <w:spacing w:val="-18"/>
        </w:rPr>
        <w:t xml:space="preserve"> </w:t>
      </w:r>
      <w:r>
        <w:t>(Walter</w:t>
      </w:r>
      <w:r>
        <w:rPr>
          <w:spacing w:val="-17"/>
        </w:rPr>
        <w:t xml:space="preserve"> </w:t>
      </w:r>
      <w:r>
        <w:t>&amp;</w:t>
      </w:r>
      <w:r>
        <w:rPr>
          <w:spacing w:val="-18"/>
        </w:rPr>
        <w:t xml:space="preserve"> </w:t>
      </w:r>
      <w:r>
        <w:t>Meier,</w:t>
      </w:r>
      <w:r>
        <w:rPr>
          <w:spacing w:val="-12"/>
        </w:rPr>
        <w:t xml:space="preserve"> </w:t>
      </w:r>
      <w:r>
        <w:t>2014)</w:t>
      </w:r>
      <w:r>
        <w:rPr>
          <w:spacing w:val="-12"/>
        </w:rPr>
        <w:t xml:space="preserve"> </w:t>
      </w:r>
      <w:r>
        <w:t>and</w:t>
      </w:r>
      <w:r>
        <w:rPr>
          <w:spacing w:val="-19"/>
        </w:rPr>
        <w:t xml:space="preserve"> </w:t>
      </w:r>
      <w:r>
        <w:t>is</w:t>
      </w:r>
      <w:r>
        <w:rPr>
          <w:spacing w:val="-16"/>
        </w:rPr>
        <w:t xml:space="preserve"> </w:t>
      </w:r>
      <w:r>
        <w:t>therefore</w:t>
      </w:r>
      <w:r>
        <w:rPr>
          <w:spacing w:val="-14"/>
        </w:rPr>
        <w:t xml:space="preserve"> </w:t>
      </w:r>
      <w:r>
        <w:t>a</w:t>
      </w:r>
      <w:r>
        <w:rPr>
          <w:spacing w:val="-19"/>
        </w:rPr>
        <w:t xml:space="preserve"> </w:t>
      </w:r>
      <w:r>
        <w:t>crucial</w:t>
      </w:r>
      <w:r>
        <w:rPr>
          <w:spacing w:val="-19"/>
        </w:rPr>
        <w:t xml:space="preserve"> </w:t>
      </w:r>
      <w:r>
        <w:t xml:space="preserve">moderator for PM success. A study has shown that self-generated naturalistic intentions are completed more frequently than naturalistic intentions instructed by an experimenter (Oates &amp; </w:t>
      </w:r>
      <w:proofErr w:type="spellStart"/>
      <w:r>
        <w:t>Peynircioglu</w:t>
      </w:r>
      <w:proofErr w:type="spellEnd"/>
      <w:r>
        <w:t>, 2014). However, the advantage for self-generated intentions was dependent on the intention specificity; self-generated specific intentions were completed more often than experimenter-generated</w:t>
      </w:r>
      <w:r>
        <w:rPr>
          <w:spacing w:val="-5"/>
        </w:rPr>
        <w:t xml:space="preserve"> </w:t>
      </w:r>
      <w:r>
        <w:t>ones</w:t>
      </w:r>
      <w:r>
        <w:rPr>
          <w:spacing w:val="-7"/>
        </w:rPr>
        <w:t xml:space="preserve"> </w:t>
      </w:r>
      <w:r>
        <w:t>but</w:t>
      </w:r>
      <w:r>
        <w:rPr>
          <w:spacing w:val="-4"/>
        </w:rPr>
        <w:t xml:space="preserve"> </w:t>
      </w:r>
      <w:r>
        <w:t>for</w:t>
      </w:r>
      <w:r>
        <w:rPr>
          <w:spacing w:val="-3"/>
        </w:rPr>
        <w:t xml:space="preserve"> </w:t>
      </w:r>
      <w:r>
        <w:t>broader</w:t>
      </w:r>
      <w:r>
        <w:rPr>
          <w:spacing w:val="-8"/>
        </w:rPr>
        <w:t xml:space="preserve"> </w:t>
      </w:r>
      <w:r>
        <w:t>intentions</w:t>
      </w:r>
      <w:r>
        <w:rPr>
          <w:spacing w:val="-7"/>
        </w:rPr>
        <w:t xml:space="preserve"> </w:t>
      </w:r>
      <w:r>
        <w:t>no</w:t>
      </w:r>
      <w:r>
        <w:rPr>
          <w:spacing w:val="-5"/>
        </w:rPr>
        <w:t xml:space="preserve"> </w:t>
      </w:r>
      <w:r>
        <w:t>difference</w:t>
      </w:r>
      <w:r>
        <w:rPr>
          <w:spacing w:val="-6"/>
        </w:rPr>
        <w:t xml:space="preserve"> </w:t>
      </w:r>
      <w:r>
        <w:t>of</w:t>
      </w:r>
      <w:r>
        <w:rPr>
          <w:spacing w:val="-8"/>
        </w:rPr>
        <w:t xml:space="preserve"> </w:t>
      </w:r>
      <w:r>
        <w:t>intention</w:t>
      </w:r>
      <w:r>
        <w:rPr>
          <w:spacing w:val="-5"/>
        </w:rPr>
        <w:t xml:space="preserve"> </w:t>
      </w:r>
      <w:r>
        <w:t>source</w:t>
      </w:r>
      <w:r>
        <w:rPr>
          <w:spacing w:val="-6"/>
        </w:rPr>
        <w:t xml:space="preserve"> </w:t>
      </w:r>
      <w:r>
        <w:t xml:space="preserve">could be observed. Two other studies found that the personally rated importance of intentions influenced completion of naturalistic intentions (Ihle, </w:t>
      </w:r>
      <w:proofErr w:type="spellStart"/>
      <w:r>
        <w:t>Schnitzspahn</w:t>
      </w:r>
      <w:proofErr w:type="spellEnd"/>
      <w:r>
        <w:t xml:space="preserve">, Rendell, Luong, &amp; </w:t>
      </w:r>
      <w:proofErr w:type="spellStart"/>
      <w:r>
        <w:t>Kliegel</w:t>
      </w:r>
      <w:proofErr w:type="spellEnd"/>
      <w:r>
        <w:t xml:space="preserve">, 2012; </w:t>
      </w:r>
      <w:proofErr w:type="spellStart"/>
      <w:r>
        <w:t>Niedźwieńska</w:t>
      </w:r>
      <w:proofErr w:type="spellEnd"/>
      <w:r>
        <w:t xml:space="preserve">, Janik, &amp; </w:t>
      </w:r>
      <w:proofErr w:type="spellStart"/>
      <w:r>
        <w:t>Jarczyńska</w:t>
      </w:r>
      <w:proofErr w:type="spellEnd"/>
      <w:r>
        <w:t>, 2013), and revealed that importance and better</w:t>
      </w:r>
      <w:r>
        <w:rPr>
          <w:spacing w:val="1"/>
        </w:rPr>
        <w:t xml:space="preserve"> </w:t>
      </w:r>
      <w:r>
        <w:t>planning</w:t>
      </w:r>
      <w:r>
        <w:rPr>
          <w:spacing w:val="-5"/>
        </w:rPr>
        <w:t xml:space="preserve"> </w:t>
      </w:r>
      <w:r>
        <w:t>seem</w:t>
      </w:r>
      <w:r>
        <w:rPr>
          <w:spacing w:val="-4"/>
        </w:rPr>
        <w:t xml:space="preserve"> </w:t>
      </w:r>
      <w:r>
        <w:t>to</w:t>
      </w:r>
      <w:r>
        <w:rPr>
          <w:spacing w:val="-5"/>
        </w:rPr>
        <w:t xml:space="preserve"> </w:t>
      </w:r>
      <w:r>
        <w:t>moderate</w:t>
      </w:r>
      <w:r>
        <w:rPr>
          <w:spacing w:val="-6"/>
        </w:rPr>
        <w:t xml:space="preserve"> </w:t>
      </w:r>
      <w:r>
        <w:t>an</w:t>
      </w:r>
      <w:r>
        <w:rPr>
          <w:spacing w:val="-1"/>
        </w:rPr>
        <w:t xml:space="preserve"> </w:t>
      </w:r>
      <w:r>
        <w:t>age-effect</w:t>
      </w:r>
      <w:r>
        <w:rPr>
          <w:spacing w:val="-4"/>
        </w:rPr>
        <w:t xml:space="preserve"> </w:t>
      </w:r>
      <w:r>
        <w:t>of</w:t>
      </w:r>
      <w:r>
        <w:rPr>
          <w:spacing w:val="-8"/>
        </w:rPr>
        <w:t xml:space="preserve"> </w:t>
      </w:r>
      <w:r>
        <w:t>older</w:t>
      </w:r>
      <w:r>
        <w:rPr>
          <w:spacing w:val="2"/>
        </w:rPr>
        <w:t xml:space="preserve"> </w:t>
      </w:r>
      <w:r>
        <w:t>adults</w:t>
      </w:r>
      <w:r>
        <w:rPr>
          <w:spacing w:val="-7"/>
        </w:rPr>
        <w:t xml:space="preserve"> </w:t>
      </w:r>
      <w:r>
        <w:t>performing</w:t>
      </w:r>
      <w:r>
        <w:rPr>
          <w:spacing w:val="-5"/>
        </w:rPr>
        <w:t xml:space="preserve"> </w:t>
      </w:r>
      <w:r>
        <w:t>better</w:t>
      </w:r>
      <w:r>
        <w:rPr>
          <w:spacing w:val="-3"/>
        </w:rPr>
        <w:t xml:space="preserve"> </w:t>
      </w:r>
      <w:r>
        <w:t>at</w:t>
      </w:r>
      <w:r>
        <w:rPr>
          <w:spacing w:val="-5"/>
        </w:rPr>
        <w:t xml:space="preserve"> </w:t>
      </w:r>
      <w:r>
        <w:t>naturalistic PM tasks. Thus, personal importance of own goals and intentions might increase individuals’ motivation leading to increased efforts (e.g., bett</w:t>
      </w:r>
      <w:r>
        <w:t>er planning) to complete them. However,</w:t>
      </w:r>
      <w:r>
        <w:rPr>
          <w:spacing w:val="-31"/>
        </w:rPr>
        <w:t xml:space="preserve"> </w:t>
      </w:r>
      <w:r>
        <w:t>the</w:t>
      </w:r>
    </w:p>
    <w:p w14:paraId="1940926E" w14:textId="77777777" w:rsidR="00C75312" w:rsidRDefault="00C75312">
      <w:pPr>
        <w:spacing w:line="480" w:lineRule="auto"/>
        <w:jc w:val="both"/>
        <w:sectPr w:rsidR="00C75312">
          <w:pgSz w:w="11900" w:h="16840"/>
          <w:pgMar w:top="1160" w:right="1200" w:bottom="280" w:left="1300" w:header="715" w:footer="0" w:gutter="0"/>
          <w:cols w:space="720"/>
        </w:sectPr>
      </w:pPr>
    </w:p>
    <w:p w14:paraId="5D3E3B4F" w14:textId="77777777" w:rsidR="00C75312" w:rsidRDefault="00C75312">
      <w:pPr>
        <w:pStyle w:val="BodyText"/>
        <w:spacing w:before="9"/>
        <w:rPr>
          <w:sz w:val="15"/>
        </w:rPr>
      </w:pPr>
    </w:p>
    <w:p w14:paraId="37762C21" w14:textId="77777777" w:rsidR="00C75312" w:rsidRDefault="00BB293A">
      <w:pPr>
        <w:pStyle w:val="BodyText"/>
        <w:spacing w:before="90" w:line="480" w:lineRule="auto"/>
        <w:ind w:left="140" w:right="228"/>
        <w:jc w:val="both"/>
      </w:pPr>
      <w:r>
        <w:t>personal</w:t>
      </w:r>
      <w:r>
        <w:rPr>
          <w:spacing w:val="-11"/>
        </w:rPr>
        <w:t xml:space="preserve"> </w:t>
      </w:r>
      <w:r>
        <w:t>importance</w:t>
      </w:r>
      <w:r>
        <w:rPr>
          <w:spacing w:val="-12"/>
        </w:rPr>
        <w:t xml:space="preserve"> </w:t>
      </w:r>
      <w:r>
        <w:t>of</w:t>
      </w:r>
      <w:r>
        <w:rPr>
          <w:spacing w:val="-10"/>
        </w:rPr>
        <w:t xml:space="preserve"> </w:t>
      </w:r>
      <w:r>
        <w:t>self-generated</w:t>
      </w:r>
      <w:r>
        <w:rPr>
          <w:spacing w:val="-11"/>
        </w:rPr>
        <w:t xml:space="preserve"> </w:t>
      </w:r>
      <w:r>
        <w:t>intentions</w:t>
      </w:r>
      <w:r>
        <w:rPr>
          <w:spacing w:val="-13"/>
        </w:rPr>
        <w:t xml:space="preserve"> </w:t>
      </w:r>
      <w:r>
        <w:t>is</w:t>
      </w:r>
      <w:r>
        <w:rPr>
          <w:spacing w:val="-18"/>
        </w:rPr>
        <w:t xml:space="preserve"> </w:t>
      </w:r>
      <w:r>
        <w:t>not</w:t>
      </w:r>
      <w:r>
        <w:rPr>
          <w:spacing w:val="-10"/>
        </w:rPr>
        <w:t xml:space="preserve"> </w:t>
      </w:r>
      <w:r>
        <w:t>necessarily</w:t>
      </w:r>
      <w:r>
        <w:rPr>
          <w:spacing w:val="-12"/>
        </w:rPr>
        <w:t xml:space="preserve"> </w:t>
      </w:r>
      <w:r>
        <w:t>greater</w:t>
      </w:r>
      <w:r>
        <w:rPr>
          <w:spacing w:val="-9"/>
        </w:rPr>
        <w:t xml:space="preserve"> </w:t>
      </w:r>
      <w:r>
        <w:t>than</w:t>
      </w:r>
      <w:r>
        <w:rPr>
          <w:spacing w:val="-11"/>
        </w:rPr>
        <w:t xml:space="preserve"> </w:t>
      </w:r>
      <w:r>
        <w:t>other-generated ones (</w:t>
      </w:r>
      <w:proofErr w:type="spellStart"/>
      <w:r>
        <w:t>Kvavilashvili</w:t>
      </w:r>
      <w:proofErr w:type="spellEnd"/>
      <w:r>
        <w:t xml:space="preserve"> &amp; Ellis, 1996). Certainly, everyone can think of a time when they forgot to carry out something important intention that they intended to do (e.g., booking a medical appointment) but remembered to do something important they got told by someone else (e.g. booking a table at a restaurant for family celebrations). In the case of other-/experimenter- generated intentions, positive effects of social impo</w:t>
      </w:r>
      <w:r>
        <w:t>rtance (</w:t>
      </w:r>
      <w:proofErr w:type="spellStart"/>
      <w:r>
        <w:t>Altgassen</w:t>
      </w:r>
      <w:proofErr w:type="spellEnd"/>
      <w:r>
        <w:t xml:space="preserve">, </w:t>
      </w:r>
      <w:proofErr w:type="spellStart"/>
      <w:r>
        <w:t>Kliegel</w:t>
      </w:r>
      <w:proofErr w:type="spellEnd"/>
      <w:r>
        <w:t xml:space="preserve">, </w:t>
      </w:r>
      <w:proofErr w:type="spellStart"/>
      <w:r>
        <w:t>Brandimonte</w:t>
      </w:r>
      <w:proofErr w:type="spellEnd"/>
      <w:r>
        <w:t>, &amp;</w:t>
      </w:r>
      <w:r>
        <w:rPr>
          <w:spacing w:val="-15"/>
        </w:rPr>
        <w:t xml:space="preserve"> </w:t>
      </w:r>
      <w:r>
        <w:t>Filippello,</w:t>
      </w:r>
      <w:r>
        <w:rPr>
          <w:spacing w:val="-13"/>
        </w:rPr>
        <w:t xml:space="preserve"> </w:t>
      </w:r>
      <w:r>
        <w:t>2010;</w:t>
      </w:r>
      <w:r>
        <w:rPr>
          <w:spacing w:val="-20"/>
        </w:rPr>
        <w:t xml:space="preserve"> </w:t>
      </w:r>
      <w:r>
        <w:t>Cicogna</w:t>
      </w:r>
      <w:r>
        <w:rPr>
          <w:spacing w:val="-16"/>
        </w:rPr>
        <w:t xml:space="preserve"> </w:t>
      </w:r>
      <w:r>
        <w:t>&amp;</w:t>
      </w:r>
      <w:r>
        <w:rPr>
          <w:spacing w:val="-15"/>
        </w:rPr>
        <w:t xml:space="preserve"> </w:t>
      </w:r>
      <w:r>
        <w:t>Nigro,</w:t>
      </w:r>
      <w:r>
        <w:rPr>
          <w:spacing w:val="-17"/>
        </w:rPr>
        <w:t xml:space="preserve"> </w:t>
      </w:r>
      <w:r>
        <w:t>1998;</w:t>
      </w:r>
      <w:r>
        <w:rPr>
          <w:spacing w:val="-15"/>
        </w:rPr>
        <w:t xml:space="preserve"> </w:t>
      </w:r>
      <w:r>
        <w:t>Penningroth,</w:t>
      </w:r>
      <w:r>
        <w:rPr>
          <w:spacing w:val="-18"/>
        </w:rPr>
        <w:t xml:space="preserve"> </w:t>
      </w:r>
      <w:r>
        <w:t>Scott,</w:t>
      </w:r>
      <w:r>
        <w:rPr>
          <w:spacing w:val="-17"/>
        </w:rPr>
        <w:t xml:space="preserve"> </w:t>
      </w:r>
      <w:r>
        <w:t>&amp;</w:t>
      </w:r>
      <w:r>
        <w:rPr>
          <w:spacing w:val="-15"/>
        </w:rPr>
        <w:t xml:space="preserve"> </w:t>
      </w:r>
      <w:proofErr w:type="spellStart"/>
      <w:r>
        <w:t>Freuen</w:t>
      </w:r>
      <w:proofErr w:type="spellEnd"/>
      <w:r>
        <w:t>,</w:t>
      </w:r>
      <w:r>
        <w:rPr>
          <w:spacing w:val="-13"/>
        </w:rPr>
        <w:t xml:space="preserve"> </w:t>
      </w:r>
      <w:r>
        <w:t>2011)</w:t>
      </w:r>
      <w:r>
        <w:rPr>
          <w:spacing w:val="-14"/>
        </w:rPr>
        <w:t xml:space="preserve"> </w:t>
      </w:r>
      <w:r>
        <w:t>might</w:t>
      </w:r>
      <w:r>
        <w:rPr>
          <w:spacing w:val="-15"/>
        </w:rPr>
        <w:t xml:space="preserve"> </w:t>
      </w:r>
      <w:r>
        <w:t xml:space="preserve">balance out potential negative effects of other-generated intentions. For the study </w:t>
      </w:r>
      <w:r>
        <w:rPr>
          <w:spacing w:val="-3"/>
        </w:rPr>
        <w:t xml:space="preserve">of </w:t>
      </w:r>
      <w:r>
        <w:t>PM in ASD, personal importance of intentions has so far not been considered. It would be therefore</w:t>
      </w:r>
      <w:r>
        <w:rPr>
          <w:spacing w:val="-25"/>
        </w:rPr>
        <w:t xml:space="preserve"> </w:t>
      </w:r>
      <w:r>
        <w:t xml:space="preserve">crucial to investigate how their motivation to fulfil intentions is influence by a) the source </w:t>
      </w:r>
      <w:r>
        <w:rPr>
          <w:spacing w:val="-3"/>
        </w:rPr>
        <w:t xml:space="preserve">of </w:t>
      </w:r>
      <w:r>
        <w:t xml:space="preserve">an intention and b) personal relevance/importance of an intention, and whether these effects vary under different conditions (lab vs real life) and PM tasks (event- vs time-based). Given that time-based PM improved in ASD using </w:t>
      </w:r>
      <w:r>
        <w:t>a relative importance instruction (see Chapter 4), it may well be that self-generated personally highly important intentions could have similar beneficial effects. However, personal importance was found to benefit PM performance in older adults due to better planning (</w:t>
      </w:r>
      <w:proofErr w:type="spellStart"/>
      <w:r>
        <w:t>Niedźwieńska</w:t>
      </w:r>
      <w:proofErr w:type="spellEnd"/>
      <w:r>
        <w:t xml:space="preserve"> et al., 2013). Given difficulties with planning</w:t>
      </w:r>
      <w:r>
        <w:rPr>
          <w:spacing w:val="-5"/>
        </w:rPr>
        <w:t xml:space="preserve"> </w:t>
      </w:r>
      <w:r>
        <w:t>in</w:t>
      </w:r>
      <w:r>
        <w:rPr>
          <w:spacing w:val="-5"/>
        </w:rPr>
        <w:t xml:space="preserve"> </w:t>
      </w:r>
      <w:r>
        <w:t>ASD</w:t>
      </w:r>
      <w:r>
        <w:rPr>
          <w:spacing w:val="-9"/>
        </w:rPr>
        <w:t xml:space="preserve"> </w:t>
      </w:r>
      <w:r>
        <w:t>(Olde</w:t>
      </w:r>
      <w:r>
        <w:rPr>
          <w:spacing w:val="-6"/>
        </w:rPr>
        <w:t xml:space="preserve"> </w:t>
      </w:r>
      <w:proofErr w:type="spellStart"/>
      <w:r>
        <w:t>Dubbelink</w:t>
      </w:r>
      <w:proofErr w:type="spellEnd"/>
      <w:r>
        <w:rPr>
          <w:spacing w:val="-5"/>
        </w:rPr>
        <w:t xml:space="preserve"> </w:t>
      </w:r>
      <w:r>
        <w:t>&amp;</w:t>
      </w:r>
      <w:r>
        <w:rPr>
          <w:spacing w:val="-8"/>
        </w:rPr>
        <w:t xml:space="preserve"> </w:t>
      </w:r>
      <w:r>
        <w:t>Geurts,</w:t>
      </w:r>
      <w:r>
        <w:rPr>
          <w:spacing w:val="-7"/>
        </w:rPr>
        <w:t xml:space="preserve"> </w:t>
      </w:r>
      <w:r>
        <w:t>2017;</w:t>
      </w:r>
      <w:r>
        <w:rPr>
          <w:spacing w:val="-9"/>
        </w:rPr>
        <w:t xml:space="preserve"> </w:t>
      </w:r>
      <w:r>
        <w:t>Williams</w:t>
      </w:r>
      <w:r>
        <w:rPr>
          <w:spacing w:val="-6"/>
        </w:rPr>
        <w:t xml:space="preserve"> </w:t>
      </w:r>
      <w:r>
        <w:t>&amp;</w:t>
      </w:r>
      <w:r>
        <w:rPr>
          <w:spacing w:val="-4"/>
        </w:rPr>
        <w:t xml:space="preserve"> </w:t>
      </w:r>
      <w:r>
        <w:t>Jarrold,</w:t>
      </w:r>
      <w:r>
        <w:rPr>
          <w:spacing w:val="-2"/>
        </w:rPr>
        <w:t xml:space="preserve"> </w:t>
      </w:r>
      <w:r>
        <w:t>2013),</w:t>
      </w:r>
      <w:r>
        <w:rPr>
          <w:spacing w:val="-7"/>
        </w:rPr>
        <w:t xml:space="preserve"> </w:t>
      </w:r>
      <w:r>
        <w:t>it</w:t>
      </w:r>
      <w:r>
        <w:rPr>
          <w:spacing w:val="-3"/>
        </w:rPr>
        <w:t xml:space="preserve"> </w:t>
      </w:r>
      <w:r>
        <w:t>could</w:t>
      </w:r>
      <w:r>
        <w:rPr>
          <w:spacing w:val="-5"/>
        </w:rPr>
        <w:t xml:space="preserve"> </w:t>
      </w:r>
      <w:r>
        <w:t>also</w:t>
      </w:r>
      <w:r>
        <w:rPr>
          <w:spacing w:val="-5"/>
        </w:rPr>
        <w:t xml:space="preserve"> </w:t>
      </w:r>
      <w:r>
        <w:t>be that personal importance does not positively affect PM in</w:t>
      </w:r>
      <w:r>
        <w:rPr>
          <w:spacing w:val="2"/>
        </w:rPr>
        <w:t xml:space="preserve"> </w:t>
      </w:r>
      <w:r>
        <w:t>ASD.</w:t>
      </w:r>
    </w:p>
    <w:p w14:paraId="4B87AD14" w14:textId="77777777" w:rsidR="00C75312" w:rsidRDefault="00BB293A">
      <w:pPr>
        <w:pStyle w:val="BodyText"/>
        <w:spacing w:before="121" w:line="480" w:lineRule="auto"/>
        <w:ind w:left="140" w:right="228" w:firstLine="720"/>
        <w:jc w:val="both"/>
      </w:pPr>
      <w:r>
        <w:rPr>
          <w:b/>
        </w:rPr>
        <w:t xml:space="preserve">Intention offloading. </w:t>
      </w:r>
      <w:r>
        <w:t>In everyday life, the use of memory aids or setting reminders is a common strategy to support PM. For instance, Kim and Mayhorn (2008) found that university students reported the frequent use of memory aids in everyday life, which was enhancing PM performance, especially time-based PM, outside the laboratory setting. The process</w:t>
      </w:r>
      <w:r>
        <w:rPr>
          <w:spacing w:val="-13"/>
        </w:rPr>
        <w:t xml:space="preserve"> </w:t>
      </w:r>
      <w:r>
        <w:t>of</w:t>
      </w:r>
      <w:r>
        <w:rPr>
          <w:spacing w:val="-9"/>
        </w:rPr>
        <w:t xml:space="preserve"> </w:t>
      </w:r>
      <w:r>
        <w:t>setting</w:t>
      </w:r>
      <w:r>
        <w:rPr>
          <w:spacing w:val="-10"/>
        </w:rPr>
        <w:t xml:space="preserve"> </w:t>
      </w:r>
      <w:r>
        <w:t>an</w:t>
      </w:r>
      <w:r>
        <w:rPr>
          <w:spacing w:val="-11"/>
        </w:rPr>
        <w:t xml:space="preserve"> </w:t>
      </w:r>
      <w:r>
        <w:t>external</w:t>
      </w:r>
      <w:r>
        <w:rPr>
          <w:spacing w:val="-10"/>
        </w:rPr>
        <w:t xml:space="preserve"> </w:t>
      </w:r>
      <w:r>
        <w:t>reminder</w:t>
      </w:r>
      <w:r>
        <w:rPr>
          <w:spacing w:val="-8"/>
        </w:rPr>
        <w:t xml:space="preserve"> </w:t>
      </w:r>
      <w:r>
        <w:t>as</w:t>
      </w:r>
      <w:r>
        <w:rPr>
          <w:spacing w:val="-13"/>
        </w:rPr>
        <w:t xml:space="preserve"> </w:t>
      </w:r>
      <w:r>
        <w:t>an</w:t>
      </w:r>
      <w:r>
        <w:rPr>
          <w:spacing w:val="-11"/>
        </w:rPr>
        <w:t xml:space="preserve"> </w:t>
      </w:r>
      <w:r>
        <w:t>environmental</w:t>
      </w:r>
      <w:r>
        <w:rPr>
          <w:spacing w:val="-9"/>
        </w:rPr>
        <w:t xml:space="preserve"> </w:t>
      </w:r>
      <w:r>
        <w:t>PM</w:t>
      </w:r>
      <w:r>
        <w:rPr>
          <w:spacing w:val="-13"/>
        </w:rPr>
        <w:t xml:space="preserve"> </w:t>
      </w:r>
      <w:r>
        <w:t>cue</w:t>
      </w:r>
      <w:r>
        <w:rPr>
          <w:spacing w:val="-11"/>
        </w:rPr>
        <w:t xml:space="preserve"> </w:t>
      </w:r>
      <w:r>
        <w:t>has</w:t>
      </w:r>
      <w:r>
        <w:rPr>
          <w:spacing w:val="-13"/>
        </w:rPr>
        <w:t xml:space="preserve"> </w:t>
      </w:r>
      <w:r>
        <w:t>been</w:t>
      </w:r>
      <w:r>
        <w:rPr>
          <w:spacing w:val="-10"/>
        </w:rPr>
        <w:t xml:space="preserve"> </w:t>
      </w:r>
      <w:r>
        <w:t>termed</w:t>
      </w:r>
      <w:r>
        <w:rPr>
          <w:spacing w:val="-11"/>
        </w:rPr>
        <w:t xml:space="preserve"> </w:t>
      </w:r>
      <w:r>
        <w:t>“intention offloading” (Risko &amp; Gilbert, 2016). Gilbert (2015a) developed a novel laboratory intention off</w:t>
      </w:r>
      <w:r>
        <w:t>loading</w:t>
      </w:r>
      <w:r>
        <w:rPr>
          <w:spacing w:val="-11"/>
        </w:rPr>
        <w:t xml:space="preserve"> </w:t>
      </w:r>
      <w:r>
        <w:t>PM</w:t>
      </w:r>
      <w:r>
        <w:rPr>
          <w:spacing w:val="-16"/>
        </w:rPr>
        <w:t xml:space="preserve"> </w:t>
      </w:r>
      <w:r>
        <w:t>task,</w:t>
      </w:r>
      <w:r>
        <w:rPr>
          <w:spacing w:val="-8"/>
        </w:rPr>
        <w:t xml:space="preserve"> </w:t>
      </w:r>
      <w:r>
        <w:t>which</w:t>
      </w:r>
      <w:r>
        <w:rPr>
          <w:spacing w:val="-10"/>
        </w:rPr>
        <w:t xml:space="preserve"> </w:t>
      </w:r>
      <w:r>
        <w:t>might</w:t>
      </w:r>
      <w:r>
        <w:rPr>
          <w:spacing w:val="-9"/>
        </w:rPr>
        <w:t xml:space="preserve"> </w:t>
      </w:r>
      <w:r>
        <w:t>be</w:t>
      </w:r>
      <w:r>
        <w:rPr>
          <w:spacing w:val="-11"/>
        </w:rPr>
        <w:t xml:space="preserve"> </w:t>
      </w:r>
      <w:r>
        <w:t>more</w:t>
      </w:r>
      <w:r>
        <w:rPr>
          <w:spacing w:val="-11"/>
        </w:rPr>
        <w:t xml:space="preserve"> </w:t>
      </w:r>
      <w:r>
        <w:t>reflective</w:t>
      </w:r>
      <w:r>
        <w:rPr>
          <w:spacing w:val="-11"/>
        </w:rPr>
        <w:t xml:space="preserve"> </w:t>
      </w:r>
      <w:r>
        <w:t>of</w:t>
      </w:r>
      <w:r>
        <w:rPr>
          <w:spacing w:val="-8"/>
        </w:rPr>
        <w:t xml:space="preserve"> </w:t>
      </w:r>
      <w:r>
        <w:t>everyday</w:t>
      </w:r>
      <w:r>
        <w:rPr>
          <w:spacing w:val="-14"/>
        </w:rPr>
        <w:t xml:space="preserve"> </w:t>
      </w:r>
      <w:r>
        <w:t>life</w:t>
      </w:r>
      <w:r>
        <w:rPr>
          <w:spacing w:val="-11"/>
        </w:rPr>
        <w:t xml:space="preserve"> </w:t>
      </w:r>
      <w:r>
        <w:t>PM</w:t>
      </w:r>
      <w:r>
        <w:rPr>
          <w:spacing w:val="-12"/>
        </w:rPr>
        <w:t xml:space="preserve"> </w:t>
      </w:r>
      <w:r>
        <w:t>demands.</w:t>
      </w:r>
      <w:r>
        <w:rPr>
          <w:spacing w:val="34"/>
        </w:rPr>
        <w:t xml:space="preserve"> </w:t>
      </w:r>
      <w:r>
        <w:t>In</w:t>
      </w:r>
      <w:r>
        <w:rPr>
          <w:spacing w:val="-10"/>
        </w:rPr>
        <w:t xml:space="preserve"> </w:t>
      </w:r>
      <w:r>
        <w:t>this</w:t>
      </w:r>
      <w:r>
        <w:rPr>
          <w:spacing w:val="-12"/>
        </w:rPr>
        <w:t xml:space="preserve"> </w:t>
      </w:r>
      <w:r>
        <w:t>task,</w:t>
      </w:r>
    </w:p>
    <w:p w14:paraId="2F07AFDC" w14:textId="77777777" w:rsidR="00C75312" w:rsidRDefault="00C75312">
      <w:pPr>
        <w:spacing w:line="480" w:lineRule="auto"/>
        <w:jc w:val="both"/>
        <w:sectPr w:rsidR="00C75312">
          <w:pgSz w:w="11900" w:h="16840"/>
          <w:pgMar w:top="1160" w:right="1200" w:bottom="280" w:left="1300" w:header="715" w:footer="0" w:gutter="0"/>
          <w:cols w:space="720"/>
        </w:sectPr>
      </w:pPr>
    </w:p>
    <w:p w14:paraId="54F24B5C" w14:textId="77777777" w:rsidR="00C75312" w:rsidRDefault="00C75312">
      <w:pPr>
        <w:pStyle w:val="BodyText"/>
        <w:spacing w:before="9"/>
        <w:rPr>
          <w:sz w:val="15"/>
        </w:rPr>
      </w:pPr>
    </w:p>
    <w:p w14:paraId="6E41EA5A" w14:textId="77777777" w:rsidR="00C75312" w:rsidRDefault="00BB293A">
      <w:pPr>
        <w:pStyle w:val="BodyText"/>
        <w:spacing w:before="90"/>
        <w:ind w:left="140"/>
      </w:pPr>
      <w:r>
        <w:t>using the computer mouse, participants have to drag 10 circles containing the numbers one to</w:t>
      </w:r>
    </w:p>
    <w:p w14:paraId="71C8680B" w14:textId="77777777" w:rsidR="00C75312" w:rsidRDefault="00C75312">
      <w:pPr>
        <w:pStyle w:val="BodyText"/>
      </w:pPr>
    </w:p>
    <w:p w14:paraId="304C56D2" w14:textId="77777777" w:rsidR="00C75312" w:rsidRDefault="00BB293A">
      <w:pPr>
        <w:pStyle w:val="BodyText"/>
        <w:spacing w:line="480" w:lineRule="auto"/>
        <w:ind w:left="140" w:right="227"/>
        <w:jc w:val="both"/>
      </w:pPr>
      <w:r>
        <w:t xml:space="preserve">10 in order to the bottom of the screen where they disappear. A delayed intention is implemented on a trial-by-trial basis by giving the instruction to drag a specific number out of the box at a different location (left, right, or top). The task allows to manipulate PM memory load by using different number of targets (one to three). Although Gilbert (2015a) </w:t>
      </w:r>
      <w:proofErr w:type="spellStart"/>
      <w:r>
        <w:t>recognised</w:t>
      </w:r>
      <w:proofErr w:type="spellEnd"/>
      <w:r>
        <w:t xml:space="preserve"> that this task only involved very brief delays and, thus, may be more akin to a working memory/vigilance task, it might actually mirror real-life PM demands more accurately due to the constant change of number of intentions to be kept in mind. In keeping with this, they found that PM performance on the intention offloading task in NT participants predicted fulfilment of a naturalistic intention after several days. Gilbert (2015a) also found beneficial effects of intention offloading on PM, especi</w:t>
      </w:r>
      <w:r>
        <w:t>ally when several intentions had to be fulfilled or when distractions during the ongoing task occurred. Furthermore, metacognitive confidence ratings of PM abilities were found to predict the use of strategically setting reminders significantly (Gilbert, 2015b); i.e., participants with lower confidence ratings would use more reminders.</w:t>
      </w:r>
    </w:p>
    <w:p w14:paraId="7BAB949F" w14:textId="77777777" w:rsidR="00C75312" w:rsidRDefault="00BB293A">
      <w:pPr>
        <w:pStyle w:val="BodyText"/>
        <w:spacing w:before="121" w:line="480" w:lineRule="auto"/>
        <w:ind w:left="140" w:right="227" w:firstLine="720"/>
        <w:jc w:val="both"/>
      </w:pPr>
      <w:r>
        <w:t>As discussed above (p. 154) Cherkaoui and Gilbert (2017) explored intention offloading in ASD. There results indicated that individuals with ASD were able to employ reminders to some extent, however they did not adjust the level of reminder usage commensurate with their PM abilities, which was potentially linked to metacognition. These initial results on the effectiveness of intention offloading to facilitate PM in ASD in the laboratory are slightly discouraging. Given the large amount of evidence from retr</w:t>
      </w:r>
      <w:r>
        <w:t xml:space="preserve">ospective memory literature that shows that cued memory retrieval is not impaired in ASD (Boucher, Mayes, &amp; Bigham, 2012; Bowler, Gardiner, &amp; </w:t>
      </w:r>
      <w:proofErr w:type="spellStart"/>
      <w:r>
        <w:t>Berthollier</w:t>
      </w:r>
      <w:proofErr w:type="spellEnd"/>
      <w:r>
        <w:t>, 2004; Bowler, Gardiner, &amp; Grice, 2000), it seems highly unlikely that memory cues have actually negative effects, acting as additional ‘noise’ in the stream of stimuli that have to be processed. Equally, if memory cues</w:t>
      </w:r>
    </w:p>
    <w:p w14:paraId="00718BE8" w14:textId="77777777" w:rsidR="00C75312" w:rsidRDefault="00C75312">
      <w:pPr>
        <w:spacing w:line="480" w:lineRule="auto"/>
        <w:jc w:val="both"/>
        <w:sectPr w:rsidR="00C75312">
          <w:pgSz w:w="11900" w:h="16840"/>
          <w:pgMar w:top="1160" w:right="1200" w:bottom="280" w:left="1300" w:header="715" w:footer="0" w:gutter="0"/>
          <w:cols w:space="720"/>
        </w:sectPr>
      </w:pPr>
    </w:p>
    <w:p w14:paraId="1F10E560" w14:textId="77777777" w:rsidR="00C75312" w:rsidRDefault="00C75312">
      <w:pPr>
        <w:pStyle w:val="BodyText"/>
        <w:spacing w:before="9"/>
        <w:rPr>
          <w:sz w:val="15"/>
        </w:rPr>
      </w:pPr>
    </w:p>
    <w:p w14:paraId="663C6027" w14:textId="77777777" w:rsidR="00C75312" w:rsidRDefault="00BB293A">
      <w:pPr>
        <w:pStyle w:val="BodyText"/>
        <w:spacing w:before="90" w:line="480" w:lineRule="auto"/>
        <w:ind w:left="140" w:right="229"/>
        <w:jc w:val="both"/>
      </w:pPr>
      <w:r>
        <w:t>were</w:t>
      </w:r>
      <w:r>
        <w:rPr>
          <w:spacing w:val="-12"/>
        </w:rPr>
        <w:t xml:space="preserve"> </w:t>
      </w:r>
      <w:r>
        <w:t>ineffective</w:t>
      </w:r>
      <w:r>
        <w:rPr>
          <w:spacing w:val="-16"/>
        </w:rPr>
        <w:t xml:space="preserve"> </w:t>
      </w:r>
      <w:r>
        <w:t>in</w:t>
      </w:r>
      <w:r>
        <w:rPr>
          <w:spacing w:val="-15"/>
        </w:rPr>
        <w:t xml:space="preserve"> </w:t>
      </w:r>
      <w:r>
        <w:t>ASD,</w:t>
      </w:r>
      <w:r>
        <w:rPr>
          <w:spacing w:val="-12"/>
        </w:rPr>
        <w:t xml:space="preserve"> </w:t>
      </w:r>
      <w:r>
        <w:t>we</w:t>
      </w:r>
      <w:r>
        <w:rPr>
          <w:spacing w:val="-12"/>
        </w:rPr>
        <w:t xml:space="preserve"> </w:t>
      </w:r>
      <w:r>
        <w:t>would</w:t>
      </w:r>
      <w:r>
        <w:rPr>
          <w:spacing w:val="-15"/>
        </w:rPr>
        <w:t xml:space="preserve"> </w:t>
      </w:r>
      <w:r>
        <w:t>expect</w:t>
      </w:r>
      <w:r>
        <w:rPr>
          <w:spacing w:val="-10"/>
        </w:rPr>
        <w:t xml:space="preserve"> </w:t>
      </w:r>
      <w:r>
        <w:t>to</w:t>
      </w:r>
      <w:r>
        <w:rPr>
          <w:spacing w:val="-10"/>
        </w:rPr>
        <w:t xml:space="preserve"> </w:t>
      </w:r>
      <w:r>
        <w:t>see</w:t>
      </w:r>
      <w:r>
        <w:rPr>
          <w:spacing w:val="-16"/>
        </w:rPr>
        <w:t xml:space="preserve"> </w:t>
      </w:r>
      <w:r>
        <w:t>impaired</w:t>
      </w:r>
      <w:r>
        <w:rPr>
          <w:spacing w:val="-11"/>
        </w:rPr>
        <w:t xml:space="preserve"> </w:t>
      </w:r>
      <w:r>
        <w:t>event-based</w:t>
      </w:r>
      <w:r>
        <w:rPr>
          <w:spacing w:val="-11"/>
        </w:rPr>
        <w:t xml:space="preserve"> </w:t>
      </w:r>
      <w:r>
        <w:t>PM,</w:t>
      </w:r>
      <w:r>
        <w:rPr>
          <w:spacing w:val="-8"/>
        </w:rPr>
        <w:t xml:space="preserve"> </w:t>
      </w:r>
      <w:r>
        <w:t>which</w:t>
      </w:r>
      <w:r>
        <w:rPr>
          <w:spacing w:val="-14"/>
        </w:rPr>
        <w:t xml:space="preserve"> </w:t>
      </w:r>
      <w:r>
        <w:t>has</w:t>
      </w:r>
      <w:r>
        <w:rPr>
          <w:spacing w:val="-13"/>
        </w:rPr>
        <w:t xml:space="preserve"> </w:t>
      </w:r>
      <w:r>
        <w:t>not</w:t>
      </w:r>
      <w:r>
        <w:rPr>
          <w:spacing w:val="-15"/>
        </w:rPr>
        <w:t xml:space="preserve"> </w:t>
      </w:r>
      <w:r>
        <w:t xml:space="preserve">been shown in a number of well-controlled studies (see Chapter 1). It could be that the additional task to set reminders themselves increases overall processing demands in ASD. Thus, </w:t>
      </w:r>
      <w:r>
        <w:rPr>
          <w:spacing w:val="-3"/>
        </w:rPr>
        <w:t xml:space="preserve">it </w:t>
      </w:r>
      <w:r>
        <w:t>may be</w:t>
      </w:r>
      <w:r>
        <w:rPr>
          <w:spacing w:val="-11"/>
        </w:rPr>
        <w:t xml:space="preserve"> </w:t>
      </w:r>
      <w:r>
        <w:t>the</w:t>
      </w:r>
      <w:r>
        <w:rPr>
          <w:spacing w:val="-10"/>
        </w:rPr>
        <w:t xml:space="preserve"> </w:t>
      </w:r>
      <w:r>
        <w:t>self-initiated</w:t>
      </w:r>
      <w:r>
        <w:rPr>
          <w:spacing w:val="-10"/>
        </w:rPr>
        <w:t xml:space="preserve"> </w:t>
      </w:r>
      <w:r>
        <w:t>generation</w:t>
      </w:r>
      <w:r>
        <w:rPr>
          <w:spacing w:val="-10"/>
        </w:rPr>
        <w:t xml:space="preserve"> </w:t>
      </w:r>
      <w:r>
        <w:t>of</w:t>
      </w:r>
      <w:r>
        <w:rPr>
          <w:spacing w:val="-7"/>
        </w:rPr>
        <w:t xml:space="preserve"> </w:t>
      </w:r>
      <w:r>
        <w:t>reminders</w:t>
      </w:r>
      <w:r>
        <w:rPr>
          <w:spacing w:val="-12"/>
        </w:rPr>
        <w:t xml:space="preserve"> </w:t>
      </w:r>
      <w:r>
        <w:t>that</w:t>
      </w:r>
      <w:r>
        <w:rPr>
          <w:spacing w:val="-8"/>
        </w:rPr>
        <w:t xml:space="preserve"> </w:t>
      </w:r>
      <w:r>
        <w:t>is</w:t>
      </w:r>
      <w:r>
        <w:rPr>
          <w:spacing w:val="-16"/>
        </w:rPr>
        <w:t xml:space="preserve"> </w:t>
      </w:r>
      <w:r>
        <w:t>not</w:t>
      </w:r>
      <w:r>
        <w:rPr>
          <w:spacing w:val="-9"/>
        </w:rPr>
        <w:t xml:space="preserve"> </w:t>
      </w:r>
      <w:r>
        <w:t>beneficial</w:t>
      </w:r>
      <w:r>
        <w:rPr>
          <w:spacing w:val="-9"/>
        </w:rPr>
        <w:t xml:space="preserve"> </w:t>
      </w:r>
      <w:r>
        <w:t>to</w:t>
      </w:r>
      <w:r>
        <w:rPr>
          <w:spacing w:val="-9"/>
        </w:rPr>
        <w:t xml:space="preserve"> </w:t>
      </w:r>
      <w:r>
        <w:t>performance</w:t>
      </w:r>
      <w:r>
        <w:rPr>
          <w:spacing w:val="-11"/>
        </w:rPr>
        <w:t xml:space="preserve"> </w:t>
      </w:r>
      <w:r>
        <w:t>in</w:t>
      </w:r>
      <w:r>
        <w:rPr>
          <w:spacing w:val="-9"/>
        </w:rPr>
        <w:t xml:space="preserve"> </w:t>
      </w:r>
      <w:r>
        <w:t>ASD</w:t>
      </w:r>
      <w:r>
        <w:rPr>
          <w:spacing w:val="-15"/>
        </w:rPr>
        <w:t xml:space="preserve"> </w:t>
      </w:r>
      <w:r>
        <w:t xml:space="preserve">rather than the use </w:t>
      </w:r>
      <w:r>
        <w:rPr>
          <w:spacing w:val="-3"/>
        </w:rPr>
        <w:t xml:space="preserve">of </w:t>
      </w:r>
      <w:r>
        <w:t>the reminders in everyday life itself. Nonetheless, the relative usefulness of intention</w:t>
      </w:r>
      <w:r>
        <w:rPr>
          <w:spacing w:val="-12"/>
        </w:rPr>
        <w:t xml:space="preserve"> </w:t>
      </w:r>
      <w:r>
        <w:t>offloading</w:t>
      </w:r>
      <w:r>
        <w:rPr>
          <w:spacing w:val="-11"/>
        </w:rPr>
        <w:t xml:space="preserve"> </w:t>
      </w:r>
      <w:r>
        <w:t>should</w:t>
      </w:r>
      <w:r>
        <w:rPr>
          <w:spacing w:val="-11"/>
        </w:rPr>
        <w:t xml:space="preserve"> </w:t>
      </w:r>
      <w:r>
        <w:t>be</w:t>
      </w:r>
      <w:r>
        <w:rPr>
          <w:spacing w:val="-15"/>
        </w:rPr>
        <w:t xml:space="preserve"> </w:t>
      </w:r>
      <w:r>
        <w:t>explored</w:t>
      </w:r>
      <w:r>
        <w:rPr>
          <w:spacing w:val="-12"/>
        </w:rPr>
        <w:t xml:space="preserve"> </w:t>
      </w:r>
      <w:r>
        <w:t>under</w:t>
      </w:r>
      <w:r>
        <w:rPr>
          <w:spacing w:val="-9"/>
        </w:rPr>
        <w:t xml:space="preserve"> </w:t>
      </w:r>
      <w:r>
        <w:t>real-life</w:t>
      </w:r>
      <w:r>
        <w:rPr>
          <w:spacing w:val="-12"/>
        </w:rPr>
        <w:t xml:space="preserve"> </w:t>
      </w:r>
      <w:r>
        <w:t>demands</w:t>
      </w:r>
      <w:r>
        <w:rPr>
          <w:spacing w:val="-13"/>
        </w:rPr>
        <w:t xml:space="preserve"> </w:t>
      </w:r>
      <w:r>
        <w:t>for</w:t>
      </w:r>
      <w:r>
        <w:rPr>
          <w:spacing w:val="-14"/>
        </w:rPr>
        <w:t xml:space="preserve"> </w:t>
      </w:r>
      <w:r>
        <w:t>both</w:t>
      </w:r>
      <w:r>
        <w:rPr>
          <w:spacing w:val="-14"/>
        </w:rPr>
        <w:t xml:space="preserve"> </w:t>
      </w:r>
      <w:r>
        <w:t>event-</w:t>
      </w:r>
      <w:r>
        <w:rPr>
          <w:spacing w:val="-14"/>
        </w:rPr>
        <w:t xml:space="preserve"> </w:t>
      </w:r>
      <w:r>
        <w:t>and</w:t>
      </w:r>
      <w:r>
        <w:rPr>
          <w:spacing w:val="-11"/>
        </w:rPr>
        <w:t xml:space="preserve"> </w:t>
      </w:r>
      <w:r>
        <w:t>time-based PM with a critical focus on the role of metacognitive skills in ASD.</w:t>
      </w:r>
    </w:p>
    <w:p w14:paraId="35419A10" w14:textId="77777777" w:rsidR="00C75312" w:rsidRDefault="00BB293A">
      <w:pPr>
        <w:pStyle w:val="Heading1"/>
        <w:spacing w:before="120"/>
        <w:jc w:val="both"/>
      </w:pPr>
      <w:bookmarkStart w:id="30" w:name="_TOC_250003"/>
      <w:bookmarkEnd w:id="30"/>
      <w:r>
        <w:t>Challenges of PM research in ASD</w:t>
      </w:r>
    </w:p>
    <w:p w14:paraId="30C02A89" w14:textId="77777777" w:rsidR="00C75312" w:rsidRDefault="00C75312">
      <w:pPr>
        <w:pStyle w:val="BodyText"/>
        <w:rPr>
          <w:b/>
        </w:rPr>
      </w:pPr>
    </w:p>
    <w:p w14:paraId="572C91A0" w14:textId="77777777" w:rsidR="00C75312" w:rsidRDefault="00BB293A">
      <w:pPr>
        <w:pStyle w:val="BodyText"/>
        <w:spacing w:line="480" w:lineRule="auto"/>
        <w:ind w:left="140" w:right="227" w:firstLine="720"/>
        <w:jc w:val="both"/>
      </w:pPr>
      <w:r>
        <w:t xml:space="preserve">In terms of prevalence rates, around 1% of the population receive a diagnosis of ASD (Baird et al., 2006; </w:t>
      </w:r>
      <w:proofErr w:type="spellStart"/>
      <w:r>
        <w:t>Brugha</w:t>
      </w:r>
      <w:proofErr w:type="spellEnd"/>
      <w:r>
        <w:t xml:space="preserve">, McManus, Bankart, &amp; et al., 2011). Due to the vast heterogeneity of the autism spectrum, the requirement of a minimum level </w:t>
      </w:r>
      <w:r>
        <w:rPr>
          <w:spacing w:val="-3"/>
        </w:rPr>
        <w:t xml:space="preserve">of </w:t>
      </w:r>
      <w:r>
        <w:t xml:space="preserve">intellectual abilities, as well as the need for stringent matching procedures to achieve meaningful and informative results (Mervis &amp; Klein-Tasman, 2004; Shaked &amp; </w:t>
      </w:r>
      <w:proofErr w:type="spellStart"/>
      <w:r>
        <w:t>Yirmiya</w:t>
      </w:r>
      <w:proofErr w:type="spellEnd"/>
      <w:r>
        <w:t>, 2004), the participant pool of ASD participants who can realistically take part in research studies is small. This naturally affects the sample size with which autism researchers have to work with and lead</w:t>
      </w:r>
      <w:r>
        <w:t>s inevitably to a discussion of the question of statistical power. Potential lack of power was an issue in the studies</w:t>
      </w:r>
      <w:r>
        <w:rPr>
          <w:spacing w:val="-12"/>
        </w:rPr>
        <w:t xml:space="preserve"> </w:t>
      </w:r>
      <w:r>
        <w:t>reported</w:t>
      </w:r>
      <w:r>
        <w:rPr>
          <w:spacing w:val="-9"/>
        </w:rPr>
        <w:t xml:space="preserve"> </w:t>
      </w:r>
      <w:r>
        <w:t>in</w:t>
      </w:r>
      <w:r>
        <w:rPr>
          <w:spacing w:val="-10"/>
        </w:rPr>
        <w:t xml:space="preserve"> </w:t>
      </w:r>
      <w:r>
        <w:t>Chapters</w:t>
      </w:r>
      <w:r>
        <w:rPr>
          <w:spacing w:val="-11"/>
        </w:rPr>
        <w:t xml:space="preserve"> </w:t>
      </w:r>
      <w:r>
        <w:t>2</w:t>
      </w:r>
      <w:r>
        <w:rPr>
          <w:spacing w:val="-10"/>
        </w:rPr>
        <w:t xml:space="preserve"> </w:t>
      </w:r>
      <w:r>
        <w:t>and</w:t>
      </w:r>
      <w:r>
        <w:rPr>
          <w:spacing w:val="-9"/>
        </w:rPr>
        <w:t xml:space="preserve"> </w:t>
      </w:r>
      <w:r>
        <w:t>3,</w:t>
      </w:r>
      <w:r>
        <w:rPr>
          <w:spacing w:val="-7"/>
        </w:rPr>
        <w:t xml:space="preserve"> </w:t>
      </w:r>
      <w:r>
        <w:t>especially,</w:t>
      </w:r>
      <w:r>
        <w:rPr>
          <w:spacing w:val="-7"/>
        </w:rPr>
        <w:t xml:space="preserve"> </w:t>
      </w:r>
      <w:r>
        <w:t>in</w:t>
      </w:r>
      <w:r>
        <w:rPr>
          <w:spacing w:val="-9"/>
        </w:rPr>
        <w:t xml:space="preserve"> </w:t>
      </w:r>
      <w:r>
        <w:t>which</w:t>
      </w:r>
      <w:r>
        <w:rPr>
          <w:spacing w:val="-10"/>
        </w:rPr>
        <w:t xml:space="preserve"> </w:t>
      </w:r>
      <w:r>
        <w:t>no</w:t>
      </w:r>
      <w:r>
        <w:rPr>
          <w:spacing w:val="-9"/>
        </w:rPr>
        <w:t xml:space="preserve"> </w:t>
      </w:r>
      <w:r>
        <w:t>significant</w:t>
      </w:r>
      <w:r>
        <w:rPr>
          <w:spacing w:val="-9"/>
        </w:rPr>
        <w:t xml:space="preserve"> </w:t>
      </w:r>
      <w:r>
        <w:t>group</w:t>
      </w:r>
      <w:r>
        <w:rPr>
          <w:spacing w:val="-9"/>
        </w:rPr>
        <w:t xml:space="preserve"> </w:t>
      </w:r>
      <w:r>
        <w:t>differences</w:t>
      </w:r>
      <w:r>
        <w:rPr>
          <w:spacing w:val="-11"/>
        </w:rPr>
        <w:t xml:space="preserve"> </w:t>
      </w:r>
      <w:r>
        <w:t>were found.</w:t>
      </w:r>
      <w:r>
        <w:rPr>
          <w:spacing w:val="40"/>
        </w:rPr>
        <w:t xml:space="preserve"> </w:t>
      </w:r>
      <w:r>
        <w:t>The</w:t>
      </w:r>
      <w:r>
        <w:rPr>
          <w:spacing w:val="-11"/>
        </w:rPr>
        <w:t xml:space="preserve"> </w:t>
      </w:r>
      <w:r>
        <w:t>following</w:t>
      </w:r>
      <w:r>
        <w:rPr>
          <w:spacing w:val="-9"/>
        </w:rPr>
        <w:t xml:space="preserve"> </w:t>
      </w:r>
      <w:r>
        <w:t>section</w:t>
      </w:r>
      <w:r>
        <w:rPr>
          <w:spacing w:val="-10"/>
        </w:rPr>
        <w:t xml:space="preserve"> </w:t>
      </w:r>
      <w:r>
        <w:t>will</w:t>
      </w:r>
      <w:r>
        <w:rPr>
          <w:spacing w:val="-8"/>
        </w:rPr>
        <w:t xml:space="preserve"> </w:t>
      </w:r>
      <w:r>
        <w:t>discuss</w:t>
      </w:r>
      <w:r>
        <w:rPr>
          <w:spacing w:val="-12"/>
        </w:rPr>
        <w:t xml:space="preserve"> </w:t>
      </w:r>
      <w:r>
        <w:t>the</w:t>
      </w:r>
      <w:r>
        <w:rPr>
          <w:spacing w:val="-10"/>
        </w:rPr>
        <w:t xml:space="preserve"> </w:t>
      </w:r>
      <w:r>
        <w:t>issue</w:t>
      </w:r>
      <w:r>
        <w:rPr>
          <w:spacing w:val="-6"/>
        </w:rPr>
        <w:t xml:space="preserve"> </w:t>
      </w:r>
      <w:r>
        <w:t>of</w:t>
      </w:r>
      <w:r>
        <w:rPr>
          <w:spacing w:val="-7"/>
        </w:rPr>
        <w:t xml:space="preserve"> </w:t>
      </w:r>
      <w:r>
        <w:t>power</w:t>
      </w:r>
      <w:r>
        <w:rPr>
          <w:spacing w:val="-8"/>
        </w:rPr>
        <w:t xml:space="preserve"> </w:t>
      </w:r>
      <w:r>
        <w:t>in</w:t>
      </w:r>
      <w:r>
        <w:rPr>
          <w:spacing w:val="-9"/>
        </w:rPr>
        <w:t xml:space="preserve"> </w:t>
      </w:r>
      <w:r>
        <w:t>ASD</w:t>
      </w:r>
      <w:r>
        <w:rPr>
          <w:spacing w:val="-10"/>
        </w:rPr>
        <w:t xml:space="preserve"> </w:t>
      </w:r>
      <w:r>
        <w:t>research</w:t>
      </w:r>
      <w:r>
        <w:rPr>
          <w:spacing w:val="-9"/>
        </w:rPr>
        <w:t xml:space="preserve"> </w:t>
      </w:r>
      <w:r>
        <w:t>and</w:t>
      </w:r>
      <w:r>
        <w:rPr>
          <w:spacing w:val="-10"/>
        </w:rPr>
        <w:t xml:space="preserve"> </w:t>
      </w:r>
      <w:r>
        <w:t>how</w:t>
      </w:r>
      <w:r>
        <w:rPr>
          <w:spacing w:val="-9"/>
        </w:rPr>
        <w:t xml:space="preserve"> </w:t>
      </w:r>
      <w:r>
        <w:t>it</w:t>
      </w:r>
      <w:r>
        <w:rPr>
          <w:spacing w:val="-9"/>
        </w:rPr>
        <w:t xml:space="preserve"> </w:t>
      </w:r>
      <w:r>
        <w:t>could be addressed by the use of Bayesian</w:t>
      </w:r>
      <w:r>
        <w:rPr>
          <w:spacing w:val="10"/>
        </w:rPr>
        <w:t xml:space="preserve"> </w:t>
      </w:r>
      <w:r>
        <w:t>analyses.</w:t>
      </w:r>
    </w:p>
    <w:p w14:paraId="63DB8861" w14:textId="77777777" w:rsidR="00C75312" w:rsidRDefault="00BB293A">
      <w:pPr>
        <w:pStyle w:val="BodyText"/>
        <w:spacing w:before="121" w:line="480" w:lineRule="auto"/>
        <w:ind w:left="140" w:right="227" w:firstLine="720"/>
        <w:jc w:val="both"/>
      </w:pPr>
      <w:r>
        <w:t>The aim of any power analysis is to calculate the number of participants that are required to achieve statistically and clinically meaningful results (Cicchetti et al., 2011). However, given a large enough sample size, statistical power will be large enough for even trivial effects to become significant. With regard to recruitment issues ASD research, it is therefore important to find a balance between the fear of being underpowered to detect clinically negligible small effects and the effort it requires to</w:t>
      </w:r>
      <w:r>
        <w:t xml:space="preserve"> achieve greater power. In</w:t>
      </w:r>
    </w:p>
    <w:p w14:paraId="780BE899" w14:textId="77777777" w:rsidR="00C75312" w:rsidRDefault="00C75312">
      <w:pPr>
        <w:spacing w:line="480" w:lineRule="auto"/>
        <w:jc w:val="both"/>
        <w:sectPr w:rsidR="00C75312">
          <w:pgSz w:w="11900" w:h="16840"/>
          <w:pgMar w:top="1160" w:right="1200" w:bottom="280" w:left="1300" w:header="715" w:footer="0" w:gutter="0"/>
          <w:cols w:space="720"/>
        </w:sectPr>
      </w:pPr>
    </w:p>
    <w:p w14:paraId="7BE71CFB" w14:textId="77777777" w:rsidR="00C75312" w:rsidRDefault="00C75312">
      <w:pPr>
        <w:pStyle w:val="BodyText"/>
        <w:spacing w:before="9"/>
        <w:rPr>
          <w:sz w:val="15"/>
        </w:rPr>
      </w:pPr>
    </w:p>
    <w:p w14:paraId="6C4FBC7F" w14:textId="77777777" w:rsidR="00C75312" w:rsidRDefault="00BB293A">
      <w:pPr>
        <w:pStyle w:val="BodyText"/>
        <w:spacing w:before="90" w:line="480" w:lineRule="auto"/>
        <w:ind w:left="140" w:right="224"/>
        <w:jc w:val="both"/>
      </w:pPr>
      <w:r>
        <w:t>economics, this is reflected in the marginal utility/diminishing returns concept, which essentially</w:t>
      </w:r>
      <w:r>
        <w:rPr>
          <w:spacing w:val="-5"/>
        </w:rPr>
        <w:t xml:space="preserve"> </w:t>
      </w:r>
      <w:r>
        <w:t>reflects</w:t>
      </w:r>
      <w:r>
        <w:rPr>
          <w:spacing w:val="-7"/>
        </w:rPr>
        <w:t xml:space="preserve"> </w:t>
      </w:r>
      <w:r>
        <w:t>that</w:t>
      </w:r>
      <w:r>
        <w:rPr>
          <w:spacing w:val="-4"/>
        </w:rPr>
        <w:t xml:space="preserve"> </w:t>
      </w:r>
      <w:r>
        <w:t>more</w:t>
      </w:r>
      <w:r>
        <w:rPr>
          <w:spacing w:val="-10"/>
        </w:rPr>
        <w:t xml:space="preserve"> </w:t>
      </w:r>
      <w:r>
        <w:t>of</w:t>
      </w:r>
      <w:r>
        <w:rPr>
          <w:spacing w:val="-8"/>
        </w:rPr>
        <w:t xml:space="preserve"> </w:t>
      </w:r>
      <w:r>
        <w:t>something</w:t>
      </w:r>
      <w:r>
        <w:rPr>
          <w:spacing w:val="-9"/>
        </w:rPr>
        <w:t xml:space="preserve"> </w:t>
      </w:r>
      <w:r>
        <w:t>(in</w:t>
      </w:r>
      <w:r>
        <w:rPr>
          <w:spacing w:val="-10"/>
        </w:rPr>
        <w:t xml:space="preserve"> </w:t>
      </w:r>
      <w:r>
        <w:t>this</w:t>
      </w:r>
      <w:r>
        <w:rPr>
          <w:spacing w:val="-12"/>
        </w:rPr>
        <w:t xml:space="preserve"> </w:t>
      </w:r>
      <w:r>
        <w:t>case</w:t>
      </w:r>
      <w:r>
        <w:rPr>
          <w:spacing w:val="-5"/>
        </w:rPr>
        <w:t xml:space="preserve"> </w:t>
      </w:r>
      <w:r>
        <w:t>adding</w:t>
      </w:r>
      <w:r>
        <w:rPr>
          <w:spacing w:val="-5"/>
        </w:rPr>
        <w:t xml:space="preserve"> </w:t>
      </w:r>
      <w:r>
        <w:t>participants</w:t>
      </w:r>
      <w:r>
        <w:rPr>
          <w:spacing w:val="-7"/>
        </w:rPr>
        <w:t xml:space="preserve"> </w:t>
      </w:r>
      <w:r>
        <w:t>to</w:t>
      </w:r>
      <w:r>
        <w:rPr>
          <w:spacing w:val="-9"/>
        </w:rPr>
        <w:t xml:space="preserve"> </w:t>
      </w:r>
      <w:r>
        <w:t>a</w:t>
      </w:r>
      <w:r>
        <w:rPr>
          <w:spacing w:val="-6"/>
        </w:rPr>
        <w:t xml:space="preserve"> </w:t>
      </w:r>
      <w:r>
        <w:t>sample)</w:t>
      </w:r>
      <w:r>
        <w:rPr>
          <w:spacing w:val="-8"/>
        </w:rPr>
        <w:t xml:space="preserve"> </w:t>
      </w:r>
      <w:r>
        <w:t>is</w:t>
      </w:r>
      <w:r>
        <w:rPr>
          <w:spacing w:val="-6"/>
        </w:rPr>
        <w:t xml:space="preserve"> </w:t>
      </w:r>
      <w:r>
        <w:t xml:space="preserve">only beneficial up to a certain point at which it reverts </w:t>
      </w:r>
      <w:r>
        <w:rPr>
          <w:spacing w:val="-3"/>
        </w:rPr>
        <w:t xml:space="preserve">to </w:t>
      </w:r>
      <w:r>
        <w:t>“too much of a good thing” (Von Wieser, 1893). Thus, together with the practical reality of recruitment in autism research, this ultimately leads to a trade-off between the aim to achieve good statistical power and precision in the results. Of course, statistical power in ASD research could always be increased by recruiting more participants, however the effort is r</w:t>
      </w:r>
      <w:r>
        <w:t>equired to do so is usually not commensurate with the return (Cicchetti et al., 2011). Additionally, it is not an option to sacrifice stringent procedural guidelines such as matching for the sake of power if it results in uninterpretable results. For instance, recruiting more participants to eventually find a negligible</w:t>
      </w:r>
      <w:r>
        <w:rPr>
          <w:spacing w:val="-6"/>
        </w:rPr>
        <w:t xml:space="preserve"> </w:t>
      </w:r>
      <w:r>
        <w:t>effect</w:t>
      </w:r>
      <w:r>
        <w:rPr>
          <w:spacing w:val="-5"/>
        </w:rPr>
        <w:t xml:space="preserve"> </w:t>
      </w:r>
      <w:r>
        <w:t>would</w:t>
      </w:r>
      <w:r>
        <w:rPr>
          <w:spacing w:val="-9"/>
        </w:rPr>
        <w:t xml:space="preserve"> </w:t>
      </w:r>
      <w:r>
        <w:t>be</w:t>
      </w:r>
      <w:r>
        <w:rPr>
          <w:spacing w:val="-6"/>
        </w:rPr>
        <w:t xml:space="preserve"> </w:t>
      </w:r>
      <w:r>
        <w:t>inefficient</w:t>
      </w:r>
      <w:r>
        <w:rPr>
          <w:spacing w:val="-4"/>
        </w:rPr>
        <w:t xml:space="preserve"> </w:t>
      </w:r>
      <w:r>
        <w:t>given</w:t>
      </w:r>
      <w:r>
        <w:rPr>
          <w:spacing w:val="-10"/>
        </w:rPr>
        <w:t xml:space="preserve"> </w:t>
      </w:r>
      <w:r>
        <w:t>the</w:t>
      </w:r>
      <w:r>
        <w:rPr>
          <w:spacing w:val="-6"/>
        </w:rPr>
        <w:t xml:space="preserve"> </w:t>
      </w:r>
      <w:r>
        <w:t>cost</w:t>
      </w:r>
      <w:r>
        <w:rPr>
          <w:spacing w:val="-4"/>
        </w:rPr>
        <w:t xml:space="preserve"> </w:t>
      </w:r>
      <w:r>
        <w:t>and</w:t>
      </w:r>
      <w:r>
        <w:rPr>
          <w:spacing w:val="-5"/>
        </w:rPr>
        <w:t xml:space="preserve"> </w:t>
      </w:r>
      <w:r>
        <w:t>time</w:t>
      </w:r>
      <w:r>
        <w:rPr>
          <w:spacing w:val="-11"/>
        </w:rPr>
        <w:t xml:space="preserve"> </w:t>
      </w:r>
      <w:r>
        <w:t>to</w:t>
      </w:r>
      <w:r>
        <w:rPr>
          <w:spacing w:val="-5"/>
        </w:rPr>
        <w:t xml:space="preserve"> </w:t>
      </w:r>
      <w:r>
        <w:t>administer</w:t>
      </w:r>
      <w:r>
        <w:rPr>
          <w:spacing w:val="-3"/>
        </w:rPr>
        <w:t xml:space="preserve"> </w:t>
      </w:r>
      <w:r>
        <w:t>and</w:t>
      </w:r>
      <w:r>
        <w:rPr>
          <w:spacing w:val="-10"/>
        </w:rPr>
        <w:t xml:space="preserve"> </w:t>
      </w:r>
      <w:r>
        <w:t>score</w:t>
      </w:r>
      <w:r>
        <w:rPr>
          <w:spacing w:val="-6"/>
        </w:rPr>
        <w:t xml:space="preserve"> </w:t>
      </w:r>
      <w:r>
        <w:t>measures that</w:t>
      </w:r>
      <w:r>
        <w:rPr>
          <w:spacing w:val="-15"/>
        </w:rPr>
        <w:t xml:space="preserve"> </w:t>
      </w:r>
      <w:r>
        <w:t>are</w:t>
      </w:r>
      <w:r>
        <w:rPr>
          <w:spacing w:val="-16"/>
        </w:rPr>
        <w:t xml:space="preserve"> </w:t>
      </w:r>
      <w:r>
        <w:t>(perceived</w:t>
      </w:r>
      <w:r>
        <w:rPr>
          <w:spacing w:val="-14"/>
        </w:rPr>
        <w:t xml:space="preserve"> </w:t>
      </w:r>
      <w:r>
        <w:t>as)</w:t>
      </w:r>
      <w:r>
        <w:rPr>
          <w:spacing w:val="-14"/>
        </w:rPr>
        <w:t xml:space="preserve"> </w:t>
      </w:r>
      <w:r>
        <w:t>gold-standard</w:t>
      </w:r>
      <w:r>
        <w:rPr>
          <w:spacing w:val="-14"/>
        </w:rPr>
        <w:t xml:space="preserve"> </w:t>
      </w:r>
      <w:r>
        <w:t>in</w:t>
      </w:r>
      <w:r>
        <w:rPr>
          <w:spacing w:val="-15"/>
        </w:rPr>
        <w:t xml:space="preserve"> </w:t>
      </w:r>
      <w:r>
        <w:t>ASD</w:t>
      </w:r>
      <w:r>
        <w:rPr>
          <w:spacing w:val="-15"/>
        </w:rPr>
        <w:t xml:space="preserve"> </w:t>
      </w:r>
      <w:r>
        <w:t>research</w:t>
      </w:r>
      <w:r>
        <w:rPr>
          <w:spacing w:val="-15"/>
        </w:rPr>
        <w:t xml:space="preserve"> </w:t>
      </w:r>
      <w:r>
        <w:t>(such</w:t>
      </w:r>
      <w:r>
        <w:rPr>
          <w:spacing w:val="-15"/>
        </w:rPr>
        <w:t xml:space="preserve"> </w:t>
      </w:r>
      <w:r>
        <w:t>as</w:t>
      </w:r>
      <w:r>
        <w:rPr>
          <w:spacing w:val="-17"/>
        </w:rPr>
        <w:t xml:space="preserve"> </w:t>
      </w:r>
      <w:r>
        <w:t>measures</w:t>
      </w:r>
      <w:r>
        <w:rPr>
          <w:spacing w:val="-17"/>
        </w:rPr>
        <w:t xml:space="preserve"> </w:t>
      </w:r>
      <w:r>
        <w:t>of</w:t>
      </w:r>
      <w:r>
        <w:rPr>
          <w:spacing w:val="-14"/>
        </w:rPr>
        <w:t xml:space="preserve"> </w:t>
      </w:r>
      <w:r>
        <w:t>intelligence,</w:t>
      </w:r>
      <w:r>
        <w:rPr>
          <w:spacing w:val="-13"/>
        </w:rPr>
        <w:t xml:space="preserve"> </w:t>
      </w:r>
      <w:r>
        <w:t>WASI- II, WISC-IV, or autism features, ADOS-2). Especially, the use of reliable instruments to measure intellectual ability is crucial as individuals with ASD display an uneven performance profile of strengths and weaknesses on different subtests or scales that are related to general intelligence level. For instance, studies have shown that certain measures of verbal and non- verbal abilities, such as the British Picture Vocabulary Scale (Dunn et al., 2009) or the Raven Progressive</w:t>
      </w:r>
      <w:r>
        <w:rPr>
          <w:spacing w:val="-7"/>
        </w:rPr>
        <w:t xml:space="preserve"> </w:t>
      </w:r>
      <w:r>
        <w:t>Matrices</w:t>
      </w:r>
      <w:r>
        <w:rPr>
          <w:spacing w:val="-8"/>
        </w:rPr>
        <w:t xml:space="preserve"> </w:t>
      </w:r>
      <w:r>
        <w:t>(Raven,</w:t>
      </w:r>
      <w:r>
        <w:rPr>
          <w:spacing w:val="-3"/>
        </w:rPr>
        <w:t xml:space="preserve"> </w:t>
      </w:r>
      <w:r>
        <w:t>1939)</w:t>
      </w:r>
      <w:r>
        <w:rPr>
          <w:spacing w:val="-4"/>
        </w:rPr>
        <w:t xml:space="preserve"> </w:t>
      </w:r>
      <w:r>
        <w:t>ov</w:t>
      </w:r>
      <w:r>
        <w:t>er-estimate</w:t>
      </w:r>
      <w:r>
        <w:rPr>
          <w:spacing w:val="-12"/>
        </w:rPr>
        <w:t xml:space="preserve"> </w:t>
      </w:r>
      <w:r>
        <w:t>cognitive</w:t>
      </w:r>
      <w:r>
        <w:rPr>
          <w:spacing w:val="-6"/>
        </w:rPr>
        <w:t xml:space="preserve"> </w:t>
      </w:r>
      <w:r>
        <w:t>ability</w:t>
      </w:r>
      <w:r>
        <w:rPr>
          <w:spacing w:val="-11"/>
        </w:rPr>
        <w:t xml:space="preserve"> </w:t>
      </w:r>
      <w:r>
        <w:t>in</w:t>
      </w:r>
      <w:r>
        <w:rPr>
          <w:spacing w:val="-11"/>
        </w:rPr>
        <w:t xml:space="preserve"> </w:t>
      </w:r>
      <w:r>
        <w:t>individuals</w:t>
      </w:r>
      <w:r>
        <w:rPr>
          <w:spacing w:val="-7"/>
        </w:rPr>
        <w:t xml:space="preserve"> </w:t>
      </w:r>
      <w:r>
        <w:t>with</w:t>
      </w:r>
      <w:r>
        <w:rPr>
          <w:spacing w:val="-11"/>
        </w:rPr>
        <w:t xml:space="preserve"> </w:t>
      </w:r>
      <w:r>
        <w:t>ASD</w:t>
      </w:r>
      <w:r>
        <w:rPr>
          <w:spacing w:val="-11"/>
        </w:rPr>
        <w:t xml:space="preserve"> </w:t>
      </w:r>
      <w:r>
        <w:t>in comparison to the Wechsler verbal IQ and full scale IQ (</w:t>
      </w:r>
      <w:proofErr w:type="spellStart"/>
      <w:r>
        <w:t>Bölte</w:t>
      </w:r>
      <w:proofErr w:type="spellEnd"/>
      <w:r>
        <w:t xml:space="preserve">, </w:t>
      </w:r>
      <w:proofErr w:type="spellStart"/>
      <w:r>
        <w:t>Dziobek</w:t>
      </w:r>
      <w:proofErr w:type="spellEnd"/>
      <w:r>
        <w:t xml:space="preserve">, &amp; </w:t>
      </w:r>
      <w:proofErr w:type="spellStart"/>
      <w:r>
        <w:t>Poustka</w:t>
      </w:r>
      <w:proofErr w:type="spellEnd"/>
      <w:r>
        <w:t xml:space="preserve">, 2009; </w:t>
      </w:r>
      <w:proofErr w:type="spellStart"/>
      <w:r>
        <w:t>Mottron</w:t>
      </w:r>
      <w:proofErr w:type="spellEnd"/>
      <w:r>
        <w:t>, 2004). Therefore, to ensure that participant groups were appropriately matched on baseline cognitive abilities in all studies, the WASI-II was employed throughout all experiments</w:t>
      </w:r>
      <w:r>
        <w:rPr>
          <w:spacing w:val="-7"/>
        </w:rPr>
        <w:t xml:space="preserve"> </w:t>
      </w:r>
      <w:r>
        <w:t>in</w:t>
      </w:r>
      <w:r>
        <w:rPr>
          <w:spacing w:val="-4"/>
        </w:rPr>
        <w:t xml:space="preserve"> </w:t>
      </w:r>
      <w:r>
        <w:t>this</w:t>
      </w:r>
      <w:r>
        <w:rPr>
          <w:spacing w:val="-7"/>
        </w:rPr>
        <w:t xml:space="preserve"> </w:t>
      </w:r>
      <w:r>
        <w:t>thesis</w:t>
      </w:r>
      <w:r>
        <w:rPr>
          <w:spacing w:val="-6"/>
        </w:rPr>
        <w:t xml:space="preserve"> </w:t>
      </w:r>
      <w:r>
        <w:t>as</w:t>
      </w:r>
      <w:r>
        <w:rPr>
          <w:spacing w:val="-7"/>
        </w:rPr>
        <w:t xml:space="preserve"> </w:t>
      </w:r>
      <w:r>
        <w:t>a</w:t>
      </w:r>
      <w:r>
        <w:rPr>
          <w:spacing w:val="-5"/>
        </w:rPr>
        <w:t xml:space="preserve"> </w:t>
      </w:r>
      <w:r>
        <w:t>more</w:t>
      </w:r>
      <w:r>
        <w:rPr>
          <w:spacing w:val="-5"/>
        </w:rPr>
        <w:t xml:space="preserve"> </w:t>
      </w:r>
      <w:r>
        <w:t>rigorous</w:t>
      </w:r>
      <w:r>
        <w:rPr>
          <w:spacing w:val="-7"/>
        </w:rPr>
        <w:t xml:space="preserve"> </w:t>
      </w:r>
      <w:r>
        <w:t>and</w:t>
      </w:r>
      <w:r>
        <w:rPr>
          <w:spacing w:val="-9"/>
        </w:rPr>
        <w:t xml:space="preserve"> </w:t>
      </w:r>
      <w:r>
        <w:t>more</w:t>
      </w:r>
      <w:r>
        <w:rPr>
          <w:spacing w:val="-6"/>
        </w:rPr>
        <w:t xml:space="preserve"> </w:t>
      </w:r>
      <w:r>
        <w:t>reliable</w:t>
      </w:r>
      <w:r>
        <w:rPr>
          <w:spacing w:val="-5"/>
        </w:rPr>
        <w:t xml:space="preserve"> </w:t>
      </w:r>
      <w:r>
        <w:t>measure</w:t>
      </w:r>
      <w:r>
        <w:rPr>
          <w:spacing w:val="-5"/>
        </w:rPr>
        <w:t xml:space="preserve"> </w:t>
      </w:r>
      <w:r>
        <w:rPr>
          <w:spacing w:val="-3"/>
        </w:rPr>
        <w:t xml:space="preserve">of </w:t>
      </w:r>
      <w:r>
        <w:t>intelligence</w:t>
      </w:r>
      <w:r>
        <w:rPr>
          <w:spacing w:val="-5"/>
        </w:rPr>
        <w:t xml:space="preserve"> </w:t>
      </w:r>
      <w:r>
        <w:t>in</w:t>
      </w:r>
      <w:r>
        <w:rPr>
          <w:spacing w:val="-10"/>
        </w:rPr>
        <w:t xml:space="preserve"> </w:t>
      </w:r>
      <w:r>
        <w:t>ASD (</w:t>
      </w:r>
      <w:proofErr w:type="spellStart"/>
      <w:r>
        <w:t>Mottron</w:t>
      </w:r>
      <w:proofErr w:type="spellEnd"/>
      <w:r>
        <w:t>, 2004). Equally, the sole use of self-report measures of ASD, such as the AQ questionnaire, has been found to lead to a high number of “false-negatives”; i.e., participants who</w:t>
      </w:r>
      <w:r>
        <w:rPr>
          <w:spacing w:val="-1"/>
        </w:rPr>
        <w:t xml:space="preserve"> </w:t>
      </w:r>
      <w:r>
        <w:t>had</w:t>
      </w:r>
      <w:r>
        <w:rPr>
          <w:spacing w:val="-5"/>
        </w:rPr>
        <w:t xml:space="preserve"> </w:t>
      </w:r>
      <w:r>
        <w:t>received a</w:t>
      </w:r>
      <w:r>
        <w:rPr>
          <w:spacing w:val="-6"/>
        </w:rPr>
        <w:t xml:space="preserve"> </w:t>
      </w:r>
      <w:r>
        <w:t>clinical</w:t>
      </w:r>
      <w:r>
        <w:rPr>
          <w:spacing w:val="-4"/>
        </w:rPr>
        <w:t xml:space="preserve"> </w:t>
      </w:r>
      <w:r>
        <w:t>diagnosis</w:t>
      </w:r>
      <w:r>
        <w:rPr>
          <w:spacing w:val="-2"/>
        </w:rPr>
        <w:t xml:space="preserve"> </w:t>
      </w:r>
      <w:r>
        <w:t>of</w:t>
      </w:r>
      <w:r>
        <w:rPr>
          <w:spacing w:val="-3"/>
        </w:rPr>
        <w:t xml:space="preserve"> </w:t>
      </w:r>
      <w:r>
        <w:t>ASD</w:t>
      </w:r>
      <w:r>
        <w:rPr>
          <w:spacing w:val="-6"/>
        </w:rPr>
        <w:t xml:space="preserve"> </w:t>
      </w:r>
      <w:r>
        <w:t>scored below</w:t>
      </w:r>
      <w:r>
        <w:rPr>
          <w:spacing w:val="-5"/>
        </w:rPr>
        <w:t xml:space="preserve"> </w:t>
      </w:r>
      <w:r>
        <w:t>the</w:t>
      </w:r>
      <w:r>
        <w:rPr>
          <w:spacing w:val="-1"/>
        </w:rPr>
        <w:t xml:space="preserve"> </w:t>
      </w:r>
      <w:r>
        <w:t>AQ</w:t>
      </w:r>
      <w:r>
        <w:rPr>
          <w:spacing w:val="-5"/>
        </w:rPr>
        <w:t xml:space="preserve"> </w:t>
      </w:r>
      <w:r>
        <w:t>screening cut-off</w:t>
      </w:r>
      <w:r>
        <w:rPr>
          <w:spacing w:val="-8"/>
        </w:rPr>
        <w:t xml:space="preserve"> </w:t>
      </w:r>
      <w:r>
        <w:t>for</w:t>
      </w:r>
      <w:r>
        <w:rPr>
          <w:spacing w:val="-3"/>
        </w:rPr>
        <w:t xml:space="preserve"> </w:t>
      </w:r>
      <w:r>
        <w:t>ASD</w:t>
      </w:r>
    </w:p>
    <w:p w14:paraId="49FF42F5" w14:textId="77777777" w:rsidR="00C75312" w:rsidRDefault="00C75312">
      <w:pPr>
        <w:spacing w:line="480" w:lineRule="auto"/>
        <w:jc w:val="both"/>
        <w:sectPr w:rsidR="00C75312">
          <w:pgSz w:w="11900" w:h="16840"/>
          <w:pgMar w:top="1160" w:right="1200" w:bottom="280" w:left="1300" w:header="715" w:footer="0" w:gutter="0"/>
          <w:cols w:space="720"/>
        </w:sectPr>
      </w:pPr>
    </w:p>
    <w:p w14:paraId="60B87D5B" w14:textId="77777777" w:rsidR="00C75312" w:rsidRDefault="00C75312">
      <w:pPr>
        <w:pStyle w:val="BodyText"/>
        <w:spacing w:before="9"/>
        <w:rPr>
          <w:sz w:val="15"/>
        </w:rPr>
      </w:pPr>
    </w:p>
    <w:p w14:paraId="20ADE96C" w14:textId="77777777" w:rsidR="00C75312" w:rsidRDefault="00BB293A">
      <w:pPr>
        <w:pStyle w:val="BodyText"/>
        <w:spacing w:before="90" w:line="480" w:lineRule="auto"/>
        <w:ind w:left="140" w:right="229"/>
        <w:jc w:val="both"/>
      </w:pPr>
      <w:r>
        <w:t xml:space="preserve">(Ashwood et al., 2016). Therefore, the ADOS-2 (Lord et al., 2012) was employed to enhance the </w:t>
      </w:r>
      <w:proofErr w:type="spellStart"/>
      <w:r>
        <w:t>characterisation</w:t>
      </w:r>
      <w:proofErr w:type="spellEnd"/>
      <w:r>
        <w:t xml:space="preserve"> of the ASD sample in Chapter 4 of this thesis instead of solely relying on a self-report measure of autism traits using the AQ questionnaire.</w:t>
      </w:r>
    </w:p>
    <w:p w14:paraId="4AE09426" w14:textId="77777777" w:rsidR="00C75312" w:rsidRDefault="00BB293A">
      <w:pPr>
        <w:pStyle w:val="BodyText"/>
        <w:spacing w:before="120" w:line="480" w:lineRule="auto"/>
        <w:ind w:left="140" w:right="228" w:firstLine="720"/>
        <w:jc w:val="both"/>
      </w:pPr>
      <w:r>
        <w:t>Along with the challenge of power, comes the question how to deal with null results. Classic null hypothesis significance testing does not provide any means to quantify the</w:t>
      </w:r>
      <w:r>
        <w:rPr>
          <w:spacing w:val="-25"/>
        </w:rPr>
        <w:t xml:space="preserve"> </w:t>
      </w:r>
      <w:r>
        <w:t xml:space="preserve">degree of evidence in </w:t>
      </w:r>
      <w:proofErr w:type="spellStart"/>
      <w:r>
        <w:t>favour</w:t>
      </w:r>
      <w:proofErr w:type="spellEnd"/>
      <w:r>
        <w:t xml:space="preserve"> of a null hypothesis. Arguably due to “file-drawer” problem in psychological research (</w:t>
      </w:r>
      <w:proofErr w:type="spellStart"/>
      <w:r>
        <w:t>Pashler</w:t>
      </w:r>
      <w:proofErr w:type="spellEnd"/>
      <w:r>
        <w:t xml:space="preserve"> &amp; </w:t>
      </w:r>
      <w:proofErr w:type="spellStart"/>
      <w:r>
        <w:t>Wagenmakers</w:t>
      </w:r>
      <w:proofErr w:type="spellEnd"/>
      <w:r>
        <w:t>, 2012), null results in ASD studies might be misrepresented in the literature. However, null results can still be clinically relevant in demonstrating that individuals with ASD show undiminished performance on certain tasks or exclude</w:t>
      </w:r>
      <w:r>
        <w:rPr>
          <w:spacing w:val="-16"/>
        </w:rPr>
        <w:t xml:space="preserve"> </w:t>
      </w:r>
      <w:r>
        <w:t>hypotheses</w:t>
      </w:r>
      <w:r>
        <w:rPr>
          <w:spacing w:val="-17"/>
        </w:rPr>
        <w:t xml:space="preserve"> </w:t>
      </w:r>
      <w:r>
        <w:t>that</w:t>
      </w:r>
      <w:r>
        <w:rPr>
          <w:spacing w:val="-15"/>
        </w:rPr>
        <w:t xml:space="preserve"> </w:t>
      </w:r>
      <w:r>
        <w:t>aimed</w:t>
      </w:r>
      <w:r>
        <w:rPr>
          <w:spacing w:val="-14"/>
        </w:rPr>
        <w:t xml:space="preserve"> </w:t>
      </w:r>
      <w:r>
        <w:t>to</w:t>
      </w:r>
      <w:r>
        <w:rPr>
          <w:spacing w:val="-15"/>
        </w:rPr>
        <w:t xml:space="preserve"> </w:t>
      </w:r>
      <w:r>
        <w:t>explain</w:t>
      </w:r>
      <w:r>
        <w:rPr>
          <w:spacing w:val="-14"/>
        </w:rPr>
        <w:t xml:space="preserve"> </w:t>
      </w:r>
      <w:proofErr w:type="spellStart"/>
      <w:r>
        <w:t>behaviour</w:t>
      </w:r>
      <w:proofErr w:type="spellEnd"/>
      <w:r>
        <w:rPr>
          <w:spacing w:val="-14"/>
        </w:rPr>
        <w:t xml:space="preserve"> </w:t>
      </w:r>
      <w:r>
        <w:t>in</w:t>
      </w:r>
      <w:r>
        <w:rPr>
          <w:spacing w:val="-15"/>
        </w:rPr>
        <w:t xml:space="preserve"> </w:t>
      </w:r>
      <w:r>
        <w:t>ASD.</w:t>
      </w:r>
      <w:r>
        <w:rPr>
          <w:spacing w:val="29"/>
        </w:rPr>
        <w:t xml:space="preserve"> </w:t>
      </w:r>
      <w:r>
        <w:t>Therefore,</w:t>
      </w:r>
      <w:r>
        <w:rPr>
          <w:spacing w:val="-13"/>
        </w:rPr>
        <w:t xml:space="preserve"> </w:t>
      </w:r>
      <w:r>
        <w:t>in</w:t>
      </w:r>
      <w:r>
        <w:rPr>
          <w:spacing w:val="-19"/>
        </w:rPr>
        <w:t xml:space="preserve"> </w:t>
      </w:r>
      <w:r>
        <w:t>this</w:t>
      </w:r>
      <w:r>
        <w:rPr>
          <w:spacing w:val="-18"/>
        </w:rPr>
        <w:t xml:space="preserve"> </w:t>
      </w:r>
      <w:r>
        <w:t>thesis</w:t>
      </w:r>
      <w:r>
        <w:rPr>
          <w:spacing w:val="-17"/>
        </w:rPr>
        <w:t xml:space="preserve"> </w:t>
      </w:r>
      <w:r>
        <w:t xml:space="preserve">additional Bayes factor analyses were employed to enrich the </w:t>
      </w:r>
      <w:r>
        <w:t>presented data as they offer a more graded approach to interpreting results (</w:t>
      </w:r>
      <w:proofErr w:type="spellStart"/>
      <w:r>
        <w:t>Wagenmakers</w:t>
      </w:r>
      <w:proofErr w:type="spellEnd"/>
      <w:r>
        <w:t>, Marsman, et al., 2017). The major benefit of Bayesian</w:t>
      </w:r>
      <w:r>
        <w:rPr>
          <w:spacing w:val="-10"/>
        </w:rPr>
        <w:t xml:space="preserve"> </w:t>
      </w:r>
      <w:r>
        <w:t>analyses</w:t>
      </w:r>
      <w:r>
        <w:rPr>
          <w:spacing w:val="-11"/>
        </w:rPr>
        <w:t xml:space="preserve"> </w:t>
      </w:r>
      <w:r>
        <w:t>is</w:t>
      </w:r>
      <w:r>
        <w:rPr>
          <w:spacing w:val="-11"/>
        </w:rPr>
        <w:t xml:space="preserve"> </w:t>
      </w:r>
      <w:r>
        <w:t>that</w:t>
      </w:r>
      <w:r>
        <w:rPr>
          <w:spacing w:val="-8"/>
        </w:rPr>
        <w:t xml:space="preserve"> </w:t>
      </w:r>
      <w:r>
        <w:t>a</w:t>
      </w:r>
      <w:r>
        <w:rPr>
          <w:spacing w:val="-10"/>
        </w:rPr>
        <w:t xml:space="preserve"> </w:t>
      </w:r>
      <w:r>
        <w:t>Bayes</w:t>
      </w:r>
      <w:r>
        <w:rPr>
          <w:spacing w:val="-11"/>
        </w:rPr>
        <w:t xml:space="preserve"> </w:t>
      </w:r>
      <w:r>
        <w:t>factor</w:t>
      </w:r>
      <w:r>
        <w:rPr>
          <w:spacing w:val="-7"/>
        </w:rPr>
        <w:t xml:space="preserve"> </w:t>
      </w:r>
      <w:r>
        <w:t>quantifies</w:t>
      </w:r>
      <w:r>
        <w:rPr>
          <w:spacing w:val="-11"/>
        </w:rPr>
        <w:t xml:space="preserve"> </w:t>
      </w:r>
      <w:r>
        <w:t>the</w:t>
      </w:r>
      <w:r>
        <w:rPr>
          <w:spacing w:val="-10"/>
        </w:rPr>
        <w:t xml:space="preserve"> </w:t>
      </w:r>
      <w:r>
        <w:t>evidence</w:t>
      </w:r>
      <w:r>
        <w:rPr>
          <w:spacing w:val="-10"/>
        </w:rPr>
        <w:t xml:space="preserve"> </w:t>
      </w:r>
      <w:r>
        <w:t>that</w:t>
      </w:r>
      <w:r>
        <w:rPr>
          <w:spacing w:val="-9"/>
        </w:rPr>
        <w:t xml:space="preserve"> </w:t>
      </w:r>
      <w:r>
        <w:t>the</w:t>
      </w:r>
      <w:r>
        <w:rPr>
          <w:spacing w:val="-10"/>
        </w:rPr>
        <w:t xml:space="preserve"> </w:t>
      </w:r>
      <w:r>
        <w:t>data</w:t>
      </w:r>
      <w:r>
        <w:rPr>
          <w:spacing w:val="-10"/>
        </w:rPr>
        <w:t xml:space="preserve"> </w:t>
      </w:r>
      <w:r>
        <w:t>provides</w:t>
      </w:r>
      <w:r>
        <w:rPr>
          <w:spacing w:val="-11"/>
        </w:rPr>
        <w:t xml:space="preserve"> </w:t>
      </w:r>
      <w:r>
        <w:t>in</w:t>
      </w:r>
      <w:r>
        <w:rPr>
          <w:spacing w:val="-9"/>
        </w:rPr>
        <w:t xml:space="preserve"> </w:t>
      </w:r>
      <w:proofErr w:type="spellStart"/>
      <w:r>
        <w:t>favour</w:t>
      </w:r>
      <w:proofErr w:type="spellEnd"/>
      <w:r>
        <w:t xml:space="preserve"> of either the alternative or the null hypothesis, but equally it expresses if the data does not fit well with either of the two hypotheses (Dienes, 2014). Thus, in contrast to classical statistical interference which always test against the null hypothesis, a Bayes factor can provide a perspective how well the data is accounted for </w:t>
      </w:r>
      <w:r>
        <w:rPr>
          <w:spacing w:val="-3"/>
        </w:rPr>
        <w:t xml:space="preserve">by </w:t>
      </w:r>
      <w:r>
        <w:t>the null. Therefore, Bayes factors are a helpful</w:t>
      </w:r>
      <w:r>
        <w:rPr>
          <w:spacing w:val="-14"/>
        </w:rPr>
        <w:t xml:space="preserve"> </w:t>
      </w:r>
      <w:r>
        <w:t>tool</w:t>
      </w:r>
      <w:r>
        <w:rPr>
          <w:spacing w:val="-14"/>
        </w:rPr>
        <w:t xml:space="preserve"> </w:t>
      </w:r>
      <w:r>
        <w:t>to</w:t>
      </w:r>
      <w:r>
        <w:rPr>
          <w:spacing w:val="-14"/>
        </w:rPr>
        <w:t xml:space="preserve"> </w:t>
      </w:r>
      <w:r>
        <w:t>complement</w:t>
      </w:r>
      <w:r>
        <w:rPr>
          <w:spacing w:val="-13"/>
        </w:rPr>
        <w:t xml:space="preserve"> </w:t>
      </w:r>
      <w:r>
        <w:t>the</w:t>
      </w:r>
      <w:r>
        <w:rPr>
          <w:spacing w:val="-15"/>
        </w:rPr>
        <w:t xml:space="preserve"> </w:t>
      </w:r>
      <w:r>
        <w:t>interpretation</w:t>
      </w:r>
      <w:r>
        <w:rPr>
          <w:spacing w:val="-14"/>
        </w:rPr>
        <w:t xml:space="preserve"> </w:t>
      </w:r>
      <w:r>
        <w:rPr>
          <w:spacing w:val="-3"/>
        </w:rPr>
        <w:t>of</w:t>
      </w:r>
      <w:r>
        <w:rPr>
          <w:spacing w:val="-12"/>
        </w:rPr>
        <w:t xml:space="preserve"> </w:t>
      </w:r>
      <w:r>
        <w:t>the</w:t>
      </w:r>
      <w:r>
        <w:rPr>
          <w:spacing w:val="-20"/>
        </w:rPr>
        <w:t xml:space="preserve"> </w:t>
      </w:r>
      <w:r>
        <w:t>results</w:t>
      </w:r>
      <w:r>
        <w:rPr>
          <w:spacing w:val="-16"/>
        </w:rPr>
        <w:t xml:space="preserve"> </w:t>
      </w:r>
      <w:r>
        <w:t>obtained</w:t>
      </w:r>
      <w:r>
        <w:rPr>
          <w:spacing w:val="-14"/>
        </w:rPr>
        <w:t xml:space="preserve"> </w:t>
      </w:r>
      <w:r>
        <w:t>by</w:t>
      </w:r>
      <w:r>
        <w:rPr>
          <w:spacing w:val="-14"/>
        </w:rPr>
        <w:t xml:space="preserve"> </w:t>
      </w:r>
      <w:r>
        <w:t>classical</w:t>
      </w:r>
      <w:r>
        <w:rPr>
          <w:spacing w:val="-14"/>
        </w:rPr>
        <w:t xml:space="preserve"> </w:t>
      </w:r>
      <w:r>
        <w:t>null</w:t>
      </w:r>
      <w:r>
        <w:rPr>
          <w:spacing w:val="-13"/>
        </w:rPr>
        <w:t xml:space="preserve"> </w:t>
      </w:r>
      <w:r>
        <w:t>hypothesis testing in ASD research. For</w:t>
      </w:r>
      <w:r>
        <w:t xml:space="preserve"> both Chapter 2 and 3, these analyses provide broad support in </w:t>
      </w:r>
      <w:proofErr w:type="spellStart"/>
      <w:r>
        <w:t>favour</w:t>
      </w:r>
      <w:proofErr w:type="spellEnd"/>
      <w:r>
        <w:t xml:space="preserve"> of the reported null results. Thus, despite some power issues, the combined evidence suggests</w:t>
      </w:r>
      <w:r>
        <w:rPr>
          <w:spacing w:val="-8"/>
        </w:rPr>
        <w:t xml:space="preserve"> </w:t>
      </w:r>
      <w:r>
        <w:t>that</w:t>
      </w:r>
      <w:r>
        <w:rPr>
          <w:spacing w:val="-4"/>
        </w:rPr>
        <w:t xml:space="preserve"> </w:t>
      </w:r>
      <w:r>
        <w:t>one</w:t>
      </w:r>
      <w:r>
        <w:rPr>
          <w:spacing w:val="-6"/>
        </w:rPr>
        <w:t xml:space="preserve"> </w:t>
      </w:r>
      <w:r>
        <w:t>can</w:t>
      </w:r>
      <w:r>
        <w:rPr>
          <w:spacing w:val="-5"/>
        </w:rPr>
        <w:t xml:space="preserve"> </w:t>
      </w:r>
      <w:r>
        <w:t>trust</w:t>
      </w:r>
      <w:r>
        <w:rPr>
          <w:spacing w:val="-4"/>
        </w:rPr>
        <w:t xml:space="preserve"> </w:t>
      </w:r>
      <w:r>
        <w:t>these</w:t>
      </w:r>
      <w:r>
        <w:rPr>
          <w:spacing w:val="-6"/>
        </w:rPr>
        <w:t xml:space="preserve"> </w:t>
      </w:r>
      <w:r>
        <w:t>results</w:t>
      </w:r>
      <w:r>
        <w:rPr>
          <w:spacing w:val="-7"/>
        </w:rPr>
        <w:t xml:space="preserve"> </w:t>
      </w:r>
      <w:r>
        <w:t>and</w:t>
      </w:r>
      <w:r>
        <w:rPr>
          <w:spacing w:val="-6"/>
        </w:rPr>
        <w:t xml:space="preserve"> </w:t>
      </w:r>
      <w:r>
        <w:t>the</w:t>
      </w:r>
      <w:r>
        <w:rPr>
          <w:spacing w:val="-6"/>
        </w:rPr>
        <w:t xml:space="preserve"> </w:t>
      </w:r>
      <w:r>
        <w:t>subsequent</w:t>
      </w:r>
      <w:r>
        <w:rPr>
          <w:spacing w:val="-4"/>
        </w:rPr>
        <w:t xml:space="preserve"> </w:t>
      </w:r>
      <w:r>
        <w:t>interpretation</w:t>
      </w:r>
      <w:r>
        <w:rPr>
          <w:spacing w:val="-5"/>
        </w:rPr>
        <w:t xml:space="preserve"> </w:t>
      </w:r>
      <w:r>
        <w:t>of</w:t>
      </w:r>
      <w:r>
        <w:rPr>
          <w:spacing w:val="-3"/>
        </w:rPr>
        <w:t xml:space="preserve"> </w:t>
      </w:r>
      <w:r>
        <w:t>unimpaired</w:t>
      </w:r>
      <w:r>
        <w:rPr>
          <w:spacing w:val="-5"/>
        </w:rPr>
        <w:t xml:space="preserve"> </w:t>
      </w:r>
      <w:r>
        <w:t>event- based PM in</w:t>
      </w:r>
      <w:r>
        <w:rPr>
          <w:spacing w:val="3"/>
        </w:rPr>
        <w:t xml:space="preserve"> </w:t>
      </w:r>
      <w:r>
        <w:t>ASD.</w:t>
      </w:r>
    </w:p>
    <w:p w14:paraId="24A04D53" w14:textId="77777777" w:rsidR="00C75312" w:rsidRDefault="00BB293A">
      <w:pPr>
        <w:pStyle w:val="Heading1"/>
        <w:spacing w:before="121"/>
        <w:jc w:val="both"/>
      </w:pPr>
      <w:bookmarkStart w:id="31" w:name="_TOC_250002"/>
      <w:bookmarkEnd w:id="31"/>
      <w:r>
        <w:t>Final remarks and conclusion</w:t>
      </w:r>
    </w:p>
    <w:p w14:paraId="34C322A0" w14:textId="77777777" w:rsidR="00C75312" w:rsidRDefault="00C75312">
      <w:pPr>
        <w:pStyle w:val="BodyText"/>
        <w:rPr>
          <w:b/>
        </w:rPr>
      </w:pPr>
    </w:p>
    <w:p w14:paraId="3D1413D1" w14:textId="77777777" w:rsidR="00C75312" w:rsidRDefault="00BB293A">
      <w:pPr>
        <w:pStyle w:val="BodyText"/>
        <w:spacing w:line="480" w:lineRule="auto"/>
        <w:ind w:left="140" w:right="228" w:firstLine="720"/>
        <w:jc w:val="both"/>
      </w:pPr>
      <w:r>
        <w:t>Given the well-established, large diminution of time-based PM in ASD, it will be important to develop training strategies to support this ability in order to promote greater</w:t>
      </w:r>
    </w:p>
    <w:p w14:paraId="4648FB89" w14:textId="77777777" w:rsidR="00C75312" w:rsidRDefault="00C75312">
      <w:pPr>
        <w:spacing w:line="480" w:lineRule="auto"/>
        <w:jc w:val="both"/>
        <w:sectPr w:rsidR="00C75312">
          <w:pgSz w:w="11900" w:h="16840"/>
          <w:pgMar w:top="1160" w:right="1200" w:bottom="280" w:left="1300" w:header="715" w:footer="0" w:gutter="0"/>
          <w:cols w:space="720"/>
        </w:sectPr>
      </w:pPr>
    </w:p>
    <w:p w14:paraId="78E6A2F6" w14:textId="77777777" w:rsidR="00C75312" w:rsidRDefault="00C75312">
      <w:pPr>
        <w:pStyle w:val="BodyText"/>
        <w:spacing w:before="9"/>
        <w:rPr>
          <w:sz w:val="15"/>
        </w:rPr>
      </w:pPr>
    </w:p>
    <w:p w14:paraId="4306C2A9" w14:textId="77777777" w:rsidR="00C75312" w:rsidRDefault="00BB293A">
      <w:pPr>
        <w:pStyle w:val="BodyText"/>
        <w:spacing w:before="90" w:line="480" w:lineRule="auto"/>
        <w:ind w:left="140" w:right="227"/>
        <w:jc w:val="both"/>
      </w:pPr>
      <w:r>
        <w:t xml:space="preserve">functional independence. This requires to fill </w:t>
      </w:r>
      <w:r>
        <w:rPr>
          <w:spacing w:val="-3"/>
        </w:rPr>
        <w:t xml:space="preserve">in </w:t>
      </w:r>
      <w:r>
        <w:t xml:space="preserve">the gaps in our understanding of how individuals with ASD engage in time-based prospective remembering. To this end, a systematic exploration of cognitive mechanisms that underpin PM performance in ASD is necessary. Conversely, finding strategies that may improve time-based PM could also reveal underlying causes of its impairment in ASD. If, for example, efforts to improve executive functioning (or episodic future thinking </w:t>
      </w:r>
      <w:r>
        <w:rPr>
          <w:spacing w:val="-3"/>
        </w:rPr>
        <w:t xml:space="preserve">or </w:t>
      </w:r>
      <w:r>
        <w:t>theory of mind) were found to improve time-based PM in individuals with ASD, th</w:t>
      </w:r>
      <w:r>
        <w:t xml:space="preserve">is would suggest that executive dysfunction is a key contributory factor to diminished time-based PM </w:t>
      </w:r>
      <w:r>
        <w:rPr>
          <w:spacing w:val="-3"/>
        </w:rPr>
        <w:t xml:space="preserve">in </w:t>
      </w:r>
      <w:r>
        <w:t xml:space="preserve">ASD. Another approach could be to test whether manipulations that lead to PM improvement in older </w:t>
      </w:r>
      <w:r>
        <w:rPr>
          <w:spacing w:val="-3"/>
        </w:rPr>
        <w:t xml:space="preserve">NT </w:t>
      </w:r>
      <w:r>
        <w:t>adults might have a similar beneficial effect in ASD (see Hering et al., 2014 for a review). The results of Chapter 4 have provided</w:t>
      </w:r>
      <w:r>
        <w:rPr>
          <w:spacing w:val="-14"/>
        </w:rPr>
        <w:t xml:space="preserve"> </w:t>
      </w:r>
      <w:r>
        <w:t>initial</w:t>
      </w:r>
      <w:r>
        <w:rPr>
          <w:spacing w:val="-18"/>
        </w:rPr>
        <w:t xml:space="preserve"> </w:t>
      </w:r>
      <w:r>
        <w:t>positive</w:t>
      </w:r>
      <w:r>
        <w:rPr>
          <w:spacing w:val="-15"/>
        </w:rPr>
        <w:t xml:space="preserve"> </w:t>
      </w:r>
      <w:r>
        <w:t>evidence</w:t>
      </w:r>
      <w:r>
        <w:rPr>
          <w:spacing w:val="-14"/>
        </w:rPr>
        <w:t xml:space="preserve"> </w:t>
      </w:r>
      <w:r>
        <w:t>for</w:t>
      </w:r>
      <w:r>
        <w:rPr>
          <w:spacing w:val="-17"/>
        </w:rPr>
        <w:t xml:space="preserve"> </w:t>
      </w:r>
      <w:r>
        <w:t>this</w:t>
      </w:r>
      <w:r>
        <w:rPr>
          <w:spacing w:val="-17"/>
        </w:rPr>
        <w:t xml:space="preserve"> </w:t>
      </w:r>
      <w:r>
        <w:t>approach.</w:t>
      </w:r>
      <w:r>
        <w:rPr>
          <w:spacing w:val="27"/>
        </w:rPr>
        <w:t xml:space="preserve"> </w:t>
      </w:r>
      <w:r>
        <w:t>Therefore,</w:t>
      </w:r>
      <w:r>
        <w:rPr>
          <w:spacing w:val="-12"/>
        </w:rPr>
        <w:t xml:space="preserve"> </w:t>
      </w:r>
      <w:r>
        <w:t>the</w:t>
      </w:r>
      <w:r>
        <w:rPr>
          <w:spacing w:val="-19"/>
        </w:rPr>
        <w:t xml:space="preserve"> </w:t>
      </w:r>
      <w:r>
        <w:t>main</w:t>
      </w:r>
      <w:r>
        <w:rPr>
          <w:spacing w:val="-14"/>
        </w:rPr>
        <w:t xml:space="preserve"> </w:t>
      </w:r>
      <w:r>
        <w:t>aim</w:t>
      </w:r>
      <w:r>
        <w:rPr>
          <w:spacing w:val="-18"/>
        </w:rPr>
        <w:t xml:space="preserve"> </w:t>
      </w:r>
      <w:r>
        <w:t>for</w:t>
      </w:r>
      <w:r>
        <w:rPr>
          <w:spacing w:val="-17"/>
        </w:rPr>
        <w:t xml:space="preserve"> </w:t>
      </w:r>
      <w:r>
        <w:t>future</w:t>
      </w:r>
      <w:r>
        <w:rPr>
          <w:spacing w:val="-15"/>
        </w:rPr>
        <w:t xml:space="preserve"> </w:t>
      </w:r>
      <w:r>
        <w:t>research should clearly</w:t>
      </w:r>
      <w:r>
        <w:rPr>
          <w:spacing w:val="-5"/>
        </w:rPr>
        <w:t xml:space="preserve"> </w:t>
      </w:r>
      <w:r>
        <w:t>focus</w:t>
      </w:r>
      <w:r>
        <w:rPr>
          <w:spacing w:val="-2"/>
        </w:rPr>
        <w:t xml:space="preserve"> </w:t>
      </w:r>
      <w:r>
        <w:t>further</w:t>
      </w:r>
      <w:r>
        <w:rPr>
          <w:spacing w:val="-3"/>
        </w:rPr>
        <w:t xml:space="preserve"> </w:t>
      </w:r>
      <w:r>
        <w:t>on</w:t>
      </w:r>
      <w:r>
        <w:rPr>
          <w:spacing w:val="-4"/>
        </w:rPr>
        <w:t xml:space="preserve"> </w:t>
      </w:r>
      <w:r>
        <w:t>the</w:t>
      </w:r>
      <w:r>
        <w:rPr>
          <w:spacing w:val="-6"/>
        </w:rPr>
        <w:t xml:space="preserve"> </w:t>
      </w:r>
      <w:r>
        <w:t>implementation</w:t>
      </w:r>
      <w:r>
        <w:rPr>
          <w:spacing w:val="-9"/>
        </w:rPr>
        <w:t xml:space="preserve"> </w:t>
      </w:r>
      <w:r>
        <w:t>of</w:t>
      </w:r>
      <w:r>
        <w:rPr>
          <w:spacing w:val="2"/>
        </w:rPr>
        <w:t xml:space="preserve"> </w:t>
      </w:r>
      <w:r>
        <w:t>useful</w:t>
      </w:r>
      <w:r>
        <w:rPr>
          <w:spacing w:val="-4"/>
        </w:rPr>
        <w:t xml:space="preserve"> </w:t>
      </w:r>
      <w:r>
        <w:t>PM</w:t>
      </w:r>
      <w:r>
        <w:rPr>
          <w:spacing w:val="-7"/>
        </w:rPr>
        <w:t xml:space="preserve"> </w:t>
      </w:r>
      <w:r>
        <w:t>strategies</w:t>
      </w:r>
      <w:r>
        <w:rPr>
          <w:spacing w:val="-1"/>
        </w:rPr>
        <w:t xml:space="preserve"> </w:t>
      </w:r>
      <w:r>
        <w:t>in</w:t>
      </w:r>
      <w:r>
        <w:rPr>
          <w:spacing w:val="-5"/>
        </w:rPr>
        <w:t xml:space="preserve"> </w:t>
      </w:r>
      <w:r>
        <w:t>everyday</w:t>
      </w:r>
      <w:r>
        <w:t xml:space="preserve"> life</w:t>
      </w:r>
      <w:r>
        <w:rPr>
          <w:spacing w:val="-6"/>
        </w:rPr>
        <w:t xml:space="preserve"> </w:t>
      </w:r>
      <w:r>
        <w:t>for individuals with ASD, their families, and advising clinicians</w:t>
      </w:r>
      <w:r>
        <w:rPr>
          <w:spacing w:val="-3"/>
        </w:rPr>
        <w:t xml:space="preserve"> </w:t>
      </w:r>
      <w:r>
        <w:t>alike.</w:t>
      </w:r>
    </w:p>
    <w:p w14:paraId="75669AA5" w14:textId="77777777" w:rsidR="00C75312" w:rsidRDefault="00C75312">
      <w:pPr>
        <w:spacing w:line="480" w:lineRule="auto"/>
        <w:jc w:val="both"/>
        <w:sectPr w:rsidR="00C75312">
          <w:pgSz w:w="11900" w:h="16840"/>
          <w:pgMar w:top="1160" w:right="1200" w:bottom="280" w:left="1300" w:header="715" w:footer="0" w:gutter="0"/>
          <w:cols w:space="720"/>
        </w:sectPr>
      </w:pPr>
    </w:p>
    <w:p w14:paraId="7C479031" w14:textId="77777777" w:rsidR="00C75312" w:rsidRDefault="00C75312">
      <w:pPr>
        <w:pStyle w:val="BodyText"/>
        <w:spacing w:before="3"/>
        <w:rPr>
          <w:sz w:val="26"/>
        </w:rPr>
      </w:pPr>
    </w:p>
    <w:p w14:paraId="6073A980" w14:textId="77777777" w:rsidR="00C75312" w:rsidRDefault="00BB293A">
      <w:pPr>
        <w:pStyle w:val="Heading1"/>
        <w:spacing w:before="90"/>
        <w:ind w:left="1806" w:right="1905"/>
        <w:jc w:val="center"/>
      </w:pPr>
      <w:bookmarkStart w:id="32" w:name="_TOC_250001"/>
      <w:bookmarkEnd w:id="32"/>
      <w:r>
        <w:t>APPENDICES</w:t>
      </w:r>
    </w:p>
    <w:p w14:paraId="503A7D86" w14:textId="77777777" w:rsidR="00C75312" w:rsidRDefault="00C75312">
      <w:pPr>
        <w:pStyle w:val="BodyText"/>
        <w:spacing w:before="11"/>
        <w:rPr>
          <w:b/>
          <w:sz w:val="23"/>
        </w:rPr>
      </w:pPr>
    </w:p>
    <w:p w14:paraId="6EEE5857" w14:textId="77777777" w:rsidR="00C75312" w:rsidRDefault="00BB293A">
      <w:pPr>
        <w:tabs>
          <w:tab w:val="left" w:pos="1805"/>
        </w:tabs>
        <w:ind w:left="245"/>
        <w:rPr>
          <w:sz w:val="24"/>
        </w:rPr>
      </w:pPr>
      <w:r>
        <w:rPr>
          <w:b/>
          <w:sz w:val="24"/>
        </w:rPr>
        <w:t>Appendix</w:t>
      </w:r>
      <w:r>
        <w:rPr>
          <w:b/>
          <w:spacing w:val="1"/>
          <w:sz w:val="24"/>
        </w:rPr>
        <w:t xml:space="preserve"> </w:t>
      </w:r>
      <w:r>
        <w:rPr>
          <w:b/>
          <w:sz w:val="24"/>
        </w:rPr>
        <w:t>1:</w:t>
      </w:r>
      <w:r>
        <w:rPr>
          <w:b/>
          <w:sz w:val="24"/>
        </w:rPr>
        <w:tab/>
      </w:r>
      <w:r>
        <w:rPr>
          <w:sz w:val="24"/>
        </w:rPr>
        <w:t>Supplementary data and analyses in Chapter</w:t>
      </w:r>
      <w:r>
        <w:rPr>
          <w:spacing w:val="9"/>
          <w:sz w:val="24"/>
        </w:rPr>
        <w:t xml:space="preserve"> </w:t>
      </w:r>
      <w:r>
        <w:rPr>
          <w:sz w:val="24"/>
        </w:rPr>
        <w:t>4</w:t>
      </w:r>
    </w:p>
    <w:p w14:paraId="48BFF991" w14:textId="77777777" w:rsidR="00C75312" w:rsidRDefault="00C75312">
      <w:pPr>
        <w:pStyle w:val="BodyText"/>
        <w:spacing w:before="5"/>
        <w:rPr>
          <w:sz w:val="34"/>
        </w:rPr>
      </w:pPr>
    </w:p>
    <w:p w14:paraId="07D6022D" w14:textId="77777777" w:rsidR="00C75312" w:rsidRDefault="00BB293A">
      <w:pPr>
        <w:pStyle w:val="BodyText"/>
        <w:tabs>
          <w:tab w:val="left" w:pos="1805"/>
        </w:tabs>
        <w:spacing w:line="480" w:lineRule="auto"/>
        <w:ind w:left="1805" w:right="358" w:hanging="1560"/>
      </w:pPr>
      <w:r>
        <w:rPr>
          <w:b/>
        </w:rPr>
        <w:t>Appendix</w:t>
      </w:r>
      <w:r>
        <w:rPr>
          <w:b/>
          <w:spacing w:val="1"/>
        </w:rPr>
        <w:t xml:space="preserve"> </w:t>
      </w:r>
      <w:r>
        <w:rPr>
          <w:b/>
        </w:rPr>
        <w:t>2:</w:t>
      </w:r>
      <w:r>
        <w:rPr>
          <w:b/>
        </w:rPr>
        <w:tab/>
      </w:r>
      <w:r>
        <w:t>Results of subsample analyses for participant groups matched on ongoing performance in Chapter</w:t>
      </w:r>
      <w:r>
        <w:rPr>
          <w:spacing w:val="1"/>
        </w:rPr>
        <w:t xml:space="preserve"> </w:t>
      </w:r>
      <w:r>
        <w:t>4</w:t>
      </w:r>
    </w:p>
    <w:p w14:paraId="381E2B4D" w14:textId="77777777" w:rsidR="00C75312" w:rsidRDefault="00BB293A">
      <w:pPr>
        <w:tabs>
          <w:tab w:val="left" w:pos="1805"/>
        </w:tabs>
        <w:spacing w:before="120"/>
        <w:ind w:left="245"/>
        <w:rPr>
          <w:sz w:val="24"/>
        </w:rPr>
      </w:pPr>
      <w:r>
        <w:rPr>
          <w:b/>
          <w:sz w:val="24"/>
        </w:rPr>
        <w:t>Appendix</w:t>
      </w:r>
      <w:r>
        <w:rPr>
          <w:b/>
          <w:spacing w:val="1"/>
          <w:sz w:val="24"/>
        </w:rPr>
        <w:t xml:space="preserve"> </w:t>
      </w:r>
      <w:r>
        <w:rPr>
          <w:b/>
          <w:sz w:val="24"/>
        </w:rPr>
        <w:t>3:</w:t>
      </w:r>
      <w:r>
        <w:rPr>
          <w:b/>
          <w:sz w:val="24"/>
        </w:rPr>
        <w:tab/>
      </w:r>
      <w:r>
        <w:rPr>
          <w:sz w:val="24"/>
        </w:rPr>
        <w:t xml:space="preserve">Results from Fisher </w:t>
      </w:r>
      <w:r>
        <w:rPr>
          <w:i/>
          <w:sz w:val="24"/>
        </w:rPr>
        <w:t>z</w:t>
      </w:r>
      <w:r>
        <w:rPr>
          <w:sz w:val="24"/>
        </w:rPr>
        <w:t>-tests conducted in Chapter</w:t>
      </w:r>
      <w:r>
        <w:rPr>
          <w:spacing w:val="10"/>
          <w:sz w:val="24"/>
        </w:rPr>
        <w:t xml:space="preserve"> </w:t>
      </w:r>
      <w:r>
        <w:rPr>
          <w:sz w:val="24"/>
        </w:rPr>
        <w:t>5</w:t>
      </w:r>
    </w:p>
    <w:p w14:paraId="786FF03A" w14:textId="77777777" w:rsidR="00C75312" w:rsidRDefault="00C75312">
      <w:pPr>
        <w:pStyle w:val="BodyText"/>
        <w:spacing w:before="5"/>
        <w:rPr>
          <w:sz w:val="34"/>
        </w:rPr>
      </w:pPr>
    </w:p>
    <w:p w14:paraId="795FD74E" w14:textId="77777777" w:rsidR="00C75312" w:rsidRDefault="00BB293A">
      <w:pPr>
        <w:pStyle w:val="BodyText"/>
        <w:tabs>
          <w:tab w:val="left" w:pos="1805"/>
        </w:tabs>
        <w:ind w:left="245"/>
      </w:pPr>
      <w:r>
        <w:rPr>
          <w:b/>
        </w:rPr>
        <w:t>Appendix</w:t>
      </w:r>
      <w:r>
        <w:rPr>
          <w:b/>
          <w:spacing w:val="1"/>
        </w:rPr>
        <w:t xml:space="preserve"> </w:t>
      </w:r>
      <w:r>
        <w:rPr>
          <w:b/>
        </w:rPr>
        <w:t>4:</w:t>
      </w:r>
      <w:r>
        <w:rPr>
          <w:b/>
        </w:rPr>
        <w:tab/>
      </w:r>
      <w:r>
        <w:t>Pilot study on the role of interoception in time-base PM in</w:t>
      </w:r>
      <w:r>
        <w:rPr>
          <w:spacing w:val="-2"/>
        </w:rPr>
        <w:t xml:space="preserve"> </w:t>
      </w:r>
      <w:r>
        <w:t>ASD</w:t>
      </w:r>
    </w:p>
    <w:p w14:paraId="6CD3BD73" w14:textId="77777777" w:rsidR="00C75312" w:rsidRDefault="00C75312">
      <w:pPr>
        <w:sectPr w:rsidR="00C75312">
          <w:headerReference w:type="default" r:id="rId54"/>
          <w:pgSz w:w="11900" w:h="16840"/>
          <w:pgMar w:top="1160" w:right="1200" w:bottom="280" w:left="1300" w:header="720" w:footer="0" w:gutter="0"/>
          <w:pgNumType w:start="166"/>
          <w:cols w:space="720"/>
        </w:sectPr>
      </w:pPr>
    </w:p>
    <w:p w14:paraId="1217D732" w14:textId="77777777" w:rsidR="00C75312" w:rsidRDefault="00C75312">
      <w:pPr>
        <w:pStyle w:val="BodyText"/>
        <w:spacing w:before="9"/>
        <w:rPr>
          <w:sz w:val="15"/>
        </w:rPr>
      </w:pPr>
    </w:p>
    <w:p w14:paraId="37A75ABA" w14:textId="77777777" w:rsidR="00C75312" w:rsidRDefault="00BB293A">
      <w:pPr>
        <w:pStyle w:val="Heading1"/>
        <w:spacing w:before="90"/>
        <w:ind w:left="1807" w:right="1905"/>
        <w:jc w:val="center"/>
      </w:pPr>
      <w:r>
        <w:t>Appendix 1: Supplementary sample data for Chapter 4</w:t>
      </w:r>
    </w:p>
    <w:p w14:paraId="2A5068F0" w14:textId="77777777" w:rsidR="00C75312" w:rsidRDefault="00C75312">
      <w:pPr>
        <w:pStyle w:val="BodyText"/>
        <w:spacing w:before="4"/>
        <w:rPr>
          <w:b/>
          <w:sz w:val="34"/>
        </w:rPr>
      </w:pPr>
    </w:p>
    <w:p w14:paraId="69D69115" w14:textId="77777777" w:rsidR="00C75312" w:rsidRDefault="00BB293A">
      <w:pPr>
        <w:ind w:left="140"/>
        <w:rPr>
          <w:i/>
          <w:sz w:val="20"/>
        </w:rPr>
      </w:pPr>
      <w:r>
        <w:pict w14:anchorId="4DFC2601">
          <v:shape id="_x0000_s2134" type="#_x0000_t202" style="position:absolute;left:0;text-align:left;margin-left:70.2pt;margin-top:44pt;width:454.2pt;height:366.4pt;z-index:2518272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90"/>
                    <w:gridCol w:w="1723"/>
                    <w:gridCol w:w="2073"/>
                    <w:gridCol w:w="803"/>
                    <w:gridCol w:w="628"/>
                    <w:gridCol w:w="762"/>
                    <w:gridCol w:w="1000"/>
                  </w:tblGrid>
                  <w:tr w:rsidR="00C75312" w14:paraId="7AB98DDC" w14:textId="77777777">
                    <w:trPr>
                      <w:trHeight w:val="412"/>
                    </w:trPr>
                    <w:tc>
                      <w:tcPr>
                        <w:tcW w:w="2090" w:type="dxa"/>
                        <w:tcBorders>
                          <w:bottom w:val="single" w:sz="6" w:space="0" w:color="000000"/>
                        </w:tcBorders>
                      </w:tcPr>
                      <w:p w14:paraId="22ECE2A0" w14:textId="77777777" w:rsidR="00C75312" w:rsidRDefault="00C75312">
                        <w:pPr>
                          <w:pStyle w:val="TableParagraph"/>
                          <w:rPr>
                            <w:sz w:val="20"/>
                          </w:rPr>
                        </w:pPr>
                      </w:p>
                    </w:tc>
                    <w:tc>
                      <w:tcPr>
                        <w:tcW w:w="1723" w:type="dxa"/>
                        <w:tcBorders>
                          <w:top w:val="single" w:sz="6" w:space="0" w:color="000000"/>
                          <w:bottom w:val="single" w:sz="6" w:space="0" w:color="000000"/>
                        </w:tcBorders>
                      </w:tcPr>
                      <w:p w14:paraId="74BEE32C" w14:textId="77777777" w:rsidR="00C75312" w:rsidRDefault="00BB293A">
                        <w:pPr>
                          <w:pStyle w:val="TableParagraph"/>
                          <w:spacing w:before="72"/>
                          <w:ind w:right="213"/>
                          <w:jc w:val="right"/>
                          <w:rPr>
                            <w:b/>
                            <w:sz w:val="20"/>
                          </w:rPr>
                        </w:pPr>
                        <w:r>
                          <w:rPr>
                            <w:b/>
                            <w:sz w:val="20"/>
                          </w:rPr>
                          <w:t>ASD (</w:t>
                        </w:r>
                        <w:r>
                          <w:rPr>
                            <w:b/>
                            <w:i/>
                            <w:sz w:val="20"/>
                          </w:rPr>
                          <w:t xml:space="preserve">n </w:t>
                        </w:r>
                        <w:r>
                          <w:rPr>
                            <w:b/>
                            <w:sz w:val="20"/>
                          </w:rPr>
                          <w:t>= 25)</w:t>
                        </w:r>
                      </w:p>
                    </w:tc>
                    <w:tc>
                      <w:tcPr>
                        <w:tcW w:w="2073" w:type="dxa"/>
                        <w:tcBorders>
                          <w:top w:val="single" w:sz="6" w:space="0" w:color="000000"/>
                          <w:bottom w:val="single" w:sz="6" w:space="0" w:color="000000"/>
                        </w:tcBorders>
                      </w:tcPr>
                      <w:p w14:paraId="5A1E0106" w14:textId="77777777" w:rsidR="00C75312" w:rsidRDefault="00BB293A">
                        <w:pPr>
                          <w:pStyle w:val="TableParagraph"/>
                          <w:spacing w:before="72"/>
                          <w:ind w:left="198" w:right="15"/>
                          <w:jc w:val="center"/>
                          <w:rPr>
                            <w:b/>
                            <w:sz w:val="20"/>
                          </w:rPr>
                        </w:pPr>
                        <w:r>
                          <w:rPr>
                            <w:b/>
                            <w:sz w:val="20"/>
                          </w:rPr>
                          <w:t>Neurotypical (</w:t>
                        </w:r>
                        <w:r>
                          <w:rPr>
                            <w:b/>
                            <w:i/>
                            <w:sz w:val="20"/>
                          </w:rPr>
                          <w:t xml:space="preserve">n </w:t>
                        </w:r>
                        <w:r>
                          <w:rPr>
                            <w:b/>
                            <w:sz w:val="20"/>
                          </w:rPr>
                          <w:t>= 22)</w:t>
                        </w:r>
                      </w:p>
                    </w:tc>
                    <w:tc>
                      <w:tcPr>
                        <w:tcW w:w="803" w:type="dxa"/>
                        <w:tcBorders>
                          <w:bottom w:val="single" w:sz="6" w:space="0" w:color="000000"/>
                        </w:tcBorders>
                      </w:tcPr>
                      <w:p w14:paraId="4C1A2EB4" w14:textId="77777777" w:rsidR="00C75312" w:rsidRDefault="00BB293A">
                        <w:pPr>
                          <w:pStyle w:val="TableParagraph"/>
                          <w:spacing w:before="72"/>
                          <w:ind w:right="52"/>
                          <w:jc w:val="center"/>
                          <w:rPr>
                            <w:b/>
                            <w:i/>
                            <w:sz w:val="20"/>
                          </w:rPr>
                        </w:pPr>
                        <w:r>
                          <w:rPr>
                            <w:b/>
                            <w:i/>
                            <w:sz w:val="20"/>
                          </w:rPr>
                          <w:t>T</w:t>
                        </w:r>
                      </w:p>
                    </w:tc>
                    <w:tc>
                      <w:tcPr>
                        <w:tcW w:w="628" w:type="dxa"/>
                        <w:tcBorders>
                          <w:bottom w:val="single" w:sz="6" w:space="0" w:color="000000"/>
                        </w:tcBorders>
                      </w:tcPr>
                      <w:p w14:paraId="237E7BF8" w14:textId="77777777" w:rsidR="00C75312" w:rsidRDefault="00BB293A">
                        <w:pPr>
                          <w:pStyle w:val="TableParagraph"/>
                          <w:spacing w:before="72"/>
                          <w:ind w:left="196" w:right="187"/>
                          <w:jc w:val="center"/>
                          <w:rPr>
                            <w:b/>
                            <w:i/>
                            <w:sz w:val="20"/>
                          </w:rPr>
                        </w:pPr>
                        <w:proofErr w:type="spellStart"/>
                        <w:r>
                          <w:rPr>
                            <w:b/>
                            <w:i/>
                            <w:sz w:val="20"/>
                          </w:rPr>
                          <w:t>df</w:t>
                        </w:r>
                        <w:proofErr w:type="spellEnd"/>
                      </w:p>
                    </w:tc>
                    <w:tc>
                      <w:tcPr>
                        <w:tcW w:w="762" w:type="dxa"/>
                        <w:tcBorders>
                          <w:bottom w:val="single" w:sz="6" w:space="0" w:color="000000"/>
                        </w:tcBorders>
                      </w:tcPr>
                      <w:p w14:paraId="4666A4FF" w14:textId="77777777" w:rsidR="00C75312" w:rsidRDefault="00BB293A">
                        <w:pPr>
                          <w:pStyle w:val="TableParagraph"/>
                          <w:spacing w:before="72"/>
                          <w:ind w:left="116"/>
                          <w:jc w:val="center"/>
                          <w:rPr>
                            <w:b/>
                            <w:i/>
                            <w:sz w:val="20"/>
                          </w:rPr>
                        </w:pPr>
                        <w:r>
                          <w:rPr>
                            <w:b/>
                            <w:i/>
                            <w:sz w:val="20"/>
                          </w:rPr>
                          <w:t>p</w:t>
                        </w:r>
                      </w:p>
                    </w:tc>
                    <w:tc>
                      <w:tcPr>
                        <w:tcW w:w="1000" w:type="dxa"/>
                        <w:tcBorders>
                          <w:bottom w:val="single" w:sz="6" w:space="0" w:color="000000"/>
                        </w:tcBorders>
                      </w:tcPr>
                      <w:p w14:paraId="6AD4A48C" w14:textId="77777777" w:rsidR="00C75312" w:rsidRDefault="00BB293A">
                        <w:pPr>
                          <w:pStyle w:val="TableParagraph"/>
                          <w:spacing w:before="72"/>
                          <w:ind w:left="75" w:right="45"/>
                          <w:jc w:val="center"/>
                          <w:rPr>
                            <w:b/>
                            <w:i/>
                            <w:sz w:val="20"/>
                          </w:rPr>
                        </w:pPr>
                        <w:r>
                          <w:rPr>
                            <w:b/>
                            <w:sz w:val="20"/>
                          </w:rPr>
                          <w:t xml:space="preserve">Cohen's </w:t>
                        </w:r>
                        <w:r>
                          <w:rPr>
                            <w:b/>
                            <w:i/>
                            <w:sz w:val="20"/>
                          </w:rPr>
                          <w:t>d</w:t>
                        </w:r>
                      </w:p>
                    </w:tc>
                  </w:tr>
                  <w:tr w:rsidR="00C75312" w14:paraId="1A594DCD" w14:textId="77777777">
                    <w:trPr>
                      <w:trHeight w:val="412"/>
                    </w:trPr>
                    <w:tc>
                      <w:tcPr>
                        <w:tcW w:w="2090" w:type="dxa"/>
                        <w:tcBorders>
                          <w:top w:val="single" w:sz="6" w:space="0" w:color="000000"/>
                          <w:bottom w:val="single" w:sz="6" w:space="0" w:color="000000"/>
                        </w:tcBorders>
                      </w:tcPr>
                      <w:p w14:paraId="3B842CA1" w14:textId="77777777" w:rsidR="00C75312" w:rsidRDefault="00BB293A">
                        <w:pPr>
                          <w:pStyle w:val="TableParagraph"/>
                          <w:spacing w:before="72"/>
                          <w:ind w:left="50"/>
                          <w:rPr>
                            <w:b/>
                            <w:sz w:val="20"/>
                          </w:rPr>
                        </w:pPr>
                        <w:r>
                          <w:rPr>
                            <w:b/>
                            <w:sz w:val="20"/>
                          </w:rPr>
                          <w:t>Clinical scales</w:t>
                        </w:r>
                      </w:p>
                    </w:tc>
                    <w:tc>
                      <w:tcPr>
                        <w:tcW w:w="1723" w:type="dxa"/>
                        <w:tcBorders>
                          <w:top w:val="single" w:sz="6" w:space="0" w:color="000000"/>
                          <w:bottom w:val="single" w:sz="6" w:space="0" w:color="000000"/>
                        </w:tcBorders>
                      </w:tcPr>
                      <w:p w14:paraId="58B0F221" w14:textId="77777777" w:rsidR="00C75312" w:rsidRDefault="00C75312">
                        <w:pPr>
                          <w:pStyle w:val="TableParagraph"/>
                          <w:rPr>
                            <w:sz w:val="20"/>
                          </w:rPr>
                        </w:pPr>
                      </w:p>
                    </w:tc>
                    <w:tc>
                      <w:tcPr>
                        <w:tcW w:w="2073" w:type="dxa"/>
                        <w:tcBorders>
                          <w:top w:val="single" w:sz="6" w:space="0" w:color="000000"/>
                          <w:bottom w:val="single" w:sz="6" w:space="0" w:color="000000"/>
                        </w:tcBorders>
                      </w:tcPr>
                      <w:p w14:paraId="1745CD6F" w14:textId="77777777" w:rsidR="00C75312" w:rsidRDefault="00C75312">
                        <w:pPr>
                          <w:pStyle w:val="TableParagraph"/>
                          <w:rPr>
                            <w:sz w:val="20"/>
                          </w:rPr>
                        </w:pPr>
                      </w:p>
                    </w:tc>
                    <w:tc>
                      <w:tcPr>
                        <w:tcW w:w="803" w:type="dxa"/>
                        <w:tcBorders>
                          <w:top w:val="single" w:sz="6" w:space="0" w:color="000000"/>
                          <w:bottom w:val="single" w:sz="6" w:space="0" w:color="000000"/>
                        </w:tcBorders>
                      </w:tcPr>
                      <w:p w14:paraId="6BE6CEF3" w14:textId="77777777" w:rsidR="00C75312" w:rsidRDefault="00C75312">
                        <w:pPr>
                          <w:pStyle w:val="TableParagraph"/>
                          <w:rPr>
                            <w:sz w:val="20"/>
                          </w:rPr>
                        </w:pPr>
                      </w:p>
                    </w:tc>
                    <w:tc>
                      <w:tcPr>
                        <w:tcW w:w="628" w:type="dxa"/>
                        <w:tcBorders>
                          <w:top w:val="single" w:sz="6" w:space="0" w:color="000000"/>
                          <w:bottom w:val="single" w:sz="6" w:space="0" w:color="000000"/>
                        </w:tcBorders>
                      </w:tcPr>
                      <w:p w14:paraId="109E1FE4" w14:textId="77777777" w:rsidR="00C75312" w:rsidRDefault="00C75312">
                        <w:pPr>
                          <w:pStyle w:val="TableParagraph"/>
                          <w:rPr>
                            <w:sz w:val="20"/>
                          </w:rPr>
                        </w:pPr>
                      </w:p>
                    </w:tc>
                    <w:tc>
                      <w:tcPr>
                        <w:tcW w:w="762" w:type="dxa"/>
                        <w:tcBorders>
                          <w:top w:val="single" w:sz="6" w:space="0" w:color="000000"/>
                          <w:bottom w:val="single" w:sz="6" w:space="0" w:color="000000"/>
                        </w:tcBorders>
                      </w:tcPr>
                      <w:p w14:paraId="1D3A189D" w14:textId="77777777" w:rsidR="00C75312" w:rsidRDefault="00C75312">
                        <w:pPr>
                          <w:pStyle w:val="TableParagraph"/>
                          <w:rPr>
                            <w:sz w:val="20"/>
                          </w:rPr>
                        </w:pPr>
                      </w:p>
                    </w:tc>
                    <w:tc>
                      <w:tcPr>
                        <w:tcW w:w="1000" w:type="dxa"/>
                        <w:tcBorders>
                          <w:top w:val="single" w:sz="6" w:space="0" w:color="000000"/>
                          <w:bottom w:val="single" w:sz="6" w:space="0" w:color="000000"/>
                        </w:tcBorders>
                      </w:tcPr>
                      <w:p w14:paraId="58CF0E02" w14:textId="77777777" w:rsidR="00C75312" w:rsidRDefault="00C75312">
                        <w:pPr>
                          <w:pStyle w:val="TableParagraph"/>
                          <w:rPr>
                            <w:sz w:val="20"/>
                          </w:rPr>
                        </w:pPr>
                      </w:p>
                    </w:tc>
                  </w:tr>
                  <w:tr w:rsidR="00C75312" w14:paraId="5B115AD1" w14:textId="77777777">
                    <w:trPr>
                      <w:trHeight w:val="387"/>
                    </w:trPr>
                    <w:tc>
                      <w:tcPr>
                        <w:tcW w:w="2090" w:type="dxa"/>
                        <w:tcBorders>
                          <w:top w:val="single" w:sz="6" w:space="0" w:color="000000"/>
                        </w:tcBorders>
                      </w:tcPr>
                      <w:p w14:paraId="6F0A7A9A" w14:textId="77777777" w:rsidR="00C75312" w:rsidRDefault="00BB293A">
                        <w:pPr>
                          <w:pStyle w:val="TableParagraph"/>
                          <w:spacing w:before="38"/>
                          <w:ind w:left="50"/>
                          <w:rPr>
                            <w:i/>
                            <w:sz w:val="20"/>
                          </w:rPr>
                        </w:pPr>
                        <w:r>
                          <w:rPr>
                            <w:i/>
                            <w:sz w:val="20"/>
                          </w:rPr>
                          <w:t>BRIEF Inhibit</w:t>
                        </w:r>
                      </w:p>
                    </w:tc>
                    <w:tc>
                      <w:tcPr>
                        <w:tcW w:w="1723" w:type="dxa"/>
                        <w:tcBorders>
                          <w:top w:val="single" w:sz="6" w:space="0" w:color="000000"/>
                        </w:tcBorders>
                      </w:tcPr>
                      <w:p w14:paraId="000E4A94" w14:textId="77777777" w:rsidR="00C75312" w:rsidRDefault="00BB293A">
                        <w:pPr>
                          <w:pStyle w:val="TableParagraph"/>
                          <w:spacing w:before="72"/>
                          <w:ind w:right="223"/>
                          <w:jc w:val="right"/>
                          <w:rPr>
                            <w:sz w:val="20"/>
                          </w:rPr>
                        </w:pPr>
                        <w:r>
                          <w:rPr>
                            <w:sz w:val="20"/>
                          </w:rPr>
                          <w:t>63.40 (12.47)</w:t>
                        </w:r>
                      </w:p>
                    </w:tc>
                    <w:tc>
                      <w:tcPr>
                        <w:tcW w:w="2073" w:type="dxa"/>
                        <w:tcBorders>
                          <w:top w:val="single" w:sz="6" w:space="0" w:color="000000"/>
                        </w:tcBorders>
                      </w:tcPr>
                      <w:p w14:paraId="3F4FC125" w14:textId="77777777" w:rsidR="00C75312" w:rsidRDefault="00BB293A">
                        <w:pPr>
                          <w:pStyle w:val="TableParagraph"/>
                          <w:spacing w:before="72"/>
                          <w:ind w:left="198" w:right="15"/>
                          <w:jc w:val="center"/>
                          <w:rPr>
                            <w:sz w:val="20"/>
                          </w:rPr>
                        </w:pPr>
                        <w:r>
                          <w:rPr>
                            <w:sz w:val="20"/>
                          </w:rPr>
                          <w:t>51.82 (9.81)</w:t>
                        </w:r>
                      </w:p>
                    </w:tc>
                    <w:tc>
                      <w:tcPr>
                        <w:tcW w:w="803" w:type="dxa"/>
                        <w:tcBorders>
                          <w:top w:val="single" w:sz="6" w:space="0" w:color="000000"/>
                        </w:tcBorders>
                      </w:tcPr>
                      <w:p w14:paraId="71B176D1" w14:textId="77777777" w:rsidR="00C75312" w:rsidRDefault="00BB293A">
                        <w:pPr>
                          <w:pStyle w:val="TableParagraph"/>
                          <w:spacing w:before="72"/>
                          <w:ind w:left="148" w:right="198"/>
                          <w:jc w:val="center"/>
                          <w:rPr>
                            <w:sz w:val="20"/>
                          </w:rPr>
                        </w:pPr>
                        <w:r>
                          <w:rPr>
                            <w:sz w:val="20"/>
                          </w:rPr>
                          <w:t>-3.50</w:t>
                        </w:r>
                      </w:p>
                    </w:tc>
                    <w:tc>
                      <w:tcPr>
                        <w:tcW w:w="628" w:type="dxa"/>
                        <w:tcBorders>
                          <w:top w:val="single" w:sz="6" w:space="0" w:color="000000"/>
                        </w:tcBorders>
                      </w:tcPr>
                      <w:p w14:paraId="40281741" w14:textId="77777777" w:rsidR="00C75312" w:rsidRDefault="00BB293A">
                        <w:pPr>
                          <w:pStyle w:val="TableParagraph"/>
                          <w:spacing w:before="72"/>
                          <w:ind w:left="201" w:right="187"/>
                          <w:jc w:val="center"/>
                          <w:rPr>
                            <w:sz w:val="20"/>
                          </w:rPr>
                        </w:pPr>
                        <w:r>
                          <w:rPr>
                            <w:sz w:val="20"/>
                          </w:rPr>
                          <w:t>45</w:t>
                        </w:r>
                      </w:p>
                    </w:tc>
                    <w:tc>
                      <w:tcPr>
                        <w:tcW w:w="762" w:type="dxa"/>
                        <w:tcBorders>
                          <w:top w:val="single" w:sz="6" w:space="0" w:color="000000"/>
                        </w:tcBorders>
                      </w:tcPr>
                      <w:p w14:paraId="5D10DEAB" w14:textId="77777777" w:rsidR="00C75312" w:rsidRDefault="00BB293A">
                        <w:pPr>
                          <w:pStyle w:val="TableParagraph"/>
                          <w:spacing w:before="72"/>
                          <w:ind w:left="187" w:right="66"/>
                          <w:jc w:val="center"/>
                          <w:rPr>
                            <w:sz w:val="20"/>
                          </w:rPr>
                        </w:pPr>
                        <w:r>
                          <w:rPr>
                            <w:sz w:val="20"/>
                          </w:rPr>
                          <w:t>.001</w:t>
                        </w:r>
                      </w:p>
                    </w:tc>
                    <w:tc>
                      <w:tcPr>
                        <w:tcW w:w="1000" w:type="dxa"/>
                        <w:tcBorders>
                          <w:top w:val="single" w:sz="6" w:space="0" w:color="000000"/>
                        </w:tcBorders>
                      </w:tcPr>
                      <w:p w14:paraId="6B3B3FF4" w14:textId="77777777" w:rsidR="00C75312" w:rsidRDefault="00BB293A">
                        <w:pPr>
                          <w:pStyle w:val="TableParagraph"/>
                          <w:spacing w:before="72"/>
                          <w:ind w:left="74" w:right="45"/>
                          <w:jc w:val="center"/>
                          <w:rPr>
                            <w:sz w:val="20"/>
                          </w:rPr>
                        </w:pPr>
                        <w:r>
                          <w:rPr>
                            <w:sz w:val="20"/>
                          </w:rPr>
                          <w:t>1.17</w:t>
                        </w:r>
                      </w:p>
                    </w:tc>
                  </w:tr>
                  <w:tr w:rsidR="00C75312" w14:paraId="67A3E349" w14:textId="77777777">
                    <w:trPr>
                      <w:trHeight w:val="427"/>
                    </w:trPr>
                    <w:tc>
                      <w:tcPr>
                        <w:tcW w:w="2090" w:type="dxa"/>
                      </w:tcPr>
                      <w:p w14:paraId="43D5E269" w14:textId="77777777" w:rsidR="00C75312" w:rsidRDefault="00BB293A">
                        <w:pPr>
                          <w:pStyle w:val="TableParagraph"/>
                          <w:spacing w:before="78"/>
                          <w:ind w:left="50"/>
                          <w:rPr>
                            <w:i/>
                            <w:sz w:val="20"/>
                          </w:rPr>
                        </w:pPr>
                        <w:r>
                          <w:rPr>
                            <w:i/>
                            <w:sz w:val="20"/>
                          </w:rPr>
                          <w:t>BRIEF Shift</w:t>
                        </w:r>
                      </w:p>
                    </w:tc>
                    <w:tc>
                      <w:tcPr>
                        <w:tcW w:w="1723" w:type="dxa"/>
                      </w:tcPr>
                      <w:p w14:paraId="7F5BB1DA" w14:textId="77777777" w:rsidR="00C75312" w:rsidRDefault="00BB293A">
                        <w:pPr>
                          <w:pStyle w:val="TableParagraph"/>
                          <w:spacing w:before="111"/>
                          <w:ind w:right="223"/>
                          <w:jc w:val="right"/>
                          <w:rPr>
                            <w:sz w:val="20"/>
                          </w:rPr>
                        </w:pPr>
                        <w:r>
                          <w:rPr>
                            <w:sz w:val="20"/>
                          </w:rPr>
                          <w:t>72.04 (13.82)</w:t>
                        </w:r>
                      </w:p>
                    </w:tc>
                    <w:tc>
                      <w:tcPr>
                        <w:tcW w:w="2073" w:type="dxa"/>
                      </w:tcPr>
                      <w:p w14:paraId="7BC304FB" w14:textId="77777777" w:rsidR="00C75312" w:rsidRDefault="00BB293A">
                        <w:pPr>
                          <w:pStyle w:val="TableParagraph"/>
                          <w:spacing w:before="111"/>
                          <w:ind w:left="198" w:right="15"/>
                          <w:jc w:val="center"/>
                          <w:rPr>
                            <w:sz w:val="20"/>
                          </w:rPr>
                        </w:pPr>
                        <w:r>
                          <w:rPr>
                            <w:sz w:val="20"/>
                          </w:rPr>
                          <w:t>50.59 (8.16)</w:t>
                        </w:r>
                      </w:p>
                    </w:tc>
                    <w:tc>
                      <w:tcPr>
                        <w:tcW w:w="803" w:type="dxa"/>
                      </w:tcPr>
                      <w:p w14:paraId="03A31D14" w14:textId="77777777" w:rsidR="00C75312" w:rsidRDefault="00BB293A">
                        <w:pPr>
                          <w:pStyle w:val="TableParagraph"/>
                          <w:spacing w:before="111"/>
                          <w:ind w:left="148" w:right="198"/>
                          <w:jc w:val="center"/>
                          <w:rPr>
                            <w:sz w:val="20"/>
                          </w:rPr>
                        </w:pPr>
                        <w:r>
                          <w:rPr>
                            <w:sz w:val="20"/>
                          </w:rPr>
                          <w:t>-6.37</w:t>
                        </w:r>
                      </w:p>
                    </w:tc>
                    <w:tc>
                      <w:tcPr>
                        <w:tcW w:w="628" w:type="dxa"/>
                      </w:tcPr>
                      <w:p w14:paraId="239F408A" w14:textId="77777777" w:rsidR="00C75312" w:rsidRDefault="00BB293A">
                        <w:pPr>
                          <w:pStyle w:val="TableParagraph"/>
                          <w:spacing w:before="111"/>
                          <w:ind w:left="201" w:right="187"/>
                          <w:jc w:val="center"/>
                          <w:rPr>
                            <w:sz w:val="20"/>
                          </w:rPr>
                        </w:pPr>
                        <w:r>
                          <w:rPr>
                            <w:sz w:val="20"/>
                          </w:rPr>
                          <w:t>45</w:t>
                        </w:r>
                      </w:p>
                    </w:tc>
                    <w:tc>
                      <w:tcPr>
                        <w:tcW w:w="762" w:type="dxa"/>
                      </w:tcPr>
                      <w:p w14:paraId="2F7BB16B" w14:textId="77777777" w:rsidR="00C75312" w:rsidRDefault="00BB293A">
                        <w:pPr>
                          <w:pStyle w:val="TableParagraph"/>
                          <w:spacing w:before="111"/>
                          <w:ind w:left="192" w:right="66"/>
                          <w:jc w:val="center"/>
                          <w:rPr>
                            <w:sz w:val="20"/>
                          </w:rPr>
                        </w:pPr>
                        <w:r>
                          <w:rPr>
                            <w:sz w:val="20"/>
                          </w:rPr>
                          <w:t>&lt;.001</w:t>
                        </w:r>
                      </w:p>
                    </w:tc>
                    <w:tc>
                      <w:tcPr>
                        <w:tcW w:w="1000" w:type="dxa"/>
                      </w:tcPr>
                      <w:p w14:paraId="3752340F" w14:textId="77777777" w:rsidR="00C75312" w:rsidRDefault="00BB293A">
                        <w:pPr>
                          <w:pStyle w:val="TableParagraph"/>
                          <w:spacing w:before="111"/>
                          <w:ind w:left="74" w:right="45"/>
                          <w:jc w:val="center"/>
                          <w:rPr>
                            <w:sz w:val="20"/>
                          </w:rPr>
                        </w:pPr>
                        <w:r>
                          <w:rPr>
                            <w:sz w:val="20"/>
                          </w:rPr>
                          <w:t>2.07</w:t>
                        </w:r>
                      </w:p>
                    </w:tc>
                  </w:tr>
                  <w:tr w:rsidR="00C75312" w14:paraId="5B459AA4" w14:textId="77777777">
                    <w:trPr>
                      <w:trHeight w:val="623"/>
                    </w:trPr>
                    <w:tc>
                      <w:tcPr>
                        <w:tcW w:w="2090" w:type="dxa"/>
                      </w:tcPr>
                      <w:p w14:paraId="15535E6F" w14:textId="77777777" w:rsidR="00C75312" w:rsidRDefault="00BB293A">
                        <w:pPr>
                          <w:pStyle w:val="TableParagraph"/>
                          <w:spacing w:before="78" w:line="261" w:lineRule="auto"/>
                          <w:ind w:left="50" w:right="581"/>
                          <w:rPr>
                            <w:i/>
                            <w:sz w:val="20"/>
                          </w:rPr>
                        </w:pPr>
                        <w:r>
                          <w:rPr>
                            <w:i/>
                            <w:sz w:val="20"/>
                          </w:rPr>
                          <w:t>BRIEF Emotional Control</w:t>
                        </w:r>
                      </w:p>
                    </w:tc>
                    <w:tc>
                      <w:tcPr>
                        <w:tcW w:w="1723" w:type="dxa"/>
                      </w:tcPr>
                      <w:p w14:paraId="3A5A85EA" w14:textId="77777777" w:rsidR="00C75312" w:rsidRDefault="00C75312">
                        <w:pPr>
                          <w:pStyle w:val="TableParagraph"/>
                          <w:spacing w:before="2"/>
                          <w:rPr>
                            <w:i/>
                            <w:sz w:val="17"/>
                          </w:rPr>
                        </w:pPr>
                      </w:p>
                      <w:p w14:paraId="3DD047B0" w14:textId="77777777" w:rsidR="00C75312" w:rsidRDefault="00BB293A">
                        <w:pPr>
                          <w:pStyle w:val="TableParagraph"/>
                          <w:ind w:right="223"/>
                          <w:jc w:val="right"/>
                          <w:rPr>
                            <w:sz w:val="20"/>
                          </w:rPr>
                        </w:pPr>
                        <w:r>
                          <w:rPr>
                            <w:sz w:val="20"/>
                          </w:rPr>
                          <w:t>61.80 (16.70)</w:t>
                        </w:r>
                      </w:p>
                    </w:tc>
                    <w:tc>
                      <w:tcPr>
                        <w:tcW w:w="2073" w:type="dxa"/>
                      </w:tcPr>
                      <w:p w14:paraId="7A5AF111" w14:textId="77777777" w:rsidR="00C75312" w:rsidRDefault="00C75312">
                        <w:pPr>
                          <w:pStyle w:val="TableParagraph"/>
                          <w:spacing w:before="2"/>
                          <w:rPr>
                            <w:i/>
                            <w:sz w:val="17"/>
                          </w:rPr>
                        </w:pPr>
                      </w:p>
                      <w:p w14:paraId="0DDF19FB" w14:textId="77777777" w:rsidR="00C75312" w:rsidRDefault="00BB293A">
                        <w:pPr>
                          <w:pStyle w:val="TableParagraph"/>
                          <w:ind w:left="198" w:right="15"/>
                          <w:jc w:val="center"/>
                          <w:rPr>
                            <w:sz w:val="20"/>
                          </w:rPr>
                        </w:pPr>
                        <w:r>
                          <w:rPr>
                            <w:sz w:val="20"/>
                          </w:rPr>
                          <w:t>47.64 (6.47)</w:t>
                        </w:r>
                      </w:p>
                    </w:tc>
                    <w:tc>
                      <w:tcPr>
                        <w:tcW w:w="803" w:type="dxa"/>
                      </w:tcPr>
                      <w:p w14:paraId="42F46EF3" w14:textId="77777777" w:rsidR="00C75312" w:rsidRDefault="00C75312">
                        <w:pPr>
                          <w:pStyle w:val="TableParagraph"/>
                          <w:spacing w:before="2"/>
                          <w:rPr>
                            <w:i/>
                            <w:sz w:val="17"/>
                          </w:rPr>
                        </w:pPr>
                      </w:p>
                      <w:p w14:paraId="36514608" w14:textId="77777777" w:rsidR="00C75312" w:rsidRDefault="00BB293A">
                        <w:pPr>
                          <w:pStyle w:val="TableParagraph"/>
                          <w:ind w:left="148" w:right="198"/>
                          <w:jc w:val="center"/>
                          <w:rPr>
                            <w:sz w:val="20"/>
                          </w:rPr>
                        </w:pPr>
                        <w:r>
                          <w:rPr>
                            <w:sz w:val="20"/>
                          </w:rPr>
                          <w:t>-3.74</w:t>
                        </w:r>
                      </w:p>
                    </w:tc>
                    <w:tc>
                      <w:tcPr>
                        <w:tcW w:w="628" w:type="dxa"/>
                      </w:tcPr>
                      <w:p w14:paraId="66F86E01" w14:textId="77777777" w:rsidR="00C75312" w:rsidRDefault="00C75312">
                        <w:pPr>
                          <w:pStyle w:val="TableParagraph"/>
                          <w:spacing w:before="2"/>
                          <w:rPr>
                            <w:i/>
                            <w:sz w:val="17"/>
                          </w:rPr>
                        </w:pPr>
                      </w:p>
                      <w:p w14:paraId="63A1190B" w14:textId="77777777" w:rsidR="00C75312" w:rsidRDefault="00BB293A">
                        <w:pPr>
                          <w:pStyle w:val="TableParagraph"/>
                          <w:ind w:left="201" w:right="187"/>
                          <w:jc w:val="center"/>
                          <w:rPr>
                            <w:sz w:val="20"/>
                          </w:rPr>
                        </w:pPr>
                        <w:r>
                          <w:rPr>
                            <w:sz w:val="20"/>
                          </w:rPr>
                          <w:t>45</w:t>
                        </w:r>
                      </w:p>
                    </w:tc>
                    <w:tc>
                      <w:tcPr>
                        <w:tcW w:w="762" w:type="dxa"/>
                      </w:tcPr>
                      <w:p w14:paraId="364A9E6D" w14:textId="77777777" w:rsidR="00C75312" w:rsidRDefault="00C75312">
                        <w:pPr>
                          <w:pStyle w:val="TableParagraph"/>
                          <w:spacing w:before="2"/>
                          <w:rPr>
                            <w:i/>
                            <w:sz w:val="17"/>
                          </w:rPr>
                        </w:pPr>
                      </w:p>
                      <w:p w14:paraId="67AC96DC" w14:textId="77777777" w:rsidR="00C75312" w:rsidRDefault="00BB293A">
                        <w:pPr>
                          <w:pStyle w:val="TableParagraph"/>
                          <w:ind w:left="187" w:right="66"/>
                          <w:jc w:val="center"/>
                          <w:rPr>
                            <w:sz w:val="20"/>
                          </w:rPr>
                        </w:pPr>
                        <w:r>
                          <w:rPr>
                            <w:sz w:val="20"/>
                          </w:rPr>
                          <w:t>.001</w:t>
                        </w:r>
                      </w:p>
                    </w:tc>
                    <w:tc>
                      <w:tcPr>
                        <w:tcW w:w="1000" w:type="dxa"/>
                      </w:tcPr>
                      <w:p w14:paraId="632458E6" w14:textId="77777777" w:rsidR="00C75312" w:rsidRDefault="00C75312">
                        <w:pPr>
                          <w:pStyle w:val="TableParagraph"/>
                          <w:spacing w:before="2"/>
                          <w:rPr>
                            <w:i/>
                            <w:sz w:val="17"/>
                          </w:rPr>
                        </w:pPr>
                      </w:p>
                      <w:p w14:paraId="04736DBD" w14:textId="77777777" w:rsidR="00C75312" w:rsidRDefault="00BB293A">
                        <w:pPr>
                          <w:pStyle w:val="TableParagraph"/>
                          <w:ind w:left="74" w:right="45"/>
                          <w:jc w:val="center"/>
                          <w:rPr>
                            <w:sz w:val="20"/>
                          </w:rPr>
                        </w:pPr>
                        <w:r>
                          <w:rPr>
                            <w:sz w:val="20"/>
                          </w:rPr>
                          <w:t>1.01</w:t>
                        </w:r>
                      </w:p>
                    </w:tc>
                  </w:tr>
                  <w:tr w:rsidR="00C75312" w14:paraId="6D7E8590" w14:textId="77777777">
                    <w:trPr>
                      <w:trHeight w:val="407"/>
                    </w:trPr>
                    <w:tc>
                      <w:tcPr>
                        <w:tcW w:w="2090" w:type="dxa"/>
                      </w:tcPr>
                      <w:p w14:paraId="184A5B26" w14:textId="77777777" w:rsidR="00C75312" w:rsidRDefault="00BB293A">
                        <w:pPr>
                          <w:pStyle w:val="TableParagraph"/>
                          <w:spacing w:before="59"/>
                          <w:ind w:left="50"/>
                          <w:rPr>
                            <w:i/>
                            <w:sz w:val="20"/>
                          </w:rPr>
                        </w:pPr>
                        <w:r>
                          <w:rPr>
                            <w:i/>
                            <w:sz w:val="20"/>
                          </w:rPr>
                          <w:t>BRIEF Self-monitoring</w:t>
                        </w:r>
                      </w:p>
                    </w:tc>
                    <w:tc>
                      <w:tcPr>
                        <w:tcW w:w="1723" w:type="dxa"/>
                      </w:tcPr>
                      <w:p w14:paraId="779784E9" w14:textId="77777777" w:rsidR="00C75312" w:rsidRDefault="00BB293A">
                        <w:pPr>
                          <w:pStyle w:val="TableParagraph"/>
                          <w:spacing w:before="92"/>
                          <w:ind w:right="223"/>
                          <w:jc w:val="right"/>
                          <w:rPr>
                            <w:sz w:val="20"/>
                          </w:rPr>
                        </w:pPr>
                        <w:r>
                          <w:rPr>
                            <w:sz w:val="20"/>
                          </w:rPr>
                          <w:t>62.72 (14.36)</w:t>
                        </w:r>
                      </w:p>
                    </w:tc>
                    <w:tc>
                      <w:tcPr>
                        <w:tcW w:w="2073" w:type="dxa"/>
                      </w:tcPr>
                      <w:p w14:paraId="0AD2E31F" w14:textId="77777777" w:rsidR="00C75312" w:rsidRDefault="00BB293A">
                        <w:pPr>
                          <w:pStyle w:val="TableParagraph"/>
                          <w:spacing w:before="92"/>
                          <w:ind w:left="193" w:right="15"/>
                          <w:jc w:val="center"/>
                          <w:rPr>
                            <w:sz w:val="20"/>
                          </w:rPr>
                        </w:pPr>
                        <w:r>
                          <w:rPr>
                            <w:sz w:val="20"/>
                          </w:rPr>
                          <w:t>46.18 (10.01)</w:t>
                        </w:r>
                      </w:p>
                    </w:tc>
                    <w:tc>
                      <w:tcPr>
                        <w:tcW w:w="803" w:type="dxa"/>
                      </w:tcPr>
                      <w:p w14:paraId="575FD522" w14:textId="77777777" w:rsidR="00C75312" w:rsidRDefault="00BB293A">
                        <w:pPr>
                          <w:pStyle w:val="TableParagraph"/>
                          <w:spacing w:before="92"/>
                          <w:ind w:left="148" w:right="198"/>
                          <w:jc w:val="center"/>
                          <w:rPr>
                            <w:sz w:val="20"/>
                          </w:rPr>
                        </w:pPr>
                        <w:r>
                          <w:rPr>
                            <w:sz w:val="20"/>
                          </w:rPr>
                          <w:t>-4.52</w:t>
                        </w:r>
                      </w:p>
                    </w:tc>
                    <w:tc>
                      <w:tcPr>
                        <w:tcW w:w="628" w:type="dxa"/>
                      </w:tcPr>
                      <w:p w14:paraId="12804E06" w14:textId="77777777" w:rsidR="00C75312" w:rsidRDefault="00BB293A">
                        <w:pPr>
                          <w:pStyle w:val="TableParagraph"/>
                          <w:spacing w:before="92"/>
                          <w:ind w:left="201" w:right="187"/>
                          <w:jc w:val="center"/>
                          <w:rPr>
                            <w:sz w:val="20"/>
                          </w:rPr>
                        </w:pPr>
                        <w:r>
                          <w:rPr>
                            <w:sz w:val="20"/>
                          </w:rPr>
                          <w:t>45</w:t>
                        </w:r>
                      </w:p>
                    </w:tc>
                    <w:tc>
                      <w:tcPr>
                        <w:tcW w:w="762" w:type="dxa"/>
                      </w:tcPr>
                      <w:p w14:paraId="5F3DF965" w14:textId="77777777" w:rsidR="00C75312" w:rsidRDefault="00BB293A">
                        <w:pPr>
                          <w:pStyle w:val="TableParagraph"/>
                          <w:spacing w:before="92"/>
                          <w:ind w:left="192" w:right="66"/>
                          <w:jc w:val="center"/>
                          <w:rPr>
                            <w:sz w:val="20"/>
                          </w:rPr>
                        </w:pPr>
                        <w:r>
                          <w:rPr>
                            <w:sz w:val="20"/>
                          </w:rPr>
                          <w:t>&lt;.001</w:t>
                        </w:r>
                      </w:p>
                    </w:tc>
                    <w:tc>
                      <w:tcPr>
                        <w:tcW w:w="1000" w:type="dxa"/>
                      </w:tcPr>
                      <w:p w14:paraId="679580E3" w14:textId="77777777" w:rsidR="00C75312" w:rsidRDefault="00BB293A">
                        <w:pPr>
                          <w:pStyle w:val="TableParagraph"/>
                          <w:spacing w:before="92"/>
                          <w:ind w:left="74" w:right="45"/>
                          <w:jc w:val="center"/>
                          <w:rPr>
                            <w:sz w:val="20"/>
                          </w:rPr>
                        </w:pPr>
                        <w:r>
                          <w:rPr>
                            <w:sz w:val="20"/>
                          </w:rPr>
                          <w:t>1.51</w:t>
                        </w:r>
                      </w:p>
                    </w:tc>
                  </w:tr>
                  <w:tr w:rsidR="00C75312" w14:paraId="7983C1D9" w14:textId="77777777">
                    <w:trPr>
                      <w:trHeight w:val="427"/>
                    </w:trPr>
                    <w:tc>
                      <w:tcPr>
                        <w:tcW w:w="2090" w:type="dxa"/>
                      </w:tcPr>
                      <w:p w14:paraId="29D6E43E" w14:textId="77777777" w:rsidR="00C75312" w:rsidRDefault="00BB293A">
                        <w:pPr>
                          <w:pStyle w:val="TableParagraph"/>
                          <w:spacing w:before="78"/>
                          <w:ind w:left="50"/>
                          <w:rPr>
                            <w:i/>
                            <w:sz w:val="20"/>
                          </w:rPr>
                        </w:pPr>
                        <w:r>
                          <w:rPr>
                            <w:i/>
                            <w:sz w:val="20"/>
                          </w:rPr>
                          <w:t>BRIEF Initiate</w:t>
                        </w:r>
                      </w:p>
                    </w:tc>
                    <w:tc>
                      <w:tcPr>
                        <w:tcW w:w="1723" w:type="dxa"/>
                      </w:tcPr>
                      <w:p w14:paraId="33FEECF9" w14:textId="77777777" w:rsidR="00C75312" w:rsidRDefault="00BB293A">
                        <w:pPr>
                          <w:pStyle w:val="TableParagraph"/>
                          <w:spacing w:before="111"/>
                          <w:ind w:right="223"/>
                          <w:jc w:val="right"/>
                          <w:rPr>
                            <w:sz w:val="20"/>
                          </w:rPr>
                        </w:pPr>
                        <w:r>
                          <w:rPr>
                            <w:sz w:val="20"/>
                          </w:rPr>
                          <w:t>65.72 (13.93)</w:t>
                        </w:r>
                      </w:p>
                    </w:tc>
                    <w:tc>
                      <w:tcPr>
                        <w:tcW w:w="2073" w:type="dxa"/>
                      </w:tcPr>
                      <w:p w14:paraId="55D5ED1D" w14:textId="77777777" w:rsidR="00C75312" w:rsidRDefault="00BB293A">
                        <w:pPr>
                          <w:pStyle w:val="TableParagraph"/>
                          <w:spacing w:before="111"/>
                          <w:ind w:left="193" w:right="15"/>
                          <w:jc w:val="center"/>
                          <w:rPr>
                            <w:sz w:val="20"/>
                          </w:rPr>
                        </w:pPr>
                        <w:r>
                          <w:rPr>
                            <w:sz w:val="20"/>
                          </w:rPr>
                          <w:t>51.27 (10.42)</w:t>
                        </w:r>
                      </w:p>
                    </w:tc>
                    <w:tc>
                      <w:tcPr>
                        <w:tcW w:w="803" w:type="dxa"/>
                      </w:tcPr>
                      <w:p w14:paraId="0AF65784" w14:textId="77777777" w:rsidR="00C75312" w:rsidRDefault="00BB293A">
                        <w:pPr>
                          <w:pStyle w:val="TableParagraph"/>
                          <w:spacing w:before="111"/>
                          <w:ind w:left="148" w:right="198"/>
                          <w:jc w:val="center"/>
                          <w:rPr>
                            <w:sz w:val="20"/>
                          </w:rPr>
                        </w:pPr>
                        <w:r>
                          <w:rPr>
                            <w:sz w:val="20"/>
                          </w:rPr>
                          <w:t>-3.98</w:t>
                        </w:r>
                      </w:p>
                    </w:tc>
                    <w:tc>
                      <w:tcPr>
                        <w:tcW w:w="628" w:type="dxa"/>
                      </w:tcPr>
                      <w:p w14:paraId="27881E99" w14:textId="77777777" w:rsidR="00C75312" w:rsidRDefault="00BB293A">
                        <w:pPr>
                          <w:pStyle w:val="TableParagraph"/>
                          <w:spacing w:before="111"/>
                          <w:ind w:left="201" w:right="187"/>
                          <w:jc w:val="center"/>
                          <w:rPr>
                            <w:sz w:val="20"/>
                          </w:rPr>
                        </w:pPr>
                        <w:r>
                          <w:rPr>
                            <w:sz w:val="20"/>
                          </w:rPr>
                          <w:t>45</w:t>
                        </w:r>
                      </w:p>
                    </w:tc>
                    <w:tc>
                      <w:tcPr>
                        <w:tcW w:w="762" w:type="dxa"/>
                      </w:tcPr>
                      <w:p w14:paraId="2C0A9D8A" w14:textId="77777777" w:rsidR="00C75312" w:rsidRDefault="00BB293A">
                        <w:pPr>
                          <w:pStyle w:val="TableParagraph"/>
                          <w:spacing w:before="111"/>
                          <w:ind w:left="192" w:right="66"/>
                          <w:jc w:val="center"/>
                          <w:rPr>
                            <w:sz w:val="20"/>
                          </w:rPr>
                        </w:pPr>
                        <w:r>
                          <w:rPr>
                            <w:sz w:val="20"/>
                          </w:rPr>
                          <w:t>&lt;.001</w:t>
                        </w:r>
                      </w:p>
                    </w:tc>
                    <w:tc>
                      <w:tcPr>
                        <w:tcW w:w="1000" w:type="dxa"/>
                      </w:tcPr>
                      <w:p w14:paraId="2E4A7553" w14:textId="77777777" w:rsidR="00C75312" w:rsidRDefault="00BB293A">
                        <w:pPr>
                          <w:pStyle w:val="TableParagraph"/>
                          <w:spacing w:before="111"/>
                          <w:ind w:left="74" w:right="45"/>
                          <w:jc w:val="center"/>
                          <w:rPr>
                            <w:sz w:val="20"/>
                          </w:rPr>
                        </w:pPr>
                        <w:r>
                          <w:rPr>
                            <w:sz w:val="20"/>
                          </w:rPr>
                          <w:t>1.48</w:t>
                        </w:r>
                      </w:p>
                    </w:tc>
                  </w:tr>
                  <w:tr w:rsidR="00C75312" w14:paraId="453C3AD5" w14:textId="77777777">
                    <w:trPr>
                      <w:trHeight w:val="427"/>
                    </w:trPr>
                    <w:tc>
                      <w:tcPr>
                        <w:tcW w:w="2090" w:type="dxa"/>
                      </w:tcPr>
                      <w:p w14:paraId="4EB093B9" w14:textId="77777777" w:rsidR="00C75312" w:rsidRDefault="00BB293A">
                        <w:pPr>
                          <w:pStyle w:val="TableParagraph"/>
                          <w:spacing w:before="78"/>
                          <w:ind w:left="50"/>
                          <w:rPr>
                            <w:i/>
                            <w:sz w:val="20"/>
                          </w:rPr>
                        </w:pPr>
                        <w:r>
                          <w:rPr>
                            <w:i/>
                            <w:sz w:val="20"/>
                          </w:rPr>
                          <w:t>BRIEF Working memory</w:t>
                        </w:r>
                      </w:p>
                    </w:tc>
                    <w:tc>
                      <w:tcPr>
                        <w:tcW w:w="1723" w:type="dxa"/>
                      </w:tcPr>
                      <w:p w14:paraId="671FFDA4" w14:textId="77777777" w:rsidR="00C75312" w:rsidRDefault="00BB293A">
                        <w:pPr>
                          <w:pStyle w:val="TableParagraph"/>
                          <w:spacing w:before="111"/>
                          <w:ind w:right="223"/>
                          <w:jc w:val="right"/>
                          <w:rPr>
                            <w:sz w:val="20"/>
                          </w:rPr>
                        </w:pPr>
                        <w:r>
                          <w:rPr>
                            <w:sz w:val="20"/>
                          </w:rPr>
                          <w:t>72.96 (12.97)</w:t>
                        </w:r>
                      </w:p>
                    </w:tc>
                    <w:tc>
                      <w:tcPr>
                        <w:tcW w:w="2073" w:type="dxa"/>
                      </w:tcPr>
                      <w:p w14:paraId="515269D3" w14:textId="77777777" w:rsidR="00C75312" w:rsidRDefault="00BB293A">
                        <w:pPr>
                          <w:pStyle w:val="TableParagraph"/>
                          <w:spacing w:before="111"/>
                          <w:ind w:left="193" w:right="15"/>
                          <w:jc w:val="center"/>
                          <w:rPr>
                            <w:sz w:val="20"/>
                          </w:rPr>
                        </w:pPr>
                        <w:r>
                          <w:rPr>
                            <w:sz w:val="20"/>
                          </w:rPr>
                          <w:t>52.82 (10.97)</w:t>
                        </w:r>
                      </w:p>
                    </w:tc>
                    <w:tc>
                      <w:tcPr>
                        <w:tcW w:w="803" w:type="dxa"/>
                      </w:tcPr>
                      <w:p w14:paraId="61B2970C" w14:textId="77777777" w:rsidR="00C75312" w:rsidRDefault="00BB293A">
                        <w:pPr>
                          <w:pStyle w:val="TableParagraph"/>
                          <w:spacing w:before="111"/>
                          <w:ind w:left="148" w:right="198"/>
                          <w:jc w:val="center"/>
                          <w:rPr>
                            <w:sz w:val="20"/>
                          </w:rPr>
                        </w:pPr>
                        <w:r>
                          <w:rPr>
                            <w:sz w:val="20"/>
                          </w:rPr>
                          <w:t>-5.71</w:t>
                        </w:r>
                      </w:p>
                    </w:tc>
                    <w:tc>
                      <w:tcPr>
                        <w:tcW w:w="628" w:type="dxa"/>
                      </w:tcPr>
                      <w:p w14:paraId="1B598792" w14:textId="77777777" w:rsidR="00C75312" w:rsidRDefault="00BB293A">
                        <w:pPr>
                          <w:pStyle w:val="TableParagraph"/>
                          <w:spacing w:before="111"/>
                          <w:ind w:left="201" w:right="187"/>
                          <w:jc w:val="center"/>
                          <w:rPr>
                            <w:sz w:val="20"/>
                          </w:rPr>
                        </w:pPr>
                        <w:r>
                          <w:rPr>
                            <w:sz w:val="20"/>
                          </w:rPr>
                          <w:t>45</w:t>
                        </w:r>
                      </w:p>
                    </w:tc>
                    <w:tc>
                      <w:tcPr>
                        <w:tcW w:w="762" w:type="dxa"/>
                      </w:tcPr>
                      <w:p w14:paraId="54B2A835" w14:textId="77777777" w:rsidR="00C75312" w:rsidRDefault="00BB293A">
                        <w:pPr>
                          <w:pStyle w:val="TableParagraph"/>
                          <w:spacing w:before="111"/>
                          <w:ind w:left="192" w:right="66"/>
                          <w:jc w:val="center"/>
                          <w:rPr>
                            <w:sz w:val="20"/>
                          </w:rPr>
                        </w:pPr>
                        <w:r>
                          <w:rPr>
                            <w:sz w:val="20"/>
                          </w:rPr>
                          <w:t>&lt;.001</w:t>
                        </w:r>
                      </w:p>
                    </w:tc>
                    <w:tc>
                      <w:tcPr>
                        <w:tcW w:w="1000" w:type="dxa"/>
                      </w:tcPr>
                      <w:p w14:paraId="64EBCD9F" w14:textId="77777777" w:rsidR="00C75312" w:rsidRDefault="00BB293A">
                        <w:pPr>
                          <w:pStyle w:val="TableParagraph"/>
                          <w:spacing w:before="111"/>
                          <w:ind w:left="74" w:right="45"/>
                          <w:jc w:val="center"/>
                          <w:rPr>
                            <w:sz w:val="20"/>
                          </w:rPr>
                        </w:pPr>
                        <w:r>
                          <w:rPr>
                            <w:sz w:val="20"/>
                          </w:rPr>
                          <w:t>1.83</w:t>
                        </w:r>
                      </w:p>
                    </w:tc>
                  </w:tr>
                  <w:tr w:rsidR="00C75312" w14:paraId="7CF558B0" w14:textId="77777777">
                    <w:trPr>
                      <w:trHeight w:val="427"/>
                    </w:trPr>
                    <w:tc>
                      <w:tcPr>
                        <w:tcW w:w="2090" w:type="dxa"/>
                      </w:tcPr>
                      <w:p w14:paraId="32A9D0B3" w14:textId="77777777" w:rsidR="00C75312" w:rsidRDefault="00BB293A">
                        <w:pPr>
                          <w:pStyle w:val="TableParagraph"/>
                          <w:spacing w:before="78"/>
                          <w:ind w:left="50"/>
                          <w:rPr>
                            <w:i/>
                            <w:sz w:val="20"/>
                          </w:rPr>
                        </w:pPr>
                        <w:r>
                          <w:rPr>
                            <w:i/>
                            <w:sz w:val="20"/>
                          </w:rPr>
                          <w:t>BRIEF Plan</w:t>
                        </w:r>
                      </w:p>
                    </w:tc>
                    <w:tc>
                      <w:tcPr>
                        <w:tcW w:w="1723" w:type="dxa"/>
                      </w:tcPr>
                      <w:p w14:paraId="37B83C45" w14:textId="77777777" w:rsidR="00C75312" w:rsidRDefault="00BB293A">
                        <w:pPr>
                          <w:pStyle w:val="TableParagraph"/>
                          <w:spacing w:before="111"/>
                          <w:ind w:right="223"/>
                          <w:jc w:val="right"/>
                          <w:rPr>
                            <w:sz w:val="20"/>
                          </w:rPr>
                        </w:pPr>
                        <w:r>
                          <w:rPr>
                            <w:sz w:val="20"/>
                          </w:rPr>
                          <w:t>65.24 (13.46)</w:t>
                        </w:r>
                      </w:p>
                    </w:tc>
                    <w:tc>
                      <w:tcPr>
                        <w:tcW w:w="2073" w:type="dxa"/>
                      </w:tcPr>
                      <w:p w14:paraId="31ECE35B" w14:textId="77777777" w:rsidR="00C75312" w:rsidRDefault="00BB293A">
                        <w:pPr>
                          <w:pStyle w:val="TableParagraph"/>
                          <w:spacing w:before="111"/>
                          <w:ind w:left="193" w:right="15"/>
                          <w:jc w:val="center"/>
                          <w:rPr>
                            <w:sz w:val="20"/>
                          </w:rPr>
                        </w:pPr>
                        <w:r>
                          <w:rPr>
                            <w:sz w:val="20"/>
                          </w:rPr>
                          <w:t>52.41 (12.48)</w:t>
                        </w:r>
                      </w:p>
                    </w:tc>
                    <w:tc>
                      <w:tcPr>
                        <w:tcW w:w="803" w:type="dxa"/>
                      </w:tcPr>
                      <w:p w14:paraId="67DAEE0D" w14:textId="77777777" w:rsidR="00C75312" w:rsidRDefault="00BB293A">
                        <w:pPr>
                          <w:pStyle w:val="TableParagraph"/>
                          <w:spacing w:before="111"/>
                          <w:ind w:left="148" w:right="198"/>
                          <w:jc w:val="center"/>
                          <w:rPr>
                            <w:sz w:val="20"/>
                          </w:rPr>
                        </w:pPr>
                        <w:r>
                          <w:rPr>
                            <w:sz w:val="20"/>
                          </w:rPr>
                          <w:t>-3.37</w:t>
                        </w:r>
                      </w:p>
                    </w:tc>
                    <w:tc>
                      <w:tcPr>
                        <w:tcW w:w="628" w:type="dxa"/>
                      </w:tcPr>
                      <w:p w14:paraId="54EB5A50" w14:textId="77777777" w:rsidR="00C75312" w:rsidRDefault="00BB293A">
                        <w:pPr>
                          <w:pStyle w:val="TableParagraph"/>
                          <w:spacing w:before="111"/>
                          <w:ind w:left="201" w:right="187"/>
                          <w:jc w:val="center"/>
                          <w:rPr>
                            <w:sz w:val="20"/>
                          </w:rPr>
                        </w:pPr>
                        <w:r>
                          <w:rPr>
                            <w:sz w:val="20"/>
                          </w:rPr>
                          <w:t>45</w:t>
                        </w:r>
                      </w:p>
                    </w:tc>
                    <w:tc>
                      <w:tcPr>
                        <w:tcW w:w="762" w:type="dxa"/>
                      </w:tcPr>
                      <w:p w14:paraId="63F496FC" w14:textId="77777777" w:rsidR="00C75312" w:rsidRDefault="00BB293A">
                        <w:pPr>
                          <w:pStyle w:val="TableParagraph"/>
                          <w:spacing w:before="111"/>
                          <w:ind w:left="187" w:right="66"/>
                          <w:jc w:val="center"/>
                          <w:rPr>
                            <w:sz w:val="20"/>
                          </w:rPr>
                        </w:pPr>
                        <w:r>
                          <w:rPr>
                            <w:sz w:val="20"/>
                          </w:rPr>
                          <w:t>.002</w:t>
                        </w:r>
                      </w:p>
                    </w:tc>
                    <w:tc>
                      <w:tcPr>
                        <w:tcW w:w="1000" w:type="dxa"/>
                      </w:tcPr>
                      <w:p w14:paraId="39513F47" w14:textId="77777777" w:rsidR="00C75312" w:rsidRDefault="00BB293A">
                        <w:pPr>
                          <w:pStyle w:val="TableParagraph"/>
                          <w:spacing w:before="111"/>
                          <w:ind w:left="74" w:right="45"/>
                          <w:jc w:val="center"/>
                          <w:rPr>
                            <w:sz w:val="20"/>
                          </w:rPr>
                        </w:pPr>
                        <w:r>
                          <w:rPr>
                            <w:sz w:val="20"/>
                          </w:rPr>
                          <w:t>1.23</w:t>
                        </w:r>
                      </w:p>
                    </w:tc>
                  </w:tr>
                  <w:tr w:rsidR="00C75312" w14:paraId="762656A4" w14:textId="77777777">
                    <w:trPr>
                      <w:trHeight w:val="342"/>
                    </w:trPr>
                    <w:tc>
                      <w:tcPr>
                        <w:tcW w:w="2090" w:type="dxa"/>
                      </w:tcPr>
                      <w:p w14:paraId="6B58463B" w14:textId="77777777" w:rsidR="00C75312" w:rsidRDefault="00BB293A">
                        <w:pPr>
                          <w:pStyle w:val="TableParagraph"/>
                          <w:spacing w:before="78"/>
                          <w:ind w:left="50"/>
                          <w:rPr>
                            <w:i/>
                            <w:sz w:val="20"/>
                          </w:rPr>
                        </w:pPr>
                        <w:r>
                          <w:rPr>
                            <w:i/>
                            <w:sz w:val="20"/>
                          </w:rPr>
                          <w:t>BRIEF Task monitoring</w:t>
                        </w:r>
                      </w:p>
                    </w:tc>
                    <w:tc>
                      <w:tcPr>
                        <w:tcW w:w="1723" w:type="dxa"/>
                      </w:tcPr>
                      <w:p w14:paraId="348B2DA9" w14:textId="77777777" w:rsidR="00C75312" w:rsidRDefault="00BB293A">
                        <w:pPr>
                          <w:pStyle w:val="TableParagraph"/>
                          <w:spacing w:before="111" w:line="210" w:lineRule="exact"/>
                          <w:ind w:right="223"/>
                          <w:jc w:val="right"/>
                          <w:rPr>
                            <w:sz w:val="20"/>
                          </w:rPr>
                        </w:pPr>
                        <w:r>
                          <w:rPr>
                            <w:sz w:val="20"/>
                          </w:rPr>
                          <w:t>65.88 (14.39)</w:t>
                        </w:r>
                      </w:p>
                    </w:tc>
                    <w:tc>
                      <w:tcPr>
                        <w:tcW w:w="2073" w:type="dxa"/>
                      </w:tcPr>
                      <w:p w14:paraId="5A637958" w14:textId="77777777" w:rsidR="00C75312" w:rsidRDefault="00BB293A">
                        <w:pPr>
                          <w:pStyle w:val="TableParagraph"/>
                          <w:spacing w:before="111" w:line="210" w:lineRule="exact"/>
                          <w:ind w:left="193" w:right="15"/>
                          <w:jc w:val="center"/>
                          <w:rPr>
                            <w:sz w:val="20"/>
                          </w:rPr>
                        </w:pPr>
                        <w:r>
                          <w:rPr>
                            <w:sz w:val="20"/>
                          </w:rPr>
                          <w:t>53.00 (11.46)</w:t>
                        </w:r>
                      </w:p>
                    </w:tc>
                    <w:tc>
                      <w:tcPr>
                        <w:tcW w:w="803" w:type="dxa"/>
                      </w:tcPr>
                      <w:p w14:paraId="353313B7" w14:textId="77777777" w:rsidR="00C75312" w:rsidRDefault="00BB293A">
                        <w:pPr>
                          <w:pStyle w:val="TableParagraph"/>
                          <w:spacing w:before="111" w:line="210" w:lineRule="exact"/>
                          <w:ind w:left="148" w:right="198"/>
                          <w:jc w:val="center"/>
                          <w:rPr>
                            <w:sz w:val="20"/>
                          </w:rPr>
                        </w:pPr>
                        <w:r>
                          <w:rPr>
                            <w:sz w:val="20"/>
                          </w:rPr>
                          <w:t>-3.36</w:t>
                        </w:r>
                      </w:p>
                    </w:tc>
                    <w:tc>
                      <w:tcPr>
                        <w:tcW w:w="628" w:type="dxa"/>
                      </w:tcPr>
                      <w:p w14:paraId="038818CB" w14:textId="77777777" w:rsidR="00C75312" w:rsidRDefault="00BB293A">
                        <w:pPr>
                          <w:pStyle w:val="TableParagraph"/>
                          <w:spacing w:before="111" w:line="210" w:lineRule="exact"/>
                          <w:ind w:left="201" w:right="187"/>
                          <w:jc w:val="center"/>
                          <w:rPr>
                            <w:sz w:val="20"/>
                          </w:rPr>
                        </w:pPr>
                        <w:r>
                          <w:rPr>
                            <w:sz w:val="20"/>
                          </w:rPr>
                          <w:t>45</w:t>
                        </w:r>
                      </w:p>
                    </w:tc>
                    <w:tc>
                      <w:tcPr>
                        <w:tcW w:w="762" w:type="dxa"/>
                      </w:tcPr>
                      <w:p w14:paraId="172BD7E6" w14:textId="77777777" w:rsidR="00C75312" w:rsidRDefault="00BB293A">
                        <w:pPr>
                          <w:pStyle w:val="TableParagraph"/>
                          <w:spacing w:before="111" w:line="210" w:lineRule="exact"/>
                          <w:ind w:left="187" w:right="66"/>
                          <w:jc w:val="center"/>
                          <w:rPr>
                            <w:sz w:val="20"/>
                          </w:rPr>
                        </w:pPr>
                        <w:r>
                          <w:rPr>
                            <w:sz w:val="20"/>
                          </w:rPr>
                          <w:t>.002</w:t>
                        </w:r>
                      </w:p>
                    </w:tc>
                    <w:tc>
                      <w:tcPr>
                        <w:tcW w:w="1000" w:type="dxa"/>
                      </w:tcPr>
                      <w:p w14:paraId="08065638" w14:textId="77777777" w:rsidR="00C75312" w:rsidRDefault="00BB293A">
                        <w:pPr>
                          <w:pStyle w:val="TableParagraph"/>
                          <w:spacing w:before="111" w:line="210" w:lineRule="exact"/>
                          <w:ind w:left="74" w:right="45"/>
                          <w:jc w:val="center"/>
                          <w:rPr>
                            <w:sz w:val="20"/>
                          </w:rPr>
                        </w:pPr>
                        <w:r>
                          <w:rPr>
                            <w:sz w:val="20"/>
                          </w:rPr>
                          <w:t>1.20</w:t>
                        </w:r>
                      </w:p>
                    </w:tc>
                  </w:tr>
                  <w:tr w:rsidR="00C75312" w14:paraId="6657B590" w14:textId="77777777">
                    <w:trPr>
                      <w:trHeight w:val="714"/>
                    </w:trPr>
                    <w:tc>
                      <w:tcPr>
                        <w:tcW w:w="3813" w:type="dxa"/>
                        <w:gridSpan w:val="2"/>
                        <w:tcBorders>
                          <w:bottom w:val="single" w:sz="4" w:space="0" w:color="000000"/>
                        </w:tcBorders>
                      </w:tcPr>
                      <w:p w14:paraId="37D6C98A" w14:textId="77777777" w:rsidR="00C75312" w:rsidRDefault="00BB293A">
                        <w:pPr>
                          <w:pStyle w:val="TableParagraph"/>
                          <w:tabs>
                            <w:tab w:val="left" w:pos="2497"/>
                          </w:tabs>
                          <w:spacing w:before="163"/>
                          <w:ind w:left="50"/>
                          <w:rPr>
                            <w:sz w:val="20"/>
                          </w:rPr>
                        </w:pPr>
                        <w:r>
                          <w:rPr>
                            <w:i/>
                            <w:sz w:val="20"/>
                          </w:rPr>
                          <w:t>BRIEF</w:t>
                        </w:r>
                        <w:r>
                          <w:rPr>
                            <w:i/>
                            <w:spacing w:val="-1"/>
                            <w:sz w:val="20"/>
                          </w:rPr>
                          <w:t xml:space="preserve"> </w:t>
                        </w:r>
                        <w:proofErr w:type="spellStart"/>
                        <w:r>
                          <w:rPr>
                            <w:i/>
                            <w:sz w:val="20"/>
                          </w:rPr>
                          <w:t>Organisation</w:t>
                        </w:r>
                        <w:proofErr w:type="spellEnd"/>
                        <w:r>
                          <w:rPr>
                            <w:i/>
                            <w:spacing w:val="2"/>
                            <w:sz w:val="20"/>
                          </w:rPr>
                          <w:t xml:space="preserve"> </w:t>
                        </w:r>
                        <w:r>
                          <w:rPr>
                            <w:i/>
                            <w:spacing w:val="-3"/>
                            <w:sz w:val="20"/>
                          </w:rPr>
                          <w:t>of</w:t>
                        </w:r>
                        <w:r>
                          <w:rPr>
                            <w:i/>
                            <w:spacing w:val="-3"/>
                            <w:sz w:val="20"/>
                          </w:rPr>
                          <w:tab/>
                        </w:r>
                        <w:r>
                          <w:rPr>
                            <w:position w:val="-11"/>
                            <w:sz w:val="20"/>
                          </w:rPr>
                          <w:t>56.44</w:t>
                        </w:r>
                        <w:r>
                          <w:rPr>
                            <w:spacing w:val="-1"/>
                            <w:position w:val="-11"/>
                            <w:sz w:val="20"/>
                          </w:rPr>
                          <w:t xml:space="preserve"> </w:t>
                        </w:r>
                        <w:r>
                          <w:rPr>
                            <w:position w:val="-11"/>
                            <w:sz w:val="20"/>
                          </w:rPr>
                          <w:t>(14.45)</w:t>
                        </w:r>
                      </w:p>
                    </w:tc>
                    <w:tc>
                      <w:tcPr>
                        <w:tcW w:w="2073" w:type="dxa"/>
                        <w:tcBorders>
                          <w:bottom w:val="single" w:sz="4" w:space="0" w:color="000000"/>
                        </w:tcBorders>
                      </w:tcPr>
                      <w:p w14:paraId="45FE85A1" w14:textId="77777777" w:rsidR="00C75312" w:rsidRDefault="00C75312">
                        <w:pPr>
                          <w:pStyle w:val="TableParagraph"/>
                          <w:rPr>
                            <w:i/>
                            <w:sz w:val="25"/>
                          </w:rPr>
                        </w:pPr>
                      </w:p>
                      <w:p w14:paraId="50594ACD" w14:textId="77777777" w:rsidR="00C75312" w:rsidRDefault="00BB293A">
                        <w:pPr>
                          <w:pStyle w:val="TableParagraph"/>
                          <w:ind w:left="198" w:right="15"/>
                          <w:jc w:val="center"/>
                          <w:rPr>
                            <w:sz w:val="20"/>
                          </w:rPr>
                        </w:pPr>
                        <w:r>
                          <w:rPr>
                            <w:sz w:val="20"/>
                          </w:rPr>
                          <w:t>46.73 (8.99)</w:t>
                        </w:r>
                      </w:p>
                    </w:tc>
                    <w:tc>
                      <w:tcPr>
                        <w:tcW w:w="803" w:type="dxa"/>
                        <w:tcBorders>
                          <w:bottom w:val="single" w:sz="4" w:space="0" w:color="000000"/>
                        </w:tcBorders>
                      </w:tcPr>
                      <w:p w14:paraId="0C978819" w14:textId="77777777" w:rsidR="00C75312" w:rsidRDefault="00C75312">
                        <w:pPr>
                          <w:pStyle w:val="TableParagraph"/>
                          <w:rPr>
                            <w:i/>
                            <w:sz w:val="25"/>
                          </w:rPr>
                        </w:pPr>
                      </w:p>
                      <w:p w14:paraId="2C4CD098" w14:textId="77777777" w:rsidR="00C75312" w:rsidRDefault="00BB293A">
                        <w:pPr>
                          <w:pStyle w:val="TableParagraph"/>
                          <w:ind w:left="148" w:right="198"/>
                          <w:jc w:val="center"/>
                          <w:rPr>
                            <w:sz w:val="20"/>
                          </w:rPr>
                        </w:pPr>
                        <w:r>
                          <w:rPr>
                            <w:sz w:val="20"/>
                          </w:rPr>
                          <w:t>-2.72</w:t>
                        </w:r>
                      </w:p>
                    </w:tc>
                    <w:tc>
                      <w:tcPr>
                        <w:tcW w:w="628" w:type="dxa"/>
                        <w:tcBorders>
                          <w:bottom w:val="single" w:sz="4" w:space="0" w:color="000000"/>
                        </w:tcBorders>
                      </w:tcPr>
                      <w:p w14:paraId="19EB22D3" w14:textId="77777777" w:rsidR="00C75312" w:rsidRDefault="00C75312">
                        <w:pPr>
                          <w:pStyle w:val="TableParagraph"/>
                          <w:rPr>
                            <w:i/>
                            <w:sz w:val="25"/>
                          </w:rPr>
                        </w:pPr>
                      </w:p>
                      <w:p w14:paraId="6CA3B6B1" w14:textId="77777777" w:rsidR="00C75312" w:rsidRDefault="00BB293A">
                        <w:pPr>
                          <w:pStyle w:val="TableParagraph"/>
                          <w:ind w:left="201" w:right="187"/>
                          <w:jc w:val="center"/>
                          <w:rPr>
                            <w:sz w:val="20"/>
                          </w:rPr>
                        </w:pPr>
                        <w:r>
                          <w:rPr>
                            <w:sz w:val="20"/>
                          </w:rPr>
                          <w:t>45</w:t>
                        </w:r>
                      </w:p>
                    </w:tc>
                    <w:tc>
                      <w:tcPr>
                        <w:tcW w:w="762" w:type="dxa"/>
                        <w:tcBorders>
                          <w:bottom w:val="single" w:sz="4" w:space="0" w:color="000000"/>
                        </w:tcBorders>
                      </w:tcPr>
                      <w:p w14:paraId="5FA48D6C" w14:textId="77777777" w:rsidR="00C75312" w:rsidRDefault="00C75312">
                        <w:pPr>
                          <w:pStyle w:val="TableParagraph"/>
                          <w:rPr>
                            <w:i/>
                            <w:sz w:val="25"/>
                          </w:rPr>
                        </w:pPr>
                      </w:p>
                      <w:p w14:paraId="46D26271" w14:textId="77777777" w:rsidR="00C75312" w:rsidRDefault="00BB293A">
                        <w:pPr>
                          <w:pStyle w:val="TableParagraph"/>
                          <w:ind w:left="187" w:right="66"/>
                          <w:jc w:val="center"/>
                          <w:rPr>
                            <w:sz w:val="20"/>
                          </w:rPr>
                        </w:pPr>
                        <w:r>
                          <w:rPr>
                            <w:sz w:val="20"/>
                          </w:rPr>
                          <w:t>.009</w:t>
                        </w:r>
                      </w:p>
                    </w:tc>
                    <w:tc>
                      <w:tcPr>
                        <w:tcW w:w="1000" w:type="dxa"/>
                        <w:tcBorders>
                          <w:bottom w:val="single" w:sz="4" w:space="0" w:color="000000"/>
                        </w:tcBorders>
                      </w:tcPr>
                      <w:p w14:paraId="10176CB5" w14:textId="77777777" w:rsidR="00C75312" w:rsidRDefault="00C75312">
                        <w:pPr>
                          <w:pStyle w:val="TableParagraph"/>
                          <w:rPr>
                            <w:i/>
                            <w:sz w:val="25"/>
                          </w:rPr>
                        </w:pPr>
                      </w:p>
                      <w:p w14:paraId="6DB2258E" w14:textId="77777777" w:rsidR="00C75312" w:rsidRDefault="00BB293A">
                        <w:pPr>
                          <w:pStyle w:val="TableParagraph"/>
                          <w:ind w:left="74" w:right="45"/>
                          <w:jc w:val="center"/>
                          <w:rPr>
                            <w:sz w:val="20"/>
                          </w:rPr>
                        </w:pPr>
                        <w:r>
                          <w:rPr>
                            <w:sz w:val="20"/>
                          </w:rPr>
                          <w:t>0.85</w:t>
                        </w:r>
                      </w:p>
                    </w:tc>
                  </w:tr>
                  <w:tr w:rsidR="00C75312" w14:paraId="6BBFD228" w14:textId="77777777">
                    <w:trPr>
                      <w:trHeight w:val="426"/>
                    </w:trPr>
                    <w:tc>
                      <w:tcPr>
                        <w:tcW w:w="2090" w:type="dxa"/>
                      </w:tcPr>
                      <w:p w14:paraId="4DDD549D" w14:textId="77777777" w:rsidR="00C75312" w:rsidRDefault="00BB293A">
                        <w:pPr>
                          <w:pStyle w:val="TableParagraph"/>
                          <w:spacing w:before="86"/>
                          <w:ind w:left="50"/>
                          <w:rPr>
                            <w:b/>
                            <w:sz w:val="20"/>
                          </w:rPr>
                        </w:pPr>
                        <w:r>
                          <w:rPr>
                            <w:b/>
                            <w:sz w:val="20"/>
                          </w:rPr>
                          <w:t>Composite scores</w:t>
                        </w:r>
                      </w:p>
                    </w:tc>
                    <w:tc>
                      <w:tcPr>
                        <w:tcW w:w="1723" w:type="dxa"/>
                      </w:tcPr>
                      <w:p w14:paraId="3F03FC2D" w14:textId="77777777" w:rsidR="00C75312" w:rsidRDefault="00C75312">
                        <w:pPr>
                          <w:pStyle w:val="TableParagraph"/>
                          <w:rPr>
                            <w:sz w:val="20"/>
                          </w:rPr>
                        </w:pPr>
                      </w:p>
                    </w:tc>
                    <w:tc>
                      <w:tcPr>
                        <w:tcW w:w="2073" w:type="dxa"/>
                      </w:tcPr>
                      <w:p w14:paraId="16EE2ED4" w14:textId="77777777" w:rsidR="00C75312" w:rsidRDefault="00C75312">
                        <w:pPr>
                          <w:pStyle w:val="TableParagraph"/>
                          <w:rPr>
                            <w:sz w:val="20"/>
                          </w:rPr>
                        </w:pPr>
                      </w:p>
                    </w:tc>
                    <w:tc>
                      <w:tcPr>
                        <w:tcW w:w="803" w:type="dxa"/>
                      </w:tcPr>
                      <w:p w14:paraId="4A8744BF" w14:textId="77777777" w:rsidR="00C75312" w:rsidRDefault="00C75312">
                        <w:pPr>
                          <w:pStyle w:val="TableParagraph"/>
                          <w:rPr>
                            <w:sz w:val="20"/>
                          </w:rPr>
                        </w:pPr>
                      </w:p>
                    </w:tc>
                    <w:tc>
                      <w:tcPr>
                        <w:tcW w:w="628" w:type="dxa"/>
                      </w:tcPr>
                      <w:p w14:paraId="42652309" w14:textId="77777777" w:rsidR="00C75312" w:rsidRDefault="00C75312">
                        <w:pPr>
                          <w:pStyle w:val="TableParagraph"/>
                          <w:rPr>
                            <w:sz w:val="20"/>
                          </w:rPr>
                        </w:pPr>
                      </w:p>
                    </w:tc>
                    <w:tc>
                      <w:tcPr>
                        <w:tcW w:w="762" w:type="dxa"/>
                      </w:tcPr>
                      <w:p w14:paraId="3CFDED55" w14:textId="77777777" w:rsidR="00C75312" w:rsidRDefault="00C75312">
                        <w:pPr>
                          <w:pStyle w:val="TableParagraph"/>
                          <w:rPr>
                            <w:sz w:val="20"/>
                          </w:rPr>
                        </w:pPr>
                      </w:p>
                    </w:tc>
                    <w:tc>
                      <w:tcPr>
                        <w:tcW w:w="1000" w:type="dxa"/>
                      </w:tcPr>
                      <w:p w14:paraId="7486A048" w14:textId="77777777" w:rsidR="00C75312" w:rsidRDefault="00C75312">
                        <w:pPr>
                          <w:pStyle w:val="TableParagraph"/>
                          <w:rPr>
                            <w:sz w:val="20"/>
                          </w:rPr>
                        </w:pPr>
                      </w:p>
                    </w:tc>
                  </w:tr>
                  <w:tr w:rsidR="00C75312" w14:paraId="679FDFB2" w14:textId="77777777">
                    <w:trPr>
                      <w:trHeight w:val="598"/>
                    </w:trPr>
                    <w:tc>
                      <w:tcPr>
                        <w:tcW w:w="3813" w:type="dxa"/>
                        <w:gridSpan w:val="2"/>
                        <w:tcBorders>
                          <w:top w:val="single" w:sz="4" w:space="0" w:color="000000"/>
                        </w:tcBorders>
                      </w:tcPr>
                      <w:p w14:paraId="38EE26DE" w14:textId="77777777" w:rsidR="00C75312" w:rsidRDefault="00BB293A">
                        <w:pPr>
                          <w:pStyle w:val="TableParagraph"/>
                          <w:tabs>
                            <w:tab w:val="left" w:pos="2497"/>
                          </w:tabs>
                          <w:spacing w:before="53"/>
                          <w:ind w:left="50"/>
                          <w:rPr>
                            <w:sz w:val="20"/>
                          </w:rPr>
                        </w:pPr>
                        <w:r>
                          <w:rPr>
                            <w:i/>
                            <w:sz w:val="20"/>
                          </w:rPr>
                          <w:t>BRIEF</w:t>
                        </w:r>
                        <w:r>
                          <w:rPr>
                            <w:i/>
                            <w:spacing w:val="-2"/>
                            <w:sz w:val="20"/>
                          </w:rPr>
                          <w:t xml:space="preserve"> </w:t>
                        </w:r>
                        <w:proofErr w:type="spellStart"/>
                        <w:r>
                          <w:rPr>
                            <w:i/>
                            <w:sz w:val="20"/>
                          </w:rPr>
                          <w:t>Behavioural</w:t>
                        </w:r>
                        <w:proofErr w:type="spellEnd"/>
                        <w:r>
                          <w:rPr>
                            <w:i/>
                            <w:sz w:val="20"/>
                          </w:rPr>
                          <w:tab/>
                        </w:r>
                        <w:r>
                          <w:rPr>
                            <w:position w:val="-11"/>
                            <w:sz w:val="20"/>
                          </w:rPr>
                          <w:t>68.24</w:t>
                        </w:r>
                        <w:r>
                          <w:rPr>
                            <w:spacing w:val="-1"/>
                            <w:position w:val="-11"/>
                            <w:sz w:val="20"/>
                          </w:rPr>
                          <w:t xml:space="preserve"> </w:t>
                        </w:r>
                        <w:r>
                          <w:rPr>
                            <w:position w:val="-11"/>
                            <w:sz w:val="20"/>
                          </w:rPr>
                          <w:t>(13.88)</w:t>
                        </w:r>
                      </w:p>
                    </w:tc>
                    <w:tc>
                      <w:tcPr>
                        <w:tcW w:w="2073" w:type="dxa"/>
                        <w:tcBorders>
                          <w:top w:val="single" w:sz="4" w:space="0" w:color="000000"/>
                        </w:tcBorders>
                      </w:tcPr>
                      <w:p w14:paraId="2355E080" w14:textId="77777777" w:rsidR="00C75312" w:rsidRDefault="00BB293A">
                        <w:pPr>
                          <w:pStyle w:val="TableParagraph"/>
                          <w:spacing w:before="178"/>
                          <w:ind w:left="198" w:right="15"/>
                          <w:jc w:val="center"/>
                          <w:rPr>
                            <w:sz w:val="20"/>
                          </w:rPr>
                        </w:pPr>
                        <w:r>
                          <w:rPr>
                            <w:sz w:val="20"/>
                          </w:rPr>
                          <w:t>48.64 (6.73)</w:t>
                        </w:r>
                      </w:p>
                    </w:tc>
                    <w:tc>
                      <w:tcPr>
                        <w:tcW w:w="803" w:type="dxa"/>
                        <w:tcBorders>
                          <w:top w:val="single" w:sz="4" w:space="0" w:color="000000"/>
                        </w:tcBorders>
                      </w:tcPr>
                      <w:p w14:paraId="30925DC7" w14:textId="77777777" w:rsidR="00C75312" w:rsidRDefault="00BB293A">
                        <w:pPr>
                          <w:pStyle w:val="TableParagraph"/>
                          <w:spacing w:before="178"/>
                          <w:ind w:left="148" w:right="198"/>
                          <w:jc w:val="center"/>
                          <w:rPr>
                            <w:sz w:val="20"/>
                          </w:rPr>
                        </w:pPr>
                        <w:r>
                          <w:rPr>
                            <w:sz w:val="20"/>
                          </w:rPr>
                          <w:t>-6.03</w:t>
                        </w:r>
                      </w:p>
                    </w:tc>
                    <w:tc>
                      <w:tcPr>
                        <w:tcW w:w="628" w:type="dxa"/>
                        <w:tcBorders>
                          <w:top w:val="single" w:sz="4" w:space="0" w:color="000000"/>
                        </w:tcBorders>
                      </w:tcPr>
                      <w:p w14:paraId="7A245582" w14:textId="77777777" w:rsidR="00C75312" w:rsidRDefault="00BB293A">
                        <w:pPr>
                          <w:pStyle w:val="TableParagraph"/>
                          <w:spacing w:before="178"/>
                          <w:ind w:left="201" w:right="187"/>
                          <w:jc w:val="center"/>
                          <w:rPr>
                            <w:sz w:val="20"/>
                          </w:rPr>
                        </w:pPr>
                        <w:r>
                          <w:rPr>
                            <w:sz w:val="20"/>
                          </w:rPr>
                          <w:t>45</w:t>
                        </w:r>
                      </w:p>
                    </w:tc>
                    <w:tc>
                      <w:tcPr>
                        <w:tcW w:w="762" w:type="dxa"/>
                        <w:tcBorders>
                          <w:top w:val="single" w:sz="4" w:space="0" w:color="000000"/>
                        </w:tcBorders>
                      </w:tcPr>
                      <w:p w14:paraId="5EF16199" w14:textId="77777777" w:rsidR="00C75312" w:rsidRDefault="00BB293A">
                        <w:pPr>
                          <w:pStyle w:val="TableParagraph"/>
                          <w:spacing w:before="178"/>
                          <w:ind w:left="192" w:right="66"/>
                          <w:jc w:val="center"/>
                          <w:rPr>
                            <w:sz w:val="20"/>
                          </w:rPr>
                        </w:pPr>
                        <w:r>
                          <w:rPr>
                            <w:sz w:val="20"/>
                          </w:rPr>
                          <w:t>&lt;.001</w:t>
                        </w:r>
                      </w:p>
                    </w:tc>
                    <w:tc>
                      <w:tcPr>
                        <w:tcW w:w="1000" w:type="dxa"/>
                        <w:tcBorders>
                          <w:top w:val="single" w:sz="4" w:space="0" w:color="000000"/>
                        </w:tcBorders>
                      </w:tcPr>
                      <w:p w14:paraId="6D3A10B5" w14:textId="77777777" w:rsidR="00C75312" w:rsidRDefault="00BB293A">
                        <w:pPr>
                          <w:pStyle w:val="TableParagraph"/>
                          <w:spacing w:before="178"/>
                          <w:ind w:left="74" w:right="45"/>
                          <w:jc w:val="center"/>
                          <w:rPr>
                            <w:sz w:val="20"/>
                          </w:rPr>
                        </w:pPr>
                        <w:r>
                          <w:rPr>
                            <w:sz w:val="20"/>
                          </w:rPr>
                          <w:t>2.04</w:t>
                        </w:r>
                      </w:p>
                    </w:tc>
                  </w:tr>
                  <w:tr w:rsidR="00C75312" w14:paraId="4FBFF21B" w14:textId="77777777">
                    <w:trPr>
                      <w:trHeight w:val="607"/>
                    </w:trPr>
                    <w:tc>
                      <w:tcPr>
                        <w:tcW w:w="3813" w:type="dxa"/>
                        <w:gridSpan w:val="2"/>
                      </w:tcPr>
                      <w:p w14:paraId="7B5597E3" w14:textId="77777777" w:rsidR="00C75312" w:rsidRDefault="00BB293A">
                        <w:pPr>
                          <w:pStyle w:val="TableParagraph"/>
                          <w:tabs>
                            <w:tab w:val="left" w:pos="2497"/>
                          </w:tabs>
                          <w:spacing w:before="63"/>
                          <w:ind w:left="50"/>
                          <w:rPr>
                            <w:sz w:val="20"/>
                          </w:rPr>
                        </w:pPr>
                        <w:r>
                          <w:rPr>
                            <w:i/>
                            <w:sz w:val="20"/>
                          </w:rPr>
                          <w:t>BRIEF</w:t>
                        </w:r>
                        <w:r>
                          <w:rPr>
                            <w:i/>
                            <w:spacing w:val="-2"/>
                            <w:sz w:val="20"/>
                          </w:rPr>
                          <w:t xml:space="preserve"> </w:t>
                        </w:r>
                        <w:r>
                          <w:rPr>
                            <w:i/>
                            <w:sz w:val="20"/>
                          </w:rPr>
                          <w:t>Metacognition</w:t>
                        </w:r>
                        <w:r>
                          <w:rPr>
                            <w:i/>
                            <w:sz w:val="20"/>
                          </w:rPr>
                          <w:tab/>
                        </w:r>
                        <w:r>
                          <w:rPr>
                            <w:position w:val="-11"/>
                            <w:sz w:val="20"/>
                          </w:rPr>
                          <w:t>68.00</w:t>
                        </w:r>
                        <w:r>
                          <w:rPr>
                            <w:spacing w:val="-1"/>
                            <w:position w:val="-11"/>
                            <w:sz w:val="20"/>
                          </w:rPr>
                          <w:t xml:space="preserve"> </w:t>
                        </w:r>
                        <w:r>
                          <w:rPr>
                            <w:position w:val="-11"/>
                            <w:sz w:val="20"/>
                          </w:rPr>
                          <w:t>(12.94)</w:t>
                        </w:r>
                      </w:p>
                    </w:tc>
                    <w:tc>
                      <w:tcPr>
                        <w:tcW w:w="2073" w:type="dxa"/>
                      </w:tcPr>
                      <w:p w14:paraId="1DB0D2B5" w14:textId="77777777" w:rsidR="00C75312" w:rsidRDefault="00BB293A">
                        <w:pPr>
                          <w:pStyle w:val="TableParagraph"/>
                          <w:spacing w:before="183"/>
                          <w:ind w:left="193" w:right="15"/>
                          <w:jc w:val="center"/>
                          <w:rPr>
                            <w:sz w:val="20"/>
                          </w:rPr>
                        </w:pPr>
                        <w:r>
                          <w:rPr>
                            <w:sz w:val="20"/>
                          </w:rPr>
                          <w:t>51.68 (11.56)</w:t>
                        </w:r>
                      </w:p>
                    </w:tc>
                    <w:tc>
                      <w:tcPr>
                        <w:tcW w:w="803" w:type="dxa"/>
                      </w:tcPr>
                      <w:p w14:paraId="23902B51" w14:textId="77777777" w:rsidR="00C75312" w:rsidRDefault="00BB293A">
                        <w:pPr>
                          <w:pStyle w:val="TableParagraph"/>
                          <w:spacing w:before="183"/>
                          <w:ind w:left="148" w:right="198"/>
                          <w:jc w:val="center"/>
                          <w:rPr>
                            <w:sz w:val="20"/>
                          </w:rPr>
                        </w:pPr>
                        <w:r>
                          <w:rPr>
                            <w:sz w:val="20"/>
                          </w:rPr>
                          <w:t>-4.53</w:t>
                        </w:r>
                      </w:p>
                    </w:tc>
                    <w:tc>
                      <w:tcPr>
                        <w:tcW w:w="628" w:type="dxa"/>
                      </w:tcPr>
                      <w:p w14:paraId="6CDA99CA" w14:textId="77777777" w:rsidR="00C75312" w:rsidRDefault="00BB293A">
                        <w:pPr>
                          <w:pStyle w:val="TableParagraph"/>
                          <w:spacing w:before="183"/>
                          <w:ind w:left="201" w:right="187"/>
                          <w:jc w:val="center"/>
                          <w:rPr>
                            <w:sz w:val="20"/>
                          </w:rPr>
                        </w:pPr>
                        <w:r>
                          <w:rPr>
                            <w:sz w:val="20"/>
                          </w:rPr>
                          <w:t>45</w:t>
                        </w:r>
                      </w:p>
                    </w:tc>
                    <w:tc>
                      <w:tcPr>
                        <w:tcW w:w="762" w:type="dxa"/>
                      </w:tcPr>
                      <w:p w14:paraId="194AD2A5" w14:textId="77777777" w:rsidR="00C75312" w:rsidRDefault="00BB293A">
                        <w:pPr>
                          <w:pStyle w:val="TableParagraph"/>
                          <w:spacing w:before="183"/>
                          <w:ind w:left="192" w:right="66"/>
                          <w:jc w:val="center"/>
                          <w:rPr>
                            <w:sz w:val="20"/>
                          </w:rPr>
                        </w:pPr>
                        <w:r>
                          <w:rPr>
                            <w:sz w:val="20"/>
                          </w:rPr>
                          <w:t>&lt;.001</w:t>
                        </w:r>
                      </w:p>
                    </w:tc>
                    <w:tc>
                      <w:tcPr>
                        <w:tcW w:w="1000" w:type="dxa"/>
                      </w:tcPr>
                      <w:p w14:paraId="667FCBF2" w14:textId="77777777" w:rsidR="00C75312" w:rsidRDefault="00BB293A">
                        <w:pPr>
                          <w:pStyle w:val="TableParagraph"/>
                          <w:spacing w:before="183"/>
                          <w:ind w:left="74" w:right="45"/>
                          <w:jc w:val="center"/>
                          <w:rPr>
                            <w:sz w:val="20"/>
                          </w:rPr>
                        </w:pPr>
                        <w:r>
                          <w:rPr>
                            <w:sz w:val="20"/>
                          </w:rPr>
                          <w:t>1.60</w:t>
                        </w:r>
                      </w:p>
                    </w:tc>
                  </w:tr>
                  <w:tr w:rsidR="00C75312" w14:paraId="73C05B52" w14:textId="77777777">
                    <w:trPr>
                      <w:trHeight w:val="612"/>
                    </w:trPr>
                    <w:tc>
                      <w:tcPr>
                        <w:tcW w:w="3813" w:type="dxa"/>
                        <w:gridSpan w:val="2"/>
                        <w:tcBorders>
                          <w:bottom w:val="single" w:sz="4" w:space="0" w:color="000000"/>
                        </w:tcBorders>
                      </w:tcPr>
                      <w:p w14:paraId="11B7E4EE" w14:textId="77777777" w:rsidR="00C75312" w:rsidRDefault="00BB293A">
                        <w:pPr>
                          <w:pStyle w:val="TableParagraph"/>
                          <w:tabs>
                            <w:tab w:val="left" w:pos="2497"/>
                          </w:tabs>
                          <w:spacing w:before="61"/>
                          <w:ind w:left="50"/>
                          <w:rPr>
                            <w:sz w:val="20"/>
                          </w:rPr>
                        </w:pPr>
                        <w:r>
                          <w:rPr>
                            <w:i/>
                            <w:sz w:val="20"/>
                          </w:rPr>
                          <w:t>BRIEF</w:t>
                        </w:r>
                        <w:r>
                          <w:rPr>
                            <w:i/>
                            <w:spacing w:val="-2"/>
                            <w:sz w:val="20"/>
                          </w:rPr>
                          <w:t xml:space="preserve"> </w:t>
                        </w:r>
                        <w:r>
                          <w:rPr>
                            <w:i/>
                            <w:sz w:val="20"/>
                          </w:rPr>
                          <w:t>Global</w:t>
                        </w:r>
                        <w:r>
                          <w:rPr>
                            <w:i/>
                            <w:spacing w:val="-2"/>
                            <w:sz w:val="20"/>
                          </w:rPr>
                          <w:t xml:space="preserve"> </w:t>
                        </w:r>
                        <w:r>
                          <w:rPr>
                            <w:i/>
                            <w:sz w:val="20"/>
                          </w:rPr>
                          <w:t>Executive</w:t>
                        </w:r>
                        <w:r>
                          <w:rPr>
                            <w:i/>
                            <w:sz w:val="20"/>
                          </w:rPr>
                          <w:tab/>
                        </w:r>
                        <w:r>
                          <w:rPr>
                            <w:position w:val="-11"/>
                            <w:sz w:val="20"/>
                          </w:rPr>
                          <w:t>69.52</w:t>
                        </w:r>
                        <w:r>
                          <w:rPr>
                            <w:spacing w:val="-1"/>
                            <w:position w:val="-11"/>
                            <w:sz w:val="20"/>
                          </w:rPr>
                          <w:t xml:space="preserve"> </w:t>
                        </w:r>
                        <w:r>
                          <w:rPr>
                            <w:position w:val="-11"/>
                            <w:sz w:val="20"/>
                          </w:rPr>
                          <w:t>(13.51)</w:t>
                        </w:r>
                      </w:p>
                    </w:tc>
                    <w:tc>
                      <w:tcPr>
                        <w:tcW w:w="2073" w:type="dxa"/>
                        <w:tcBorders>
                          <w:bottom w:val="single" w:sz="4" w:space="0" w:color="000000"/>
                        </w:tcBorders>
                      </w:tcPr>
                      <w:p w14:paraId="56D6403F" w14:textId="77777777" w:rsidR="00C75312" w:rsidRDefault="00BB293A">
                        <w:pPr>
                          <w:pStyle w:val="TableParagraph"/>
                          <w:spacing w:before="186"/>
                          <w:ind w:left="198" w:right="15"/>
                          <w:jc w:val="center"/>
                          <w:rPr>
                            <w:sz w:val="20"/>
                          </w:rPr>
                        </w:pPr>
                        <w:r>
                          <w:rPr>
                            <w:sz w:val="20"/>
                          </w:rPr>
                          <w:t>51.82 (9.81)</w:t>
                        </w:r>
                      </w:p>
                    </w:tc>
                    <w:tc>
                      <w:tcPr>
                        <w:tcW w:w="803" w:type="dxa"/>
                        <w:tcBorders>
                          <w:bottom w:val="single" w:sz="4" w:space="0" w:color="000000"/>
                        </w:tcBorders>
                      </w:tcPr>
                      <w:p w14:paraId="746B9D28" w14:textId="77777777" w:rsidR="00C75312" w:rsidRDefault="00BB293A">
                        <w:pPr>
                          <w:pStyle w:val="TableParagraph"/>
                          <w:spacing w:before="186"/>
                          <w:ind w:left="148" w:right="198"/>
                          <w:jc w:val="center"/>
                          <w:rPr>
                            <w:sz w:val="20"/>
                          </w:rPr>
                        </w:pPr>
                        <w:r>
                          <w:rPr>
                            <w:sz w:val="20"/>
                          </w:rPr>
                          <w:t>-5.63</w:t>
                        </w:r>
                      </w:p>
                    </w:tc>
                    <w:tc>
                      <w:tcPr>
                        <w:tcW w:w="628" w:type="dxa"/>
                        <w:tcBorders>
                          <w:bottom w:val="single" w:sz="4" w:space="0" w:color="000000"/>
                        </w:tcBorders>
                      </w:tcPr>
                      <w:p w14:paraId="5F78F36D" w14:textId="77777777" w:rsidR="00C75312" w:rsidRDefault="00BB293A">
                        <w:pPr>
                          <w:pStyle w:val="TableParagraph"/>
                          <w:spacing w:before="186"/>
                          <w:ind w:left="201" w:right="187"/>
                          <w:jc w:val="center"/>
                          <w:rPr>
                            <w:sz w:val="20"/>
                          </w:rPr>
                        </w:pPr>
                        <w:r>
                          <w:rPr>
                            <w:sz w:val="20"/>
                          </w:rPr>
                          <w:t>45</w:t>
                        </w:r>
                      </w:p>
                    </w:tc>
                    <w:tc>
                      <w:tcPr>
                        <w:tcW w:w="762" w:type="dxa"/>
                        <w:tcBorders>
                          <w:bottom w:val="single" w:sz="4" w:space="0" w:color="000000"/>
                        </w:tcBorders>
                      </w:tcPr>
                      <w:p w14:paraId="3E1F8C04" w14:textId="77777777" w:rsidR="00C75312" w:rsidRDefault="00BB293A">
                        <w:pPr>
                          <w:pStyle w:val="TableParagraph"/>
                          <w:spacing w:before="186"/>
                          <w:ind w:left="192" w:right="66"/>
                          <w:jc w:val="center"/>
                          <w:rPr>
                            <w:sz w:val="20"/>
                          </w:rPr>
                        </w:pPr>
                        <w:r>
                          <w:rPr>
                            <w:sz w:val="20"/>
                          </w:rPr>
                          <w:t>&lt;.001</w:t>
                        </w:r>
                      </w:p>
                    </w:tc>
                    <w:tc>
                      <w:tcPr>
                        <w:tcW w:w="1000" w:type="dxa"/>
                        <w:tcBorders>
                          <w:bottom w:val="single" w:sz="4" w:space="0" w:color="000000"/>
                        </w:tcBorders>
                      </w:tcPr>
                      <w:p w14:paraId="5B4B531D" w14:textId="77777777" w:rsidR="00C75312" w:rsidRDefault="00BB293A">
                        <w:pPr>
                          <w:pStyle w:val="TableParagraph"/>
                          <w:spacing w:before="186"/>
                          <w:ind w:left="74" w:right="45"/>
                          <w:jc w:val="center"/>
                          <w:rPr>
                            <w:sz w:val="20"/>
                          </w:rPr>
                        </w:pPr>
                        <w:r>
                          <w:rPr>
                            <w:sz w:val="20"/>
                          </w:rPr>
                          <w:t>2.01</w:t>
                        </w:r>
                      </w:p>
                    </w:tc>
                  </w:tr>
                </w:tbl>
                <w:p w14:paraId="357C462F" w14:textId="77777777" w:rsidR="00C75312" w:rsidRDefault="00C75312">
                  <w:pPr>
                    <w:pStyle w:val="BodyText"/>
                  </w:pPr>
                </w:p>
              </w:txbxContent>
            </v:textbox>
            <w10:wrap anchorx="page"/>
          </v:shape>
        </w:pict>
      </w:r>
      <w:r>
        <w:rPr>
          <w:i/>
          <w:sz w:val="20"/>
        </w:rPr>
        <w:t>Table A1. Sample characteristics for all scales of the BRIEF-A</w:t>
      </w:r>
    </w:p>
    <w:p w14:paraId="6788C0EC" w14:textId="77777777" w:rsidR="00C75312" w:rsidRDefault="00BB293A">
      <w:pPr>
        <w:pStyle w:val="BodyText"/>
        <w:spacing w:before="1"/>
        <w:rPr>
          <w:i/>
          <w:sz w:val="14"/>
        </w:rPr>
      </w:pPr>
      <w:r>
        <w:pict w14:anchorId="5D4AD76B">
          <v:group id="_x0000_s2122" style="position:absolute;margin-left:1in;margin-top:10.1pt;width:451pt;height:.75pt;z-index:-251490304;mso-wrap-distance-left:0;mso-wrap-distance-right:0;mso-position-horizontal-relative:page" coordorigin="1440,202" coordsize="9020,15">
            <v:line id="_x0000_s2133" style="position:absolute" from="1440,209" to="3494,209" strokeweight=".72pt"/>
            <v:rect id="_x0000_s2132" style="position:absolute;left:3494;top:201;width:15;height:15" fillcolor="black" stroked="f"/>
            <v:line id="_x0000_s2131" style="position:absolute" from="3509,209" to="7291,209" strokeweight=".72pt"/>
            <v:rect id="_x0000_s2130" style="position:absolute;left:7291;top:201;width:15;height:15" fillcolor="black" stroked="f"/>
            <v:line id="_x0000_s2129" style="position:absolute" from="7306,209" to="8040,209" strokeweight=".72pt"/>
            <v:rect id="_x0000_s2128" style="position:absolute;left:8040;top:201;width:15;height:15" fillcolor="black" stroked="f"/>
            <v:line id="_x0000_s2127" style="position:absolute" from="8054,209" to="8789,209" strokeweight=".72pt"/>
            <v:rect id="_x0000_s2126" style="position:absolute;left:8788;top:201;width:15;height:15" fillcolor="black" stroked="f"/>
            <v:line id="_x0000_s2125" style="position:absolute" from="8803,209" to="9538,209" strokeweight=".72pt"/>
            <v:rect id="_x0000_s2124" style="position:absolute;left:9537;top:201;width:15;height:15" fillcolor="black" stroked="f"/>
            <v:line id="_x0000_s2123" style="position:absolute" from="9552,209" to="10459,209" strokeweight=".72pt"/>
            <w10:wrap type="topAndBottom" anchorx="page"/>
          </v:group>
        </w:pict>
      </w:r>
    </w:p>
    <w:p w14:paraId="045E05F7" w14:textId="77777777" w:rsidR="00C75312" w:rsidRDefault="00BB293A">
      <w:pPr>
        <w:spacing w:before="57"/>
        <w:ind w:left="698" w:right="1905"/>
        <w:jc w:val="center"/>
        <w:rPr>
          <w:b/>
          <w:sz w:val="20"/>
        </w:rPr>
      </w:pPr>
      <w:r>
        <w:rPr>
          <w:b/>
          <w:sz w:val="20"/>
        </w:rPr>
        <w:t>Group means (SD)</w:t>
      </w:r>
    </w:p>
    <w:p w14:paraId="26177B3F" w14:textId="77777777" w:rsidR="00C75312" w:rsidRDefault="00C75312">
      <w:pPr>
        <w:pStyle w:val="BodyText"/>
        <w:rPr>
          <w:b/>
          <w:sz w:val="22"/>
        </w:rPr>
      </w:pPr>
    </w:p>
    <w:p w14:paraId="6DDFE14C" w14:textId="77777777" w:rsidR="00C75312" w:rsidRDefault="00C75312">
      <w:pPr>
        <w:pStyle w:val="BodyText"/>
        <w:rPr>
          <w:b/>
          <w:sz w:val="22"/>
        </w:rPr>
      </w:pPr>
    </w:p>
    <w:p w14:paraId="40D31067" w14:textId="77777777" w:rsidR="00C75312" w:rsidRDefault="00C75312">
      <w:pPr>
        <w:pStyle w:val="BodyText"/>
        <w:rPr>
          <w:b/>
          <w:sz w:val="22"/>
        </w:rPr>
      </w:pPr>
    </w:p>
    <w:p w14:paraId="7C29198E" w14:textId="77777777" w:rsidR="00C75312" w:rsidRDefault="00C75312">
      <w:pPr>
        <w:pStyle w:val="BodyText"/>
        <w:rPr>
          <w:b/>
          <w:sz w:val="22"/>
        </w:rPr>
      </w:pPr>
    </w:p>
    <w:p w14:paraId="4FC64A21" w14:textId="77777777" w:rsidR="00C75312" w:rsidRDefault="00C75312">
      <w:pPr>
        <w:pStyle w:val="BodyText"/>
        <w:rPr>
          <w:b/>
          <w:sz w:val="22"/>
        </w:rPr>
      </w:pPr>
    </w:p>
    <w:p w14:paraId="0516C369" w14:textId="77777777" w:rsidR="00C75312" w:rsidRDefault="00C75312">
      <w:pPr>
        <w:pStyle w:val="BodyText"/>
        <w:rPr>
          <w:b/>
          <w:sz w:val="22"/>
        </w:rPr>
      </w:pPr>
    </w:p>
    <w:p w14:paraId="55534A71" w14:textId="77777777" w:rsidR="00C75312" w:rsidRDefault="00C75312">
      <w:pPr>
        <w:pStyle w:val="BodyText"/>
        <w:rPr>
          <w:b/>
          <w:sz w:val="22"/>
        </w:rPr>
      </w:pPr>
    </w:p>
    <w:p w14:paraId="775BACD6" w14:textId="77777777" w:rsidR="00C75312" w:rsidRDefault="00C75312">
      <w:pPr>
        <w:pStyle w:val="BodyText"/>
        <w:rPr>
          <w:b/>
          <w:sz w:val="22"/>
        </w:rPr>
      </w:pPr>
    </w:p>
    <w:p w14:paraId="13027B24" w14:textId="77777777" w:rsidR="00C75312" w:rsidRDefault="00C75312">
      <w:pPr>
        <w:pStyle w:val="BodyText"/>
        <w:rPr>
          <w:b/>
          <w:sz w:val="22"/>
        </w:rPr>
      </w:pPr>
    </w:p>
    <w:p w14:paraId="613ACF0C" w14:textId="77777777" w:rsidR="00C75312" w:rsidRDefault="00C75312">
      <w:pPr>
        <w:pStyle w:val="BodyText"/>
        <w:rPr>
          <w:b/>
          <w:sz w:val="22"/>
        </w:rPr>
      </w:pPr>
    </w:p>
    <w:p w14:paraId="2825D754" w14:textId="77777777" w:rsidR="00C75312" w:rsidRDefault="00C75312">
      <w:pPr>
        <w:pStyle w:val="BodyText"/>
        <w:rPr>
          <w:b/>
          <w:sz w:val="22"/>
        </w:rPr>
      </w:pPr>
    </w:p>
    <w:p w14:paraId="4EC26E6F" w14:textId="77777777" w:rsidR="00C75312" w:rsidRDefault="00C75312">
      <w:pPr>
        <w:pStyle w:val="BodyText"/>
        <w:rPr>
          <w:b/>
          <w:sz w:val="22"/>
        </w:rPr>
      </w:pPr>
    </w:p>
    <w:p w14:paraId="141365A7" w14:textId="77777777" w:rsidR="00C75312" w:rsidRDefault="00C75312">
      <w:pPr>
        <w:pStyle w:val="BodyText"/>
        <w:rPr>
          <w:b/>
          <w:sz w:val="22"/>
        </w:rPr>
      </w:pPr>
    </w:p>
    <w:p w14:paraId="472F7C87" w14:textId="77777777" w:rsidR="00C75312" w:rsidRDefault="00C75312">
      <w:pPr>
        <w:pStyle w:val="BodyText"/>
        <w:rPr>
          <w:b/>
          <w:sz w:val="22"/>
        </w:rPr>
      </w:pPr>
    </w:p>
    <w:p w14:paraId="03C91E1D" w14:textId="77777777" w:rsidR="00C75312" w:rsidRDefault="00C75312">
      <w:pPr>
        <w:pStyle w:val="BodyText"/>
        <w:rPr>
          <w:b/>
          <w:sz w:val="22"/>
        </w:rPr>
      </w:pPr>
    </w:p>
    <w:p w14:paraId="5594F48F" w14:textId="77777777" w:rsidR="00C75312" w:rsidRDefault="00C75312">
      <w:pPr>
        <w:pStyle w:val="BodyText"/>
        <w:rPr>
          <w:b/>
          <w:sz w:val="22"/>
        </w:rPr>
      </w:pPr>
    </w:p>
    <w:p w14:paraId="4E76EA5D" w14:textId="77777777" w:rsidR="00C75312" w:rsidRDefault="00C75312">
      <w:pPr>
        <w:pStyle w:val="BodyText"/>
        <w:rPr>
          <w:b/>
          <w:sz w:val="22"/>
        </w:rPr>
      </w:pPr>
    </w:p>
    <w:p w14:paraId="4309D883" w14:textId="77777777" w:rsidR="00C75312" w:rsidRDefault="00C75312">
      <w:pPr>
        <w:pStyle w:val="BodyText"/>
        <w:rPr>
          <w:b/>
          <w:sz w:val="22"/>
        </w:rPr>
      </w:pPr>
    </w:p>
    <w:p w14:paraId="6BC3F48D" w14:textId="77777777" w:rsidR="00C75312" w:rsidRDefault="00C75312">
      <w:pPr>
        <w:pStyle w:val="BodyText"/>
        <w:spacing w:before="10"/>
        <w:rPr>
          <w:b/>
          <w:sz w:val="26"/>
        </w:rPr>
      </w:pPr>
    </w:p>
    <w:p w14:paraId="5789B2B1" w14:textId="77777777" w:rsidR="00C75312" w:rsidRDefault="00BB293A">
      <w:pPr>
        <w:ind w:left="154"/>
        <w:rPr>
          <w:i/>
          <w:sz w:val="20"/>
        </w:rPr>
      </w:pPr>
      <w:r>
        <w:rPr>
          <w:i/>
          <w:sz w:val="20"/>
        </w:rPr>
        <w:t>materials</w:t>
      </w:r>
    </w:p>
    <w:p w14:paraId="589918AD" w14:textId="77777777" w:rsidR="00C75312" w:rsidRDefault="00C75312">
      <w:pPr>
        <w:pStyle w:val="BodyText"/>
        <w:rPr>
          <w:i/>
          <w:sz w:val="22"/>
        </w:rPr>
      </w:pPr>
    </w:p>
    <w:p w14:paraId="04547FAA" w14:textId="77777777" w:rsidR="00C75312" w:rsidRDefault="00C75312">
      <w:pPr>
        <w:pStyle w:val="BodyText"/>
        <w:rPr>
          <w:i/>
          <w:sz w:val="22"/>
        </w:rPr>
      </w:pPr>
    </w:p>
    <w:p w14:paraId="38B255EE" w14:textId="77777777" w:rsidR="00C75312" w:rsidRDefault="00C75312">
      <w:pPr>
        <w:pStyle w:val="BodyText"/>
        <w:spacing w:before="5"/>
        <w:rPr>
          <w:i/>
          <w:sz w:val="27"/>
        </w:rPr>
      </w:pPr>
    </w:p>
    <w:p w14:paraId="2C9755A4" w14:textId="77777777" w:rsidR="00C75312" w:rsidRDefault="00BB293A">
      <w:pPr>
        <w:spacing w:line="636" w:lineRule="auto"/>
        <w:ind w:left="154" w:right="7854"/>
        <w:rPr>
          <w:i/>
          <w:sz w:val="20"/>
        </w:rPr>
      </w:pPr>
      <w:r>
        <w:rPr>
          <w:i/>
          <w:sz w:val="20"/>
        </w:rPr>
        <w:t xml:space="preserve">Regulation Index </w:t>
      </w:r>
      <w:proofErr w:type="spellStart"/>
      <w:r>
        <w:rPr>
          <w:i/>
          <w:sz w:val="20"/>
        </w:rPr>
        <w:t>Index</w:t>
      </w:r>
      <w:proofErr w:type="spellEnd"/>
    </w:p>
    <w:p w14:paraId="44BD47AC" w14:textId="77777777" w:rsidR="00C75312" w:rsidRDefault="00BB293A">
      <w:pPr>
        <w:spacing w:line="225" w:lineRule="exact"/>
        <w:ind w:left="154"/>
        <w:rPr>
          <w:i/>
          <w:sz w:val="20"/>
        </w:rPr>
      </w:pPr>
      <w:r>
        <w:rPr>
          <w:i/>
          <w:sz w:val="20"/>
        </w:rPr>
        <w:t>Composite</w:t>
      </w:r>
    </w:p>
    <w:p w14:paraId="2C737C2F" w14:textId="77777777" w:rsidR="00C75312" w:rsidRDefault="00C75312">
      <w:pPr>
        <w:spacing w:line="225" w:lineRule="exact"/>
        <w:rPr>
          <w:sz w:val="20"/>
        </w:rPr>
        <w:sectPr w:rsidR="00C75312">
          <w:pgSz w:w="11900" w:h="16840"/>
          <w:pgMar w:top="1160" w:right="1200" w:bottom="280" w:left="1300" w:header="720" w:footer="0" w:gutter="0"/>
          <w:cols w:space="720"/>
        </w:sectPr>
      </w:pPr>
    </w:p>
    <w:p w14:paraId="656FE3B9" w14:textId="77777777" w:rsidR="00C75312" w:rsidRDefault="00C75312">
      <w:pPr>
        <w:pStyle w:val="BodyText"/>
        <w:spacing w:before="9"/>
        <w:rPr>
          <w:i/>
          <w:sz w:val="15"/>
        </w:rPr>
      </w:pPr>
    </w:p>
    <w:p w14:paraId="10802972" w14:textId="77777777" w:rsidR="00C75312" w:rsidRDefault="00BB293A">
      <w:pPr>
        <w:pStyle w:val="Heading1"/>
        <w:spacing w:before="90" w:line="480" w:lineRule="auto"/>
        <w:ind w:left="3312" w:right="320" w:hanging="3087"/>
        <w:jc w:val="both"/>
      </w:pPr>
      <w:r>
        <w:t>Appendix 2: Results of subsample analyses for participant groups matched on ongoing performance in Chapter 4</w:t>
      </w:r>
    </w:p>
    <w:p w14:paraId="1FC2A9D9" w14:textId="77777777" w:rsidR="00C75312" w:rsidRDefault="00BB293A">
      <w:pPr>
        <w:pStyle w:val="BodyText"/>
        <w:spacing w:before="120" w:line="480" w:lineRule="auto"/>
        <w:ind w:left="140" w:right="235" w:firstLine="720"/>
        <w:jc w:val="both"/>
      </w:pPr>
      <w:r>
        <w:t xml:space="preserve">Using the full sample in this study, the experimental groups significantly differed in their ongoing task performance. As this might affect the outcome of between-group analyses of PM performance an additional subsample analysis was conducted. For this analysis using the collapsed ongoing proportion hit scores, the highest performing participants in the </w:t>
      </w:r>
      <w:r>
        <w:rPr>
          <w:spacing w:val="-3"/>
        </w:rPr>
        <w:t xml:space="preserve">NT </w:t>
      </w:r>
      <w:r>
        <w:t>group (</w:t>
      </w:r>
      <w:r>
        <w:rPr>
          <w:i/>
        </w:rPr>
        <w:t xml:space="preserve">n </w:t>
      </w:r>
      <w:r>
        <w:t>= 4) and the lowest performing participants in the ASD (</w:t>
      </w:r>
      <w:r>
        <w:rPr>
          <w:i/>
        </w:rPr>
        <w:t xml:space="preserve">n </w:t>
      </w:r>
      <w:r>
        <w:t>= 6) group were excluded stepwise</w:t>
      </w:r>
      <w:r>
        <w:rPr>
          <w:spacing w:val="-7"/>
        </w:rPr>
        <w:t xml:space="preserve"> </w:t>
      </w:r>
      <w:r>
        <w:t>until</w:t>
      </w:r>
      <w:r>
        <w:rPr>
          <w:spacing w:val="-5"/>
        </w:rPr>
        <w:t xml:space="preserve"> </w:t>
      </w:r>
      <w:r>
        <w:t>no</w:t>
      </w:r>
      <w:r>
        <w:rPr>
          <w:spacing w:val="-6"/>
        </w:rPr>
        <w:t xml:space="preserve"> </w:t>
      </w:r>
      <w:r>
        <w:t>group</w:t>
      </w:r>
      <w:r>
        <w:rPr>
          <w:spacing w:val="-11"/>
        </w:rPr>
        <w:t xml:space="preserve"> </w:t>
      </w:r>
      <w:r>
        <w:t>differences</w:t>
      </w:r>
      <w:r>
        <w:rPr>
          <w:spacing w:val="-8"/>
        </w:rPr>
        <w:t xml:space="preserve"> </w:t>
      </w:r>
      <w:r>
        <w:t>emerged</w:t>
      </w:r>
      <w:r>
        <w:rPr>
          <w:spacing w:val="-6"/>
        </w:rPr>
        <w:t xml:space="preserve"> </w:t>
      </w:r>
      <w:r>
        <w:t>and</w:t>
      </w:r>
      <w:r>
        <w:rPr>
          <w:spacing w:val="-11"/>
        </w:rPr>
        <w:t xml:space="preserve"> </w:t>
      </w:r>
      <w:r>
        <w:t>the</w:t>
      </w:r>
      <w:r>
        <w:rPr>
          <w:spacing w:val="-6"/>
        </w:rPr>
        <w:t xml:space="preserve"> </w:t>
      </w:r>
      <w:r>
        <w:t>corresponding</w:t>
      </w:r>
      <w:r>
        <w:rPr>
          <w:spacing w:val="-6"/>
        </w:rPr>
        <w:t xml:space="preserve"> </w:t>
      </w:r>
      <w:r>
        <w:t>effect</w:t>
      </w:r>
      <w:r>
        <w:rPr>
          <w:spacing w:val="-5"/>
        </w:rPr>
        <w:t xml:space="preserve"> </w:t>
      </w:r>
      <w:r>
        <w:t>size</w:t>
      </w:r>
      <w:r>
        <w:rPr>
          <w:spacing w:val="-7"/>
        </w:rPr>
        <w:t xml:space="preserve"> </w:t>
      </w:r>
      <w:r>
        <w:t>was</w:t>
      </w:r>
      <w:r>
        <w:rPr>
          <w:spacing w:val="-8"/>
        </w:rPr>
        <w:t xml:space="preserve"> </w:t>
      </w:r>
      <w:r>
        <w:t>small,</w:t>
      </w:r>
      <w:r>
        <w:rPr>
          <w:spacing w:val="-8"/>
        </w:rPr>
        <w:t xml:space="preserve"> </w:t>
      </w:r>
      <w:r>
        <w:rPr>
          <w:i/>
        </w:rPr>
        <w:t>t</w:t>
      </w:r>
      <w:r>
        <w:t>(36)</w:t>
      </w:r>
    </w:p>
    <w:p w14:paraId="09FA9C7D" w14:textId="77777777" w:rsidR="00C75312" w:rsidRDefault="00BB293A">
      <w:pPr>
        <w:pStyle w:val="BodyText"/>
        <w:spacing w:line="480" w:lineRule="auto"/>
        <w:ind w:left="140" w:right="238"/>
        <w:jc w:val="both"/>
      </w:pPr>
      <w:r>
        <w:t>=</w:t>
      </w:r>
      <w:r>
        <w:rPr>
          <w:spacing w:val="-10"/>
        </w:rPr>
        <w:t xml:space="preserve"> </w:t>
      </w:r>
      <w:r>
        <w:t>1.40,</w:t>
      </w:r>
      <w:r>
        <w:rPr>
          <w:spacing w:val="-6"/>
        </w:rPr>
        <w:t xml:space="preserve"> </w:t>
      </w:r>
      <w:r>
        <w:rPr>
          <w:i/>
        </w:rPr>
        <w:t>p</w:t>
      </w:r>
      <w:r>
        <w:rPr>
          <w:i/>
          <w:spacing w:val="-9"/>
        </w:rPr>
        <w:t xml:space="preserve"> </w:t>
      </w:r>
      <w:r>
        <w:t>=</w:t>
      </w:r>
      <w:r>
        <w:rPr>
          <w:spacing w:val="-14"/>
        </w:rPr>
        <w:t xml:space="preserve"> </w:t>
      </w:r>
      <w:r>
        <w:t>.17,</w:t>
      </w:r>
      <w:r>
        <w:rPr>
          <w:spacing w:val="-6"/>
        </w:rPr>
        <w:t xml:space="preserve"> </w:t>
      </w:r>
      <w:r>
        <w:rPr>
          <w:i/>
        </w:rPr>
        <w:t>d</w:t>
      </w:r>
      <w:r>
        <w:rPr>
          <w:i/>
          <w:spacing w:val="-9"/>
        </w:rPr>
        <w:t xml:space="preserve"> </w:t>
      </w:r>
      <w:r>
        <w:t>=</w:t>
      </w:r>
      <w:r>
        <w:rPr>
          <w:spacing w:val="-10"/>
        </w:rPr>
        <w:t xml:space="preserve"> </w:t>
      </w:r>
      <w:r>
        <w:t>-</w:t>
      </w:r>
      <w:r>
        <w:rPr>
          <w:spacing w:val="-11"/>
        </w:rPr>
        <w:t xml:space="preserve"> </w:t>
      </w:r>
      <w:r>
        <w:t>0.45.</w:t>
      </w:r>
      <w:r>
        <w:rPr>
          <w:spacing w:val="46"/>
        </w:rPr>
        <w:t xml:space="preserve"> </w:t>
      </w:r>
      <w:r>
        <w:t>Thus,</w:t>
      </w:r>
      <w:r>
        <w:rPr>
          <w:spacing w:val="-11"/>
        </w:rPr>
        <w:t xml:space="preserve"> </w:t>
      </w:r>
      <w:r>
        <w:t>the</w:t>
      </w:r>
      <w:r>
        <w:rPr>
          <w:spacing w:val="-10"/>
        </w:rPr>
        <w:t xml:space="preserve"> </w:t>
      </w:r>
      <w:r>
        <w:t>subsample</w:t>
      </w:r>
      <w:r>
        <w:rPr>
          <w:spacing w:val="-10"/>
        </w:rPr>
        <w:t xml:space="preserve"> </w:t>
      </w:r>
      <w:r>
        <w:t>analysis</w:t>
      </w:r>
      <w:r>
        <w:rPr>
          <w:spacing w:val="-11"/>
        </w:rPr>
        <w:t xml:space="preserve"> </w:t>
      </w:r>
      <w:r>
        <w:t>was</w:t>
      </w:r>
      <w:r>
        <w:rPr>
          <w:spacing w:val="-10"/>
        </w:rPr>
        <w:t xml:space="preserve"> </w:t>
      </w:r>
      <w:r>
        <w:t>conducted</w:t>
      </w:r>
      <w:r>
        <w:rPr>
          <w:spacing w:val="-9"/>
        </w:rPr>
        <w:t xml:space="preserve"> </w:t>
      </w:r>
      <w:r>
        <w:t>with</w:t>
      </w:r>
      <w:r>
        <w:rPr>
          <w:spacing w:val="-9"/>
        </w:rPr>
        <w:t xml:space="preserve"> </w:t>
      </w:r>
      <w:r>
        <w:t>groups</w:t>
      </w:r>
      <w:r>
        <w:rPr>
          <w:spacing w:val="-11"/>
        </w:rPr>
        <w:t xml:space="preserve"> </w:t>
      </w:r>
      <w:r>
        <w:t xml:space="preserve">consisting of 19 participants (3 females in each respectively). Subsequently, matching on baseline characteristics was checked (all </w:t>
      </w:r>
      <w:proofErr w:type="spellStart"/>
      <w:r>
        <w:rPr>
          <w:i/>
        </w:rPr>
        <w:t>p</w:t>
      </w:r>
      <w:r>
        <w:t>s</w:t>
      </w:r>
      <w:proofErr w:type="spellEnd"/>
      <w:r>
        <w:t xml:space="preserve"> ≤ .05, all </w:t>
      </w:r>
      <w:r>
        <w:rPr>
          <w:i/>
        </w:rPr>
        <w:t>d</w:t>
      </w:r>
      <w:r>
        <w:t>s ≤ 0.53, see Table</w:t>
      </w:r>
      <w:r>
        <w:rPr>
          <w:spacing w:val="5"/>
        </w:rPr>
        <w:t xml:space="preserve"> </w:t>
      </w:r>
      <w:r>
        <w:rPr>
          <w:spacing w:val="-3"/>
        </w:rPr>
        <w:t>A2).</w:t>
      </w:r>
    </w:p>
    <w:p w14:paraId="6E5212CB" w14:textId="77777777" w:rsidR="00C75312" w:rsidRDefault="00BB293A">
      <w:pPr>
        <w:spacing w:before="119"/>
        <w:ind w:left="140" w:right="596"/>
        <w:rPr>
          <w:i/>
          <w:sz w:val="20"/>
        </w:rPr>
      </w:pPr>
      <w:r>
        <w:rPr>
          <w:i/>
          <w:sz w:val="20"/>
        </w:rPr>
        <w:t>Table A2. Group characteristics of sub-sample matched with groups matched for ongoing task performance (collapsed across conditions)</w:t>
      </w:r>
    </w:p>
    <w:p w14:paraId="5DA7D61A" w14:textId="77777777" w:rsidR="00C75312" w:rsidRDefault="00C75312">
      <w:pPr>
        <w:pStyle w:val="BodyText"/>
        <w:spacing w:before="7"/>
        <w:rPr>
          <w:i/>
          <w:sz w:val="22"/>
        </w:rPr>
      </w:pPr>
    </w:p>
    <w:p w14:paraId="0ACD9411" w14:textId="77777777" w:rsidR="00C75312" w:rsidRDefault="00BB293A">
      <w:pPr>
        <w:pStyle w:val="BodyText"/>
        <w:spacing w:line="20" w:lineRule="exact"/>
        <w:ind w:left="135"/>
        <w:rPr>
          <w:sz w:val="2"/>
        </w:rPr>
      </w:pPr>
      <w:r>
        <w:rPr>
          <w:sz w:val="2"/>
        </w:rPr>
      </w:r>
      <w:r>
        <w:rPr>
          <w:sz w:val="2"/>
        </w:rPr>
        <w:pict w14:anchorId="286DB841">
          <v:group id="_x0000_s2115" style="width:452.2pt;height:.5pt;mso-position-horizontal-relative:char;mso-position-vertical-relative:line" coordsize="9044,10">
            <v:line id="_x0000_s2121" style="position:absolute" from="0,5" to="860,5" strokeweight=".48pt"/>
            <v:line id="_x0000_s2120" style="position:absolute" from="840,5" to="5318,5" strokeweight=".48pt"/>
            <v:line id="_x0000_s2119" style="position:absolute" from="5300,5" to="6200,5" strokeweight=".48pt"/>
            <v:line id="_x0000_s2118" style="position:absolute" from="6182,5" to="7099,5" strokeweight=".48pt"/>
            <v:line id="_x0000_s2117" style="position:absolute" from="7080,5" to="7980,5" strokeweight=".48pt"/>
            <v:line id="_x0000_s2116" style="position:absolute" from="7958,5" to="9043,5" strokeweight=".48pt"/>
            <w10:anchorlock/>
          </v:group>
        </w:pict>
      </w:r>
    </w:p>
    <w:p w14:paraId="0BB603E1" w14:textId="77777777" w:rsidR="00C75312" w:rsidRDefault="00C75312">
      <w:pPr>
        <w:spacing w:line="20" w:lineRule="exact"/>
        <w:rPr>
          <w:sz w:val="2"/>
        </w:rPr>
        <w:sectPr w:rsidR="00C75312">
          <w:pgSz w:w="11900" w:h="16840"/>
          <w:pgMar w:top="1160" w:right="1200" w:bottom="280" w:left="1300" w:header="720" w:footer="0" w:gutter="0"/>
          <w:cols w:space="720"/>
        </w:sectPr>
      </w:pPr>
    </w:p>
    <w:p w14:paraId="60BF8EF3" w14:textId="77777777" w:rsidR="00C75312" w:rsidRDefault="00C75312">
      <w:pPr>
        <w:pStyle w:val="BodyText"/>
        <w:spacing w:before="3"/>
        <w:rPr>
          <w:i/>
          <w:sz w:val="31"/>
        </w:rPr>
      </w:pPr>
    </w:p>
    <w:p w14:paraId="2FDBF3AB" w14:textId="77777777" w:rsidR="00C75312" w:rsidRDefault="00BB293A">
      <w:pPr>
        <w:jc w:val="right"/>
        <w:rPr>
          <w:b/>
          <w:sz w:val="20"/>
        </w:rPr>
      </w:pPr>
      <w:r>
        <w:rPr>
          <w:b/>
          <w:sz w:val="20"/>
        </w:rPr>
        <w:t>ASD</w:t>
      </w:r>
    </w:p>
    <w:p w14:paraId="241FB679" w14:textId="77777777" w:rsidR="00C75312" w:rsidRDefault="00BB293A">
      <w:pPr>
        <w:spacing w:before="9"/>
        <w:ind w:left="-28"/>
        <w:rPr>
          <w:b/>
          <w:sz w:val="20"/>
        </w:rPr>
      </w:pPr>
      <w:r>
        <w:br w:type="column"/>
      </w:r>
      <w:r>
        <w:rPr>
          <w:b/>
          <w:sz w:val="20"/>
        </w:rPr>
        <w:t>Group means (SD)</w:t>
      </w:r>
    </w:p>
    <w:p w14:paraId="6FA80124" w14:textId="77777777" w:rsidR="00C75312" w:rsidRDefault="00BB293A">
      <w:pPr>
        <w:spacing w:before="121"/>
        <w:jc w:val="right"/>
        <w:rPr>
          <w:b/>
          <w:sz w:val="20"/>
        </w:rPr>
      </w:pPr>
      <w:r>
        <w:pict w14:anchorId="14426B8F">
          <v:group id="_x0000_s2111" style="position:absolute;left:0;text-align:left;margin-left:114.5pt;margin-top:3.4pt;width:223pt;height:.75pt;z-index:251829248;mso-position-horizontal-relative:page" coordorigin="2290,68" coordsize="4460,15">
            <v:line id="_x0000_s2114" style="position:absolute" from="2290,75" to="4714,75" strokeweight=".72pt"/>
            <v:rect id="_x0000_s2113" style="position:absolute;left:4713;top:67;width:15;height:15" fillcolor="black" stroked="f"/>
            <v:line id="_x0000_s2112" style="position:absolute" from="4728,75" to="6749,75" strokeweight=".72pt"/>
            <w10:wrap anchorx="page"/>
          </v:group>
        </w:pict>
      </w:r>
      <w:r>
        <w:rPr>
          <w:b/>
          <w:sz w:val="20"/>
        </w:rPr>
        <w:t>NT</w:t>
      </w:r>
    </w:p>
    <w:p w14:paraId="1B40C355" w14:textId="77777777" w:rsidR="00C75312" w:rsidRDefault="00BB293A">
      <w:pPr>
        <w:pStyle w:val="BodyText"/>
        <w:rPr>
          <w:b/>
          <w:sz w:val="22"/>
        </w:rPr>
      </w:pPr>
      <w:r>
        <w:br w:type="column"/>
      </w:r>
    </w:p>
    <w:p w14:paraId="1E925418" w14:textId="77777777" w:rsidR="00C75312" w:rsidRDefault="00C75312">
      <w:pPr>
        <w:pStyle w:val="BodyText"/>
        <w:spacing w:before="9"/>
        <w:rPr>
          <w:b/>
          <w:sz w:val="21"/>
        </w:rPr>
      </w:pPr>
    </w:p>
    <w:p w14:paraId="6EB0E9BE" w14:textId="77777777" w:rsidR="00C75312" w:rsidRDefault="00BB293A">
      <w:pPr>
        <w:tabs>
          <w:tab w:val="left" w:pos="2092"/>
          <w:tab w:val="left" w:pos="3014"/>
          <w:tab w:val="left" w:pos="3614"/>
        </w:tabs>
        <w:ind w:left="1228"/>
        <w:rPr>
          <w:b/>
          <w:i/>
          <w:sz w:val="20"/>
        </w:rPr>
      </w:pPr>
      <w:r>
        <w:pict w14:anchorId="53250D89">
          <v:shape id="_x0000_s2110" type="#_x0000_t202" style="position:absolute;left:0;text-align:left;margin-left:71.65pt;margin-top:7.8pt;width:451.6pt;height:123.5pt;z-index:25183232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021"/>
                    <w:gridCol w:w="2176"/>
                    <w:gridCol w:w="2059"/>
                    <w:gridCol w:w="1027"/>
                    <w:gridCol w:w="741"/>
                    <w:gridCol w:w="1007"/>
                    <w:gridCol w:w="997"/>
                  </w:tblGrid>
                  <w:tr w:rsidR="00C75312" w14:paraId="6A7C52AF" w14:textId="77777777">
                    <w:trPr>
                      <w:trHeight w:val="294"/>
                    </w:trPr>
                    <w:tc>
                      <w:tcPr>
                        <w:tcW w:w="1021" w:type="dxa"/>
                        <w:tcBorders>
                          <w:bottom w:val="single" w:sz="6" w:space="0" w:color="000000"/>
                        </w:tcBorders>
                      </w:tcPr>
                      <w:p w14:paraId="5EA21FBF" w14:textId="77777777" w:rsidR="00C75312" w:rsidRDefault="00C75312">
                        <w:pPr>
                          <w:pStyle w:val="TableParagraph"/>
                        </w:pPr>
                      </w:p>
                    </w:tc>
                    <w:tc>
                      <w:tcPr>
                        <w:tcW w:w="2176" w:type="dxa"/>
                        <w:tcBorders>
                          <w:bottom w:val="single" w:sz="6" w:space="0" w:color="000000"/>
                        </w:tcBorders>
                      </w:tcPr>
                      <w:p w14:paraId="0CA8C5D2" w14:textId="77777777" w:rsidR="00C75312" w:rsidRDefault="00BB293A">
                        <w:pPr>
                          <w:pStyle w:val="TableParagraph"/>
                          <w:spacing w:line="223" w:lineRule="exact"/>
                          <w:ind w:left="294" w:right="367"/>
                          <w:jc w:val="center"/>
                          <w:rPr>
                            <w:b/>
                            <w:sz w:val="20"/>
                          </w:rPr>
                        </w:pPr>
                        <w:r>
                          <w:rPr>
                            <w:b/>
                            <w:sz w:val="20"/>
                          </w:rPr>
                          <w:t>(</w:t>
                        </w:r>
                        <w:r>
                          <w:rPr>
                            <w:b/>
                            <w:i/>
                            <w:sz w:val="20"/>
                          </w:rPr>
                          <w:t xml:space="preserve">n </w:t>
                        </w:r>
                        <w:r>
                          <w:rPr>
                            <w:b/>
                            <w:sz w:val="20"/>
                          </w:rPr>
                          <w:t>= 19, 1 female)</w:t>
                        </w:r>
                      </w:p>
                    </w:tc>
                    <w:tc>
                      <w:tcPr>
                        <w:tcW w:w="2059" w:type="dxa"/>
                        <w:tcBorders>
                          <w:bottom w:val="single" w:sz="6" w:space="0" w:color="000000"/>
                        </w:tcBorders>
                      </w:tcPr>
                      <w:p w14:paraId="41B9BE30" w14:textId="77777777" w:rsidR="00C75312" w:rsidRDefault="00BB293A">
                        <w:pPr>
                          <w:pStyle w:val="TableParagraph"/>
                          <w:spacing w:line="223" w:lineRule="exact"/>
                          <w:ind w:left="368" w:right="225"/>
                          <w:jc w:val="center"/>
                          <w:rPr>
                            <w:b/>
                            <w:sz w:val="20"/>
                          </w:rPr>
                        </w:pPr>
                        <w:r>
                          <w:rPr>
                            <w:b/>
                            <w:sz w:val="20"/>
                          </w:rPr>
                          <w:t>(</w:t>
                        </w:r>
                        <w:r>
                          <w:rPr>
                            <w:b/>
                            <w:i/>
                            <w:sz w:val="20"/>
                          </w:rPr>
                          <w:t xml:space="preserve">n </w:t>
                        </w:r>
                        <w:r>
                          <w:rPr>
                            <w:b/>
                            <w:sz w:val="20"/>
                          </w:rPr>
                          <w:t>=19, 3 female)</w:t>
                        </w:r>
                      </w:p>
                    </w:tc>
                    <w:tc>
                      <w:tcPr>
                        <w:tcW w:w="3772" w:type="dxa"/>
                        <w:gridSpan w:val="4"/>
                        <w:tcBorders>
                          <w:bottom w:val="single" w:sz="6" w:space="0" w:color="000000"/>
                        </w:tcBorders>
                      </w:tcPr>
                      <w:p w14:paraId="0DC21A6C" w14:textId="77777777" w:rsidR="00C75312" w:rsidRDefault="00C75312">
                        <w:pPr>
                          <w:pStyle w:val="TableParagraph"/>
                        </w:pPr>
                      </w:p>
                    </w:tc>
                  </w:tr>
                  <w:tr w:rsidR="00C75312" w14:paraId="392F5E58" w14:textId="77777777">
                    <w:trPr>
                      <w:trHeight w:val="346"/>
                    </w:trPr>
                    <w:tc>
                      <w:tcPr>
                        <w:tcW w:w="1021" w:type="dxa"/>
                        <w:tcBorders>
                          <w:top w:val="single" w:sz="6" w:space="0" w:color="000000"/>
                        </w:tcBorders>
                      </w:tcPr>
                      <w:p w14:paraId="3E7CFF48" w14:textId="77777777" w:rsidR="00C75312" w:rsidRDefault="00BB293A">
                        <w:pPr>
                          <w:pStyle w:val="TableParagraph"/>
                          <w:spacing w:before="48"/>
                          <w:ind w:left="133" w:right="284"/>
                          <w:jc w:val="center"/>
                          <w:rPr>
                            <w:b/>
                            <w:sz w:val="20"/>
                          </w:rPr>
                        </w:pPr>
                        <w:r>
                          <w:rPr>
                            <w:b/>
                            <w:sz w:val="20"/>
                          </w:rPr>
                          <w:t>Age</w:t>
                        </w:r>
                      </w:p>
                    </w:tc>
                    <w:tc>
                      <w:tcPr>
                        <w:tcW w:w="2176" w:type="dxa"/>
                        <w:tcBorders>
                          <w:top w:val="single" w:sz="6" w:space="0" w:color="000000"/>
                        </w:tcBorders>
                      </w:tcPr>
                      <w:p w14:paraId="5C5A42B9" w14:textId="77777777" w:rsidR="00C75312" w:rsidRDefault="00BB293A">
                        <w:pPr>
                          <w:pStyle w:val="TableParagraph"/>
                          <w:spacing w:before="48"/>
                          <w:ind w:left="289" w:right="367"/>
                          <w:jc w:val="center"/>
                          <w:rPr>
                            <w:sz w:val="20"/>
                          </w:rPr>
                        </w:pPr>
                        <w:r>
                          <w:rPr>
                            <w:sz w:val="20"/>
                          </w:rPr>
                          <w:t>34.26 (12.60)</w:t>
                        </w:r>
                      </w:p>
                    </w:tc>
                    <w:tc>
                      <w:tcPr>
                        <w:tcW w:w="2059" w:type="dxa"/>
                        <w:tcBorders>
                          <w:top w:val="single" w:sz="6" w:space="0" w:color="000000"/>
                        </w:tcBorders>
                      </w:tcPr>
                      <w:p w14:paraId="0DBE9DAF" w14:textId="77777777" w:rsidR="00C75312" w:rsidRDefault="00BB293A">
                        <w:pPr>
                          <w:pStyle w:val="TableParagraph"/>
                          <w:spacing w:before="48"/>
                          <w:ind w:left="363" w:right="225"/>
                          <w:jc w:val="center"/>
                          <w:rPr>
                            <w:sz w:val="20"/>
                          </w:rPr>
                        </w:pPr>
                        <w:r>
                          <w:rPr>
                            <w:sz w:val="20"/>
                          </w:rPr>
                          <w:t>39.15 (12.52)</w:t>
                        </w:r>
                      </w:p>
                    </w:tc>
                    <w:tc>
                      <w:tcPr>
                        <w:tcW w:w="1027" w:type="dxa"/>
                        <w:tcBorders>
                          <w:top w:val="single" w:sz="6" w:space="0" w:color="000000"/>
                        </w:tcBorders>
                      </w:tcPr>
                      <w:p w14:paraId="64B3FA52" w14:textId="77777777" w:rsidR="00C75312" w:rsidRDefault="00BB293A">
                        <w:pPr>
                          <w:pStyle w:val="TableParagraph"/>
                          <w:spacing w:before="48"/>
                          <w:ind w:left="226" w:right="243"/>
                          <w:jc w:val="center"/>
                          <w:rPr>
                            <w:sz w:val="20"/>
                          </w:rPr>
                        </w:pPr>
                        <w:r>
                          <w:rPr>
                            <w:sz w:val="20"/>
                          </w:rPr>
                          <w:t>0.953</w:t>
                        </w:r>
                      </w:p>
                    </w:tc>
                    <w:tc>
                      <w:tcPr>
                        <w:tcW w:w="741" w:type="dxa"/>
                        <w:tcBorders>
                          <w:top w:val="single" w:sz="6" w:space="0" w:color="000000"/>
                        </w:tcBorders>
                      </w:tcPr>
                      <w:p w14:paraId="6796FB05" w14:textId="77777777" w:rsidR="00C75312" w:rsidRDefault="00BB293A">
                        <w:pPr>
                          <w:pStyle w:val="TableParagraph"/>
                          <w:spacing w:before="48"/>
                          <w:ind w:left="244" w:right="257"/>
                          <w:jc w:val="center"/>
                          <w:rPr>
                            <w:sz w:val="20"/>
                          </w:rPr>
                        </w:pPr>
                        <w:r>
                          <w:rPr>
                            <w:sz w:val="20"/>
                          </w:rPr>
                          <w:t>36</w:t>
                        </w:r>
                      </w:p>
                    </w:tc>
                    <w:tc>
                      <w:tcPr>
                        <w:tcW w:w="1007" w:type="dxa"/>
                        <w:tcBorders>
                          <w:top w:val="single" w:sz="6" w:space="0" w:color="000000"/>
                        </w:tcBorders>
                      </w:tcPr>
                      <w:p w14:paraId="2628E9DA" w14:textId="77777777" w:rsidR="00C75312" w:rsidRDefault="00BB293A">
                        <w:pPr>
                          <w:pStyle w:val="TableParagraph"/>
                          <w:spacing w:before="48"/>
                          <w:ind w:left="260" w:right="239"/>
                          <w:jc w:val="center"/>
                          <w:rPr>
                            <w:sz w:val="20"/>
                          </w:rPr>
                        </w:pPr>
                        <w:r>
                          <w:rPr>
                            <w:sz w:val="20"/>
                          </w:rPr>
                          <w:t>.347</w:t>
                        </w:r>
                      </w:p>
                    </w:tc>
                    <w:tc>
                      <w:tcPr>
                        <w:tcW w:w="997" w:type="dxa"/>
                        <w:tcBorders>
                          <w:top w:val="single" w:sz="6" w:space="0" w:color="000000"/>
                        </w:tcBorders>
                      </w:tcPr>
                      <w:p w14:paraId="0AA00D6A" w14:textId="77777777" w:rsidR="00C75312" w:rsidRDefault="00BB293A">
                        <w:pPr>
                          <w:pStyle w:val="TableParagraph"/>
                          <w:spacing w:before="48"/>
                          <w:ind w:left="249" w:right="290"/>
                          <w:jc w:val="center"/>
                          <w:rPr>
                            <w:sz w:val="20"/>
                          </w:rPr>
                        </w:pPr>
                        <w:r>
                          <w:rPr>
                            <w:sz w:val="20"/>
                          </w:rPr>
                          <w:t>-0.31</w:t>
                        </w:r>
                      </w:p>
                    </w:tc>
                  </w:tr>
                  <w:tr w:rsidR="00C75312" w14:paraId="4B701577" w14:textId="77777777">
                    <w:trPr>
                      <w:trHeight w:val="357"/>
                    </w:trPr>
                    <w:tc>
                      <w:tcPr>
                        <w:tcW w:w="1021" w:type="dxa"/>
                      </w:tcPr>
                      <w:p w14:paraId="694330B4" w14:textId="77777777" w:rsidR="00C75312" w:rsidRDefault="00BB293A">
                        <w:pPr>
                          <w:pStyle w:val="TableParagraph"/>
                          <w:spacing w:before="61"/>
                          <w:ind w:left="133" w:right="291"/>
                          <w:jc w:val="center"/>
                          <w:rPr>
                            <w:b/>
                            <w:sz w:val="20"/>
                          </w:rPr>
                        </w:pPr>
                        <w:r>
                          <w:rPr>
                            <w:b/>
                            <w:sz w:val="20"/>
                          </w:rPr>
                          <w:t>VIQ</w:t>
                        </w:r>
                      </w:p>
                    </w:tc>
                    <w:tc>
                      <w:tcPr>
                        <w:tcW w:w="2176" w:type="dxa"/>
                      </w:tcPr>
                      <w:p w14:paraId="51B06852" w14:textId="77777777" w:rsidR="00C75312" w:rsidRDefault="00BB293A">
                        <w:pPr>
                          <w:pStyle w:val="TableParagraph"/>
                          <w:spacing w:before="61"/>
                          <w:ind w:left="289" w:right="367"/>
                          <w:jc w:val="center"/>
                          <w:rPr>
                            <w:sz w:val="20"/>
                          </w:rPr>
                        </w:pPr>
                        <w:r>
                          <w:rPr>
                            <w:sz w:val="20"/>
                          </w:rPr>
                          <w:t>107.68 (13.00)</w:t>
                        </w:r>
                      </w:p>
                    </w:tc>
                    <w:tc>
                      <w:tcPr>
                        <w:tcW w:w="2059" w:type="dxa"/>
                      </w:tcPr>
                      <w:p w14:paraId="779EE016" w14:textId="77777777" w:rsidR="00C75312" w:rsidRDefault="00BB293A">
                        <w:pPr>
                          <w:pStyle w:val="TableParagraph"/>
                          <w:spacing w:before="61"/>
                          <w:ind w:left="363" w:right="225"/>
                          <w:jc w:val="center"/>
                          <w:rPr>
                            <w:sz w:val="20"/>
                          </w:rPr>
                        </w:pPr>
                        <w:r>
                          <w:rPr>
                            <w:sz w:val="20"/>
                          </w:rPr>
                          <w:t>102.00 (7.98)</w:t>
                        </w:r>
                      </w:p>
                    </w:tc>
                    <w:tc>
                      <w:tcPr>
                        <w:tcW w:w="1027" w:type="dxa"/>
                      </w:tcPr>
                      <w:p w14:paraId="2507A514" w14:textId="77777777" w:rsidR="00C75312" w:rsidRDefault="00BB293A">
                        <w:pPr>
                          <w:pStyle w:val="TableParagraph"/>
                          <w:spacing w:before="61"/>
                          <w:ind w:left="226" w:right="243"/>
                          <w:jc w:val="center"/>
                          <w:rPr>
                            <w:sz w:val="20"/>
                          </w:rPr>
                        </w:pPr>
                        <w:r>
                          <w:rPr>
                            <w:sz w:val="20"/>
                          </w:rPr>
                          <w:t>-1.624</w:t>
                        </w:r>
                      </w:p>
                    </w:tc>
                    <w:tc>
                      <w:tcPr>
                        <w:tcW w:w="741" w:type="dxa"/>
                      </w:tcPr>
                      <w:p w14:paraId="3154B820" w14:textId="77777777" w:rsidR="00C75312" w:rsidRDefault="00BB293A">
                        <w:pPr>
                          <w:pStyle w:val="TableParagraph"/>
                          <w:spacing w:before="61"/>
                          <w:ind w:left="244" w:right="257"/>
                          <w:jc w:val="center"/>
                          <w:rPr>
                            <w:sz w:val="20"/>
                          </w:rPr>
                        </w:pPr>
                        <w:r>
                          <w:rPr>
                            <w:sz w:val="20"/>
                          </w:rPr>
                          <w:t>36</w:t>
                        </w:r>
                      </w:p>
                    </w:tc>
                    <w:tc>
                      <w:tcPr>
                        <w:tcW w:w="1007" w:type="dxa"/>
                      </w:tcPr>
                      <w:p w14:paraId="1A285E85" w14:textId="77777777" w:rsidR="00C75312" w:rsidRDefault="00BB293A">
                        <w:pPr>
                          <w:pStyle w:val="TableParagraph"/>
                          <w:spacing w:before="61"/>
                          <w:ind w:left="260" w:right="239"/>
                          <w:jc w:val="center"/>
                          <w:rPr>
                            <w:sz w:val="20"/>
                          </w:rPr>
                        </w:pPr>
                        <w:r>
                          <w:rPr>
                            <w:sz w:val="20"/>
                          </w:rPr>
                          <w:t>.113</w:t>
                        </w:r>
                      </w:p>
                    </w:tc>
                    <w:tc>
                      <w:tcPr>
                        <w:tcW w:w="997" w:type="dxa"/>
                      </w:tcPr>
                      <w:p w14:paraId="19BEE551" w14:textId="77777777" w:rsidR="00C75312" w:rsidRDefault="00BB293A">
                        <w:pPr>
                          <w:pStyle w:val="TableParagraph"/>
                          <w:spacing w:before="61"/>
                          <w:ind w:left="249" w:right="290"/>
                          <w:jc w:val="center"/>
                          <w:rPr>
                            <w:sz w:val="20"/>
                          </w:rPr>
                        </w:pPr>
                        <w:r>
                          <w:rPr>
                            <w:sz w:val="20"/>
                          </w:rPr>
                          <w:t>0.53</w:t>
                        </w:r>
                      </w:p>
                    </w:tc>
                  </w:tr>
                  <w:tr w:rsidR="00C75312" w14:paraId="16991A8C" w14:textId="77777777">
                    <w:trPr>
                      <w:trHeight w:val="357"/>
                    </w:trPr>
                    <w:tc>
                      <w:tcPr>
                        <w:tcW w:w="1021" w:type="dxa"/>
                      </w:tcPr>
                      <w:p w14:paraId="25F4432F" w14:textId="77777777" w:rsidR="00C75312" w:rsidRDefault="00BB293A">
                        <w:pPr>
                          <w:pStyle w:val="TableParagraph"/>
                          <w:spacing w:before="59"/>
                          <w:ind w:left="133" w:right="289"/>
                          <w:jc w:val="center"/>
                          <w:rPr>
                            <w:b/>
                            <w:sz w:val="20"/>
                          </w:rPr>
                        </w:pPr>
                        <w:r>
                          <w:rPr>
                            <w:b/>
                            <w:sz w:val="20"/>
                          </w:rPr>
                          <w:t>PIQ</w:t>
                        </w:r>
                      </w:p>
                    </w:tc>
                    <w:tc>
                      <w:tcPr>
                        <w:tcW w:w="2176" w:type="dxa"/>
                      </w:tcPr>
                      <w:p w14:paraId="26C22A75" w14:textId="77777777" w:rsidR="00C75312" w:rsidRDefault="00BB293A">
                        <w:pPr>
                          <w:pStyle w:val="TableParagraph"/>
                          <w:spacing w:before="59"/>
                          <w:ind w:left="289" w:right="367"/>
                          <w:jc w:val="center"/>
                          <w:rPr>
                            <w:sz w:val="20"/>
                          </w:rPr>
                        </w:pPr>
                        <w:r>
                          <w:rPr>
                            <w:sz w:val="20"/>
                          </w:rPr>
                          <w:t>107.63 (18.71)</w:t>
                        </w:r>
                      </w:p>
                    </w:tc>
                    <w:tc>
                      <w:tcPr>
                        <w:tcW w:w="2059" w:type="dxa"/>
                      </w:tcPr>
                      <w:p w14:paraId="01E38FD1" w14:textId="77777777" w:rsidR="00C75312" w:rsidRDefault="00BB293A">
                        <w:pPr>
                          <w:pStyle w:val="TableParagraph"/>
                          <w:spacing w:before="59"/>
                          <w:ind w:left="363" w:right="225"/>
                          <w:jc w:val="center"/>
                          <w:rPr>
                            <w:sz w:val="20"/>
                          </w:rPr>
                        </w:pPr>
                        <w:r>
                          <w:rPr>
                            <w:sz w:val="20"/>
                          </w:rPr>
                          <w:t>104.21 (11.19)</w:t>
                        </w:r>
                      </w:p>
                    </w:tc>
                    <w:tc>
                      <w:tcPr>
                        <w:tcW w:w="1027" w:type="dxa"/>
                      </w:tcPr>
                      <w:p w14:paraId="1210F914" w14:textId="77777777" w:rsidR="00C75312" w:rsidRDefault="00BB293A">
                        <w:pPr>
                          <w:pStyle w:val="TableParagraph"/>
                          <w:spacing w:before="59"/>
                          <w:ind w:left="226" w:right="243"/>
                          <w:jc w:val="center"/>
                          <w:rPr>
                            <w:sz w:val="20"/>
                          </w:rPr>
                        </w:pPr>
                        <w:r>
                          <w:rPr>
                            <w:sz w:val="20"/>
                          </w:rPr>
                          <w:t>-0.684</w:t>
                        </w:r>
                      </w:p>
                    </w:tc>
                    <w:tc>
                      <w:tcPr>
                        <w:tcW w:w="741" w:type="dxa"/>
                      </w:tcPr>
                      <w:p w14:paraId="303037EE" w14:textId="77777777" w:rsidR="00C75312" w:rsidRDefault="00BB293A">
                        <w:pPr>
                          <w:pStyle w:val="TableParagraph"/>
                          <w:spacing w:before="59"/>
                          <w:ind w:left="244" w:right="257"/>
                          <w:jc w:val="center"/>
                          <w:rPr>
                            <w:sz w:val="20"/>
                          </w:rPr>
                        </w:pPr>
                        <w:r>
                          <w:rPr>
                            <w:sz w:val="20"/>
                          </w:rPr>
                          <w:t>36</w:t>
                        </w:r>
                      </w:p>
                    </w:tc>
                    <w:tc>
                      <w:tcPr>
                        <w:tcW w:w="1007" w:type="dxa"/>
                      </w:tcPr>
                      <w:p w14:paraId="44DE70C4" w14:textId="77777777" w:rsidR="00C75312" w:rsidRDefault="00BB293A">
                        <w:pPr>
                          <w:pStyle w:val="TableParagraph"/>
                          <w:spacing w:before="59"/>
                          <w:ind w:left="260" w:right="239"/>
                          <w:jc w:val="center"/>
                          <w:rPr>
                            <w:sz w:val="20"/>
                          </w:rPr>
                        </w:pPr>
                        <w:r>
                          <w:rPr>
                            <w:sz w:val="20"/>
                          </w:rPr>
                          <w:t>.498</w:t>
                        </w:r>
                      </w:p>
                    </w:tc>
                    <w:tc>
                      <w:tcPr>
                        <w:tcW w:w="997" w:type="dxa"/>
                      </w:tcPr>
                      <w:p w14:paraId="2498D7BC" w14:textId="77777777" w:rsidR="00C75312" w:rsidRDefault="00BB293A">
                        <w:pPr>
                          <w:pStyle w:val="TableParagraph"/>
                          <w:spacing w:before="59"/>
                          <w:ind w:left="249" w:right="290"/>
                          <w:jc w:val="center"/>
                          <w:rPr>
                            <w:sz w:val="20"/>
                          </w:rPr>
                        </w:pPr>
                        <w:r>
                          <w:rPr>
                            <w:sz w:val="20"/>
                          </w:rPr>
                          <w:t>0.22</w:t>
                        </w:r>
                      </w:p>
                    </w:tc>
                  </w:tr>
                  <w:tr w:rsidR="00C75312" w14:paraId="3A8A253A" w14:textId="77777777">
                    <w:trPr>
                      <w:trHeight w:val="360"/>
                    </w:trPr>
                    <w:tc>
                      <w:tcPr>
                        <w:tcW w:w="1021" w:type="dxa"/>
                      </w:tcPr>
                      <w:p w14:paraId="0A9C18C5" w14:textId="77777777" w:rsidR="00C75312" w:rsidRDefault="00BB293A">
                        <w:pPr>
                          <w:pStyle w:val="TableParagraph"/>
                          <w:spacing w:before="61"/>
                          <w:ind w:left="133" w:right="284"/>
                          <w:jc w:val="center"/>
                          <w:rPr>
                            <w:b/>
                            <w:sz w:val="20"/>
                          </w:rPr>
                        </w:pPr>
                        <w:r>
                          <w:rPr>
                            <w:b/>
                            <w:sz w:val="20"/>
                          </w:rPr>
                          <w:t>FSIQ</w:t>
                        </w:r>
                      </w:p>
                    </w:tc>
                    <w:tc>
                      <w:tcPr>
                        <w:tcW w:w="2176" w:type="dxa"/>
                      </w:tcPr>
                      <w:p w14:paraId="216F01FA" w14:textId="77777777" w:rsidR="00C75312" w:rsidRDefault="00BB293A">
                        <w:pPr>
                          <w:pStyle w:val="TableParagraph"/>
                          <w:spacing w:before="61"/>
                          <w:ind w:left="289" w:right="367"/>
                          <w:jc w:val="center"/>
                          <w:rPr>
                            <w:sz w:val="20"/>
                          </w:rPr>
                        </w:pPr>
                        <w:r>
                          <w:rPr>
                            <w:sz w:val="20"/>
                          </w:rPr>
                          <w:t>108.21 (15.59)</w:t>
                        </w:r>
                      </w:p>
                    </w:tc>
                    <w:tc>
                      <w:tcPr>
                        <w:tcW w:w="2059" w:type="dxa"/>
                      </w:tcPr>
                      <w:p w14:paraId="3AABA771" w14:textId="77777777" w:rsidR="00C75312" w:rsidRDefault="00BB293A">
                        <w:pPr>
                          <w:pStyle w:val="TableParagraph"/>
                          <w:spacing w:before="61"/>
                          <w:ind w:left="363" w:right="225"/>
                          <w:jc w:val="center"/>
                          <w:rPr>
                            <w:sz w:val="20"/>
                          </w:rPr>
                        </w:pPr>
                        <w:r>
                          <w:rPr>
                            <w:sz w:val="20"/>
                          </w:rPr>
                          <w:t>103.37 (8.91)</w:t>
                        </w:r>
                      </w:p>
                    </w:tc>
                    <w:tc>
                      <w:tcPr>
                        <w:tcW w:w="1027" w:type="dxa"/>
                      </w:tcPr>
                      <w:p w14:paraId="664368CC" w14:textId="77777777" w:rsidR="00C75312" w:rsidRDefault="00BB293A">
                        <w:pPr>
                          <w:pStyle w:val="TableParagraph"/>
                          <w:spacing w:before="61"/>
                          <w:ind w:left="226" w:right="243"/>
                          <w:jc w:val="center"/>
                          <w:rPr>
                            <w:sz w:val="20"/>
                          </w:rPr>
                        </w:pPr>
                        <w:r>
                          <w:rPr>
                            <w:sz w:val="20"/>
                          </w:rPr>
                          <w:t>-1.176</w:t>
                        </w:r>
                      </w:p>
                    </w:tc>
                    <w:tc>
                      <w:tcPr>
                        <w:tcW w:w="741" w:type="dxa"/>
                      </w:tcPr>
                      <w:p w14:paraId="431856A4" w14:textId="77777777" w:rsidR="00C75312" w:rsidRDefault="00BB293A">
                        <w:pPr>
                          <w:pStyle w:val="TableParagraph"/>
                          <w:spacing w:before="61"/>
                          <w:ind w:left="244" w:right="257"/>
                          <w:jc w:val="center"/>
                          <w:rPr>
                            <w:sz w:val="20"/>
                          </w:rPr>
                        </w:pPr>
                        <w:r>
                          <w:rPr>
                            <w:sz w:val="20"/>
                          </w:rPr>
                          <w:t>36</w:t>
                        </w:r>
                      </w:p>
                    </w:tc>
                    <w:tc>
                      <w:tcPr>
                        <w:tcW w:w="1007" w:type="dxa"/>
                      </w:tcPr>
                      <w:p w14:paraId="17C0A713" w14:textId="77777777" w:rsidR="00C75312" w:rsidRDefault="00BB293A">
                        <w:pPr>
                          <w:pStyle w:val="TableParagraph"/>
                          <w:spacing w:before="61"/>
                          <w:ind w:left="260" w:right="239"/>
                          <w:jc w:val="center"/>
                          <w:rPr>
                            <w:sz w:val="20"/>
                          </w:rPr>
                        </w:pPr>
                        <w:r>
                          <w:rPr>
                            <w:sz w:val="20"/>
                          </w:rPr>
                          <w:t>.247</w:t>
                        </w:r>
                      </w:p>
                    </w:tc>
                    <w:tc>
                      <w:tcPr>
                        <w:tcW w:w="997" w:type="dxa"/>
                      </w:tcPr>
                      <w:p w14:paraId="54D6410B" w14:textId="77777777" w:rsidR="00C75312" w:rsidRDefault="00BB293A">
                        <w:pPr>
                          <w:pStyle w:val="TableParagraph"/>
                          <w:spacing w:before="61"/>
                          <w:ind w:left="249" w:right="290"/>
                          <w:jc w:val="center"/>
                          <w:rPr>
                            <w:sz w:val="20"/>
                          </w:rPr>
                        </w:pPr>
                        <w:r>
                          <w:rPr>
                            <w:sz w:val="20"/>
                          </w:rPr>
                          <w:t>0.38</w:t>
                        </w:r>
                      </w:p>
                    </w:tc>
                  </w:tr>
                  <w:tr w:rsidR="00C75312" w14:paraId="3CD2D44C" w14:textId="77777777">
                    <w:trPr>
                      <w:trHeight w:val="357"/>
                    </w:trPr>
                    <w:tc>
                      <w:tcPr>
                        <w:tcW w:w="1021" w:type="dxa"/>
                      </w:tcPr>
                      <w:p w14:paraId="60C300EE" w14:textId="77777777" w:rsidR="00C75312" w:rsidRDefault="00BB293A">
                        <w:pPr>
                          <w:pStyle w:val="TableParagraph"/>
                          <w:spacing w:before="61"/>
                          <w:ind w:left="133" w:right="291"/>
                          <w:jc w:val="center"/>
                          <w:rPr>
                            <w:b/>
                            <w:sz w:val="20"/>
                          </w:rPr>
                        </w:pPr>
                        <w:r>
                          <w:rPr>
                            <w:b/>
                            <w:sz w:val="20"/>
                          </w:rPr>
                          <w:t>AQ</w:t>
                        </w:r>
                      </w:p>
                    </w:tc>
                    <w:tc>
                      <w:tcPr>
                        <w:tcW w:w="2176" w:type="dxa"/>
                      </w:tcPr>
                      <w:p w14:paraId="340782A7" w14:textId="77777777" w:rsidR="00C75312" w:rsidRDefault="00BB293A">
                        <w:pPr>
                          <w:pStyle w:val="TableParagraph"/>
                          <w:spacing w:before="61"/>
                          <w:ind w:left="294" w:right="367"/>
                          <w:jc w:val="center"/>
                          <w:rPr>
                            <w:sz w:val="20"/>
                          </w:rPr>
                        </w:pPr>
                        <w:r>
                          <w:rPr>
                            <w:sz w:val="20"/>
                          </w:rPr>
                          <w:t>31.53 (9.23)</w:t>
                        </w:r>
                      </w:p>
                    </w:tc>
                    <w:tc>
                      <w:tcPr>
                        <w:tcW w:w="2059" w:type="dxa"/>
                      </w:tcPr>
                      <w:p w14:paraId="1F2C127E" w14:textId="77777777" w:rsidR="00C75312" w:rsidRDefault="00BB293A">
                        <w:pPr>
                          <w:pStyle w:val="TableParagraph"/>
                          <w:spacing w:before="61"/>
                          <w:ind w:left="368" w:right="225"/>
                          <w:jc w:val="center"/>
                          <w:rPr>
                            <w:sz w:val="20"/>
                          </w:rPr>
                        </w:pPr>
                        <w:r>
                          <w:rPr>
                            <w:sz w:val="20"/>
                          </w:rPr>
                          <w:t>17.74 (6.90)</w:t>
                        </w:r>
                      </w:p>
                    </w:tc>
                    <w:tc>
                      <w:tcPr>
                        <w:tcW w:w="1027" w:type="dxa"/>
                      </w:tcPr>
                      <w:p w14:paraId="78CE2CBC" w14:textId="77777777" w:rsidR="00C75312" w:rsidRDefault="00BB293A">
                        <w:pPr>
                          <w:pStyle w:val="TableParagraph"/>
                          <w:spacing w:before="61"/>
                          <w:ind w:left="226" w:right="243"/>
                          <w:jc w:val="center"/>
                          <w:rPr>
                            <w:sz w:val="20"/>
                          </w:rPr>
                        </w:pPr>
                        <w:r>
                          <w:rPr>
                            <w:sz w:val="20"/>
                          </w:rPr>
                          <w:t>-5.214</w:t>
                        </w:r>
                      </w:p>
                    </w:tc>
                    <w:tc>
                      <w:tcPr>
                        <w:tcW w:w="741" w:type="dxa"/>
                      </w:tcPr>
                      <w:p w14:paraId="189714A5" w14:textId="77777777" w:rsidR="00C75312" w:rsidRDefault="00BB293A">
                        <w:pPr>
                          <w:pStyle w:val="TableParagraph"/>
                          <w:spacing w:before="61"/>
                          <w:ind w:left="244" w:right="257"/>
                          <w:jc w:val="center"/>
                          <w:rPr>
                            <w:sz w:val="20"/>
                          </w:rPr>
                        </w:pPr>
                        <w:r>
                          <w:rPr>
                            <w:sz w:val="20"/>
                          </w:rPr>
                          <w:t>36</w:t>
                        </w:r>
                      </w:p>
                    </w:tc>
                    <w:tc>
                      <w:tcPr>
                        <w:tcW w:w="1007" w:type="dxa"/>
                      </w:tcPr>
                      <w:p w14:paraId="76FFCA97" w14:textId="77777777" w:rsidR="00C75312" w:rsidRDefault="00BB293A">
                        <w:pPr>
                          <w:pStyle w:val="TableParagraph"/>
                          <w:spacing w:before="61"/>
                          <w:ind w:left="260" w:right="244"/>
                          <w:jc w:val="center"/>
                          <w:rPr>
                            <w:sz w:val="20"/>
                          </w:rPr>
                        </w:pPr>
                        <w:r>
                          <w:rPr>
                            <w:sz w:val="20"/>
                          </w:rPr>
                          <w:t>&lt;.001</w:t>
                        </w:r>
                      </w:p>
                    </w:tc>
                    <w:tc>
                      <w:tcPr>
                        <w:tcW w:w="997" w:type="dxa"/>
                      </w:tcPr>
                      <w:p w14:paraId="4E0BFC17" w14:textId="77777777" w:rsidR="00C75312" w:rsidRDefault="00BB293A">
                        <w:pPr>
                          <w:pStyle w:val="TableParagraph"/>
                          <w:spacing w:before="61"/>
                          <w:ind w:left="249" w:right="290"/>
                          <w:jc w:val="center"/>
                          <w:rPr>
                            <w:sz w:val="20"/>
                          </w:rPr>
                        </w:pPr>
                        <w:r>
                          <w:rPr>
                            <w:sz w:val="20"/>
                          </w:rPr>
                          <w:t>1.69</w:t>
                        </w:r>
                      </w:p>
                    </w:tc>
                  </w:tr>
                  <w:tr w:rsidR="00C75312" w14:paraId="21F8814B" w14:textId="77777777">
                    <w:trPr>
                      <w:trHeight w:val="365"/>
                    </w:trPr>
                    <w:tc>
                      <w:tcPr>
                        <w:tcW w:w="1021" w:type="dxa"/>
                        <w:tcBorders>
                          <w:bottom w:val="single" w:sz="4" w:space="0" w:color="000000"/>
                        </w:tcBorders>
                      </w:tcPr>
                      <w:p w14:paraId="7F274E8F" w14:textId="77777777" w:rsidR="00C75312" w:rsidRDefault="00BB293A">
                        <w:pPr>
                          <w:pStyle w:val="TableParagraph"/>
                          <w:spacing w:before="59"/>
                          <w:ind w:left="133" w:right="291"/>
                          <w:jc w:val="center"/>
                          <w:rPr>
                            <w:b/>
                            <w:sz w:val="20"/>
                          </w:rPr>
                        </w:pPr>
                        <w:r>
                          <w:rPr>
                            <w:b/>
                            <w:sz w:val="20"/>
                          </w:rPr>
                          <w:t>ADOS</w:t>
                        </w:r>
                      </w:p>
                    </w:tc>
                    <w:tc>
                      <w:tcPr>
                        <w:tcW w:w="2176" w:type="dxa"/>
                        <w:tcBorders>
                          <w:bottom w:val="single" w:sz="4" w:space="0" w:color="000000"/>
                        </w:tcBorders>
                      </w:tcPr>
                      <w:p w14:paraId="21FDB3D2" w14:textId="77777777" w:rsidR="00C75312" w:rsidRDefault="00BB293A">
                        <w:pPr>
                          <w:pStyle w:val="TableParagraph"/>
                          <w:spacing w:before="59"/>
                          <w:ind w:left="289" w:right="367"/>
                          <w:jc w:val="center"/>
                          <w:rPr>
                            <w:sz w:val="20"/>
                          </w:rPr>
                        </w:pPr>
                        <w:r>
                          <w:rPr>
                            <w:sz w:val="20"/>
                          </w:rPr>
                          <w:t>7.95 (3.55)</w:t>
                        </w:r>
                      </w:p>
                    </w:tc>
                    <w:tc>
                      <w:tcPr>
                        <w:tcW w:w="2059" w:type="dxa"/>
                        <w:tcBorders>
                          <w:bottom w:val="single" w:sz="4" w:space="0" w:color="000000"/>
                        </w:tcBorders>
                      </w:tcPr>
                      <w:p w14:paraId="1CE83A1C" w14:textId="77777777" w:rsidR="00C75312" w:rsidRDefault="00BB293A">
                        <w:pPr>
                          <w:pStyle w:val="TableParagraph"/>
                          <w:spacing w:before="59"/>
                          <w:ind w:left="134"/>
                          <w:jc w:val="center"/>
                          <w:rPr>
                            <w:sz w:val="20"/>
                          </w:rPr>
                        </w:pPr>
                        <w:r>
                          <w:rPr>
                            <w:sz w:val="20"/>
                          </w:rPr>
                          <w:t>-</w:t>
                        </w:r>
                      </w:p>
                    </w:tc>
                    <w:tc>
                      <w:tcPr>
                        <w:tcW w:w="1027" w:type="dxa"/>
                        <w:tcBorders>
                          <w:bottom w:val="single" w:sz="4" w:space="0" w:color="000000"/>
                        </w:tcBorders>
                      </w:tcPr>
                      <w:p w14:paraId="140A0E34" w14:textId="77777777" w:rsidR="00C75312" w:rsidRDefault="00BB293A">
                        <w:pPr>
                          <w:pStyle w:val="TableParagraph"/>
                          <w:spacing w:before="59"/>
                          <w:ind w:right="21"/>
                          <w:jc w:val="center"/>
                          <w:rPr>
                            <w:sz w:val="20"/>
                          </w:rPr>
                        </w:pPr>
                        <w:r>
                          <w:rPr>
                            <w:sz w:val="20"/>
                          </w:rPr>
                          <w:t>-</w:t>
                        </w:r>
                      </w:p>
                    </w:tc>
                    <w:tc>
                      <w:tcPr>
                        <w:tcW w:w="741" w:type="dxa"/>
                        <w:tcBorders>
                          <w:bottom w:val="single" w:sz="4" w:space="0" w:color="000000"/>
                        </w:tcBorders>
                      </w:tcPr>
                      <w:p w14:paraId="60CFA60C" w14:textId="77777777" w:rsidR="00C75312" w:rsidRDefault="00BB293A">
                        <w:pPr>
                          <w:pStyle w:val="TableParagraph"/>
                          <w:spacing w:before="59"/>
                          <w:ind w:right="13"/>
                          <w:jc w:val="center"/>
                          <w:rPr>
                            <w:sz w:val="20"/>
                          </w:rPr>
                        </w:pPr>
                        <w:r>
                          <w:rPr>
                            <w:sz w:val="20"/>
                          </w:rPr>
                          <w:t>-</w:t>
                        </w:r>
                      </w:p>
                    </w:tc>
                    <w:tc>
                      <w:tcPr>
                        <w:tcW w:w="1007" w:type="dxa"/>
                        <w:tcBorders>
                          <w:bottom w:val="single" w:sz="4" w:space="0" w:color="000000"/>
                        </w:tcBorders>
                      </w:tcPr>
                      <w:p w14:paraId="19220D4D" w14:textId="77777777" w:rsidR="00C75312" w:rsidRDefault="00BB293A">
                        <w:pPr>
                          <w:pStyle w:val="TableParagraph"/>
                          <w:spacing w:before="59"/>
                          <w:ind w:left="12"/>
                          <w:jc w:val="center"/>
                          <w:rPr>
                            <w:sz w:val="20"/>
                          </w:rPr>
                        </w:pPr>
                        <w:r>
                          <w:rPr>
                            <w:sz w:val="20"/>
                          </w:rPr>
                          <w:t>-</w:t>
                        </w:r>
                      </w:p>
                    </w:tc>
                    <w:tc>
                      <w:tcPr>
                        <w:tcW w:w="997" w:type="dxa"/>
                        <w:tcBorders>
                          <w:bottom w:val="single" w:sz="4" w:space="0" w:color="000000"/>
                        </w:tcBorders>
                      </w:tcPr>
                      <w:p w14:paraId="4A650EE0" w14:textId="77777777" w:rsidR="00C75312" w:rsidRDefault="00BB293A">
                        <w:pPr>
                          <w:pStyle w:val="TableParagraph"/>
                          <w:spacing w:before="59"/>
                          <w:ind w:right="41"/>
                          <w:jc w:val="center"/>
                          <w:rPr>
                            <w:sz w:val="20"/>
                          </w:rPr>
                        </w:pPr>
                        <w:r>
                          <w:rPr>
                            <w:sz w:val="20"/>
                          </w:rPr>
                          <w:t>-</w:t>
                        </w:r>
                      </w:p>
                    </w:tc>
                  </w:tr>
                </w:tbl>
                <w:p w14:paraId="5584CC86" w14:textId="77777777" w:rsidR="00C75312" w:rsidRDefault="00C75312">
                  <w:pPr>
                    <w:pStyle w:val="BodyText"/>
                  </w:pPr>
                </w:p>
              </w:txbxContent>
            </v:textbox>
            <w10:wrap anchorx="page"/>
          </v:shape>
        </w:pict>
      </w:r>
      <w:r>
        <w:rPr>
          <w:b/>
          <w:i/>
          <w:sz w:val="20"/>
        </w:rPr>
        <w:t>T</w:t>
      </w:r>
      <w:r>
        <w:rPr>
          <w:b/>
          <w:i/>
          <w:sz w:val="20"/>
        </w:rPr>
        <w:tab/>
      </w:r>
      <w:proofErr w:type="spellStart"/>
      <w:r>
        <w:rPr>
          <w:b/>
          <w:i/>
          <w:sz w:val="20"/>
        </w:rPr>
        <w:t>df</w:t>
      </w:r>
      <w:proofErr w:type="spellEnd"/>
      <w:r>
        <w:rPr>
          <w:b/>
          <w:i/>
          <w:sz w:val="20"/>
        </w:rPr>
        <w:tab/>
        <w:t>p</w:t>
      </w:r>
      <w:r>
        <w:rPr>
          <w:b/>
          <w:i/>
          <w:sz w:val="20"/>
        </w:rPr>
        <w:tab/>
      </w:r>
      <w:r>
        <w:rPr>
          <w:b/>
          <w:sz w:val="20"/>
        </w:rPr>
        <w:t>Cohen's</w:t>
      </w:r>
      <w:r>
        <w:rPr>
          <w:b/>
          <w:spacing w:val="1"/>
          <w:sz w:val="20"/>
        </w:rPr>
        <w:t xml:space="preserve"> </w:t>
      </w:r>
      <w:r>
        <w:rPr>
          <w:b/>
          <w:i/>
          <w:sz w:val="20"/>
        </w:rPr>
        <w:t>d</w:t>
      </w:r>
    </w:p>
    <w:p w14:paraId="140413BD" w14:textId="77777777" w:rsidR="00C75312" w:rsidRDefault="00C75312">
      <w:pPr>
        <w:rPr>
          <w:sz w:val="20"/>
        </w:rPr>
        <w:sectPr w:rsidR="00C75312">
          <w:type w:val="continuous"/>
          <w:pgSz w:w="11900" w:h="16840"/>
          <w:pgMar w:top="700" w:right="1200" w:bottom="280" w:left="1300" w:header="720" w:footer="720" w:gutter="0"/>
          <w:cols w:num="3" w:space="720" w:equalWidth="0">
            <w:col w:w="2403" w:space="40"/>
            <w:col w:w="2122" w:space="39"/>
            <w:col w:w="4796"/>
          </w:cols>
        </w:sectPr>
      </w:pPr>
    </w:p>
    <w:p w14:paraId="7B75FAEB" w14:textId="77777777" w:rsidR="00C75312" w:rsidRDefault="00C75312">
      <w:pPr>
        <w:pStyle w:val="BodyText"/>
        <w:rPr>
          <w:b/>
          <w:i/>
          <w:sz w:val="20"/>
        </w:rPr>
      </w:pPr>
    </w:p>
    <w:p w14:paraId="78281196" w14:textId="77777777" w:rsidR="00C75312" w:rsidRDefault="00C75312">
      <w:pPr>
        <w:pStyle w:val="BodyText"/>
        <w:rPr>
          <w:b/>
          <w:i/>
          <w:sz w:val="20"/>
        </w:rPr>
      </w:pPr>
    </w:p>
    <w:p w14:paraId="3437B063" w14:textId="77777777" w:rsidR="00C75312" w:rsidRDefault="00C75312">
      <w:pPr>
        <w:pStyle w:val="BodyText"/>
        <w:rPr>
          <w:b/>
          <w:i/>
          <w:sz w:val="20"/>
        </w:rPr>
      </w:pPr>
    </w:p>
    <w:p w14:paraId="57769A68" w14:textId="77777777" w:rsidR="00C75312" w:rsidRDefault="00C75312">
      <w:pPr>
        <w:pStyle w:val="BodyText"/>
        <w:rPr>
          <w:b/>
          <w:i/>
          <w:sz w:val="20"/>
        </w:rPr>
      </w:pPr>
    </w:p>
    <w:p w14:paraId="7C0E7CD1" w14:textId="77777777" w:rsidR="00C75312" w:rsidRDefault="00C75312">
      <w:pPr>
        <w:pStyle w:val="BodyText"/>
        <w:rPr>
          <w:b/>
          <w:i/>
          <w:sz w:val="20"/>
        </w:rPr>
      </w:pPr>
    </w:p>
    <w:p w14:paraId="52D7537D" w14:textId="77777777" w:rsidR="00C75312" w:rsidRDefault="00C75312">
      <w:pPr>
        <w:pStyle w:val="BodyText"/>
        <w:rPr>
          <w:b/>
          <w:i/>
          <w:sz w:val="20"/>
        </w:rPr>
      </w:pPr>
    </w:p>
    <w:p w14:paraId="29AABC1A" w14:textId="77777777" w:rsidR="00C75312" w:rsidRDefault="00C75312">
      <w:pPr>
        <w:pStyle w:val="BodyText"/>
        <w:rPr>
          <w:b/>
          <w:i/>
          <w:sz w:val="20"/>
        </w:rPr>
      </w:pPr>
    </w:p>
    <w:p w14:paraId="15FEF52F" w14:textId="77777777" w:rsidR="00C75312" w:rsidRDefault="00C75312">
      <w:pPr>
        <w:pStyle w:val="BodyText"/>
        <w:rPr>
          <w:b/>
          <w:i/>
          <w:sz w:val="20"/>
        </w:rPr>
      </w:pPr>
    </w:p>
    <w:p w14:paraId="7110C757" w14:textId="77777777" w:rsidR="00C75312" w:rsidRDefault="00C75312">
      <w:pPr>
        <w:pStyle w:val="BodyText"/>
        <w:rPr>
          <w:b/>
          <w:i/>
          <w:sz w:val="20"/>
        </w:rPr>
      </w:pPr>
    </w:p>
    <w:p w14:paraId="2BBC4872" w14:textId="77777777" w:rsidR="00C75312" w:rsidRDefault="00C75312">
      <w:pPr>
        <w:pStyle w:val="BodyText"/>
        <w:rPr>
          <w:b/>
          <w:i/>
          <w:sz w:val="20"/>
        </w:rPr>
      </w:pPr>
    </w:p>
    <w:p w14:paraId="7134105B" w14:textId="77777777" w:rsidR="00C75312" w:rsidRDefault="00C75312">
      <w:pPr>
        <w:pStyle w:val="BodyText"/>
        <w:spacing w:before="5"/>
        <w:rPr>
          <w:b/>
          <w:i/>
        </w:rPr>
      </w:pPr>
    </w:p>
    <w:p w14:paraId="7564762E" w14:textId="77777777" w:rsidR="00C75312" w:rsidRDefault="00BB293A">
      <w:pPr>
        <w:pStyle w:val="Heading1"/>
        <w:spacing w:before="90"/>
        <w:jc w:val="both"/>
      </w:pPr>
      <w:r>
        <w:t>Ongoing task</w:t>
      </w:r>
    </w:p>
    <w:p w14:paraId="2A16BE1F" w14:textId="77777777" w:rsidR="00C75312" w:rsidRDefault="00C75312">
      <w:pPr>
        <w:pStyle w:val="BodyText"/>
        <w:spacing w:before="4"/>
        <w:rPr>
          <w:b/>
          <w:sz w:val="34"/>
        </w:rPr>
      </w:pPr>
    </w:p>
    <w:p w14:paraId="45886508" w14:textId="77777777" w:rsidR="00C75312" w:rsidRDefault="00BB293A">
      <w:pPr>
        <w:pStyle w:val="BodyText"/>
        <w:spacing w:before="1" w:line="470" w:lineRule="auto"/>
        <w:ind w:left="140" w:right="235" w:firstLine="720"/>
        <w:jc w:val="both"/>
      </w:pPr>
      <w:r>
        <w:pict w14:anchorId="4F8530A3">
          <v:shape id="_x0000_s2109" type="#_x0000_t202" style="position:absolute;left:0;text-align:left;margin-left:483.35pt;margin-top:61.1pt;width:5.3pt;height:9.85pt;z-index:-260471808;mso-position-horizontal-relative:page" filled="f" stroked="f">
            <v:textbox inset="0,0,0,0">
              <w:txbxContent>
                <w:p w14:paraId="3C9C09E1"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 xml:space="preserve">Ongoing proportion hit scores were entered into a 2 × 2 mixed ANOVA with group (ASD/NT) as between-subject factor and condition (PM low/high importance) as within- subject factor. The main effect of condition was significant, </w:t>
      </w:r>
      <w:r>
        <w:rPr>
          <w:i/>
        </w:rPr>
        <w:t>F</w:t>
      </w:r>
      <w:r>
        <w:t xml:space="preserve">(1,36) = 6.62, </w:t>
      </w:r>
      <w:r>
        <w:rPr>
          <w:i/>
        </w:rPr>
        <w:t xml:space="preserve">p </w:t>
      </w:r>
      <w:r>
        <w:t xml:space="preserve">= .01, </w:t>
      </w:r>
      <w:r>
        <w:rPr>
          <w:rFonts w:ascii="Cambria Math" w:hAnsi="Cambria Math"/>
          <w:w w:val="110"/>
        </w:rPr>
        <w:t>!</w:t>
      </w:r>
      <w:r>
        <w:rPr>
          <w:rFonts w:ascii="Cambria Math" w:hAnsi="Cambria Math"/>
          <w:w w:val="110"/>
          <w:position w:val="9"/>
          <w:sz w:val="17"/>
        </w:rPr>
        <w:t xml:space="preserve">#    </w:t>
      </w:r>
      <w:r>
        <w:t>=</w:t>
      </w:r>
      <w:r>
        <w:rPr>
          <w:spacing w:val="-22"/>
        </w:rPr>
        <w:t xml:space="preserve"> </w:t>
      </w:r>
      <w:r>
        <w:t>.16,</w:t>
      </w:r>
    </w:p>
    <w:p w14:paraId="1C98BF79" w14:textId="77777777" w:rsidR="00C75312" w:rsidRDefault="00BB293A">
      <w:pPr>
        <w:pStyle w:val="BodyText"/>
        <w:spacing w:before="41" w:line="444" w:lineRule="auto"/>
        <w:ind w:left="140" w:right="235"/>
        <w:jc w:val="both"/>
        <w:rPr>
          <w:rFonts w:ascii="Cambria Math" w:hAnsi="Cambria Math"/>
          <w:sz w:val="17"/>
        </w:rPr>
      </w:pPr>
      <w:r>
        <w:pict w14:anchorId="43A7BE52">
          <v:shape id="_x0000_s2108" type="#_x0000_t202" style="position:absolute;left:0;text-align:left;margin-left:516.95pt;margin-top:35.55pt;width:5.3pt;height:9.85pt;z-index:-260470784;mso-position-horizontal-relative:page" filled="f" stroked="f">
            <v:textbox inset="0,0,0,0">
              <w:txbxContent>
                <w:p w14:paraId="62183BD4"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position w:val="2"/>
        </w:rPr>
        <w:t>BF</w:t>
      </w:r>
      <w:r>
        <w:rPr>
          <w:position w:val="2"/>
          <w:vertAlign w:val="subscript"/>
        </w:rPr>
        <w:t>10</w:t>
      </w:r>
      <w:r>
        <w:rPr>
          <w:position w:val="2"/>
        </w:rPr>
        <w:t xml:space="preserve"> = 3.42 with better ongoing performance </w:t>
      </w:r>
      <w:r>
        <w:rPr>
          <w:spacing w:val="-3"/>
          <w:position w:val="2"/>
        </w:rPr>
        <w:t xml:space="preserve">in </w:t>
      </w:r>
      <w:r>
        <w:rPr>
          <w:position w:val="2"/>
        </w:rPr>
        <w:t xml:space="preserve">the </w:t>
      </w:r>
      <w:r>
        <w:rPr>
          <w:i/>
          <w:position w:val="2"/>
        </w:rPr>
        <w:t>PM low importance condition</w:t>
      </w:r>
      <w:r>
        <w:rPr>
          <w:position w:val="2"/>
        </w:rPr>
        <w:t xml:space="preserve">. No </w:t>
      </w:r>
      <w:r>
        <w:t>significant</w:t>
      </w:r>
      <w:r>
        <w:rPr>
          <w:spacing w:val="-2"/>
        </w:rPr>
        <w:t xml:space="preserve"> </w:t>
      </w:r>
      <w:r>
        <w:t>main</w:t>
      </w:r>
      <w:r>
        <w:rPr>
          <w:spacing w:val="-2"/>
        </w:rPr>
        <w:t xml:space="preserve"> </w:t>
      </w:r>
      <w:r>
        <w:t>effect</w:t>
      </w:r>
      <w:r>
        <w:rPr>
          <w:spacing w:val="-2"/>
        </w:rPr>
        <w:t xml:space="preserve"> </w:t>
      </w:r>
      <w:r>
        <w:t>of group</w:t>
      </w:r>
      <w:r>
        <w:rPr>
          <w:spacing w:val="-3"/>
        </w:rPr>
        <w:t xml:space="preserve"> </w:t>
      </w:r>
      <w:r>
        <w:t>or</w:t>
      </w:r>
      <w:r>
        <w:rPr>
          <w:spacing w:val="-6"/>
        </w:rPr>
        <w:t xml:space="preserve"> </w:t>
      </w:r>
      <w:r>
        <w:t>interaction</w:t>
      </w:r>
      <w:r>
        <w:rPr>
          <w:spacing w:val="-2"/>
        </w:rPr>
        <w:t xml:space="preserve"> </w:t>
      </w:r>
      <w:r>
        <w:t>effect</w:t>
      </w:r>
      <w:r>
        <w:rPr>
          <w:spacing w:val="-2"/>
        </w:rPr>
        <w:t xml:space="preserve"> </w:t>
      </w:r>
      <w:r>
        <w:t>emerged</w:t>
      </w:r>
      <w:r>
        <w:rPr>
          <w:spacing w:val="-2"/>
        </w:rPr>
        <w:t xml:space="preserve"> </w:t>
      </w:r>
      <w:r>
        <w:t>(all</w:t>
      </w:r>
      <w:r>
        <w:rPr>
          <w:spacing w:val="-2"/>
        </w:rPr>
        <w:t xml:space="preserve"> </w:t>
      </w:r>
      <w:r>
        <w:rPr>
          <w:i/>
        </w:rPr>
        <w:t>F</w:t>
      </w:r>
      <w:r>
        <w:t>s</w:t>
      </w:r>
      <w:r>
        <w:rPr>
          <w:spacing w:val="-4"/>
        </w:rPr>
        <w:t xml:space="preserve"> </w:t>
      </w:r>
      <w:r>
        <w:t>≤</w:t>
      </w:r>
      <w:r>
        <w:rPr>
          <w:spacing w:val="-5"/>
        </w:rPr>
        <w:t xml:space="preserve"> </w:t>
      </w:r>
      <w:r>
        <w:t>1.96,</w:t>
      </w:r>
      <w:r>
        <w:rPr>
          <w:spacing w:val="1"/>
        </w:rPr>
        <w:t xml:space="preserve"> </w:t>
      </w:r>
      <w:r>
        <w:t>all</w:t>
      </w:r>
      <w:r>
        <w:rPr>
          <w:spacing w:val="-2"/>
        </w:rPr>
        <w:t xml:space="preserve"> </w:t>
      </w:r>
      <w:proofErr w:type="spellStart"/>
      <w:r>
        <w:rPr>
          <w:i/>
        </w:rPr>
        <w:t>p</w:t>
      </w:r>
      <w:r>
        <w:t>s</w:t>
      </w:r>
      <w:proofErr w:type="spellEnd"/>
      <w:r>
        <w:rPr>
          <w:spacing w:val="-4"/>
        </w:rPr>
        <w:t xml:space="preserve"> </w:t>
      </w:r>
      <w:r>
        <w:t>≥</w:t>
      </w:r>
      <w:r>
        <w:rPr>
          <w:spacing w:val="-5"/>
        </w:rPr>
        <w:t xml:space="preserve"> </w:t>
      </w:r>
      <w:r>
        <w:t>.17,</w:t>
      </w:r>
      <w:r>
        <w:rPr>
          <w:spacing w:val="1"/>
        </w:rPr>
        <w:t xml:space="preserve"> </w:t>
      </w:r>
      <w:r>
        <w:t>all</w:t>
      </w:r>
      <w:r>
        <w:rPr>
          <w:spacing w:val="-7"/>
        </w:rPr>
        <w:t xml:space="preserve"> </w:t>
      </w:r>
      <w:r>
        <w:rPr>
          <w:rFonts w:ascii="Cambria Math" w:hAnsi="Cambria Math"/>
          <w:w w:val="110"/>
        </w:rPr>
        <w:t>!</w:t>
      </w:r>
      <w:r>
        <w:rPr>
          <w:rFonts w:ascii="Cambria Math" w:hAnsi="Cambria Math"/>
          <w:w w:val="110"/>
          <w:position w:val="9"/>
          <w:sz w:val="17"/>
        </w:rPr>
        <w:t>#</w:t>
      </w:r>
    </w:p>
    <w:p w14:paraId="2AF63716" w14:textId="77777777" w:rsidR="00C75312" w:rsidRDefault="00C75312">
      <w:pPr>
        <w:spacing w:line="444" w:lineRule="auto"/>
        <w:jc w:val="both"/>
        <w:rPr>
          <w:rFonts w:ascii="Cambria Math" w:hAnsi="Cambria Math"/>
          <w:sz w:val="17"/>
        </w:rPr>
        <w:sectPr w:rsidR="00C75312">
          <w:type w:val="continuous"/>
          <w:pgSz w:w="11900" w:h="16840"/>
          <w:pgMar w:top="700" w:right="1200" w:bottom="280" w:left="1300" w:header="720" w:footer="720" w:gutter="0"/>
          <w:cols w:space="720"/>
        </w:sectPr>
      </w:pPr>
    </w:p>
    <w:p w14:paraId="42AC0E53" w14:textId="77777777" w:rsidR="00C75312" w:rsidRDefault="00C75312">
      <w:pPr>
        <w:pStyle w:val="BodyText"/>
        <w:spacing w:before="6"/>
        <w:rPr>
          <w:rFonts w:ascii="Cambria Math"/>
          <w:sz w:val="15"/>
        </w:rPr>
      </w:pPr>
    </w:p>
    <w:p w14:paraId="5DAE5CFE" w14:textId="77777777" w:rsidR="00C75312" w:rsidRDefault="00BB293A">
      <w:pPr>
        <w:pStyle w:val="BodyText"/>
        <w:spacing w:before="89" w:line="472" w:lineRule="auto"/>
        <w:ind w:left="140" w:right="233"/>
        <w:jc w:val="both"/>
      </w:pPr>
      <w:r>
        <w:rPr>
          <w:position w:val="2"/>
        </w:rPr>
        <w:t>≤ .05, all BF</w:t>
      </w:r>
      <w:r>
        <w:rPr>
          <w:position w:val="2"/>
          <w:vertAlign w:val="subscript"/>
        </w:rPr>
        <w:t>10</w:t>
      </w:r>
      <w:r>
        <w:rPr>
          <w:position w:val="2"/>
        </w:rPr>
        <w:t xml:space="preserve"> ≤ 0.77; see Table A3). Neither, the full (BF</w:t>
      </w:r>
      <w:r>
        <w:rPr>
          <w:position w:val="2"/>
          <w:vertAlign w:val="subscript"/>
        </w:rPr>
        <w:t>10</w:t>
      </w:r>
      <w:r>
        <w:rPr>
          <w:position w:val="2"/>
        </w:rPr>
        <w:t xml:space="preserve"> = 0.87) nor the additive (BF</w:t>
      </w:r>
      <w:r>
        <w:rPr>
          <w:position w:val="2"/>
          <w:vertAlign w:val="subscript"/>
        </w:rPr>
        <w:t>10</w:t>
      </w:r>
      <w:r>
        <w:rPr>
          <w:position w:val="2"/>
        </w:rPr>
        <w:t xml:space="preserve"> = </w:t>
      </w:r>
      <w:r>
        <w:t>2.69) model of the Bayesian analysis fitted the data better than the main effect of condition only.</w:t>
      </w:r>
    </w:p>
    <w:p w14:paraId="05326A1F" w14:textId="77777777" w:rsidR="00C75312" w:rsidRDefault="00BB293A">
      <w:pPr>
        <w:pStyle w:val="Heading1"/>
        <w:spacing w:before="126"/>
        <w:jc w:val="both"/>
      </w:pPr>
      <w:r>
        <w:t>PM task</w:t>
      </w:r>
    </w:p>
    <w:p w14:paraId="7A1DE5AC" w14:textId="77777777" w:rsidR="00C75312" w:rsidRDefault="00C75312">
      <w:pPr>
        <w:pStyle w:val="BodyText"/>
        <w:spacing w:before="4"/>
        <w:rPr>
          <w:b/>
          <w:sz w:val="34"/>
        </w:rPr>
      </w:pPr>
    </w:p>
    <w:p w14:paraId="68010373" w14:textId="77777777" w:rsidR="00C75312" w:rsidRDefault="00BB293A">
      <w:pPr>
        <w:pStyle w:val="BodyText"/>
        <w:spacing w:before="1" w:line="480" w:lineRule="auto"/>
        <w:ind w:left="140" w:right="231" w:firstLine="720"/>
        <w:jc w:val="both"/>
      </w:pPr>
      <w:r>
        <w:pict w14:anchorId="153D3937">
          <v:shape id="_x0000_s2107" type="#_x0000_t202" style="position:absolute;left:0;text-align:left;margin-left:457.45pt;margin-top:33.5pt;width:5.3pt;height:9.85pt;z-index:-260468736;mso-position-horizontal-relative:page" filled="f" stroked="f">
            <v:textbox inset="0,0,0,0">
              <w:txbxContent>
                <w:p w14:paraId="08C26CD8"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The</w:t>
      </w:r>
      <w:r>
        <w:rPr>
          <w:spacing w:val="-34"/>
          <w:w w:val="105"/>
        </w:rPr>
        <w:t xml:space="preserve"> </w:t>
      </w:r>
      <w:r>
        <w:rPr>
          <w:w w:val="105"/>
        </w:rPr>
        <w:t>Group</w:t>
      </w:r>
      <w:r>
        <w:rPr>
          <w:spacing w:val="-35"/>
          <w:w w:val="105"/>
        </w:rPr>
        <w:t xml:space="preserve"> </w:t>
      </w:r>
      <w:r>
        <w:rPr>
          <w:w w:val="105"/>
        </w:rPr>
        <w:t>(ASD/NT)</w:t>
      </w:r>
      <w:r>
        <w:rPr>
          <w:spacing w:val="-34"/>
          <w:w w:val="105"/>
        </w:rPr>
        <w:t xml:space="preserve"> </w:t>
      </w:r>
      <w:r>
        <w:rPr>
          <w:w w:val="105"/>
        </w:rPr>
        <w:t>×</w:t>
      </w:r>
      <w:r>
        <w:rPr>
          <w:spacing w:val="-36"/>
          <w:w w:val="105"/>
        </w:rPr>
        <w:t xml:space="preserve"> </w:t>
      </w:r>
      <w:r>
        <w:rPr>
          <w:w w:val="105"/>
        </w:rPr>
        <w:t>Condition</w:t>
      </w:r>
      <w:r>
        <w:rPr>
          <w:spacing w:val="-35"/>
          <w:w w:val="105"/>
        </w:rPr>
        <w:t xml:space="preserve"> </w:t>
      </w:r>
      <w:r>
        <w:rPr>
          <w:w w:val="105"/>
        </w:rPr>
        <w:t>(PM</w:t>
      </w:r>
      <w:r>
        <w:rPr>
          <w:spacing w:val="-34"/>
          <w:w w:val="105"/>
        </w:rPr>
        <w:t xml:space="preserve"> </w:t>
      </w:r>
      <w:r>
        <w:rPr>
          <w:w w:val="105"/>
        </w:rPr>
        <w:t>low/high</w:t>
      </w:r>
      <w:r>
        <w:rPr>
          <w:spacing w:val="-35"/>
          <w:w w:val="105"/>
        </w:rPr>
        <w:t xml:space="preserve"> </w:t>
      </w:r>
      <w:r>
        <w:rPr>
          <w:w w:val="105"/>
        </w:rPr>
        <w:t>importance)</w:t>
      </w:r>
      <w:r>
        <w:rPr>
          <w:spacing w:val="-33"/>
          <w:w w:val="105"/>
        </w:rPr>
        <w:t xml:space="preserve"> </w:t>
      </w:r>
      <w:r>
        <w:rPr>
          <w:w w:val="105"/>
        </w:rPr>
        <w:t>mixed</w:t>
      </w:r>
      <w:r>
        <w:rPr>
          <w:spacing w:val="-32"/>
          <w:w w:val="105"/>
        </w:rPr>
        <w:t xml:space="preserve"> </w:t>
      </w:r>
      <w:r>
        <w:rPr>
          <w:w w:val="105"/>
        </w:rPr>
        <w:t>ANOVA</w:t>
      </w:r>
      <w:r>
        <w:rPr>
          <w:spacing w:val="-34"/>
          <w:w w:val="105"/>
        </w:rPr>
        <w:t xml:space="preserve"> </w:t>
      </w:r>
      <w:r>
        <w:rPr>
          <w:w w:val="105"/>
        </w:rPr>
        <w:t>on</w:t>
      </w:r>
      <w:r>
        <w:rPr>
          <w:spacing w:val="-35"/>
          <w:w w:val="105"/>
        </w:rPr>
        <w:t xml:space="preserve"> </w:t>
      </w:r>
      <w:r>
        <w:rPr>
          <w:w w:val="105"/>
        </w:rPr>
        <w:t xml:space="preserve">PM </w:t>
      </w:r>
      <w:r>
        <w:rPr>
          <w:position w:val="2"/>
        </w:rPr>
        <w:t>p</w:t>
      </w:r>
      <w:r>
        <w:rPr>
          <w:spacing w:val="1"/>
          <w:position w:val="2"/>
        </w:rPr>
        <w:t>r</w:t>
      </w:r>
      <w:r>
        <w:rPr>
          <w:position w:val="2"/>
        </w:rPr>
        <w:t>opo</w:t>
      </w:r>
      <w:r>
        <w:rPr>
          <w:spacing w:val="1"/>
          <w:position w:val="2"/>
        </w:rPr>
        <w:t>r</w:t>
      </w:r>
      <w:r>
        <w:rPr>
          <w:position w:val="2"/>
        </w:rPr>
        <w:t>tion</w:t>
      </w:r>
      <w:r>
        <w:rPr>
          <w:spacing w:val="7"/>
          <w:position w:val="2"/>
        </w:rPr>
        <w:t xml:space="preserve"> </w:t>
      </w:r>
      <w:r>
        <w:rPr>
          <w:position w:val="2"/>
        </w:rPr>
        <w:t>hit</w:t>
      </w:r>
      <w:r>
        <w:rPr>
          <w:spacing w:val="2"/>
          <w:position w:val="2"/>
        </w:rPr>
        <w:t xml:space="preserve"> </w:t>
      </w:r>
      <w:r>
        <w:rPr>
          <w:spacing w:val="-3"/>
          <w:position w:val="2"/>
        </w:rPr>
        <w:t>s</w:t>
      </w:r>
      <w:r>
        <w:rPr>
          <w:spacing w:val="-1"/>
          <w:position w:val="2"/>
        </w:rPr>
        <w:t>c</w:t>
      </w:r>
      <w:r>
        <w:rPr>
          <w:position w:val="2"/>
        </w:rPr>
        <w:t>o</w:t>
      </w:r>
      <w:r>
        <w:rPr>
          <w:spacing w:val="1"/>
          <w:position w:val="2"/>
        </w:rPr>
        <w:t>r</w:t>
      </w:r>
      <w:r>
        <w:rPr>
          <w:spacing w:val="-1"/>
          <w:position w:val="2"/>
        </w:rPr>
        <w:t>e</w:t>
      </w:r>
      <w:r>
        <w:rPr>
          <w:position w:val="2"/>
        </w:rPr>
        <w:t>s</w:t>
      </w:r>
      <w:r>
        <w:rPr>
          <w:spacing w:val="5"/>
          <w:position w:val="2"/>
        </w:rPr>
        <w:t xml:space="preserve"> </w:t>
      </w:r>
      <w:r>
        <w:rPr>
          <w:spacing w:val="1"/>
          <w:position w:val="2"/>
        </w:rPr>
        <w:t>r</w:t>
      </w:r>
      <w:r>
        <w:rPr>
          <w:spacing w:val="-1"/>
          <w:position w:val="2"/>
        </w:rPr>
        <w:t>e</w:t>
      </w:r>
      <w:r>
        <w:rPr>
          <w:position w:val="2"/>
        </w:rPr>
        <w:t>v</w:t>
      </w:r>
      <w:r>
        <w:rPr>
          <w:spacing w:val="-1"/>
          <w:position w:val="2"/>
        </w:rPr>
        <w:t>ea</w:t>
      </w:r>
      <w:r>
        <w:rPr>
          <w:position w:val="2"/>
        </w:rPr>
        <w:t>l</w:t>
      </w:r>
      <w:r>
        <w:rPr>
          <w:spacing w:val="-1"/>
          <w:position w:val="2"/>
        </w:rPr>
        <w:t>e</w:t>
      </w:r>
      <w:r>
        <w:rPr>
          <w:position w:val="2"/>
        </w:rPr>
        <w:t>d</w:t>
      </w:r>
      <w:r>
        <w:rPr>
          <w:spacing w:val="7"/>
          <w:position w:val="2"/>
        </w:rPr>
        <w:t xml:space="preserve"> </w:t>
      </w:r>
      <w:r>
        <w:rPr>
          <w:position w:val="2"/>
        </w:rPr>
        <w:t>a</w:t>
      </w:r>
      <w:r>
        <w:rPr>
          <w:spacing w:val="6"/>
          <w:position w:val="2"/>
        </w:rPr>
        <w:t xml:space="preserve"> </w:t>
      </w:r>
      <w:r>
        <w:rPr>
          <w:position w:val="2"/>
        </w:rPr>
        <w:t>m</w:t>
      </w:r>
      <w:r>
        <w:rPr>
          <w:spacing w:val="-1"/>
          <w:position w:val="2"/>
        </w:rPr>
        <w:t>a</w:t>
      </w:r>
      <w:r>
        <w:rPr>
          <w:position w:val="2"/>
        </w:rPr>
        <w:t>in</w:t>
      </w:r>
      <w:r>
        <w:rPr>
          <w:spacing w:val="7"/>
          <w:position w:val="2"/>
        </w:rPr>
        <w:t xml:space="preserve"> </w:t>
      </w:r>
      <w:r>
        <w:rPr>
          <w:spacing w:val="-1"/>
          <w:position w:val="2"/>
        </w:rPr>
        <w:t>e</w:t>
      </w:r>
      <w:r>
        <w:rPr>
          <w:spacing w:val="1"/>
          <w:position w:val="2"/>
        </w:rPr>
        <w:t>ff</w:t>
      </w:r>
      <w:r>
        <w:rPr>
          <w:spacing w:val="-1"/>
          <w:position w:val="2"/>
        </w:rPr>
        <w:t>ec</w:t>
      </w:r>
      <w:r>
        <w:rPr>
          <w:position w:val="2"/>
        </w:rPr>
        <w:t>t</w:t>
      </w:r>
      <w:r>
        <w:rPr>
          <w:spacing w:val="7"/>
          <w:position w:val="2"/>
        </w:rPr>
        <w:t xml:space="preserve"> </w:t>
      </w:r>
      <w:r>
        <w:rPr>
          <w:position w:val="2"/>
        </w:rPr>
        <w:t>of</w:t>
      </w:r>
      <w:r>
        <w:rPr>
          <w:spacing w:val="8"/>
          <w:position w:val="2"/>
        </w:rPr>
        <w:t xml:space="preserve"> </w:t>
      </w:r>
      <w:r>
        <w:rPr>
          <w:position w:val="2"/>
        </w:rPr>
        <w:t>g</w:t>
      </w:r>
      <w:r>
        <w:rPr>
          <w:spacing w:val="1"/>
          <w:position w:val="2"/>
        </w:rPr>
        <w:t>r</w:t>
      </w:r>
      <w:r>
        <w:rPr>
          <w:spacing w:val="-5"/>
          <w:position w:val="2"/>
        </w:rPr>
        <w:t>o</w:t>
      </w:r>
      <w:r>
        <w:rPr>
          <w:position w:val="2"/>
        </w:rPr>
        <w:t>up,</w:t>
      </w:r>
      <w:r>
        <w:rPr>
          <w:spacing w:val="9"/>
          <w:position w:val="2"/>
        </w:rPr>
        <w:t xml:space="preserve"> </w:t>
      </w:r>
      <w:r>
        <w:rPr>
          <w:i/>
          <w:spacing w:val="-3"/>
          <w:position w:val="2"/>
        </w:rPr>
        <w:t>F</w:t>
      </w:r>
      <w:r>
        <w:rPr>
          <w:spacing w:val="1"/>
          <w:position w:val="2"/>
        </w:rPr>
        <w:t>(</w:t>
      </w:r>
      <w:r>
        <w:rPr>
          <w:position w:val="2"/>
        </w:rPr>
        <w:t>1</w:t>
      </w:r>
      <w:r>
        <w:rPr>
          <w:spacing w:val="2"/>
          <w:position w:val="2"/>
        </w:rPr>
        <w:t>,</w:t>
      </w:r>
      <w:r>
        <w:rPr>
          <w:position w:val="2"/>
        </w:rPr>
        <w:t>36)</w:t>
      </w:r>
      <w:r>
        <w:rPr>
          <w:spacing w:val="4"/>
          <w:position w:val="2"/>
        </w:rPr>
        <w:t xml:space="preserve"> </w:t>
      </w:r>
      <w:r>
        <w:rPr>
          <w:position w:val="2"/>
        </w:rPr>
        <w:t>=</w:t>
      </w:r>
      <w:r>
        <w:rPr>
          <w:spacing w:val="6"/>
          <w:position w:val="2"/>
        </w:rPr>
        <w:t xml:space="preserve"> </w:t>
      </w:r>
      <w:r>
        <w:rPr>
          <w:position w:val="2"/>
        </w:rPr>
        <w:t>7</w:t>
      </w:r>
      <w:r>
        <w:rPr>
          <w:spacing w:val="2"/>
          <w:position w:val="2"/>
        </w:rPr>
        <w:t>.</w:t>
      </w:r>
      <w:r>
        <w:rPr>
          <w:position w:val="2"/>
        </w:rPr>
        <w:t>3</w:t>
      </w:r>
      <w:r>
        <w:rPr>
          <w:spacing w:val="-5"/>
          <w:position w:val="2"/>
        </w:rPr>
        <w:t>5</w:t>
      </w:r>
      <w:r>
        <w:rPr>
          <w:position w:val="2"/>
        </w:rPr>
        <w:t>,</w:t>
      </w:r>
      <w:r>
        <w:rPr>
          <w:spacing w:val="9"/>
          <w:position w:val="2"/>
        </w:rPr>
        <w:t xml:space="preserve"> </w:t>
      </w:r>
      <w:r>
        <w:rPr>
          <w:i/>
          <w:position w:val="2"/>
        </w:rPr>
        <w:t>p</w:t>
      </w:r>
      <w:r>
        <w:rPr>
          <w:i/>
          <w:spacing w:val="7"/>
          <w:position w:val="2"/>
        </w:rPr>
        <w:t xml:space="preserve"> </w:t>
      </w:r>
      <w:r>
        <w:rPr>
          <w:position w:val="2"/>
        </w:rPr>
        <w:t>=</w:t>
      </w:r>
      <w:r>
        <w:rPr>
          <w:spacing w:val="6"/>
          <w:position w:val="2"/>
        </w:rPr>
        <w:t xml:space="preserve"> </w:t>
      </w:r>
      <w:r>
        <w:rPr>
          <w:spacing w:val="2"/>
          <w:position w:val="2"/>
        </w:rPr>
        <w:t>.</w:t>
      </w:r>
      <w:r>
        <w:rPr>
          <w:position w:val="2"/>
        </w:rPr>
        <w:t>0</w:t>
      </w:r>
      <w:r>
        <w:rPr>
          <w:spacing w:val="-5"/>
          <w:position w:val="2"/>
        </w:rPr>
        <w:t>1</w:t>
      </w:r>
      <w:r>
        <w:rPr>
          <w:position w:val="2"/>
        </w:rPr>
        <w:t>,</w:t>
      </w:r>
      <w:r>
        <w:rPr>
          <w:spacing w:val="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2"/>
          <w:position w:val="2"/>
        </w:rPr>
        <w:t xml:space="preserve"> </w:t>
      </w:r>
      <w:r>
        <w:rPr>
          <w:position w:val="2"/>
        </w:rPr>
        <w:t>=</w:t>
      </w:r>
      <w:r>
        <w:rPr>
          <w:spacing w:val="6"/>
          <w:position w:val="2"/>
        </w:rPr>
        <w:t xml:space="preserve"> </w:t>
      </w:r>
      <w:r>
        <w:rPr>
          <w:spacing w:val="2"/>
          <w:position w:val="2"/>
        </w:rPr>
        <w:t>.</w:t>
      </w:r>
      <w:r>
        <w:rPr>
          <w:position w:val="2"/>
        </w:rPr>
        <w:t>17,</w:t>
      </w:r>
      <w:r>
        <w:rPr>
          <w:spacing w:val="9"/>
          <w:position w:val="2"/>
        </w:rPr>
        <w:t xml:space="preserve"> </w:t>
      </w:r>
      <w:r>
        <w:rPr>
          <w:spacing w:val="-2"/>
          <w:position w:val="2"/>
        </w:rPr>
        <w:t>B</w:t>
      </w:r>
      <w:r>
        <w:rPr>
          <w:spacing w:val="-4"/>
          <w:position w:val="2"/>
        </w:rPr>
        <w:t>F</w:t>
      </w:r>
      <w:r>
        <w:rPr>
          <w:spacing w:val="2"/>
          <w:w w:val="97"/>
          <w:position w:val="2"/>
          <w:vertAlign w:val="subscript"/>
        </w:rPr>
        <w:t>10</w:t>
      </w:r>
    </w:p>
    <w:p w14:paraId="09EE384F" w14:textId="77777777" w:rsidR="00C75312" w:rsidRDefault="00BB293A">
      <w:pPr>
        <w:pStyle w:val="BodyText"/>
        <w:spacing w:before="12" w:line="482" w:lineRule="auto"/>
        <w:ind w:left="140" w:right="233"/>
        <w:jc w:val="both"/>
      </w:pPr>
      <w:r>
        <w:pict w14:anchorId="68C8BC42">
          <v:shape id="_x0000_s2106" type="#_x0000_t202" style="position:absolute;left:0;text-align:left;margin-left:255.35pt;margin-top:34.05pt;width:5.3pt;height:9.85pt;z-index:-260467712;mso-position-horizontal-relative:page" filled="f" stroked="f">
            <v:textbox inset="0,0,0,0">
              <w:txbxContent>
                <w:p w14:paraId="2AA6E102"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77EB228A">
          <v:shape id="_x0000_s2105" type="#_x0000_t202" style="position:absolute;left:0;text-align:left;margin-left:350.15pt;margin-top:91.2pt;width:5.3pt;height:9.85pt;z-index:-260466688;mso-position-horizontal-relative:page" filled="f" stroked="f">
            <v:textbox inset="0,0,0,0">
              <w:txbxContent>
                <w:p w14:paraId="7104B69D"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1298FDEC">
          <v:shape id="_x0000_s2104" type="#_x0000_t202" style="position:absolute;left:0;text-align:left;margin-left:364.1pt;margin-top:203.75pt;width:5.3pt;height:9.85pt;z-index:-260465664;mso-position-horizontal-relative:page" filled="f" stroked="f">
            <v:textbox inset="0,0,0,0">
              <w:txbxContent>
                <w:p w14:paraId="646D4738"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=4.64,</w:t>
      </w:r>
      <w:r>
        <w:rPr>
          <w:spacing w:val="-26"/>
          <w:w w:val="105"/>
        </w:rPr>
        <w:t xml:space="preserve"> </w:t>
      </w:r>
      <w:r>
        <w:rPr>
          <w:w w:val="105"/>
        </w:rPr>
        <w:t>with</w:t>
      </w:r>
      <w:r>
        <w:rPr>
          <w:spacing w:val="-26"/>
          <w:w w:val="105"/>
        </w:rPr>
        <w:t xml:space="preserve"> </w:t>
      </w:r>
      <w:r>
        <w:rPr>
          <w:w w:val="105"/>
        </w:rPr>
        <w:t>the</w:t>
      </w:r>
      <w:r>
        <w:rPr>
          <w:spacing w:val="-27"/>
          <w:w w:val="105"/>
        </w:rPr>
        <w:t xml:space="preserve"> </w:t>
      </w:r>
      <w:r>
        <w:rPr>
          <w:w w:val="105"/>
        </w:rPr>
        <w:t>ASD</w:t>
      </w:r>
      <w:r>
        <w:rPr>
          <w:spacing w:val="-27"/>
          <w:w w:val="105"/>
        </w:rPr>
        <w:t xml:space="preserve"> </w:t>
      </w:r>
      <w:r>
        <w:rPr>
          <w:w w:val="105"/>
        </w:rPr>
        <w:t>group</w:t>
      </w:r>
      <w:r>
        <w:rPr>
          <w:spacing w:val="-27"/>
          <w:w w:val="105"/>
        </w:rPr>
        <w:t xml:space="preserve"> </w:t>
      </w:r>
      <w:r>
        <w:rPr>
          <w:w w:val="105"/>
        </w:rPr>
        <w:t>performing</w:t>
      </w:r>
      <w:r>
        <w:rPr>
          <w:spacing w:val="-26"/>
          <w:w w:val="105"/>
        </w:rPr>
        <w:t xml:space="preserve"> </w:t>
      </w:r>
      <w:r>
        <w:rPr>
          <w:w w:val="105"/>
        </w:rPr>
        <w:t>worse</w:t>
      </w:r>
      <w:r>
        <w:rPr>
          <w:spacing w:val="-27"/>
          <w:w w:val="105"/>
        </w:rPr>
        <w:t xml:space="preserve"> </w:t>
      </w:r>
      <w:r>
        <w:rPr>
          <w:w w:val="105"/>
        </w:rPr>
        <w:t>overall</w:t>
      </w:r>
      <w:r>
        <w:rPr>
          <w:spacing w:val="-24"/>
          <w:w w:val="105"/>
        </w:rPr>
        <w:t xml:space="preserve"> </w:t>
      </w:r>
      <w:r>
        <w:rPr>
          <w:w w:val="105"/>
        </w:rPr>
        <w:t>than</w:t>
      </w:r>
      <w:r>
        <w:rPr>
          <w:spacing w:val="-26"/>
          <w:w w:val="105"/>
        </w:rPr>
        <w:t xml:space="preserve"> </w:t>
      </w:r>
      <w:r>
        <w:rPr>
          <w:w w:val="105"/>
        </w:rPr>
        <w:t>the</w:t>
      </w:r>
      <w:r>
        <w:rPr>
          <w:spacing w:val="-27"/>
          <w:w w:val="105"/>
        </w:rPr>
        <w:t xml:space="preserve"> </w:t>
      </w:r>
      <w:r>
        <w:rPr>
          <w:w w:val="105"/>
        </w:rPr>
        <w:t>NT</w:t>
      </w:r>
      <w:r>
        <w:rPr>
          <w:spacing w:val="-25"/>
          <w:w w:val="105"/>
        </w:rPr>
        <w:t xml:space="preserve"> </w:t>
      </w:r>
      <w:r>
        <w:rPr>
          <w:w w:val="105"/>
        </w:rPr>
        <w:t>group,</w:t>
      </w:r>
      <w:r>
        <w:rPr>
          <w:spacing w:val="-26"/>
          <w:w w:val="105"/>
        </w:rPr>
        <w:t xml:space="preserve"> </w:t>
      </w:r>
      <w:r>
        <w:rPr>
          <w:w w:val="105"/>
        </w:rPr>
        <w:t>and</w:t>
      </w:r>
      <w:r>
        <w:rPr>
          <w:spacing w:val="-26"/>
          <w:w w:val="105"/>
        </w:rPr>
        <w:t xml:space="preserve"> </w:t>
      </w:r>
      <w:r>
        <w:rPr>
          <w:w w:val="105"/>
        </w:rPr>
        <w:t>a</w:t>
      </w:r>
      <w:r>
        <w:rPr>
          <w:spacing w:val="-27"/>
          <w:w w:val="105"/>
        </w:rPr>
        <w:t xml:space="preserve"> </w:t>
      </w:r>
      <w:r>
        <w:rPr>
          <w:w w:val="105"/>
        </w:rPr>
        <w:t>main</w:t>
      </w:r>
      <w:r>
        <w:rPr>
          <w:spacing w:val="-27"/>
          <w:w w:val="105"/>
        </w:rPr>
        <w:t xml:space="preserve"> </w:t>
      </w:r>
      <w:r>
        <w:rPr>
          <w:w w:val="105"/>
        </w:rPr>
        <w:t>effect</w:t>
      </w:r>
      <w:r>
        <w:rPr>
          <w:spacing w:val="-26"/>
          <w:w w:val="105"/>
        </w:rPr>
        <w:t xml:space="preserve"> </w:t>
      </w:r>
      <w:r>
        <w:rPr>
          <w:w w:val="105"/>
        </w:rPr>
        <w:t xml:space="preserve">of </w:t>
      </w:r>
      <w:r>
        <w:rPr>
          <w:spacing w:val="-1"/>
          <w:position w:val="2"/>
        </w:rPr>
        <w:t>c</w:t>
      </w:r>
      <w:r>
        <w:rPr>
          <w:position w:val="2"/>
        </w:rPr>
        <w:t>ondition,</w:t>
      </w:r>
      <w:r>
        <w:rPr>
          <w:spacing w:val="-5"/>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36)</w:t>
      </w:r>
      <w:r>
        <w:rPr>
          <w:spacing w:val="-6"/>
          <w:position w:val="2"/>
        </w:rPr>
        <w:t xml:space="preserve"> </w:t>
      </w:r>
      <w:r>
        <w:rPr>
          <w:position w:val="2"/>
        </w:rPr>
        <w:t>=</w:t>
      </w:r>
      <w:r>
        <w:rPr>
          <w:spacing w:val="-9"/>
          <w:position w:val="2"/>
        </w:rPr>
        <w:t xml:space="preserve"> </w:t>
      </w:r>
      <w:r>
        <w:rPr>
          <w:position w:val="2"/>
        </w:rPr>
        <w:t>12</w:t>
      </w:r>
      <w:r>
        <w:rPr>
          <w:spacing w:val="2"/>
          <w:position w:val="2"/>
        </w:rPr>
        <w:t>.</w:t>
      </w:r>
      <w:r>
        <w:rPr>
          <w:position w:val="2"/>
        </w:rPr>
        <w:t>8</w:t>
      </w:r>
      <w:r>
        <w:rPr>
          <w:spacing w:val="-5"/>
          <w:position w:val="2"/>
        </w:rPr>
        <w:t>3</w:t>
      </w:r>
      <w:r>
        <w:rPr>
          <w:position w:val="2"/>
        </w:rPr>
        <w:t xml:space="preserve">, </w:t>
      </w:r>
      <w:r>
        <w:rPr>
          <w:i/>
          <w:position w:val="2"/>
        </w:rPr>
        <w:t>p</w:t>
      </w:r>
      <w:r>
        <w:rPr>
          <w:i/>
          <w:spacing w:val="-8"/>
          <w:position w:val="2"/>
        </w:rPr>
        <w:t xml:space="preserve"> </w:t>
      </w:r>
      <w:r>
        <w:rPr>
          <w:position w:val="2"/>
        </w:rPr>
        <w:t>=</w:t>
      </w:r>
      <w:r>
        <w:rPr>
          <w:spacing w:val="-9"/>
          <w:position w:val="2"/>
        </w:rPr>
        <w:t xml:space="preserve"> </w:t>
      </w:r>
      <w:r>
        <w:rPr>
          <w:spacing w:val="2"/>
          <w:position w:val="2"/>
        </w:rPr>
        <w:t>.</w:t>
      </w:r>
      <w:r>
        <w:rPr>
          <w:position w:val="2"/>
        </w:rPr>
        <w:t>00</w:t>
      </w:r>
      <w:r>
        <w:rPr>
          <w:spacing w:val="-5"/>
          <w:position w:val="2"/>
        </w:rPr>
        <w:t>1</w:t>
      </w:r>
      <w:r>
        <w:rPr>
          <w:position w:val="2"/>
        </w:rPr>
        <w:t>,</w:t>
      </w:r>
      <w:r>
        <w:rPr>
          <w:spacing w:val="-5"/>
          <w:position w:val="2"/>
        </w:rPr>
        <w:t xml:space="preserve"> </w:t>
      </w:r>
      <w:r>
        <w:rPr>
          <w:rFonts w:ascii="Cambria Math"/>
          <w:spacing w:val="3"/>
          <w:w w:val="183"/>
          <w:position w:val="2"/>
        </w:rPr>
        <w:t>!</w:t>
      </w:r>
      <w:r>
        <w:rPr>
          <w:rFonts w:ascii="Cambria Math"/>
          <w:w w:val="85"/>
          <w:position w:val="2"/>
          <w:vertAlign w:val="superscript"/>
        </w:rPr>
        <w:t>#</w:t>
      </w:r>
      <w:r>
        <w:rPr>
          <w:rFonts w:ascii="Cambria Math"/>
          <w:spacing w:val="22"/>
          <w:position w:val="2"/>
        </w:rPr>
        <w:t xml:space="preserve"> </w:t>
      </w:r>
      <w:r>
        <w:rPr>
          <w:position w:val="2"/>
        </w:rPr>
        <w:t>=</w:t>
      </w:r>
      <w:r>
        <w:rPr>
          <w:spacing w:val="-9"/>
          <w:position w:val="2"/>
        </w:rPr>
        <w:t xml:space="preserve"> </w:t>
      </w:r>
      <w:r>
        <w:rPr>
          <w:spacing w:val="2"/>
          <w:position w:val="2"/>
        </w:rPr>
        <w:t>.</w:t>
      </w:r>
      <w:r>
        <w:rPr>
          <w:position w:val="2"/>
        </w:rPr>
        <w:t>2</w:t>
      </w:r>
      <w:r>
        <w:rPr>
          <w:spacing w:val="-5"/>
          <w:position w:val="2"/>
        </w:rPr>
        <w:t>6</w:t>
      </w:r>
      <w:r>
        <w:rPr>
          <w:position w:val="2"/>
        </w:rPr>
        <w:t>,</w:t>
      </w:r>
      <w:r>
        <w:rPr>
          <w:spacing w:val="-5"/>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5"/>
          <w:position w:val="2"/>
        </w:rPr>
        <w:t xml:space="preserve"> </w:t>
      </w:r>
      <w:r>
        <w:rPr>
          <w:position w:val="2"/>
        </w:rPr>
        <w:t>=</w:t>
      </w:r>
      <w:r>
        <w:rPr>
          <w:spacing w:val="-13"/>
          <w:position w:val="2"/>
        </w:rPr>
        <w:t xml:space="preserve"> </w:t>
      </w:r>
      <w:r>
        <w:rPr>
          <w:position w:val="2"/>
        </w:rPr>
        <w:t>20</w:t>
      </w:r>
      <w:r>
        <w:rPr>
          <w:spacing w:val="2"/>
          <w:position w:val="2"/>
        </w:rPr>
        <w:t>.</w:t>
      </w:r>
      <w:r>
        <w:rPr>
          <w:position w:val="2"/>
        </w:rPr>
        <w:t>25,</w:t>
      </w:r>
      <w:r>
        <w:rPr>
          <w:spacing w:val="-5"/>
          <w:position w:val="2"/>
        </w:rPr>
        <w:t xml:space="preserve"> </w:t>
      </w:r>
      <w:r>
        <w:rPr>
          <w:position w:val="2"/>
        </w:rPr>
        <w:t>indi</w:t>
      </w:r>
      <w:r>
        <w:rPr>
          <w:spacing w:val="-1"/>
          <w:position w:val="2"/>
        </w:rPr>
        <w:t>ca</w:t>
      </w:r>
      <w:r>
        <w:rPr>
          <w:position w:val="2"/>
        </w:rPr>
        <w:t>ting</w:t>
      </w:r>
      <w:r>
        <w:rPr>
          <w:spacing w:val="-8"/>
          <w:position w:val="2"/>
        </w:rPr>
        <w:t xml:space="preserve"> </w:t>
      </w:r>
      <w:r>
        <w:rPr>
          <w:position w:val="2"/>
        </w:rPr>
        <w:t>b</w:t>
      </w:r>
      <w:r>
        <w:rPr>
          <w:spacing w:val="-1"/>
          <w:position w:val="2"/>
        </w:rPr>
        <w:t>e</w:t>
      </w:r>
      <w:r>
        <w:rPr>
          <w:position w:val="2"/>
        </w:rPr>
        <w:t>tt</w:t>
      </w:r>
      <w:r>
        <w:rPr>
          <w:spacing w:val="-1"/>
          <w:position w:val="2"/>
        </w:rPr>
        <w:t>e</w:t>
      </w:r>
      <w:r>
        <w:rPr>
          <w:position w:val="2"/>
        </w:rPr>
        <w:t>r</w:t>
      </w:r>
      <w:r>
        <w:rPr>
          <w:spacing w:val="-6"/>
          <w:position w:val="2"/>
        </w:rPr>
        <w:t xml:space="preserve"> </w:t>
      </w:r>
      <w:r>
        <w:rPr>
          <w:position w:val="2"/>
        </w:rPr>
        <w:t>PM</w:t>
      </w:r>
      <w:r>
        <w:rPr>
          <w:spacing w:val="-5"/>
          <w:position w:val="2"/>
        </w:rPr>
        <w:t xml:space="preserve"> </w:t>
      </w:r>
      <w:r>
        <w:rPr>
          <w:position w:val="2"/>
        </w:rPr>
        <w:t>p</w:t>
      </w:r>
      <w:r>
        <w:rPr>
          <w:spacing w:val="-1"/>
          <w:position w:val="2"/>
        </w:rPr>
        <w:t>e</w:t>
      </w:r>
      <w:r>
        <w:rPr>
          <w:spacing w:val="-4"/>
          <w:position w:val="2"/>
        </w:rPr>
        <w:t>r</w:t>
      </w:r>
      <w:r>
        <w:rPr>
          <w:spacing w:val="1"/>
          <w:position w:val="2"/>
        </w:rPr>
        <w:t>f</w:t>
      </w:r>
      <w:r>
        <w:rPr>
          <w:position w:val="2"/>
        </w:rPr>
        <w:t>o</w:t>
      </w:r>
      <w:r>
        <w:rPr>
          <w:spacing w:val="1"/>
          <w:position w:val="2"/>
        </w:rPr>
        <w:t>r</w:t>
      </w:r>
      <w:r>
        <w:rPr>
          <w:position w:val="2"/>
        </w:rPr>
        <w:t>m</w:t>
      </w:r>
      <w:r>
        <w:rPr>
          <w:spacing w:val="-1"/>
          <w:position w:val="2"/>
        </w:rPr>
        <w:t>a</w:t>
      </w:r>
      <w:r>
        <w:rPr>
          <w:position w:val="2"/>
        </w:rPr>
        <w:t>n</w:t>
      </w:r>
      <w:r>
        <w:rPr>
          <w:spacing w:val="-1"/>
          <w:position w:val="2"/>
        </w:rPr>
        <w:t>c</w:t>
      </w:r>
      <w:r>
        <w:rPr>
          <w:position w:val="2"/>
        </w:rPr>
        <w:t xml:space="preserve">e </w:t>
      </w:r>
      <w:r>
        <w:rPr>
          <w:w w:val="105"/>
        </w:rPr>
        <w:t>in</w:t>
      </w:r>
      <w:r>
        <w:rPr>
          <w:spacing w:val="-42"/>
          <w:w w:val="105"/>
        </w:rPr>
        <w:t xml:space="preserve"> </w:t>
      </w:r>
      <w:r>
        <w:rPr>
          <w:w w:val="105"/>
        </w:rPr>
        <w:t>the</w:t>
      </w:r>
      <w:r>
        <w:rPr>
          <w:spacing w:val="-42"/>
          <w:w w:val="105"/>
        </w:rPr>
        <w:t xml:space="preserve"> </w:t>
      </w:r>
      <w:r>
        <w:rPr>
          <w:w w:val="105"/>
        </w:rPr>
        <w:t>PM</w:t>
      </w:r>
      <w:r>
        <w:rPr>
          <w:spacing w:val="-42"/>
          <w:w w:val="105"/>
        </w:rPr>
        <w:t xml:space="preserve"> </w:t>
      </w:r>
      <w:r>
        <w:rPr>
          <w:w w:val="105"/>
        </w:rPr>
        <w:t>high</w:t>
      </w:r>
      <w:r>
        <w:rPr>
          <w:spacing w:val="-42"/>
          <w:w w:val="105"/>
        </w:rPr>
        <w:t xml:space="preserve"> </w:t>
      </w:r>
      <w:r>
        <w:rPr>
          <w:w w:val="105"/>
        </w:rPr>
        <w:t>importance</w:t>
      </w:r>
      <w:r>
        <w:rPr>
          <w:spacing w:val="-42"/>
          <w:w w:val="105"/>
        </w:rPr>
        <w:t xml:space="preserve"> </w:t>
      </w:r>
      <w:r>
        <w:rPr>
          <w:w w:val="105"/>
        </w:rPr>
        <w:t>condition.</w:t>
      </w:r>
      <w:r>
        <w:rPr>
          <w:spacing w:val="-22"/>
          <w:w w:val="105"/>
        </w:rPr>
        <w:t xml:space="preserve"> </w:t>
      </w:r>
      <w:r>
        <w:rPr>
          <w:w w:val="105"/>
        </w:rPr>
        <w:t>Importantly,</w:t>
      </w:r>
      <w:r>
        <w:rPr>
          <w:spacing w:val="-43"/>
          <w:w w:val="105"/>
        </w:rPr>
        <w:t xml:space="preserve"> </w:t>
      </w:r>
      <w:r>
        <w:rPr>
          <w:w w:val="105"/>
        </w:rPr>
        <w:t>these</w:t>
      </w:r>
      <w:r>
        <w:rPr>
          <w:spacing w:val="-42"/>
          <w:w w:val="105"/>
        </w:rPr>
        <w:t xml:space="preserve"> </w:t>
      </w:r>
      <w:r>
        <w:rPr>
          <w:w w:val="105"/>
        </w:rPr>
        <w:t>effects</w:t>
      </w:r>
      <w:r>
        <w:rPr>
          <w:spacing w:val="-42"/>
          <w:w w:val="105"/>
        </w:rPr>
        <w:t xml:space="preserve"> </w:t>
      </w:r>
      <w:r>
        <w:rPr>
          <w:w w:val="105"/>
        </w:rPr>
        <w:t>were</w:t>
      </w:r>
      <w:r>
        <w:rPr>
          <w:spacing w:val="-42"/>
          <w:w w:val="105"/>
        </w:rPr>
        <w:t xml:space="preserve"> </w:t>
      </w:r>
      <w:r>
        <w:rPr>
          <w:w w:val="105"/>
        </w:rPr>
        <w:t>qualified</w:t>
      </w:r>
      <w:r>
        <w:rPr>
          <w:spacing w:val="-41"/>
          <w:w w:val="105"/>
        </w:rPr>
        <w:t xml:space="preserve"> </w:t>
      </w:r>
      <w:r>
        <w:rPr>
          <w:w w:val="105"/>
        </w:rPr>
        <w:t>by</w:t>
      </w:r>
      <w:r>
        <w:rPr>
          <w:spacing w:val="-42"/>
          <w:w w:val="105"/>
        </w:rPr>
        <w:t xml:space="preserve"> </w:t>
      </w:r>
      <w:r>
        <w:rPr>
          <w:w w:val="105"/>
        </w:rPr>
        <w:t>a</w:t>
      </w:r>
      <w:r>
        <w:rPr>
          <w:spacing w:val="-41"/>
          <w:w w:val="105"/>
        </w:rPr>
        <w:t xml:space="preserve"> </w:t>
      </w:r>
      <w:r>
        <w:rPr>
          <w:w w:val="105"/>
        </w:rPr>
        <w:t xml:space="preserve">significant </w:t>
      </w:r>
      <w:r>
        <w:rPr>
          <w:position w:val="2"/>
        </w:rPr>
        <w:t>g</w:t>
      </w:r>
      <w:r>
        <w:rPr>
          <w:spacing w:val="1"/>
          <w:position w:val="2"/>
        </w:rPr>
        <w:t>r</w:t>
      </w:r>
      <w:r>
        <w:rPr>
          <w:position w:val="2"/>
        </w:rPr>
        <w:t>oup</w:t>
      </w:r>
      <w:r>
        <w:rPr>
          <w:spacing w:val="12"/>
          <w:position w:val="2"/>
        </w:rPr>
        <w:t xml:space="preserve"> </w:t>
      </w:r>
      <w:r>
        <w:rPr>
          <w:position w:val="2"/>
        </w:rPr>
        <w:t>by</w:t>
      </w:r>
      <w:r>
        <w:rPr>
          <w:spacing w:val="7"/>
          <w:position w:val="2"/>
        </w:rPr>
        <w:t xml:space="preserve"> </w:t>
      </w:r>
      <w:r>
        <w:rPr>
          <w:spacing w:val="-1"/>
          <w:position w:val="2"/>
        </w:rPr>
        <w:t>c</w:t>
      </w:r>
      <w:r>
        <w:rPr>
          <w:position w:val="2"/>
        </w:rPr>
        <w:t>ondition</w:t>
      </w:r>
      <w:r>
        <w:rPr>
          <w:spacing w:val="7"/>
          <w:position w:val="2"/>
        </w:rPr>
        <w:t xml:space="preserve"> </w:t>
      </w:r>
      <w:r>
        <w:rPr>
          <w:position w:val="2"/>
        </w:rPr>
        <w:t>int</w:t>
      </w:r>
      <w:r>
        <w:rPr>
          <w:spacing w:val="-1"/>
          <w:position w:val="2"/>
        </w:rPr>
        <w:t>e</w:t>
      </w:r>
      <w:r>
        <w:rPr>
          <w:spacing w:val="1"/>
          <w:position w:val="2"/>
        </w:rPr>
        <w:t>r</w:t>
      </w:r>
      <w:r>
        <w:rPr>
          <w:spacing w:val="-1"/>
          <w:position w:val="2"/>
        </w:rPr>
        <w:t>ac</w:t>
      </w:r>
      <w:r>
        <w:rPr>
          <w:position w:val="2"/>
        </w:rPr>
        <w:t>tion,</w:t>
      </w:r>
      <w:r>
        <w:rPr>
          <w:spacing w:val="9"/>
          <w:position w:val="2"/>
        </w:rPr>
        <w:t xml:space="preserve"> </w:t>
      </w:r>
      <w:r>
        <w:rPr>
          <w:i/>
          <w:spacing w:val="-3"/>
          <w:position w:val="2"/>
        </w:rPr>
        <w:t>F</w:t>
      </w:r>
      <w:r>
        <w:rPr>
          <w:spacing w:val="1"/>
          <w:position w:val="2"/>
        </w:rPr>
        <w:t>(</w:t>
      </w:r>
      <w:r>
        <w:rPr>
          <w:position w:val="2"/>
        </w:rPr>
        <w:t>1</w:t>
      </w:r>
      <w:r>
        <w:rPr>
          <w:spacing w:val="2"/>
          <w:position w:val="2"/>
        </w:rPr>
        <w:t>,</w:t>
      </w:r>
      <w:r>
        <w:rPr>
          <w:position w:val="2"/>
        </w:rPr>
        <w:t>3</w:t>
      </w:r>
      <w:r>
        <w:rPr>
          <w:spacing w:val="-5"/>
          <w:position w:val="2"/>
        </w:rPr>
        <w:t>6</w:t>
      </w:r>
      <w:r>
        <w:rPr>
          <w:position w:val="2"/>
        </w:rPr>
        <w:t>)</w:t>
      </w:r>
      <w:r>
        <w:rPr>
          <w:spacing w:val="13"/>
          <w:position w:val="2"/>
        </w:rPr>
        <w:t xml:space="preserve"> </w:t>
      </w:r>
      <w:r>
        <w:rPr>
          <w:position w:val="2"/>
        </w:rPr>
        <w:t>=</w:t>
      </w:r>
      <w:r>
        <w:rPr>
          <w:spacing w:val="6"/>
          <w:position w:val="2"/>
        </w:rPr>
        <w:t xml:space="preserve"> </w:t>
      </w:r>
      <w:r>
        <w:rPr>
          <w:position w:val="2"/>
        </w:rPr>
        <w:t>5</w:t>
      </w:r>
      <w:r>
        <w:rPr>
          <w:spacing w:val="2"/>
          <w:position w:val="2"/>
        </w:rPr>
        <w:t>.</w:t>
      </w:r>
      <w:r>
        <w:rPr>
          <w:position w:val="2"/>
        </w:rPr>
        <w:t>3</w:t>
      </w:r>
      <w:r>
        <w:rPr>
          <w:spacing w:val="-5"/>
          <w:position w:val="2"/>
        </w:rPr>
        <w:t>9</w:t>
      </w:r>
      <w:r>
        <w:rPr>
          <w:position w:val="2"/>
        </w:rPr>
        <w:t>,</w:t>
      </w:r>
      <w:r>
        <w:rPr>
          <w:spacing w:val="14"/>
          <w:position w:val="2"/>
        </w:rPr>
        <w:t xml:space="preserve"> </w:t>
      </w:r>
      <w:r>
        <w:rPr>
          <w:i/>
          <w:position w:val="2"/>
        </w:rPr>
        <w:t>p</w:t>
      </w:r>
      <w:r>
        <w:rPr>
          <w:i/>
          <w:spacing w:val="2"/>
          <w:position w:val="2"/>
        </w:rPr>
        <w:t xml:space="preserve"> </w:t>
      </w:r>
      <w:r>
        <w:rPr>
          <w:position w:val="2"/>
        </w:rPr>
        <w:t>=</w:t>
      </w:r>
      <w:r>
        <w:rPr>
          <w:spacing w:val="11"/>
          <w:position w:val="2"/>
        </w:rPr>
        <w:t xml:space="preserve"> </w:t>
      </w:r>
      <w:r>
        <w:rPr>
          <w:spacing w:val="2"/>
          <w:position w:val="2"/>
        </w:rPr>
        <w:t>.</w:t>
      </w:r>
      <w:r>
        <w:rPr>
          <w:position w:val="2"/>
        </w:rPr>
        <w:t>03,</w:t>
      </w:r>
      <w:r>
        <w:rPr>
          <w:spacing w:val="4"/>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3"/>
          <w:position w:val="2"/>
        </w:rPr>
        <w:t xml:space="preserve"> </w:t>
      </w:r>
      <w:r>
        <w:rPr>
          <w:position w:val="2"/>
        </w:rPr>
        <w:t>=</w:t>
      </w:r>
      <w:r>
        <w:rPr>
          <w:spacing w:val="6"/>
          <w:position w:val="2"/>
        </w:rPr>
        <w:t xml:space="preserve"> </w:t>
      </w:r>
      <w:r>
        <w:rPr>
          <w:spacing w:val="2"/>
          <w:position w:val="2"/>
        </w:rPr>
        <w:t>.</w:t>
      </w:r>
      <w:r>
        <w:rPr>
          <w:position w:val="2"/>
        </w:rPr>
        <w:t>1</w:t>
      </w:r>
      <w:r>
        <w:rPr>
          <w:spacing w:val="-5"/>
          <w:position w:val="2"/>
        </w:rPr>
        <w:t>3</w:t>
      </w:r>
      <w:r>
        <w:rPr>
          <w:position w:val="2"/>
        </w:rPr>
        <w:t>,</w:t>
      </w:r>
      <w:r>
        <w:rPr>
          <w:spacing w:val="9"/>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9"/>
          <w:position w:val="2"/>
        </w:rPr>
        <w:t xml:space="preserve"> </w:t>
      </w:r>
      <w:r>
        <w:rPr>
          <w:position w:val="2"/>
        </w:rPr>
        <w:t>=</w:t>
      </w:r>
      <w:r>
        <w:rPr>
          <w:spacing w:val="11"/>
          <w:position w:val="2"/>
        </w:rPr>
        <w:t xml:space="preserve"> </w:t>
      </w:r>
      <w:r>
        <w:rPr>
          <w:spacing w:val="-5"/>
          <w:position w:val="2"/>
        </w:rPr>
        <w:t>2</w:t>
      </w:r>
      <w:r>
        <w:rPr>
          <w:spacing w:val="2"/>
          <w:position w:val="2"/>
        </w:rPr>
        <w:t>.</w:t>
      </w:r>
      <w:r>
        <w:rPr>
          <w:position w:val="2"/>
        </w:rPr>
        <w:t xml:space="preserve">31. </w:t>
      </w:r>
      <w:r>
        <w:rPr>
          <w:spacing w:val="16"/>
          <w:position w:val="2"/>
        </w:rPr>
        <w:t xml:space="preserve"> </w:t>
      </w:r>
      <w:r>
        <w:rPr>
          <w:spacing w:val="2"/>
          <w:position w:val="2"/>
        </w:rPr>
        <w:t>T</w:t>
      </w:r>
      <w:r>
        <w:rPr>
          <w:position w:val="2"/>
        </w:rPr>
        <w:t>he</w:t>
      </w:r>
      <w:r>
        <w:rPr>
          <w:spacing w:val="11"/>
          <w:position w:val="2"/>
        </w:rPr>
        <w:t xml:space="preserve"> </w:t>
      </w:r>
      <w:r>
        <w:rPr>
          <w:spacing w:val="-2"/>
          <w:position w:val="2"/>
        </w:rPr>
        <w:t>B</w:t>
      </w:r>
      <w:r>
        <w:rPr>
          <w:spacing w:val="-4"/>
          <w:position w:val="2"/>
        </w:rPr>
        <w:t>F</w:t>
      </w:r>
      <w:r>
        <w:rPr>
          <w:spacing w:val="2"/>
          <w:w w:val="97"/>
          <w:position w:val="2"/>
          <w:vertAlign w:val="subscript"/>
        </w:rPr>
        <w:t>1</w:t>
      </w:r>
      <w:r>
        <w:rPr>
          <w:w w:val="97"/>
          <w:position w:val="2"/>
          <w:vertAlign w:val="subscript"/>
        </w:rPr>
        <w:t>0</w:t>
      </w:r>
      <w:r>
        <w:rPr>
          <w:spacing w:val="-15"/>
          <w:position w:val="2"/>
        </w:rPr>
        <w:t xml:space="preserve"> </w:t>
      </w:r>
      <w:r>
        <w:rPr>
          <w:spacing w:val="1"/>
          <w:position w:val="2"/>
        </w:rPr>
        <w:t>f</w:t>
      </w:r>
      <w:r>
        <w:rPr>
          <w:position w:val="2"/>
        </w:rPr>
        <w:t xml:space="preserve">or </w:t>
      </w:r>
      <w:r>
        <w:rPr>
          <w:w w:val="105"/>
        </w:rPr>
        <w:t>the</w:t>
      </w:r>
      <w:r>
        <w:rPr>
          <w:spacing w:val="-21"/>
          <w:w w:val="105"/>
        </w:rPr>
        <w:t xml:space="preserve"> </w:t>
      </w:r>
      <w:r>
        <w:rPr>
          <w:w w:val="105"/>
        </w:rPr>
        <w:t>additive</w:t>
      </w:r>
      <w:r>
        <w:rPr>
          <w:spacing w:val="-21"/>
          <w:w w:val="105"/>
        </w:rPr>
        <w:t xml:space="preserve"> </w:t>
      </w:r>
      <w:r>
        <w:rPr>
          <w:w w:val="105"/>
        </w:rPr>
        <w:t>model</w:t>
      </w:r>
      <w:r>
        <w:rPr>
          <w:spacing w:val="-20"/>
          <w:w w:val="105"/>
        </w:rPr>
        <w:t xml:space="preserve"> </w:t>
      </w:r>
      <w:r>
        <w:rPr>
          <w:w w:val="105"/>
        </w:rPr>
        <w:t>was</w:t>
      </w:r>
      <w:r>
        <w:rPr>
          <w:spacing w:val="-21"/>
          <w:w w:val="105"/>
        </w:rPr>
        <w:t xml:space="preserve"> </w:t>
      </w:r>
      <w:r>
        <w:rPr>
          <w:w w:val="105"/>
        </w:rPr>
        <w:t>101.04</w:t>
      </w:r>
      <w:r>
        <w:rPr>
          <w:spacing w:val="-20"/>
          <w:w w:val="105"/>
        </w:rPr>
        <w:t xml:space="preserve"> </w:t>
      </w:r>
      <w:r>
        <w:rPr>
          <w:w w:val="105"/>
        </w:rPr>
        <w:t>and</w:t>
      </w:r>
      <w:r>
        <w:rPr>
          <w:spacing w:val="-20"/>
          <w:w w:val="105"/>
        </w:rPr>
        <w:t xml:space="preserve"> </w:t>
      </w:r>
      <w:r>
        <w:rPr>
          <w:w w:val="105"/>
        </w:rPr>
        <w:t>for</w:t>
      </w:r>
      <w:r>
        <w:rPr>
          <w:spacing w:val="-20"/>
          <w:w w:val="105"/>
        </w:rPr>
        <w:t xml:space="preserve"> </w:t>
      </w:r>
      <w:r>
        <w:rPr>
          <w:w w:val="105"/>
        </w:rPr>
        <w:t>the</w:t>
      </w:r>
      <w:r>
        <w:rPr>
          <w:spacing w:val="-24"/>
          <w:w w:val="105"/>
        </w:rPr>
        <w:t xml:space="preserve"> </w:t>
      </w:r>
      <w:r>
        <w:rPr>
          <w:w w:val="105"/>
        </w:rPr>
        <w:t>full</w:t>
      </w:r>
      <w:r>
        <w:rPr>
          <w:spacing w:val="-20"/>
          <w:w w:val="105"/>
        </w:rPr>
        <w:t xml:space="preserve"> </w:t>
      </w:r>
      <w:r>
        <w:rPr>
          <w:w w:val="105"/>
        </w:rPr>
        <w:t>model</w:t>
      </w:r>
      <w:r>
        <w:rPr>
          <w:spacing w:val="-20"/>
          <w:w w:val="105"/>
        </w:rPr>
        <w:t xml:space="preserve"> </w:t>
      </w:r>
      <w:r>
        <w:rPr>
          <w:w w:val="105"/>
        </w:rPr>
        <w:t>232.34.</w:t>
      </w:r>
      <w:r>
        <w:rPr>
          <w:spacing w:val="22"/>
          <w:w w:val="105"/>
        </w:rPr>
        <w:t xml:space="preserve"> </w:t>
      </w:r>
      <w:r>
        <w:rPr>
          <w:w w:val="105"/>
        </w:rPr>
        <w:t>This</w:t>
      </w:r>
      <w:r>
        <w:rPr>
          <w:spacing w:val="-21"/>
          <w:w w:val="105"/>
        </w:rPr>
        <w:t xml:space="preserve"> </w:t>
      </w:r>
      <w:r>
        <w:rPr>
          <w:w w:val="105"/>
        </w:rPr>
        <w:t>means</w:t>
      </w:r>
      <w:r>
        <w:rPr>
          <w:spacing w:val="-22"/>
          <w:w w:val="105"/>
        </w:rPr>
        <w:t xml:space="preserve"> </w:t>
      </w:r>
      <w:r>
        <w:rPr>
          <w:w w:val="105"/>
        </w:rPr>
        <w:t>that</w:t>
      </w:r>
      <w:r>
        <w:rPr>
          <w:spacing w:val="-20"/>
          <w:w w:val="105"/>
        </w:rPr>
        <w:t xml:space="preserve"> </w:t>
      </w:r>
      <w:r>
        <w:rPr>
          <w:w w:val="105"/>
        </w:rPr>
        <w:t>the</w:t>
      </w:r>
      <w:r>
        <w:rPr>
          <w:spacing w:val="-21"/>
          <w:w w:val="105"/>
        </w:rPr>
        <w:t xml:space="preserve"> </w:t>
      </w:r>
      <w:r>
        <w:rPr>
          <w:w w:val="105"/>
        </w:rPr>
        <w:t>full</w:t>
      </w:r>
      <w:r>
        <w:rPr>
          <w:spacing w:val="-20"/>
          <w:w w:val="105"/>
        </w:rPr>
        <w:t xml:space="preserve"> </w:t>
      </w:r>
      <w:r>
        <w:rPr>
          <w:w w:val="105"/>
        </w:rPr>
        <w:t>model provided</w:t>
      </w:r>
      <w:r>
        <w:rPr>
          <w:spacing w:val="-30"/>
          <w:w w:val="105"/>
        </w:rPr>
        <w:t xml:space="preserve"> </w:t>
      </w:r>
      <w:r>
        <w:rPr>
          <w:w w:val="105"/>
        </w:rPr>
        <w:t>the</w:t>
      </w:r>
      <w:r>
        <w:rPr>
          <w:spacing w:val="-30"/>
          <w:w w:val="105"/>
        </w:rPr>
        <w:t xml:space="preserve"> </w:t>
      </w:r>
      <w:r>
        <w:rPr>
          <w:w w:val="105"/>
        </w:rPr>
        <w:t>greatest</w:t>
      </w:r>
      <w:r>
        <w:rPr>
          <w:spacing w:val="-30"/>
          <w:w w:val="105"/>
        </w:rPr>
        <w:t xml:space="preserve"> </w:t>
      </w:r>
      <w:r>
        <w:rPr>
          <w:w w:val="105"/>
        </w:rPr>
        <w:t>evidence</w:t>
      </w:r>
      <w:r>
        <w:rPr>
          <w:spacing w:val="-30"/>
          <w:w w:val="105"/>
        </w:rPr>
        <w:t xml:space="preserve"> </w:t>
      </w:r>
      <w:r>
        <w:rPr>
          <w:w w:val="105"/>
        </w:rPr>
        <w:t>for</w:t>
      </w:r>
      <w:r>
        <w:rPr>
          <w:spacing w:val="-31"/>
          <w:w w:val="105"/>
        </w:rPr>
        <w:t xml:space="preserve"> </w:t>
      </w:r>
      <w:r>
        <w:rPr>
          <w:w w:val="105"/>
        </w:rPr>
        <w:t>the</w:t>
      </w:r>
      <w:r>
        <w:rPr>
          <w:spacing w:val="-30"/>
          <w:w w:val="105"/>
        </w:rPr>
        <w:t xml:space="preserve"> </w:t>
      </w:r>
      <w:r>
        <w:rPr>
          <w:w w:val="105"/>
        </w:rPr>
        <w:t>present</w:t>
      </w:r>
      <w:r>
        <w:rPr>
          <w:spacing w:val="-29"/>
          <w:w w:val="105"/>
        </w:rPr>
        <w:t xml:space="preserve"> </w:t>
      </w:r>
      <w:r>
        <w:rPr>
          <w:w w:val="105"/>
        </w:rPr>
        <w:t>data.</w:t>
      </w:r>
      <w:r>
        <w:rPr>
          <w:spacing w:val="3"/>
          <w:w w:val="105"/>
        </w:rPr>
        <w:t xml:space="preserve"> </w:t>
      </w:r>
      <w:r>
        <w:rPr>
          <w:w w:val="105"/>
        </w:rPr>
        <w:t>Post-hoc</w:t>
      </w:r>
      <w:r>
        <w:rPr>
          <w:spacing w:val="-30"/>
          <w:w w:val="105"/>
        </w:rPr>
        <w:t xml:space="preserve"> </w:t>
      </w:r>
      <w:r>
        <w:rPr>
          <w:w w:val="105"/>
        </w:rPr>
        <w:t>tests</w:t>
      </w:r>
      <w:r>
        <w:rPr>
          <w:spacing w:val="-31"/>
          <w:w w:val="105"/>
        </w:rPr>
        <w:t xml:space="preserve"> </w:t>
      </w:r>
      <w:r>
        <w:rPr>
          <w:w w:val="105"/>
        </w:rPr>
        <w:t>revealed</w:t>
      </w:r>
      <w:r>
        <w:rPr>
          <w:spacing w:val="-29"/>
          <w:w w:val="105"/>
        </w:rPr>
        <w:t xml:space="preserve"> </w:t>
      </w:r>
      <w:r>
        <w:rPr>
          <w:w w:val="105"/>
        </w:rPr>
        <w:t>that</w:t>
      </w:r>
      <w:r>
        <w:rPr>
          <w:spacing w:val="-30"/>
          <w:w w:val="105"/>
        </w:rPr>
        <w:t xml:space="preserve"> </w:t>
      </w:r>
      <w:r>
        <w:rPr>
          <w:w w:val="105"/>
        </w:rPr>
        <w:t>only</w:t>
      </w:r>
      <w:r>
        <w:rPr>
          <w:spacing w:val="-29"/>
          <w:w w:val="105"/>
        </w:rPr>
        <w:t xml:space="preserve"> </w:t>
      </w:r>
      <w:r>
        <w:rPr>
          <w:w w:val="105"/>
        </w:rPr>
        <w:t>the</w:t>
      </w:r>
      <w:r>
        <w:rPr>
          <w:spacing w:val="-30"/>
          <w:w w:val="105"/>
        </w:rPr>
        <w:t xml:space="preserve"> </w:t>
      </w:r>
      <w:r>
        <w:rPr>
          <w:w w:val="105"/>
        </w:rPr>
        <w:t>ASD group</w:t>
      </w:r>
      <w:r>
        <w:rPr>
          <w:spacing w:val="-17"/>
          <w:w w:val="105"/>
        </w:rPr>
        <w:t xml:space="preserve"> </w:t>
      </w:r>
      <w:r>
        <w:rPr>
          <w:w w:val="105"/>
        </w:rPr>
        <w:t>showed</w:t>
      </w:r>
      <w:r>
        <w:rPr>
          <w:spacing w:val="-17"/>
          <w:w w:val="105"/>
        </w:rPr>
        <w:t xml:space="preserve"> </w:t>
      </w:r>
      <w:r>
        <w:rPr>
          <w:w w:val="105"/>
        </w:rPr>
        <w:t>a</w:t>
      </w:r>
      <w:r>
        <w:rPr>
          <w:spacing w:val="-18"/>
          <w:w w:val="105"/>
        </w:rPr>
        <w:t xml:space="preserve"> </w:t>
      </w:r>
      <w:r>
        <w:rPr>
          <w:w w:val="105"/>
        </w:rPr>
        <w:t>significant</w:t>
      </w:r>
      <w:r>
        <w:rPr>
          <w:spacing w:val="-17"/>
          <w:w w:val="105"/>
        </w:rPr>
        <w:t xml:space="preserve"> </w:t>
      </w:r>
      <w:r>
        <w:rPr>
          <w:w w:val="105"/>
        </w:rPr>
        <w:t>increase</w:t>
      </w:r>
      <w:r>
        <w:rPr>
          <w:spacing w:val="-18"/>
          <w:w w:val="105"/>
        </w:rPr>
        <w:t xml:space="preserve"> </w:t>
      </w:r>
      <w:r>
        <w:rPr>
          <w:w w:val="105"/>
        </w:rPr>
        <w:t>in</w:t>
      </w:r>
      <w:r>
        <w:rPr>
          <w:spacing w:val="-17"/>
          <w:w w:val="105"/>
        </w:rPr>
        <w:t xml:space="preserve"> </w:t>
      </w:r>
      <w:r>
        <w:rPr>
          <w:w w:val="105"/>
        </w:rPr>
        <w:t>PM</w:t>
      </w:r>
      <w:r>
        <w:rPr>
          <w:spacing w:val="-18"/>
          <w:w w:val="105"/>
        </w:rPr>
        <w:t xml:space="preserve"> </w:t>
      </w:r>
      <w:r>
        <w:rPr>
          <w:w w:val="105"/>
        </w:rPr>
        <w:t>hit</w:t>
      </w:r>
      <w:r>
        <w:rPr>
          <w:spacing w:val="-17"/>
          <w:w w:val="105"/>
        </w:rPr>
        <w:t xml:space="preserve"> </w:t>
      </w:r>
      <w:r>
        <w:rPr>
          <w:w w:val="105"/>
        </w:rPr>
        <w:t>proportion</w:t>
      </w:r>
      <w:r>
        <w:rPr>
          <w:spacing w:val="-17"/>
          <w:w w:val="105"/>
        </w:rPr>
        <w:t xml:space="preserve"> </w:t>
      </w:r>
      <w:r>
        <w:rPr>
          <w:w w:val="105"/>
        </w:rPr>
        <w:t>scores</w:t>
      </w:r>
      <w:r>
        <w:rPr>
          <w:spacing w:val="-19"/>
          <w:w w:val="105"/>
        </w:rPr>
        <w:t xml:space="preserve"> </w:t>
      </w:r>
      <w:r>
        <w:rPr>
          <w:w w:val="105"/>
        </w:rPr>
        <w:t>from</w:t>
      </w:r>
      <w:r>
        <w:rPr>
          <w:spacing w:val="-20"/>
          <w:w w:val="105"/>
        </w:rPr>
        <w:t xml:space="preserve"> </w:t>
      </w:r>
      <w:r>
        <w:rPr>
          <w:w w:val="105"/>
        </w:rPr>
        <w:t>the</w:t>
      </w:r>
      <w:r>
        <w:rPr>
          <w:spacing w:val="-18"/>
          <w:w w:val="105"/>
        </w:rPr>
        <w:t xml:space="preserve"> </w:t>
      </w:r>
      <w:r>
        <w:rPr>
          <w:w w:val="105"/>
        </w:rPr>
        <w:t>PM</w:t>
      </w:r>
      <w:r>
        <w:rPr>
          <w:spacing w:val="-19"/>
          <w:w w:val="105"/>
        </w:rPr>
        <w:t xml:space="preserve"> </w:t>
      </w:r>
      <w:r>
        <w:rPr>
          <w:w w:val="105"/>
        </w:rPr>
        <w:t>low</w:t>
      </w:r>
      <w:r>
        <w:rPr>
          <w:spacing w:val="-18"/>
          <w:w w:val="105"/>
        </w:rPr>
        <w:t xml:space="preserve"> </w:t>
      </w:r>
      <w:r>
        <w:rPr>
          <w:w w:val="105"/>
        </w:rPr>
        <w:t>to</w:t>
      </w:r>
      <w:r>
        <w:rPr>
          <w:spacing w:val="-20"/>
          <w:w w:val="105"/>
        </w:rPr>
        <w:t xml:space="preserve"> </w:t>
      </w:r>
      <w:r>
        <w:rPr>
          <w:w w:val="105"/>
        </w:rPr>
        <w:t>the</w:t>
      </w:r>
      <w:r>
        <w:rPr>
          <w:spacing w:val="-17"/>
          <w:w w:val="105"/>
        </w:rPr>
        <w:t xml:space="preserve"> </w:t>
      </w:r>
      <w:r>
        <w:rPr>
          <w:w w:val="105"/>
        </w:rPr>
        <w:t xml:space="preserve">PM </w:t>
      </w:r>
      <w:r>
        <w:rPr>
          <w:position w:val="2"/>
        </w:rPr>
        <w:t>high</w:t>
      </w:r>
      <w:r>
        <w:rPr>
          <w:spacing w:val="-8"/>
          <w:position w:val="2"/>
        </w:rPr>
        <w:t xml:space="preserve"> </w:t>
      </w:r>
      <w:r>
        <w:rPr>
          <w:position w:val="2"/>
        </w:rPr>
        <w:t>imp</w:t>
      </w:r>
      <w:r>
        <w:rPr>
          <w:spacing w:val="-5"/>
          <w:position w:val="2"/>
        </w:rPr>
        <w:t>o</w:t>
      </w:r>
      <w:r>
        <w:rPr>
          <w:spacing w:val="1"/>
          <w:position w:val="2"/>
        </w:rPr>
        <w:t>r</w:t>
      </w:r>
      <w:r>
        <w:rPr>
          <w:position w:val="2"/>
        </w:rPr>
        <w:t>t</w:t>
      </w:r>
      <w:r>
        <w:rPr>
          <w:spacing w:val="-1"/>
          <w:position w:val="2"/>
        </w:rPr>
        <w:t>a</w:t>
      </w:r>
      <w:r>
        <w:rPr>
          <w:position w:val="2"/>
        </w:rPr>
        <w:t>n</w:t>
      </w:r>
      <w:r>
        <w:rPr>
          <w:spacing w:val="-1"/>
          <w:position w:val="2"/>
        </w:rPr>
        <w:t>c</w:t>
      </w:r>
      <w:r>
        <w:rPr>
          <w:position w:val="2"/>
        </w:rPr>
        <w:t>e</w:t>
      </w:r>
      <w:r>
        <w:rPr>
          <w:spacing w:val="-9"/>
          <w:position w:val="2"/>
        </w:rPr>
        <w:t xml:space="preserve"> </w:t>
      </w:r>
      <w:r>
        <w:rPr>
          <w:spacing w:val="-1"/>
          <w:position w:val="2"/>
        </w:rPr>
        <w:t>c</w:t>
      </w:r>
      <w:r>
        <w:rPr>
          <w:position w:val="2"/>
        </w:rPr>
        <w:t>ondition</w:t>
      </w:r>
      <w:r>
        <w:rPr>
          <w:spacing w:val="-17"/>
          <w:position w:val="2"/>
        </w:rPr>
        <w:t xml:space="preserve"> </w:t>
      </w:r>
      <w:r>
        <w:rPr>
          <w:spacing w:val="1"/>
          <w:position w:val="2"/>
        </w:rPr>
        <w:t>(</w:t>
      </w:r>
      <w:r>
        <w:rPr>
          <w:spacing w:val="-1"/>
          <w:position w:val="2"/>
        </w:rPr>
        <w:t>A</w:t>
      </w:r>
      <w:r>
        <w:rPr>
          <w:position w:val="2"/>
        </w:rPr>
        <w:t>S</w:t>
      </w:r>
      <w:r>
        <w:rPr>
          <w:spacing w:val="-1"/>
          <w:position w:val="2"/>
        </w:rPr>
        <w:t>D</w:t>
      </w:r>
      <w:r>
        <w:rPr>
          <w:position w:val="2"/>
        </w:rPr>
        <w:t>:</w:t>
      </w:r>
      <w:r>
        <w:rPr>
          <w:spacing w:val="-12"/>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36)</w:t>
      </w:r>
      <w:r>
        <w:rPr>
          <w:spacing w:val="-11"/>
          <w:position w:val="2"/>
        </w:rPr>
        <w:t xml:space="preserve"> </w:t>
      </w:r>
      <w:r>
        <w:rPr>
          <w:position w:val="2"/>
        </w:rPr>
        <w:t>=</w:t>
      </w:r>
      <w:r>
        <w:rPr>
          <w:spacing w:val="-13"/>
          <w:position w:val="2"/>
        </w:rPr>
        <w:t xml:space="preserve"> </w:t>
      </w:r>
      <w:r>
        <w:rPr>
          <w:position w:val="2"/>
        </w:rPr>
        <w:t>17</w:t>
      </w:r>
      <w:r>
        <w:rPr>
          <w:spacing w:val="2"/>
          <w:position w:val="2"/>
        </w:rPr>
        <w:t>.</w:t>
      </w:r>
      <w:r>
        <w:rPr>
          <w:position w:val="2"/>
        </w:rPr>
        <w:t>4</w:t>
      </w:r>
      <w:r>
        <w:rPr>
          <w:spacing w:val="-5"/>
          <w:position w:val="2"/>
        </w:rPr>
        <w:t>3</w:t>
      </w:r>
      <w:r>
        <w:rPr>
          <w:position w:val="2"/>
        </w:rPr>
        <w:t>,</w:t>
      </w:r>
      <w:r>
        <w:rPr>
          <w:spacing w:val="-15"/>
          <w:position w:val="2"/>
        </w:rPr>
        <w:t xml:space="preserve"> </w:t>
      </w:r>
      <w:r>
        <w:rPr>
          <w:i/>
          <w:position w:val="2"/>
        </w:rPr>
        <w:t>p</w:t>
      </w:r>
      <w:r>
        <w:rPr>
          <w:i/>
          <w:spacing w:val="-8"/>
          <w:position w:val="2"/>
        </w:rPr>
        <w:t xml:space="preserve"> </w:t>
      </w:r>
      <w:r>
        <w:rPr>
          <w:position w:val="2"/>
        </w:rPr>
        <w:t>&lt;</w:t>
      </w:r>
      <w:r>
        <w:rPr>
          <w:spacing w:val="-13"/>
          <w:position w:val="2"/>
        </w:rPr>
        <w:t xml:space="preserve"> </w:t>
      </w:r>
      <w:r>
        <w:rPr>
          <w:spacing w:val="2"/>
          <w:position w:val="2"/>
        </w:rPr>
        <w:t>.</w:t>
      </w:r>
      <w:r>
        <w:rPr>
          <w:position w:val="2"/>
        </w:rPr>
        <w:t>00</w:t>
      </w:r>
      <w:r>
        <w:rPr>
          <w:spacing w:val="-5"/>
          <w:position w:val="2"/>
        </w:rPr>
        <w:t>1</w:t>
      </w:r>
      <w:r>
        <w:rPr>
          <w:position w:val="2"/>
        </w:rPr>
        <w:t>,</w:t>
      </w:r>
      <w:r>
        <w:rPr>
          <w:spacing w:val="-15"/>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7"/>
          <w:position w:val="2"/>
        </w:rPr>
        <w:t xml:space="preserve"> </w:t>
      </w:r>
      <w:r>
        <w:rPr>
          <w:position w:val="2"/>
        </w:rPr>
        <w:t>=</w:t>
      </w:r>
      <w:r>
        <w:rPr>
          <w:spacing w:val="-9"/>
          <w:position w:val="2"/>
        </w:rPr>
        <w:t xml:space="preserve"> </w:t>
      </w:r>
      <w:r>
        <w:rPr>
          <w:spacing w:val="2"/>
          <w:position w:val="2"/>
        </w:rPr>
        <w:t>.</w:t>
      </w:r>
      <w:r>
        <w:rPr>
          <w:position w:val="2"/>
        </w:rPr>
        <w:t>3</w:t>
      </w:r>
      <w:r>
        <w:rPr>
          <w:spacing w:val="-5"/>
          <w:position w:val="2"/>
        </w:rPr>
        <w:t>3</w:t>
      </w:r>
      <w:r>
        <w:rPr>
          <w:position w:val="2"/>
        </w:rPr>
        <w:t>,</w:t>
      </w:r>
      <w:r>
        <w:rPr>
          <w:spacing w:val="-5"/>
          <w:position w:val="2"/>
        </w:rPr>
        <w:t xml:space="preserve"> </w:t>
      </w:r>
      <w:r>
        <w:rPr>
          <w:spacing w:val="-2"/>
          <w:position w:val="2"/>
        </w:rPr>
        <w:t>B</w:t>
      </w:r>
      <w:r>
        <w:rPr>
          <w:spacing w:val="-4"/>
          <w:position w:val="2"/>
        </w:rPr>
        <w:t>F</w:t>
      </w:r>
      <w:r>
        <w:rPr>
          <w:spacing w:val="2"/>
          <w:w w:val="97"/>
          <w:position w:val="2"/>
          <w:vertAlign w:val="subscript"/>
        </w:rPr>
        <w:t>1</w:t>
      </w:r>
      <w:r>
        <w:rPr>
          <w:w w:val="97"/>
          <w:position w:val="2"/>
          <w:vertAlign w:val="subscript"/>
        </w:rPr>
        <w:t>0</w:t>
      </w:r>
      <w:r>
        <w:rPr>
          <w:spacing w:val="-10"/>
          <w:position w:val="2"/>
        </w:rPr>
        <w:t xml:space="preserve"> </w:t>
      </w:r>
      <w:r>
        <w:rPr>
          <w:position w:val="2"/>
        </w:rPr>
        <w:t>=</w:t>
      </w:r>
      <w:r>
        <w:rPr>
          <w:spacing w:val="-13"/>
          <w:position w:val="2"/>
        </w:rPr>
        <w:t xml:space="preserve"> </w:t>
      </w:r>
      <w:r>
        <w:rPr>
          <w:position w:val="2"/>
        </w:rPr>
        <w:t>8</w:t>
      </w:r>
      <w:r>
        <w:rPr>
          <w:spacing w:val="2"/>
          <w:position w:val="2"/>
        </w:rPr>
        <w:t>.</w:t>
      </w:r>
      <w:r>
        <w:rPr>
          <w:position w:val="2"/>
        </w:rPr>
        <w:t>92;</w:t>
      </w:r>
      <w:r>
        <w:rPr>
          <w:spacing w:val="-12"/>
          <w:position w:val="2"/>
        </w:rPr>
        <w:t xml:space="preserve"> </w:t>
      </w:r>
      <w:r>
        <w:rPr>
          <w:spacing w:val="-6"/>
          <w:position w:val="2"/>
        </w:rPr>
        <w:t>N</w:t>
      </w:r>
      <w:r>
        <w:rPr>
          <w:spacing w:val="2"/>
          <w:position w:val="2"/>
        </w:rPr>
        <w:t>T</w:t>
      </w:r>
      <w:r>
        <w:rPr>
          <w:position w:val="2"/>
        </w:rPr>
        <w:t>:</w:t>
      </w:r>
      <w:r>
        <w:rPr>
          <w:spacing w:val="-12"/>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36)</w:t>
      </w:r>
    </w:p>
    <w:p w14:paraId="12F2E6E6" w14:textId="77777777" w:rsidR="00C75312" w:rsidRDefault="00BB293A">
      <w:pPr>
        <w:pStyle w:val="BodyText"/>
        <w:spacing w:before="6" w:line="489" w:lineRule="auto"/>
        <w:ind w:left="140" w:right="234"/>
        <w:jc w:val="both"/>
      </w:pPr>
      <w:r>
        <w:pict w14:anchorId="12520EE5">
          <v:shape id="_x0000_s2103" type="#_x0000_t202" style="position:absolute;left:0;text-align:left;margin-left:148.1pt;margin-top:6.15pt;width:5.3pt;height:9.85pt;z-index:-260464640;mso-position-horizontal-relative:page" filled="f" stroked="f">
            <v:textbox inset="0,0,0,0">
              <w:txbxContent>
                <w:p w14:paraId="1B002D30"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position w:val="2"/>
        </w:rPr>
        <w:t>=</w:t>
      </w:r>
      <w:r>
        <w:rPr>
          <w:spacing w:val="11"/>
          <w:position w:val="2"/>
        </w:rPr>
        <w:t xml:space="preserve"> </w:t>
      </w:r>
      <w:r>
        <w:rPr>
          <w:spacing w:val="2"/>
          <w:position w:val="2"/>
        </w:rPr>
        <w:t>.</w:t>
      </w:r>
      <w:r>
        <w:rPr>
          <w:position w:val="2"/>
        </w:rPr>
        <w:t>79,</w:t>
      </w:r>
      <w:r>
        <w:rPr>
          <w:spacing w:val="14"/>
          <w:position w:val="2"/>
        </w:rPr>
        <w:t xml:space="preserve"> </w:t>
      </w:r>
      <w:r>
        <w:rPr>
          <w:i/>
          <w:position w:val="2"/>
        </w:rPr>
        <w:t>p</w:t>
      </w:r>
      <w:r>
        <w:rPr>
          <w:i/>
          <w:spacing w:val="12"/>
          <w:position w:val="2"/>
        </w:rPr>
        <w:t xml:space="preserve"> </w:t>
      </w:r>
      <w:r>
        <w:rPr>
          <w:spacing w:val="-6"/>
          <w:position w:val="2"/>
        </w:rPr>
        <w:t>=</w:t>
      </w:r>
      <w:r>
        <w:rPr>
          <w:spacing w:val="2"/>
          <w:position w:val="2"/>
        </w:rPr>
        <w:t>.</w:t>
      </w:r>
      <w:r>
        <w:rPr>
          <w:position w:val="2"/>
        </w:rPr>
        <w:t>38,</w:t>
      </w:r>
      <w:r>
        <w:rPr>
          <w:spacing w:val="9"/>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16"/>
          <w:position w:val="2"/>
        </w:rPr>
        <w:t xml:space="preserve"> </w:t>
      </w:r>
      <w:r>
        <w:rPr>
          <w:position w:val="2"/>
        </w:rPr>
        <w:t>=</w:t>
      </w:r>
      <w:r>
        <w:rPr>
          <w:spacing w:val="11"/>
          <w:position w:val="2"/>
        </w:rPr>
        <w:t xml:space="preserve"> </w:t>
      </w:r>
      <w:r>
        <w:rPr>
          <w:spacing w:val="2"/>
          <w:position w:val="2"/>
        </w:rPr>
        <w:t>.</w:t>
      </w:r>
      <w:r>
        <w:rPr>
          <w:position w:val="2"/>
        </w:rPr>
        <w:t>0</w:t>
      </w:r>
      <w:r>
        <w:rPr>
          <w:spacing w:val="-5"/>
          <w:position w:val="2"/>
        </w:rPr>
        <w:t>2</w:t>
      </w:r>
      <w:r>
        <w:rPr>
          <w:position w:val="2"/>
        </w:rPr>
        <w:t>,</w:t>
      </w:r>
      <w:r>
        <w:rPr>
          <w:spacing w:val="14"/>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9"/>
          <w:position w:val="2"/>
        </w:rPr>
        <w:t xml:space="preserve"> </w:t>
      </w:r>
      <w:r>
        <w:rPr>
          <w:position w:val="2"/>
        </w:rPr>
        <w:t>=</w:t>
      </w:r>
      <w:r>
        <w:rPr>
          <w:spacing w:val="11"/>
          <w:position w:val="2"/>
        </w:rPr>
        <w:t xml:space="preserve"> </w:t>
      </w:r>
      <w:r>
        <w:rPr>
          <w:position w:val="2"/>
        </w:rPr>
        <w:t>0</w:t>
      </w:r>
      <w:r>
        <w:rPr>
          <w:spacing w:val="2"/>
          <w:position w:val="2"/>
        </w:rPr>
        <w:t>.</w:t>
      </w:r>
      <w:r>
        <w:rPr>
          <w:position w:val="2"/>
        </w:rPr>
        <w:t>83</w:t>
      </w:r>
      <w:r>
        <w:rPr>
          <w:spacing w:val="-4"/>
          <w:position w:val="2"/>
        </w:rPr>
        <w:t>)</w:t>
      </w:r>
      <w:r>
        <w:rPr>
          <w:position w:val="2"/>
        </w:rPr>
        <w:t xml:space="preserve">. </w:t>
      </w:r>
      <w:r>
        <w:rPr>
          <w:spacing w:val="21"/>
          <w:position w:val="2"/>
        </w:rPr>
        <w:t xml:space="preserve"> </w:t>
      </w:r>
      <w:r>
        <w:rPr>
          <w:spacing w:val="2"/>
          <w:position w:val="2"/>
        </w:rPr>
        <w:t>T</w:t>
      </w:r>
      <w:r>
        <w:rPr>
          <w:spacing w:val="-1"/>
          <w:position w:val="2"/>
        </w:rPr>
        <w:t>e</w:t>
      </w:r>
      <w:r>
        <w:rPr>
          <w:spacing w:val="-3"/>
          <w:position w:val="2"/>
        </w:rPr>
        <w:t>s</w:t>
      </w:r>
      <w:r>
        <w:rPr>
          <w:position w:val="2"/>
        </w:rPr>
        <w:t>ts</w:t>
      </w:r>
      <w:r>
        <w:rPr>
          <w:spacing w:val="9"/>
          <w:position w:val="2"/>
        </w:rPr>
        <w:t xml:space="preserve"> </w:t>
      </w:r>
      <w:r>
        <w:rPr>
          <w:position w:val="2"/>
        </w:rPr>
        <w:t>of</w:t>
      </w:r>
      <w:r>
        <w:rPr>
          <w:spacing w:val="13"/>
          <w:position w:val="2"/>
        </w:rPr>
        <w:t xml:space="preserve"> </w:t>
      </w:r>
      <w:r>
        <w:rPr>
          <w:spacing w:val="-3"/>
          <w:position w:val="2"/>
        </w:rPr>
        <w:t>s</w:t>
      </w:r>
      <w:r>
        <w:rPr>
          <w:position w:val="2"/>
        </w:rPr>
        <w:t>imple</w:t>
      </w:r>
      <w:r>
        <w:rPr>
          <w:spacing w:val="11"/>
          <w:position w:val="2"/>
        </w:rPr>
        <w:t xml:space="preserve"> </w:t>
      </w:r>
      <w:r>
        <w:rPr>
          <w:spacing w:val="-1"/>
          <w:position w:val="2"/>
        </w:rPr>
        <w:t>e</w:t>
      </w:r>
      <w:r>
        <w:rPr>
          <w:spacing w:val="1"/>
          <w:position w:val="2"/>
        </w:rPr>
        <w:t>ff</w:t>
      </w:r>
      <w:r>
        <w:rPr>
          <w:spacing w:val="-1"/>
          <w:position w:val="2"/>
        </w:rPr>
        <w:t>ec</w:t>
      </w:r>
      <w:r>
        <w:rPr>
          <w:position w:val="2"/>
        </w:rPr>
        <w:t>ts</w:t>
      </w:r>
      <w:r>
        <w:rPr>
          <w:spacing w:val="9"/>
          <w:position w:val="2"/>
        </w:rPr>
        <w:t xml:space="preserve"> </w:t>
      </w:r>
      <w:r>
        <w:rPr>
          <w:position w:val="2"/>
        </w:rPr>
        <w:t>of</w:t>
      </w:r>
      <w:r>
        <w:rPr>
          <w:spacing w:val="13"/>
          <w:position w:val="2"/>
        </w:rPr>
        <w:t xml:space="preserve"> </w:t>
      </w:r>
      <w:r>
        <w:rPr>
          <w:position w:val="2"/>
        </w:rPr>
        <w:t>indi</w:t>
      </w:r>
      <w:r>
        <w:rPr>
          <w:spacing w:val="-1"/>
          <w:position w:val="2"/>
        </w:rPr>
        <w:t>ca</w:t>
      </w:r>
      <w:r>
        <w:rPr>
          <w:position w:val="2"/>
        </w:rPr>
        <w:t>t</w:t>
      </w:r>
      <w:r>
        <w:rPr>
          <w:spacing w:val="-1"/>
          <w:position w:val="2"/>
        </w:rPr>
        <w:t>e</w:t>
      </w:r>
      <w:r>
        <w:rPr>
          <w:position w:val="2"/>
        </w:rPr>
        <w:t>d</w:t>
      </w:r>
      <w:r>
        <w:rPr>
          <w:spacing w:val="12"/>
          <w:position w:val="2"/>
        </w:rPr>
        <w:t xml:space="preserve"> </w:t>
      </w:r>
      <w:r>
        <w:rPr>
          <w:position w:val="2"/>
        </w:rPr>
        <w:t>th</w:t>
      </w:r>
      <w:r>
        <w:rPr>
          <w:spacing w:val="-1"/>
          <w:position w:val="2"/>
        </w:rPr>
        <w:t>a</w:t>
      </w:r>
      <w:r>
        <w:rPr>
          <w:position w:val="2"/>
        </w:rPr>
        <w:t>t</w:t>
      </w:r>
      <w:r>
        <w:rPr>
          <w:spacing w:val="12"/>
          <w:position w:val="2"/>
        </w:rPr>
        <w:t xml:space="preserve"> </w:t>
      </w:r>
      <w:r>
        <w:rPr>
          <w:position w:val="2"/>
        </w:rPr>
        <w:t>the</w:t>
      </w:r>
      <w:r>
        <w:rPr>
          <w:spacing w:val="11"/>
          <w:position w:val="2"/>
        </w:rPr>
        <w:t xml:space="preserve"> </w:t>
      </w:r>
      <w:r>
        <w:rPr>
          <w:spacing w:val="-1"/>
          <w:position w:val="2"/>
        </w:rPr>
        <w:t>N</w:t>
      </w:r>
      <w:r>
        <w:rPr>
          <w:position w:val="2"/>
        </w:rPr>
        <w:t>T</w:t>
      </w:r>
      <w:r>
        <w:rPr>
          <w:spacing w:val="9"/>
          <w:position w:val="2"/>
        </w:rPr>
        <w:t xml:space="preserve"> </w:t>
      </w:r>
      <w:r>
        <w:rPr>
          <w:position w:val="2"/>
        </w:rPr>
        <w:t>g</w:t>
      </w:r>
      <w:r>
        <w:rPr>
          <w:spacing w:val="1"/>
          <w:position w:val="2"/>
        </w:rPr>
        <w:t>r</w:t>
      </w:r>
      <w:r>
        <w:rPr>
          <w:position w:val="2"/>
        </w:rPr>
        <w:t xml:space="preserve">oup </w:t>
      </w:r>
      <w:r>
        <w:rPr>
          <w:w w:val="105"/>
        </w:rPr>
        <w:t>outperformed</w:t>
      </w:r>
      <w:r>
        <w:rPr>
          <w:spacing w:val="-20"/>
          <w:w w:val="105"/>
        </w:rPr>
        <w:t xml:space="preserve"> </w:t>
      </w:r>
      <w:r>
        <w:rPr>
          <w:w w:val="105"/>
        </w:rPr>
        <w:t>the</w:t>
      </w:r>
      <w:r>
        <w:rPr>
          <w:spacing w:val="-20"/>
          <w:w w:val="105"/>
        </w:rPr>
        <w:t xml:space="preserve"> </w:t>
      </w:r>
      <w:r>
        <w:rPr>
          <w:w w:val="105"/>
        </w:rPr>
        <w:t>ASD</w:t>
      </w:r>
      <w:r>
        <w:rPr>
          <w:spacing w:val="-20"/>
          <w:w w:val="105"/>
        </w:rPr>
        <w:t xml:space="preserve"> </w:t>
      </w:r>
      <w:r>
        <w:rPr>
          <w:w w:val="105"/>
        </w:rPr>
        <w:t>group</w:t>
      </w:r>
      <w:r>
        <w:rPr>
          <w:spacing w:val="-19"/>
          <w:w w:val="105"/>
        </w:rPr>
        <w:t xml:space="preserve"> </w:t>
      </w:r>
      <w:r>
        <w:rPr>
          <w:w w:val="105"/>
        </w:rPr>
        <w:t>in</w:t>
      </w:r>
      <w:r>
        <w:rPr>
          <w:spacing w:val="-20"/>
          <w:w w:val="105"/>
        </w:rPr>
        <w:t xml:space="preserve"> </w:t>
      </w:r>
      <w:r>
        <w:rPr>
          <w:w w:val="105"/>
        </w:rPr>
        <w:t>the</w:t>
      </w:r>
      <w:r>
        <w:rPr>
          <w:spacing w:val="-20"/>
          <w:w w:val="105"/>
        </w:rPr>
        <w:t xml:space="preserve"> </w:t>
      </w:r>
      <w:r>
        <w:rPr>
          <w:w w:val="105"/>
        </w:rPr>
        <w:t>PM</w:t>
      </w:r>
      <w:r>
        <w:rPr>
          <w:spacing w:val="-21"/>
          <w:w w:val="105"/>
        </w:rPr>
        <w:t xml:space="preserve"> </w:t>
      </w:r>
      <w:r>
        <w:rPr>
          <w:w w:val="105"/>
        </w:rPr>
        <w:t>low</w:t>
      </w:r>
      <w:r>
        <w:rPr>
          <w:spacing w:val="-20"/>
          <w:w w:val="105"/>
        </w:rPr>
        <w:t xml:space="preserve"> </w:t>
      </w:r>
      <w:r>
        <w:rPr>
          <w:w w:val="105"/>
        </w:rPr>
        <w:t>importance</w:t>
      </w:r>
      <w:r>
        <w:rPr>
          <w:spacing w:val="-20"/>
          <w:w w:val="105"/>
        </w:rPr>
        <w:t xml:space="preserve"> </w:t>
      </w:r>
      <w:r>
        <w:rPr>
          <w:w w:val="105"/>
        </w:rPr>
        <w:t>condition,</w:t>
      </w:r>
      <w:r>
        <w:rPr>
          <w:spacing w:val="-18"/>
          <w:w w:val="105"/>
        </w:rPr>
        <w:t xml:space="preserve"> </w:t>
      </w:r>
      <w:r>
        <w:rPr>
          <w:i/>
          <w:w w:val="105"/>
        </w:rPr>
        <w:t>F</w:t>
      </w:r>
      <w:r>
        <w:rPr>
          <w:w w:val="105"/>
        </w:rPr>
        <w:t>(1,36)</w:t>
      </w:r>
      <w:r>
        <w:rPr>
          <w:spacing w:val="-19"/>
          <w:w w:val="105"/>
        </w:rPr>
        <w:t xml:space="preserve"> </w:t>
      </w:r>
      <w:r>
        <w:rPr>
          <w:w w:val="105"/>
        </w:rPr>
        <w:t>=</w:t>
      </w:r>
      <w:r>
        <w:rPr>
          <w:spacing w:val="-20"/>
          <w:w w:val="105"/>
        </w:rPr>
        <w:t xml:space="preserve"> </w:t>
      </w:r>
      <w:r>
        <w:rPr>
          <w:w w:val="105"/>
        </w:rPr>
        <w:t>9.49,</w:t>
      </w:r>
      <w:r>
        <w:rPr>
          <w:spacing w:val="-18"/>
          <w:w w:val="105"/>
        </w:rPr>
        <w:t xml:space="preserve"> </w:t>
      </w:r>
      <w:r>
        <w:rPr>
          <w:i/>
          <w:w w:val="105"/>
        </w:rPr>
        <w:t>p</w:t>
      </w:r>
      <w:r>
        <w:rPr>
          <w:i/>
          <w:spacing w:val="-20"/>
          <w:w w:val="105"/>
        </w:rPr>
        <w:t xml:space="preserve"> </w:t>
      </w:r>
      <w:r>
        <w:rPr>
          <w:w w:val="105"/>
        </w:rPr>
        <w:t>=</w:t>
      </w:r>
      <w:r>
        <w:rPr>
          <w:spacing w:val="-20"/>
          <w:w w:val="105"/>
        </w:rPr>
        <w:t xml:space="preserve"> </w:t>
      </w:r>
      <w:r>
        <w:rPr>
          <w:w w:val="105"/>
        </w:rPr>
        <w:t>.004,</w:t>
      </w:r>
    </w:p>
    <w:p w14:paraId="0B90C1E0" w14:textId="77777777" w:rsidR="00C75312" w:rsidRDefault="00BB293A">
      <w:pPr>
        <w:pStyle w:val="BodyText"/>
        <w:spacing w:line="482" w:lineRule="auto"/>
        <w:ind w:left="140" w:right="233"/>
        <w:jc w:val="both"/>
      </w:pPr>
      <w:r>
        <w:pict w14:anchorId="71121798">
          <v:shape id="_x0000_s2102" type="#_x0000_t202" style="position:absolute;left:0;text-align:left;margin-left:78.25pt;margin-top:5.85pt;width:5.3pt;height:9.85pt;z-index:-260463616;mso-position-horizontal-relative:page" filled="f" stroked="f">
            <v:textbox inset="0,0,0,0">
              <w:txbxContent>
                <w:p w14:paraId="4C16F1C2"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E200918">
          <v:shape id="_x0000_s2101" type="#_x0000_t202" style="position:absolute;left:0;text-align:left;margin-left:396.5pt;margin-top:35.4pt;width:5.3pt;height:9.85pt;z-index:-260462592;mso-position-horizontal-relative:page" filled="f" stroked="f">
            <v:textbox inset="0,0,0,0">
              <w:txbxContent>
                <w:p w14:paraId="2F856783"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21"/>
          <w:position w:val="2"/>
        </w:rPr>
        <w:t xml:space="preserve"> </w:t>
      </w:r>
      <w:r>
        <w:rPr>
          <w:position w:val="2"/>
        </w:rPr>
        <w:t>=</w:t>
      </w:r>
      <w:r>
        <w:rPr>
          <w:spacing w:val="1"/>
          <w:position w:val="2"/>
        </w:rPr>
        <w:t xml:space="preserve"> </w:t>
      </w:r>
      <w:r>
        <w:rPr>
          <w:spacing w:val="2"/>
          <w:position w:val="2"/>
        </w:rPr>
        <w:t>.</w:t>
      </w:r>
      <w:r>
        <w:rPr>
          <w:position w:val="2"/>
        </w:rPr>
        <w:t>21,</w:t>
      </w:r>
      <w:r>
        <w:rPr>
          <w:spacing w:val="4"/>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4"/>
          <w:position w:val="2"/>
        </w:rPr>
        <w:t xml:space="preserve"> </w:t>
      </w:r>
      <w:r>
        <w:rPr>
          <w:position w:val="2"/>
        </w:rPr>
        <w:t>=</w:t>
      </w:r>
      <w:r>
        <w:rPr>
          <w:spacing w:val="6"/>
          <w:position w:val="2"/>
        </w:rPr>
        <w:t xml:space="preserve"> </w:t>
      </w:r>
      <w:r>
        <w:rPr>
          <w:position w:val="2"/>
        </w:rPr>
        <w:t>1</w:t>
      </w:r>
      <w:r>
        <w:rPr>
          <w:spacing w:val="-5"/>
          <w:position w:val="2"/>
        </w:rPr>
        <w:t>0</w:t>
      </w:r>
      <w:r>
        <w:rPr>
          <w:spacing w:val="2"/>
          <w:position w:val="2"/>
        </w:rPr>
        <w:t>.</w:t>
      </w:r>
      <w:r>
        <w:rPr>
          <w:position w:val="2"/>
        </w:rPr>
        <w:t xml:space="preserve">30. </w:t>
      </w:r>
      <w:r>
        <w:rPr>
          <w:spacing w:val="7"/>
          <w:position w:val="2"/>
        </w:rPr>
        <w:t xml:space="preserve"> </w:t>
      </w:r>
      <w:r>
        <w:rPr>
          <w:spacing w:val="1"/>
          <w:position w:val="2"/>
        </w:rPr>
        <w:t>I</w:t>
      </w:r>
      <w:r>
        <w:rPr>
          <w:position w:val="2"/>
        </w:rPr>
        <w:t>n</w:t>
      </w:r>
      <w:r>
        <w:rPr>
          <w:spacing w:val="2"/>
          <w:position w:val="2"/>
        </w:rPr>
        <w:t xml:space="preserve"> </w:t>
      </w:r>
      <w:r>
        <w:rPr>
          <w:position w:val="2"/>
        </w:rPr>
        <w:t>the</w:t>
      </w:r>
      <w:r>
        <w:rPr>
          <w:spacing w:val="6"/>
          <w:position w:val="2"/>
        </w:rPr>
        <w:t xml:space="preserve"> </w:t>
      </w:r>
      <w:r>
        <w:rPr>
          <w:position w:val="2"/>
        </w:rPr>
        <w:t>PM high</w:t>
      </w:r>
      <w:r>
        <w:rPr>
          <w:spacing w:val="2"/>
          <w:position w:val="2"/>
        </w:rPr>
        <w:t xml:space="preserve"> </w:t>
      </w:r>
      <w:r>
        <w:rPr>
          <w:position w:val="2"/>
        </w:rPr>
        <w:t>impo</w:t>
      </w:r>
      <w:r>
        <w:rPr>
          <w:spacing w:val="1"/>
          <w:position w:val="2"/>
        </w:rPr>
        <w:t>r</w:t>
      </w:r>
      <w:r>
        <w:rPr>
          <w:position w:val="2"/>
        </w:rPr>
        <w:t>t</w:t>
      </w:r>
      <w:r>
        <w:rPr>
          <w:spacing w:val="-1"/>
          <w:position w:val="2"/>
        </w:rPr>
        <w:t>a</w:t>
      </w:r>
      <w:r>
        <w:rPr>
          <w:position w:val="2"/>
        </w:rPr>
        <w:t>n</w:t>
      </w:r>
      <w:r>
        <w:rPr>
          <w:spacing w:val="-1"/>
          <w:position w:val="2"/>
        </w:rPr>
        <w:t>c</w:t>
      </w:r>
      <w:r>
        <w:rPr>
          <w:position w:val="2"/>
        </w:rPr>
        <w:t>e</w:t>
      </w:r>
      <w:r>
        <w:rPr>
          <w:spacing w:val="6"/>
          <w:position w:val="2"/>
        </w:rPr>
        <w:t xml:space="preserve"> </w:t>
      </w:r>
      <w:r>
        <w:rPr>
          <w:spacing w:val="-6"/>
          <w:position w:val="2"/>
        </w:rPr>
        <w:t>c</w:t>
      </w:r>
      <w:r>
        <w:rPr>
          <w:position w:val="2"/>
        </w:rPr>
        <w:t>ondition,</w:t>
      </w:r>
      <w:r>
        <w:rPr>
          <w:spacing w:val="4"/>
          <w:position w:val="2"/>
        </w:rPr>
        <w:t xml:space="preserve"> </w:t>
      </w:r>
      <w:r>
        <w:rPr>
          <w:position w:val="2"/>
        </w:rPr>
        <w:t>ho</w:t>
      </w:r>
      <w:r>
        <w:rPr>
          <w:spacing w:val="-1"/>
          <w:position w:val="2"/>
        </w:rPr>
        <w:t>we</w:t>
      </w:r>
      <w:r>
        <w:rPr>
          <w:position w:val="2"/>
        </w:rPr>
        <w:t>v</w:t>
      </w:r>
      <w:r>
        <w:rPr>
          <w:spacing w:val="-1"/>
          <w:position w:val="2"/>
        </w:rPr>
        <w:t>e</w:t>
      </w:r>
      <w:r>
        <w:rPr>
          <w:spacing w:val="1"/>
          <w:position w:val="2"/>
        </w:rPr>
        <w:t>r</w:t>
      </w:r>
      <w:r>
        <w:rPr>
          <w:position w:val="2"/>
        </w:rPr>
        <w:t>,</w:t>
      </w:r>
      <w:r>
        <w:rPr>
          <w:spacing w:val="4"/>
          <w:position w:val="2"/>
        </w:rPr>
        <w:t xml:space="preserve"> </w:t>
      </w:r>
      <w:r>
        <w:rPr>
          <w:position w:val="2"/>
        </w:rPr>
        <w:t>PM</w:t>
      </w:r>
      <w:r>
        <w:rPr>
          <w:spacing w:val="5"/>
          <w:position w:val="2"/>
        </w:rPr>
        <w:t xml:space="preserve"> </w:t>
      </w:r>
      <w:r>
        <w:rPr>
          <w:position w:val="2"/>
        </w:rPr>
        <w:t>p</w:t>
      </w:r>
      <w:r>
        <w:rPr>
          <w:spacing w:val="-1"/>
          <w:position w:val="2"/>
        </w:rPr>
        <w:t>e</w:t>
      </w:r>
      <w:r>
        <w:rPr>
          <w:spacing w:val="1"/>
          <w:position w:val="2"/>
        </w:rPr>
        <w:t>rf</w:t>
      </w:r>
      <w:r>
        <w:rPr>
          <w:spacing w:val="-5"/>
          <w:position w:val="2"/>
        </w:rPr>
        <w:t>o</w:t>
      </w:r>
      <w:r>
        <w:rPr>
          <w:spacing w:val="1"/>
          <w:position w:val="2"/>
        </w:rPr>
        <w:t>r</w:t>
      </w:r>
      <w:r>
        <w:rPr>
          <w:position w:val="2"/>
        </w:rPr>
        <w:t>m</w:t>
      </w:r>
      <w:r>
        <w:rPr>
          <w:spacing w:val="-1"/>
          <w:position w:val="2"/>
        </w:rPr>
        <w:t>a</w:t>
      </w:r>
      <w:r>
        <w:rPr>
          <w:position w:val="2"/>
        </w:rPr>
        <w:t>n</w:t>
      </w:r>
      <w:r>
        <w:rPr>
          <w:spacing w:val="-1"/>
          <w:position w:val="2"/>
        </w:rPr>
        <w:t>c</w:t>
      </w:r>
      <w:r>
        <w:rPr>
          <w:position w:val="2"/>
        </w:rPr>
        <w:t>e</w:t>
      </w:r>
      <w:r>
        <w:rPr>
          <w:spacing w:val="6"/>
          <w:position w:val="2"/>
        </w:rPr>
        <w:t xml:space="preserve"> </w:t>
      </w:r>
      <w:r>
        <w:rPr>
          <w:position w:val="2"/>
        </w:rPr>
        <w:t>did not</w:t>
      </w:r>
      <w:r>
        <w:rPr>
          <w:spacing w:val="22"/>
          <w:position w:val="2"/>
        </w:rPr>
        <w:t xml:space="preserve"> </w:t>
      </w:r>
      <w:r>
        <w:rPr>
          <w:position w:val="2"/>
        </w:rPr>
        <w:t>di</w:t>
      </w:r>
      <w:r>
        <w:rPr>
          <w:spacing w:val="-4"/>
          <w:position w:val="2"/>
        </w:rPr>
        <w:t>f</w:t>
      </w:r>
      <w:r>
        <w:rPr>
          <w:spacing w:val="1"/>
          <w:position w:val="2"/>
        </w:rPr>
        <w:t>f</w:t>
      </w:r>
      <w:r>
        <w:rPr>
          <w:spacing w:val="-1"/>
          <w:position w:val="2"/>
        </w:rPr>
        <w:t>e</w:t>
      </w:r>
      <w:r>
        <w:rPr>
          <w:position w:val="2"/>
        </w:rPr>
        <w:t>r</w:t>
      </w:r>
      <w:r>
        <w:rPr>
          <w:spacing w:val="18"/>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ca</w:t>
      </w:r>
      <w:r>
        <w:rPr>
          <w:position w:val="2"/>
        </w:rPr>
        <w:t>ntly</w:t>
      </w:r>
      <w:r>
        <w:rPr>
          <w:spacing w:val="16"/>
          <w:position w:val="2"/>
        </w:rPr>
        <w:t xml:space="preserve"> </w:t>
      </w:r>
      <w:r>
        <w:rPr>
          <w:position w:val="2"/>
        </w:rPr>
        <w:t>b</w:t>
      </w:r>
      <w:r>
        <w:rPr>
          <w:spacing w:val="-1"/>
          <w:position w:val="2"/>
        </w:rPr>
        <w:t>e</w:t>
      </w:r>
      <w:r>
        <w:rPr>
          <w:position w:val="2"/>
        </w:rPr>
        <w:t>t</w:t>
      </w:r>
      <w:r>
        <w:rPr>
          <w:spacing w:val="-1"/>
          <w:position w:val="2"/>
        </w:rPr>
        <w:t>wee</w:t>
      </w:r>
      <w:r>
        <w:rPr>
          <w:position w:val="2"/>
        </w:rPr>
        <w:t>n</w:t>
      </w:r>
      <w:r>
        <w:rPr>
          <w:spacing w:val="21"/>
          <w:position w:val="2"/>
        </w:rPr>
        <w:t xml:space="preserve"> </w:t>
      </w:r>
      <w:r>
        <w:rPr>
          <w:position w:val="2"/>
        </w:rPr>
        <w:t>g</w:t>
      </w:r>
      <w:r>
        <w:rPr>
          <w:spacing w:val="1"/>
          <w:position w:val="2"/>
        </w:rPr>
        <w:t>r</w:t>
      </w:r>
      <w:r>
        <w:rPr>
          <w:position w:val="2"/>
        </w:rPr>
        <w:t>oup</w:t>
      </w:r>
      <w:r>
        <w:rPr>
          <w:spacing w:val="-3"/>
          <w:position w:val="2"/>
        </w:rPr>
        <w:t>s</w:t>
      </w:r>
      <w:r>
        <w:rPr>
          <w:position w:val="2"/>
        </w:rPr>
        <w:t>,</w:t>
      </w:r>
      <w:r>
        <w:rPr>
          <w:spacing w:val="19"/>
          <w:position w:val="2"/>
        </w:rPr>
        <w:t xml:space="preserve"> </w:t>
      </w:r>
      <w:r>
        <w:rPr>
          <w:i/>
          <w:spacing w:val="-3"/>
          <w:position w:val="2"/>
        </w:rPr>
        <w:t>F</w:t>
      </w:r>
      <w:r>
        <w:rPr>
          <w:spacing w:val="1"/>
          <w:position w:val="2"/>
        </w:rPr>
        <w:t>(</w:t>
      </w:r>
      <w:r>
        <w:rPr>
          <w:position w:val="2"/>
        </w:rPr>
        <w:t>1</w:t>
      </w:r>
      <w:r>
        <w:rPr>
          <w:spacing w:val="2"/>
          <w:position w:val="2"/>
        </w:rPr>
        <w:t>,</w:t>
      </w:r>
      <w:r>
        <w:rPr>
          <w:position w:val="2"/>
        </w:rPr>
        <w:t>3</w:t>
      </w:r>
      <w:r>
        <w:rPr>
          <w:spacing w:val="-5"/>
          <w:position w:val="2"/>
        </w:rPr>
        <w:t>6</w:t>
      </w:r>
      <w:r>
        <w:rPr>
          <w:position w:val="2"/>
        </w:rPr>
        <w:t>)</w:t>
      </w:r>
      <w:r>
        <w:rPr>
          <w:spacing w:val="23"/>
          <w:position w:val="2"/>
        </w:rPr>
        <w:t xml:space="preserve"> </w:t>
      </w:r>
      <w:r>
        <w:rPr>
          <w:position w:val="2"/>
        </w:rPr>
        <w:t>=</w:t>
      </w:r>
      <w:r>
        <w:rPr>
          <w:spacing w:val="15"/>
          <w:position w:val="2"/>
        </w:rPr>
        <w:t xml:space="preserve"> </w:t>
      </w:r>
      <w:r>
        <w:rPr>
          <w:position w:val="2"/>
        </w:rPr>
        <w:t>1</w:t>
      </w:r>
      <w:r>
        <w:rPr>
          <w:spacing w:val="2"/>
          <w:position w:val="2"/>
        </w:rPr>
        <w:t>.</w:t>
      </w:r>
      <w:r>
        <w:rPr>
          <w:position w:val="2"/>
        </w:rPr>
        <w:t>9</w:t>
      </w:r>
      <w:r>
        <w:rPr>
          <w:spacing w:val="-5"/>
          <w:position w:val="2"/>
        </w:rPr>
        <w:t>2</w:t>
      </w:r>
      <w:r>
        <w:rPr>
          <w:position w:val="2"/>
        </w:rPr>
        <w:t>,</w:t>
      </w:r>
      <w:r>
        <w:rPr>
          <w:spacing w:val="19"/>
          <w:position w:val="2"/>
        </w:rPr>
        <w:t xml:space="preserve"> </w:t>
      </w:r>
      <w:r>
        <w:rPr>
          <w:i/>
          <w:position w:val="2"/>
        </w:rPr>
        <w:t>p</w:t>
      </w:r>
      <w:r>
        <w:rPr>
          <w:i/>
          <w:spacing w:val="21"/>
          <w:position w:val="2"/>
        </w:rPr>
        <w:t xml:space="preserve"> </w:t>
      </w:r>
      <w:r>
        <w:rPr>
          <w:position w:val="2"/>
        </w:rPr>
        <w:t>=</w:t>
      </w:r>
      <w:r>
        <w:rPr>
          <w:spacing w:val="15"/>
          <w:position w:val="2"/>
        </w:rPr>
        <w:t xml:space="preserve"> </w:t>
      </w:r>
      <w:r>
        <w:rPr>
          <w:spacing w:val="2"/>
          <w:position w:val="2"/>
        </w:rPr>
        <w:t>.</w:t>
      </w:r>
      <w:r>
        <w:rPr>
          <w:position w:val="2"/>
        </w:rPr>
        <w:t>1</w:t>
      </w:r>
      <w:r>
        <w:rPr>
          <w:spacing w:val="-5"/>
          <w:position w:val="2"/>
        </w:rPr>
        <w:t>7</w:t>
      </w:r>
      <w:r>
        <w:rPr>
          <w:position w:val="2"/>
        </w:rPr>
        <w:t>,</w:t>
      </w:r>
      <w:r>
        <w:rPr>
          <w:spacing w:val="14"/>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11"/>
          <w:position w:val="2"/>
        </w:rPr>
        <w:t xml:space="preserve"> </w:t>
      </w:r>
      <w:r>
        <w:rPr>
          <w:position w:val="2"/>
        </w:rPr>
        <w:t>=</w:t>
      </w:r>
      <w:r>
        <w:rPr>
          <w:spacing w:val="20"/>
          <w:position w:val="2"/>
        </w:rPr>
        <w:t xml:space="preserve"> </w:t>
      </w:r>
      <w:r>
        <w:rPr>
          <w:spacing w:val="2"/>
          <w:position w:val="2"/>
        </w:rPr>
        <w:t>.</w:t>
      </w:r>
      <w:r>
        <w:rPr>
          <w:position w:val="2"/>
        </w:rPr>
        <w:t>05,</w:t>
      </w:r>
      <w:r>
        <w:rPr>
          <w:spacing w:val="19"/>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24"/>
          <w:position w:val="2"/>
        </w:rPr>
        <w:t xml:space="preserve"> </w:t>
      </w:r>
      <w:r>
        <w:rPr>
          <w:position w:val="2"/>
        </w:rPr>
        <w:t>=</w:t>
      </w:r>
      <w:r>
        <w:rPr>
          <w:spacing w:val="15"/>
          <w:position w:val="2"/>
        </w:rPr>
        <w:t xml:space="preserve"> </w:t>
      </w:r>
      <w:r>
        <w:rPr>
          <w:spacing w:val="-5"/>
          <w:position w:val="2"/>
        </w:rPr>
        <w:t>0</w:t>
      </w:r>
      <w:r>
        <w:rPr>
          <w:spacing w:val="2"/>
          <w:position w:val="2"/>
        </w:rPr>
        <w:t>.</w:t>
      </w:r>
      <w:r>
        <w:rPr>
          <w:position w:val="2"/>
        </w:rPr>
        <w:t>67</w:t>
      </w:r>
      <w:r>
        <w:rPr>
          <w:spacing w:val="16"/>
          <w:position w:val="2"/>
        </w:rPr>
        <w:t xml:space="preserve"> </w:t>
      </w:r>
      <w:r>
        <w:rPr>
          <w:spacing w:val="1"/>
          <w:position w:val="2"/>
        </w:rPr>
        <w:t>(</w:t>
      </w:r>
      <w:r>
        <w:rPr>
          <w:spacing w:val="-3"/>
          <w:position w:val="2"/>
        </w:rPr>
        <w:t>s</w:t>
      </w:r>
      <w:r>
        <w:rPr>
          <w:spacing w:val="-1"/>
          <w:position w:val="2"/>
        </w:rPr>
        <w:t>e</w:t>
      </w:r>
      <w:r>
        <w:rPr>
          <w:position w:val="2"/>
        </w:rPr>
        <w:t xml:space="preserve">e </w:t>
      </w:r>
      <w:r>
        <w:rPr>
          <w:w w:val="105"/>
        </w:rPr>
        <w:t>Ongoing and PM performance scores by condition of sub-sample matched with groups matched</w:t>
      </w:r>
      <w:r>
        <w:rPr>
          <w:spacing w:val="-28"/>
          <w:w w:val="105"/>
        </w:rPr>
        <w:t xml:space="preserve"> </w:t>
      </w:r>
      <w:r>
        <w:rPr>
          <w:w w:val="105"/>
        </w:rPr>
        <w:t>for</w:t>
      </w:r>
      <w:r>
        <w:rPr>
          <w:spacing w:val="-28"/>
          <w:w w:val="105"/>
        </w:rPr>
        <w:t xml:space="preserve"> </w:t>
      </w:r>
      <w:r>
        <w:rPr>
          <w:w w:val="105"/>
        </w:rPr>
        <w:t>ongoing</w:t>
      </w:r>
      <w:r>
        <w:rPr>
          <w:spacing w:val="-29"/>
          <w:w w:val="105"/>
        </w:rPr>
        <w:t xml:space="preserve"> </w:t>
      </w:r>
      <w:r>
        <w:rPr>
          <w:w w:val="105"/>
        </w:rPr>
        <w:t>task</w:t>
      </w:r>
      <w:r>
        <w:rPr>
          <w:spacing w:val="-30"/>
          <w:w w:val="105"/>
        </w:rPr>
        <w:t xml:space="preserve"> </w:t>
      </w:r>
      <w:r>
        <w:rPr>
          <w:w w:val="105"/>
        </w:rPr>
        <w:t>performance</w:t>
      </w:r>
      <w:r>
        <w:rPr>
          <w:spacing w:val="-27"/>
          <w:w w:val="105"/>
        </w:rPr>
        <w:t xml:space="preserve"> </w:t>
      </w:r>
      <w:r>
        <w:rPr>
          <w:w w:val="105"/>
        </w:rPr>
        <w:t>(collapsed</w:t>
      </w:r>
      <w:r>
        <w:rPr>
          <w:spacing w:val="-29"/>
          <w:w w:val="105"/>
        </w:rPr>
        <w:t xml:space="preserve"> </w:t>
      </w:r>
      <w:r>
        <w:rPr>
          <w:w w:val="105"/>
        </w:rPr>
        <w:t>across</w:t>
      </w:r>
      <w:r>
        <w:rPr>
          <w:spacing w:val="-29"/>
          <w:w w:val="105"/>
        </w:rPr>
        <w:t xml:space="preserve"> </w:t>
      </w:r>
      <w:r>
        <w:rPr>
          <w:w w:val="105"/>
        </w:rPr>
        <w:t>conditions)Table</w:t>
      </w:r>
      <w:r>
        <w:rPr>
          <w:spacing w:val="-27"/>
          <w:w w:val="105"/>
        </w:rPr>
        <w:t xml:space="preserve"> </w:t>
      </w:r>
      <w:r>
        <w:rPr>
          <w:w w:val="105"/>
        </w:rPr>
        <w:t>A3</w:t>
      </w:r>
      <w:r>
        <w:rPr>
          <w:spacing w:val="-29"/>
          <w:w w:val="105"/>
        </w:rPr>
        <w:t xml:space="preserve"> </w:t>
      </w:r>
      <w:r>
        <w:rPr>
          <w:w w:val="105"/>
        </w:rPr>
        <w:t>for</w:t>
      </w:r>
      <w:r>
        <w:rPr>
          <w:spacing w:val="-29"/>
          <w:w w:val="105"/>
        </w:rPr>
        <w:t xml:space="preserve"> </w:t>
      </w:r>
      <w:r>
        <w:rPr>
          <w:w w:val="105"/>
        </w:rPr>
        <w:t>means</w:t>
      </w:r>
      <w:r>
        <w:rPr>
          <w:spacing w:val="-28"/>
          <w:w w:val="105"/>
        </w:rPr>
        <w:t xml:space="preserve"> </w:t>
      </w:r>
      <w:r>
        <w:rPr>
          <w:w w:val="105"/>
        </w:rPr>
        <w:t>and SD).</w:t>
      </w:r>
      <w:r>
        <w:rPr>
          <w:spacing w:val="4"/>
          <w:w w:val="105"/>
        </w:rPr>
        <w:t xml:space="preserve"> </w:t>
      </w:r>
      <w:r>
        <w:rPr>
          <w:w w:val="105"/>
        </w:rPr>
        <w:t>However,</w:t>
      </w:r>
      <w:r>
        <w:rPr>
          <w:spacing w:val="-29"/>
          <w:w w:val="105"/>
        </w:rPr>
        <w:t xml:space="preserve"> </w:t>
      </w:r>
      <w:r>
        <w:rPr>
          <w:w w:val="105"/>
        </w:rPr>
        <w:t>both</w:t>
      </w:r>
      <w:r>
        <w:rPr>
          <w:spacing w:val="-30"/>
          <w:w w:val="105"/>
        </w:rPr>
        <w:t xml:space="preserve"> </w:t>
      </w:r>
      <w:r>
        <w:rPr>
          <w:w w:val="105"/>
        </w:rPr>
        <w:t>groups</w:t>
      </w:r>
      <w:r>
        <w:rPr>
          <w:spacing w:val="-31"/>
          <w:w w:val="105"/>
        </w:rPr>
        <w:t xml:space="preserve"> </w:t>
      </w:r>
      <w:r>
        <w:rPr>
          <w:w w:val="105"/>
        </w:rPr>
        <w:t>performed</w:t>
      </w:r>
      <w:r>
        <w:rPr>
          <w:spacing w:val="-27"/>
          <w:w w:val="105"/>
        </w:rPr>
        <w:t xml:space="preserve"> </w:t>
      </w:r>
      <w:r>
        <w:rPr>
          <w:w w:val="105"/>
        </w:rPr>
        <w:t>at</w:t>
      </w:r>
      <w:r>
        <w:rPr>
          <w:spacing w:val="-30"/>
          <w:w w:val="105"/>
        </w:rPr>
        <w:t xml:space="preserve"> </w:t>
      </w:r>
      <w:r>
        <w:rPr>
          <w:w w:val="105"/>
        </w:rPr>
        <w:t>ceiling</w:t>
      </w:r>
      <w:r>
        <w:rPr>
          <w:spacing w:val="-30"/>
          <w:w w:val="105"/>
        </w:rPr>
        <w:t xml:space="preserve"> </w:t>
      </w:r>
      <w:r>
        <w:rPr>
          <w:spacing w:val="-3"/>
          <w:w w:val="105"/>
        </w:rPr>
        <w:t>in</w:t>
      </w:r>
      <w:r>
        <w:rPr>
          <w:spacing w:val="-28"/>
          <w:w w:val="105"/>
        </w:rPr>
        <w:t xml:space="preserve"> </w:t>
      </w:r>
      <w:r>
        <w:rPr>
          <w:w w:val="105"/>
        </w:rPr>
        <w:t>the</w:t>
      </w:r>
      <w:r>
        <w:rPr>
          <w:spacing w:val="-30"/>
          <w:w w:val="105"/>
        </w:rPr>
        <w:t xml:space="preserve"> </w:t>
      </w:r>
      <w:r>
        <w:rPr>
          <w:w w:val="105"/>
        </w:rPr>
        <w:t>PM</w:t>
      </w:r>
      <w:r>
        <w:rPr>
          <w:spacing w:val="-29"/>
          <w:w w:val="105"/>
        </w:rPr>
        <w:t xml:space="preserve"> </w:t>
      </w:r>
      <w:r>
        <w:rPr>
          <w:w w:val="105"/>
        </w:rPr>
        <w:t>high</w:t>
      </w:r>
      <w:r>
        <w:rPr>
          <w:spacing w:val="-30"/>
          <w:w w:val="105"/>
        </w:rPr>
        <w:t xml:space="preserve"> </w:t>
      </w:r>
      <w:r>
        <w:rPr>
          <w:w w:val="105"/>
        </w:rPr>
        <w:t>importance</w:t>
      </w:r>
      <w:r>
        <w:rPr>
          <w:spacing w:val="-28"/>
          <w:w w:val="105"/>
        </w:rPr>
        <w:t xml:space="preserve"> </w:t>
      </w:r>
      <w:r>
        <w:rPr>
          <w:w w:val="105"/>
        </w:rPr>
        <w:t>condition,</w:t>
      </w:r>
      <w:r>
        <w:rPr>
          <w:spacing w:val="-29"/>
          <w:w w:val="105"/>
        </w:rPr>
        <w:t xml:space="preserve"> </w:t>
      </w:r>
      <w:r>
        <w:rPr>
          <w:w w:val="105"/>
        </w:rPr>
        <w:t xml:space="preserve">ASD: </w:t>
      </w:r>
      <w:r>
        <w:rPr>
          <w:i/>
          <w:w w:val="105"/>
        </w:rPr>
        <w:t>t</w:t>
      </w:r>
      <w:r>
        <w:rPr>
          <w:w w:val="105"/>
        </w:rPr>
        <w:t>(18)</w:t>
      </w:r>
      <w:r>
        <w:rPr>
          <w:spacing w:val="-29"/>
          <w:w w:val="105"/>
        </w:rPr>
        <w:t xml:space="preserve"> </w:t>
      </w:r>
      <w:r>
        <w:rPr>
          <w:w w:val="105"/>
        </w:rPr>
        <w:t>=</w:t>
      </w:r>
      <w:r>
        <w:rPr>
          <w:spacing w:val="-30"/>
          <w:w w:val="105"/>
        </w:rPr>
        <w:t xml:space="preserve"> </w:t>
      </w:r>
      <w:r>
        <w:rPr>
          <w:w w:val="105"/>
        </w:rPr>
        <w:t>=1.61,</w:t>
      </w:r>
      <w:r>
        <w:rPr>
          <w:spacing w:val="-30"/>
          <w:w w:val="105"/>
        </w:rPr>
        <w:t xml:space="preserve"> </w:t>
      </w:r>
      <w:r>
        <w:rPr>
          <w:i/>
          <w:w w:val="105"/>
        </w:rPr>
        <w:t>p</w:t>
      </w:r>
      <w:r>
        <w:rPr>
          <w:i/>
          <w:spacing w:val="-30"/>
          <w:w w:val="105"/>
        </w:rPr>
        <w:t xml:space="preserve"> </w:t>
      </w:r>
      <w:r>
        <w:rPr>
          <w:w w:val="105"/>
        </w:rPr>
        <w:t>=</w:t>
      </w:r>
      <w:r>
        <w:rPr>
          <w:spacing w:val="-32"/>
          <w:w w:val="105"/>
        </w:rPr>
        <w:t xml:space="preserve"> </w:t>
      </w:r>
      <w:r>
        <w:rPr>
          <w:w w:val="105"/>
        </w:rPr>
        <w:t>.13,</w:t>
      </w:r>
      <w:r>
        <w:rPr>
          <w:spacing w:val="-28"/>
          <w:w w:val="105"/>
        </w:rPr>
        <w:t xml:space="preserve"> </w:t>
      </w:r>
      <w:r>
        <w:rPr>
          <w:w w:val="105"/>
        </w:rPr>
        <w:t>NT:</w:t>
      </w:r>
      <w:r>
        <w:rPr>
          <w:spacing w:val="-29"/>
          <w:w w:val="105"/>
        </w:rPr>
        <w:t xml:space="preserve"> </w:t>
      </w:r>
      <w:r>
        <w:rPr>
          <w:i/>
          <w:w w:val="105"/>
        </w:rPr>
        <w:t>t</w:t>
      </w:r>
      <w:r>
        <w:rPr>
          <w:w w:val="105"/>
        </w:rPr>
        <w:t>(18)</w:t>
      </w:r>
      <w:r>
        <w:rPr>
          <w:spacing w:val="-31"/>
          <w:w w:val="105"/>
        </w:rPr>
        <w:t xml:space="preserve"> </w:t>
      </w:r>
      <w:r>
        <w:rPr>
          <w:w w:val="105"/>
        </w:rPr>
        <w:t>=</w:t>
      </w:r>
      <w:r>
        <w:rPr>
          <w:spacing w:val="-30"/>
          <w:w w:val="105"/>
        </w:rPr>
        <w:t xml:space="preserve"> </w:t>
      </w:r>
      <w:r>
        <w:rPr>
          <w:w w:val="105"/>
        </w:rPr>
        <w:t>-1.00,</w:t>
      </w:r>
      <w:r>
        <w:rPr>
          <w:spacing w:val="-28"/>
          <w:w w:val="105"/>
        </w:rPr>
        <w:t xml:space="preserve"> </w:t>
      </w:r>
      <w:r>
        <w:rPr>
          <w:i/>
          <w:w w:val="105"/>
        </w:rPr>
        <w:t>p</w:t>
      </w:r>
      <w:r>
        <w:rPr>
          <w:i/>
          <w:spacing w:val="-32"/>
          <w:w w:val="105"/>
        </w:rPr>
        <w:t xml:space="preserve"> </w:t>
      </w:r>
      <w:r>
        <w:rPr>
          <w:w w:val="105"/>
        </w:rPr>
        <w:t>=</w:t>
      </w:r>
      <w:r>
        <w:rPr>
          <w:spacing w:val="-30"/>
          <w:w w:val="105"/>
        </w:rPr>
        <w:t xml:space="preserve"> </w:t>
      </w:r>
      <w:r>
        <w:rPr>
          <w:w w:val="105"/>
        </w:rPr>
        <w:t>.33;</w:t>
      </w:r>
      <w:r>
        <w:rPr>
          <w:spacing w:val="-29"/>
          <w:w w:val="105"/>
        </w:rPr>
        <w:t xml:space="preserve"> </w:t>
      </w:r>
      <w:r>
        <w:rPr>
          <w:w w:val="105"/>
        </w:rPr>
        <w:t>thus</w:t>
      </w:r>
      <w:r>
        <w:rPr>
          <w:spacing w:val="-30"/>
          <w:w w:val="105"/>
        </w:rPr>
        <w:t xml:space="preserve"> </w:t>
      </w:r>
      <w:r>
        <w:rPr>
          <w:w w:val="105"/>
        </w:rPr>
        <w:t>cautious</w:t>
      </w:r>
      <w:r>
        <w:rPr>
          <w:spacing w:val="-31"/>
          <w:w w:val="105"/>
        </w:rPr>
        <w:t xml:space="preserve"> </w:t>
      </w:r>
      <w:r>
        <w:rPr>
          <w:w w:val="105"/>
        </w:rPr>
        <w:t>interpretation</w:t>
      </w:r>
      <w:r>
        <w:rPr>
          <w:spacing w:val="-29"/>
          <w:w w:val="105"/>
        </w:rPr>
        <w:t xml:space="preserve"> </w:t>
      </w:r>
      <w:r>
        <w:rPr>
          <w:w w:val="105"/>
        </w:rPr>
        <w:t>of</w:t>
      </w:r>
      <w:r>
        <w:rPr>
          <w:spacing w:val="-31"/>
          <w:w w:val="105"/>
        </w:rPr>
        <w:t xml:space="preserve"> </w:t>
      </w:r>
      <w:r>
        <w:rPr>
          <w:w w:val="105"/>
        </w:rPr>
        <w:t>the</w:t>
      </w:r>
      <w:r>
        <w:rPr>
          <w:spacing w:val="-30"/>
          <w:w w:val="105"/>
        </w:rPr>
        <w:t xml:space="preserve"> </w:t>
      </w:r>
      <w:r>
        <w:rPr>
          <w:w w:val="105"/>
        </w:rPr>
        <w:t>interaction effect is</w:t>
      </w:r>
      <w:r>
        <w:rPr>
          <w:spacing w:val="-6"/>
          <w:w w:val="105"/>
        </w:rPr>
        <w:t xml:space="preserve"> </w:t>
      </w:r>
      <w:r>
        <w:rPr>
          <w:w w:val="105"/>
        </w:rPr>
        <w:t>required.</w:t>
      </w:r>
    </w:p>
    <w:p w14:paraId="4B6A6A51" w14:textId="77777777" w:rsidR="00C75312" w:rsidRDefault="00C75312">
      <w:pPr>
        <w:spacing w:line="482" w:lineRule="auto"/>
        <w:jc w:val="both"/>
        <w:sectPr w:rsidR="00C75312">
          <w:pgSz w:w="11900" w:h="16840"/>
          <w:pgMar w:top="1160" w:right="1200" w:bottom="280" w:left="1300" w:header="720" w:footer="0" w:gutter="0"/>
          <w:cols w:space="720"/>
        </w:sectPr>
      </w:pPr>
    </w:p>
    <w:p w14:paraId="4C7D8B41" w14:textId="77777777" w:rsidR="00C75312" w:rsidRDefault="00C75312">
      <w:pPr>
        <w:pStyle w:val="BodyText"/>
        <w:spacing w:before="9"/>
        <w:rPr>
          <w:sz w:val="15"/>
        </w:rPr>
      </w:pPr>
    </w:p>
    <w:p w14:paraId="075410B0" w14:textId="77777777" w:rsidR="00C75312" w:rsidRDefault="00BB293A">
      <w:pPr>
        <w:pStyle w:val="BodyText"/>
        <w:spacing w:before="90" w:line="477" w:lineRule="auto"/>
        <w:ind w:left="140" w:right="231" w:firstLine="720"/>
        <w:jc w:val="both"/>
      </w:pPr>
      <w:r>
        <w:pict w14:anchorId="0E09C6B2">
          <v:shape id="_x0000_s2100" type="#_x0000_t202" style="position:absolute;left:0;text-align:left;margin-left:309.1pt;margin-top:93.15pt;width:5.3pt;height:9.85pt;z-index:-260460544;mso-position-horizontal-relative:page" filled="f" stroked="f">
            <v:textbox inset="0,0,0,0">
              <w:txbxContent>
                <w:p w14:paraId="6D09263C"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28186080">
          <v:shape id="_x0000_s2099" type="#_x0000_t202" style="position:absolute;left:0;text-align:left;margin-left:7in;margin-top:150.5pt;width:5.3pt;height:9.85pt;z-index:-260459520;mso-position-horizontal-relative:page" filled="f" stroked="f">
            <v:textbox inset="0,0,0,0">
              <w:txbxContent>
                <w:p w14:paraId="6BCFFB32"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t>With regard to PM target accuracy a Group (ASD/NT) × Condition (PM low/high importance)</w:t>
      </w:r>
      <w:r>
        <w:rPr>
          <w:spacing w:val="-13"/>
        </w:rPr>
        <w:t xml:space="preserve"> </w:t>
      </w:r>
      <w:r>
        <w:t>mixed</w:t>
      </w:r>
      <w:r>
        <w:rPr>
          <w:spacing w:val="-14"/>
        </w:rPr>
        <w:t xml:space="preserve"> </w:t>
      </w:r>
      <w:r>
        <w:t>ANOVA</w:t>
      </w:r>
      <w:r>
        <w:rPr>
          <w:spacing w:val="-15"/>
        </w:rPr>
        <w:t xml:space="preserve"> </w:t>
      </w:r>
      <w:r>
        <w:t>was</w:t>
      </w:r>
      <w:r>
        <w:rPr>
          <w:spacing w:val="-17"/>
        </w:rPr>
        <w:t xml:space="preserve"> </w:t>
      </w:r>
      <w:r>
        <w:t>performed</w:t>
      </w:r>
      <w:r>
        <w:rPr>
          <w:spacing w:val="-18"/>
        </w:rPr>
        <w:t xml:space="preserve"> </w:t>
      </w:r>
      <w:r>
        <w:t>on</w:t>
      </w:r>
      <w:r>
        <w:rPr>
          <w:spacing w:val="-14"/>
        </w:rPr>
        <w:t xml:space="preserve"> </w:t>
      </w:r>
      <w:r>
        <w:t>the</w:t>
      </w:r>
      <w:r>
        <w:rPr>
          <w:spacing w:val="-25"/>
        </w:rPr>
        <w:t xml:space="preserve"> </w:t>
      </w:r>
      <w:r>
        <w:t>data</w:t>
      </w:r>
      <w:r>
        <w:rPr>
          <w:spacing w:val="-15"/>
        </w:rPr>
        <w:t xml:space="preserve"> </w:t>
      </w:r>
      <w:r>
        <w:t>of</w:t>
      </w:r>
      <w:r>
        <w:rPr>
          <w:spacing w:val="-12"/>
        </w:rPr>
        <w:t xml:space="preserve"> </w:t>
      </w:r>
      <w:r>
        <w:t>those</w:t>
      </w:r>
      <w:r>
        <w:rPr>
          <w:spacing w:val="-15"/>
        </w:rPr>
        <w:t xml:space="preserve"> </w:t>
      </w:r>
      <w:r>
        <w:t>participants</w:t>
      </w:r>
      <w:r>
        <w:rPr>
          <w:spacing w:val="-17"/>
        </w:rPr>
        <w:t xml:space="preserve"> </w:t>
      </w:r>
      <w:r>
        <w:t>who</w:t>
      </w:r>
      <w:r>
        <w:rPr>
          <w:spacing w:val="-14"/>
        </w:rPr>
        <w:t xml:space="preserve"> </w:t>
      </w:r>
      <w:r>
        <w:t>at</w:t>
      </w:r>
      <w:r>
        <w:rPr>
          <w:spacing w:val="-14"/>
        </w:rPr>
        <w:t xml:space="preserve"> </w:t>
      </w:r>
      <w:r>
        <w:t>a</w:t>
      </w:r>
      <w:r>
        <w:rPr>
          <w:spacing w:val="-19"/>
        </w:rPr>
        <w:t xml:space="preserve"> </w:t>
      </w:r>
      <w:r>
        <w:t>minimum of</w:t>
      </w:r>
      <w:r>
        <w:rPr>
          <w:spacing w:val="-3"/>
        </w:rPr>
        <w:t xml:space="preserve"> </w:t>
      </w:r>
      <w:r>
        <w:t>one</w:t>
      </w:r>
      <w:r>
        <w:rPr>
          <w:spacing w:val="-10"/>
        </w:rPr>
        <w:t xml:space="preserve"> </w:t>
      </w:r>
      <w:r>
        <w:t>PM</w:t>
      </w:r>
      <w:r>
        <w:rPr>
          <w:spacing w:val="-7"/>
        </w:rPr>
        <w:t xml:space="preserve"> </w:t>
      </w:r>
      <w:r>
        <w:t>hit</w:t>
      </w:r>
      <w:r>
        <w:rPr>
          <w:spacing w:val="-8"/>
        </w:rPr>
        <w:t xml:space="preserve"> </w:t>
      </w:r>
      <w:r>
        <w:t>(low</w:t>
      </w:r>
      <w:r>
        <w:rPr>
          <w:spacing w:val="-9"/>
        </w:rPr>
        <w:t xml:space="preserve"> </w:t>
      </w:r>
      <w:r>
        <w:t>importance</w:t>
      </w:r>
      <w:r>
        <w:rPr>
          <w:spacing w:val="-6"/>
        </w:rPr>
        <w:t xml:space="preserve"> </w:t>
      </w:r>
      <w:r>
        <w:t>both</w:t>
      </w:r>
      <w:r>
        <w:rPr>
          <w:spacing w:val="-4"/>
        </w:rPr>
        <w:t xml:space="preserve"> </w:t>
      </w:r>
      <w:r>
        <w:t>groups</w:t>
      </w:r>
      <w:r>
        <w:rPr>
          <w:spacing w:val="-7"/>
        </w:rPr>
        <w:t xml:space="preserve"> </w:t>
      </w:r>
      <w:r>
        <w:rPr>
          <w:i/>
        </w:rPr>
        <w:t>n</w:t>
      </w:r>
      <w:r>
        <w:rPr>
          <w:i/>
          <w:spacing w:val="-9"/>
        </w:rPr>
        <w:t xml:space="preserve"> </w:t>
      </w:r>
      <w:r>
        <w:t>=</w:t>
      </w:r>
      <w:r>
        <w:rPr>
          <w:spacing w:val="-6"/>
        </w:rPr>
        <w:t xml:space="preserve"> </w:t>
      </w:r>
      <w:r>
        <w:t>23,</w:t>
      </w:r>
      <w:r>
        <w:rPr>
          <w:spacing w:val="-6"/>
        </w:rPr>
        <w:t xml:space="preserve"> </w:t>
      </w:r>
      <w:r>
        <w:t>high</w:t>
      </w:r>
      <w:r>
        <w:rPr>
          <w:spacing w:val="-4"/>
        </w:rPr>
        <w:t xml:space="preserve"> </w:t>
      </w:r>
      <w:r>
        <w:t>importance</w:t>
      </w:r>
      <w:r>
        <w:rPr>
          <w:spacing w:val="-11"/>
        </w:rPr>
        <w:t xml:space="preserve"> </w:t>
      </w:r>
      <w:r>
        <w:t>ASD:</w:t>
      </w:r>
      <w:r>
        <w:rPr>
          <w:spacing w:val="-3"/>
        </w:rPr>
        <w:t xml:space="preserve"> </w:t>
      </w:r>
      <w:r>
        <w:rPr>
          <w:i/>
        </w:rPr>
        <w:t>n</w:t>
      </w:r>
      <w:r>
        <w:rPr>
          <w:i/>
          <w:spacing w:val="-10"/>
        </w:rPr>
        <w:t xml:space="preserve"> </w:t>
      </w:r>
      <w:r>
        <w:t>=</w:t>
      </w:r>
      <w:r>
        <w:rPr>
          <w:spacing w:val="-5"/>
        </w:rPr>
        <w:t xml:space="preserve"> </w:t>
      </w:r>
      <w:r>
        <w:t>18,</w:t>
      </w:r>
      <w:r>
        <w:rPr>
          <w:spacing w:val="-6"/>
        </w:rPr>
        <w:t xml:space="preserve"> </w:t>
      </w:r>
      <w:r>
        <w:t>TD:</w:t>
      </w:r>
      <w:r>
        <w:rPr>
          <w:spacing w:val="-9"/>
        </w:rPr>
        <w:t xml:space="preserve"> </w:t>
      </w:r>
      <w:r>
        <w:rPr>
          <w:i/>
        </w:rPr>
        <w:t>n</w:t>
      </w:r>
      <w:r>
        <w:rPr>
          <w:i/>
          <w:spacing w:val="-4"/>
        </w:rPr>
        <w:t xml:space="preserve"> </w:t>
      </w:r>
      <w:r>
        <w:t>=</w:t>
      </w:r>
      <w:r>
        <w:rPr>
          <w:spacing w:val="-11"/>
        </w:rPr>
        <w:t xml:space="preserve"> </w:t>
      </w:r>
      <w:r>
        <w:t xml:space="preserve">19). </w:t>
      </w:r>
      <w:r>
        <w:rPr>
          <w:position w:val="2"/>
        </w:rPr>
        <w:t>A</w:t>
      </w:r>
      <w:r>
        <w:rPr>
          <w:spacing w:val="1"/>
          <w:position w:val="2"/>
        </w:rPr>
        <w:t xml:space="preserve"> </w:t>
      </w:r>
      <w:r>
        <w:rPr>
          <w:position w:val="2"/>
        </w:rPr>
        <w:t>m</w:t>
      </w:r>
      <w:r>
        <w:rPr>
          <w:spacing w:val="-1"/>
          <w:position w:val="2"/>
        </w:rPr>
        <w:t>a</w:t>
      </w:r>
      <w:r>
        <w:rPr>
          <w:position w:val="2"/>
        </w:rPr>
        <w:t>in</w:t>
      </w:r>
      <w:r>
        <w:rPr>
          <w:spacing w:val="-3"/>
          <w:position w:val="2"/>
        </w:rPr>
        <w:t xml:space="preserve"> </w:t>
      </w:r>
      <w:r>
        <w:rPr>
          <w:spacing w:val="-1"/>
          <w:position w:val="2"/>
        </w:rPr>
        <w:t>e</w:t>
      </w:r>
      <w:r>
        <w:rPr>
          <w:spacing w:val="1"/>
          <w:position w:val="2"/>
        </w:rPr>
        <w:t>ff</w:t>
      </w:r>
      <w:r>
        <w:rPr>
          <w:spacing w:val="-1"/>
          <w:position w:val="2"/>
        </w:rPr>
        <w:t>ec</w:t>
      </w:r>
      <w:r>
        <w:rPr>
          <w:position w:val="2"/>
        </w:rPr>
        <w:t>t</w:t>
      </w:r>
      <w:r>
        <w:rPr>
          <w:spacing w:val="-2"/>
          <w:position w:val="2"/>
        </w:rPr>
        <w:t xml:space="preserve"> </w:t>
      </w:r>
      <w:r>
        <w:rPr>
          <w:position w:val="2"/>
        </w:rPr>
        <w:t>of</w:t>
      </w:r>
      <w:r>
        <w:rPr>
          <w:spacing w:val="-1"/>
          <w:position w:val="2"/>
        </w:rPr>
        <w:t xml:space="preserve"> </w:t>
      </w:r>
      <w:r>
        <w:rPr>
          <w:position w:val="2"/>
        </w:rPr>
        <w:t>g</w:t>
      </w:r>
      <w:r>
        <w:rPr>
          <w:spacing w:val="1"/>
          <w:position w:val="2"/>
        </w:rPr>
        <w:t>r</w:t>
      </w:r>
      <w:r>
        <w:rPr>
          <w:position w:val="2"/>
        </w:rPr>
        <w:t>ou</w:t>
      </w:r>
      <w:r>
        <w:rPr>
          <w:spacing w:val="-5"/>
          <w:position w:val="2"/>
        </w:rPr>
        <w:t>p</w:t>
      </w:r>
      <w:r>
        <w:rPr>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35)</w:t>
      </w:r>
      <w:r>
        <w:rPr>
          <w:spacing w:val="-1"/>
          <w:position w:val="2"/>
        </w:rPr>
        <w:t xml:space="preserve"> </w:t>
      </w:r>
      <w:r>
        <w:rPr>
          <w:position w:val="2"/>
        </w:rPr>
        <w:t>=</w:t>
      </w:r>
      <w:r>
        <w:rPr>
          <w:spacing w:val="-4"/>
          <w:position w:val="2"/>
        </w:rPr>
        <w:t xml:space="preserve"> </w:t>
      </w:r>
      <w:r>
        <w:rPr>
          <w:position w:val="2"/>
        </w:rPr>
        <w:t>5</w:t>
      </w:r>
      <w:r>
        <w:rPr>
          <w:spacing w:val="2"/>
          <w:position w:val="2"/>
        </w:rPr>
        <w:t>.</w:t>
      </w:r>
      <w:r>
        <w:rPr>
          <w:position w:val="2"/>
        </w:rPr>
        <w:t>2</w:t>
      </w:r>
      <w:r>
        <w:rPr>
          <w:spacing w:val="-5"/>
          <w:position w:val="2"/>
        </w:rPr>
        <w:t>8</w:t>
      </w:r>
      <w:r>
        <w:rPr>
          <w:position w:val="2"/>
        </w:rPr>
        <w:t xml:space="preserve">, </w:t>
      </w:r>
      <w:r>
        <w:rPr>
          <w:i/>
          <w:position w:val="2"/>
        </w:rPr>
        <w:t>p</w:t>
      </w:r>
      <w:r>
        <w:rPr>
          <w:i/>
          <w:spacing w:val="-3"/>
          <w:position w:val="2"/>
        </w:rPr>
        <w:t xml:space="preserve"> </w:t>
      </w:r>
      <w:r>
        <w:rPr>
          <w:position w:val="2"/>
        </w:rPr>
        <w:t>=</w:t>
      </w:r>
      <w:r>
        <w:rPr>
          <w:spacing w:val="-4"/>
          <w:position w:val="2"/>
        </w:rPr>
        <w:t xml:space="preserve"> </w:t>
      </w:r>
      <w:r>
        <w:rPr>
          <w:spacing w:val="2"/>
          <w:position w:val="2"/>
        </w:rPr>
        <w:t>.</w:t>
      </w:r>
      <w:r>
        <w:rPr>
          <w:position w:val="2"/>
        </w:rPr>
        <w:t>03,</w:t>
      </w:r>
      <w:r>
        <w:rPr>
          <w:spacing w:val="-5"/>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6"/>
          <w:position w:val="2"/>
        </w:rPr>
        <w:t xml:space="preserve"> </w:t>
      </w:r>
      <w:r>
        <w:rPr>
          <w:position w:val="2"/>
        </w:rPr>
        <w:t>=</w:t>
      </w:r>
      <w:r>
        <w:rPr>
          <w:spacing w:val="-9"/>
          <w:position w:val="2"/>
        </w:rPr>
        <w:t xml:space="preserve"> </w:t>
      </w:r>
      <w:r>
        <w:rPr>
          <w:spacing w:val="2"/>
          <w:position w:val="2"/>
        </w:rPr>
        <w:t>.</w:t>
      </w:r>
      <w:r>
        <w:rPr>
          <w:position w:val="2"/>
        </w:rPr>
        <w:t xml:space="preserve">13,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20"/>
          <w:position w:val="2"/>
        </w:rPr>
        <w:t xml:space="preserve"> </w:t>
      </w:r>
      <w:r>
        <w:rPr>
          <w:position w:val="2"/>
        </w:rPr>
        <w:t>=</w:t>
      </w:r>
      <w:r>
        <w:rPr>
          <w:spacing w:val="-4"/>
          <w:position w:val="2"/>
        </w:rPr>
        <w:t xml:space="preserve"> </w:t>
      </w:r>
      <w:r>
        <w:rPr>
          <w:position w:val="2"/>
        </w:rPr>
        <w:t>2</w:t>
      </w:r>
      <w:r>
        <w:rPr>
          <w:spacing w:val="2"/>
          <w:position w:val="2"/>
        </w:rPr>
        <w:t>.</w:t>
      </w:r>
      <w:r>
        <w:rPr>
          <w:position w:val="2"/>
        </w:rPr>
        <w:t>3</w:t>
      </w:r>
      <w:r>
        <w:rPr>
          <w:spacing w:val="-5"/>
          <w:position w:val="2"/>
        </w:rPr>
        <w:t>4</w:t>
      </w:r>
      <w:r>
        <w:rPr>
          <w:position w:val="2"/>
        </w:rPr>
        <w:t xml:space="preserve">, </w:t>
      </w:r>
      <w:r>
        <w:rPr>
          <w:spacing w:val="-1"/>
          <w:position w:val="2"/>
        </w:rPr>
        <w:t>e</w:t>
      </w:r>
      <w:r>
        <w:rPr>
          <w:position w:val="2"/>
        </w:rPr>
        <w:t>m</w:t>
      </w:r>
      <w:r>
        <w:rPr>
          <w:spacing w:val="-1"/>
          <w:position w:val="2"/>
        </w:rPr>
        <w:t>e</w:t>
      </w:r>
      <w:r>
        <w:rPr>
          <w:spacing w:val="1"/>
          <w:position w:val="2"/>
        </w:rPr>
        <w:t>r</w:t>
      </w:r>
      <w:r>
        <w:rPr>
          <w:position w:val="2"/>
        </w:rPr>
        <w:t>g</w:t>
      </w:r>
      <w:r>
        <w:rPr>
          <w:spacing w:val="-1"/>
          <w:position w:val="2"/>
        </w:rPr>
        <w:t>e</w:t>
      </w:r>
      <w:r>
        <w:rPr>
          <w:position w:val="2"/>
        </w:rPr>
        <w:t>d</w:t>
      </w:r>
      <w:r>
        <w:rPr>
          <w:spacing w:val="-3"/>
          <w:position w:val="2"/>
        </w:rPr>
        <w:t xml:space="preserve"> </w:t>
      </w:r>
      <w:r>
        <w:rPr>
          <w:position w:val="2"/>
        </w:rPr>
        <w:t>indi</w:t>
      </w:r>
      <w:r>
        <w:rPr>
          <w:spacing w:val="-1"/>
          <w:position w:val="2"/>
        </w:rPr>
        <w:t>ca</w:t>
      </w:r>
      <w:r>
        <w:rPr>
          <w:position w:val="2"/>
        </w:rPr>
        <w:t>ting</w:t>
      </w:r>
      <w:r>
        <w:rPr>
          <w:spacing w:val="-3"/>
          <w:position w:val="2"/>
        </w:rPr>
        <w:t xml:space="preserve"> </w:t>
      </w:r>
      <w:r>
        <w:rPr>
          <w:position w:val="2"/>
        </w:rPr>
        <w:t>th</w:t>
      </w:r>
      <w:r>
        <w:rPr>
          <w:spacing w:val="-1"/>
          <w:position w:val="2"/>
        </w:rPr>
        <w:t>a</w:t>
      </w:r>
      <w:r>
        <w:rPr>
          <w:position w:val="2"/>
        </w:rPr>
        <w:t xml:space="preserve">t </w:t>
      </w:r>
      <w:r>
        <w:t>NT group overall responded closer to target time than the ASD group (see Table A3). Neither the</w:t>
      </w:r>
      <w:r>
        <w:rPr>
          <w:spacing w:val="6"/>
        </w:rPr>
        <w:t xml:space="preserve"> </w:t>
      </w:r>
      <w:r>
        <w:t>main</w:t>
      </w:r>
      <w:r>
        <w:rPr>
          <w:spacing w:val="8"/>
        </w:rPr>
        <w:t xml:space="preserve"> </w:t>
      </w:r>
      <w:r>
        <w:t>of</w:t>
      </w:r>
      <w:r>
        <w:rPr>
          <w:spacing w:val="5"/>
        </w:rPr>
        <w:t xml:space="preserve"> </w:t>
      </w:r>
      <w:r>
        <w:t>condition</w:t>
      </w:r>
      <w:r>
        <w:rPr>
          <w:spacing w:val="3"/>
        </w:rPr>
        <w:t xml:space="preserve"> </w:t>
      </w:r>
      <w:r>
        <w:t>nor</w:t>
      </w:r>
      <w:r>
        <w:rPr>
          <w:spacing w:val="5"/>
        </w:rPr>
        <w:t xml:space="preserve"> </w:t>
      </w:r>
      <w:r>
        <w:t>the</w:t>
      </w:r>
      <w:r>
        <w:rPr>
          <w:spacing w:val="7"/>
        </w:rPr>
        <w:t xml:space="preserve"> </w:t>
      </w:r>
      <w:r>
        <w:t>interaction</w:t>
      </w:r>
      <w:r>
        <w:rPr>
          <w:spacing w:val="8"/>
        </w:rPr>
        <w:t xml:space="preserve"> </w:t>
      </w:r>
      <w:r>
        <w:t>were</w:t>
      </w:r>
      <w:r>
        <w:rPr>
          <w:spacing w:val="2"/>
        </w:rPr>
        <w:t xml:space="preserve"> </w:t>
      </w:r>
      <w:r>
        <w:t>significant</w:t>
      </w:r>
      <w:r>
        <w:rPr>
          <w:spacing w:val="8"/>
        </w:rPr>
        <w:t xml:space="preserve"> </w:t>
      </w:r>
      <w:r>
        <w:t>(all</w:t>
      </w:r>
      <w:r>
        <w:rPr>
          <w:spacing w:val="4"/>
        </w:rPr>
        <w:t xml:space="preserve"> </w:t>
      </w:r>
      <w:r>
        <w:rPr>
          <w:i/>
        </w:rPr>
        <w:t>F</w:t>
      </w:r>
      <w:r>
        <w:t>s</w:t>
      </w:r>
      <w:r>
        <w:rPr>
          <w:spacing w:val="6"/>
        </w:rPr>
        <w:t xml:space="preserve"> </w:t>
      </w:r>
      <w:r>
        <w:t>≤</w:t>
      </w:r>
      <w:r>
        <w:rPr>
          <w:spacing w:val="1"/>
        </w:rPr>
        <w:t xml:space="preserve"> </w:t>
      </w:r>
      <w:r>
        <w:t>2.76,</w:t>
      </w:r>
      <w:r>
        <w:rPr>
          <w:spacing w:val="10"/>
        </w:rPr>
        <w:t xml:space="preserve"> </w:t>
      </w:r>
      <w:r>
        <w:t>all</w:t>
      </w:r>
      <w:r>
        <w:rPr>
          <w:spacing w:val="3"/>
        </w:rPr>
        <w:t xml:space="preserve"> </w:t>
      </w:r>
      <w:proofErr w:type="spellStart"/>
      <w:r>
        <w:rPr>
          <w:i/>
        </w:rPr>
        <w:t>p</w:t>
      </w:r>
      <w:r>
        <w:t>s</w:t>
      </w:r>
      <w:proofErr w:type="spellEnd"/>
      <w:r>
        <w:rPr>
          <w:spacing w:val="6"/>
        </w:rPr>
        <w:t xml:space="preserve"> </w:t>
      </w:r>
      <w:r>
        <w:t>≥</w:t>
      </w:r>
      <w:r>
        <w:rPr>
          <w:spacing w:val="1"/>
        </w:rPr>
        <w:t xml:space="preserve"> </w:t>
      </w:r>
      <w:r>
        <w:t>.11,</w:t>
      </w:r>
      <w:r>
        <w:rPr>
          <w:spacing w:val="5"/>
        </w:rPr>
        <w:t xml:space="preserve"> </w:t>
      </w:r>
      <w:r>
        <w:t>all</w:t>
      </w:r>
      <w:r>
        <w:rPr>
          <w:spacing w:val="3"/>
        </w:rPr>
        <w:t xml:space="preserve"> </w:t>
      </w:r>
      <w:r>
        <w:rPr>
          <w:rFonts w:ascii="Cambria Math" w:hAnsi="Cambria Math"/>
          <w:w w:val="110"/>
        </w:rPr>
        <w:t>!</w:t>
      </w:r>
      <w:r>
        <w:rPr>
          <w:rFonts w:ascii="Cambria Math" w:hAnsi="Cambria Math"/>
          <w:w w:val="110"/>
          <w:position w:val="9"/>
          <w:sz w:val="17"/>
        </w:rPr>
        <w:t>#</w:t>
      </w:r>
      <w:r>
        <w:rPr>
          <w:rFonts w:ascii="Cambria Math" w:hAnsi="Cambria Math"/>
          <w:spacing w:val="30"/>
          <w:w w:val="110"/>
          <w:position w:val="9"/>
          <w:sz w:val="17"/>
        </w:rPr>
        <w:t xml:space="preserve"> </w:t>
      </w:r>
      <w:r>
        <w:t>≤</w:t>
      </w:r>
    </w:p>
    <w:p w14:paraId="3F10DBC5" w14:textId="77777777" w:rsidR="00C75312" w:rsidRDefault="00BB293A">
      <w:pPr>
        <w:pStyle w:val="BodyText"/>
        <w:spacing w:before="33"/>
        <w:ind w:left="140"/>
        <w:jc w:val="both"/>
      </w:pPr>
      <w:r>
        <w:rPr>
          <w:position w:val="2"/>
        </w:rPr>
        <w:t>.07, all BF</w:t>
      </w:r>
      <w:r>
        <w:rPr>
          <w:position w:val="2"/>
          <w:vertAlign w:val="subscript"/>
        </w:rPr>
        <w:t>10</w:t>
      </w:r>
      <w:r>
        <w:rPr>
          <w:position w:val="2"/>
        </w:rPr>
        <w:t xml:space="preserve"> ≤ 0.74). The BF</w:t>
      </w:r>
      <w:r>
        <w:rPr>
          <w:position w:val="2"/>
          <w:vertAlign w:val="subscript"/>
        </w:rPr>
        <w:t>10</w:t>
      </w:r>
      <w:r>
        <w:rPr>
          <w:position w:val="2"/>
        </w:rPr>
        <w:t xml:space="preserve"> for the additive model was 1.73 and for the full model 0.81.</w:t>
      </w:r>
    </w:p>
    <w:p w14:paraId="04CBF860" w14:textId="77777777" w:rsidR="00C75312" w:rsidRDefault="00C75312">
      <w:pPr>
        <w:pStyle w:val="BodyText"/>
        <w:spacing w:before="7"/>
        <w:rPr>
          <w:sz w:val="32"/>
        </w:rPr>
      </w:pPr>
    </w:p>
    <w:p w14:paraId="20042C41" w14:textId="77777777" w:rsidR="00C75312" w:rsidRDefault="00BB293A">
      <w:pPr>
        <w:spacing w:before="1"/>
        <w:ind w:left="140" w:right="457"/>
        <w:jc w:val="both"/>
        <w:rPr>
          <w:i/>
          <w:sz w:val="20"/>
        </w:rPr>
      </w:pPr>
      <w:r>
        <w:rPr>
          <w:i/>
          <w:sz w:val="20"/>
        </w:rPr>
        <w:t>Table A3. Ongoing and PM performance scores by condition of sub-sample matched with groups matched for ongoing task performance (collapsed across conditions)</w:t>
      </w:r>
    </w:p>
    <w:p w14:paraId="5B2287FD" w14:textId="77777777" w:rsidR="00C75312" w:rsidRDefault="00BB293A">
      <w:pPr>
        <w:pStyle w:val="BodyText"/>
        <w:spacing w:before="1"/>
        <w:rPr>
          <w:i/>
          <w:sz w:val="14"/>
        </w:rPr>
      </w:pPr>
      <w:r>
        <w:pict w14:anchorId="4A3ACD11">
          <v:group id="_x0000_s2091" style="position:absolute;margin-left:1in;margin-top:10.1pt;width:432.25pt;height:.5pt;z-index:-251475968;mso-wrap-distance-left:0;mso-wrap-distance-right:0;mso-position-horizontal-relative:page" coordorigin="1440,202" coordsize="8645,10">
            <v:line id="_x0000_s2098" style="position:absolute" from="1440,207" to="3427,207" strokeweight=".48pt"/>
            <v:rect id="_x0000_s2097" style="position:absolute;left:3427;top:201;width:10;height:10" fillcolor="black" stroked="f"/>
            <v:line id="_x0000_s2096" style="position:absolute" from="3437,207" to="5410,207" strokeweight=".48pt"/>
            <v:rect id="_x0000_s2095" style="position:absolute;left:5409;top:201;width:10;height:10" fillcolor="black" stroked="f"/>
            <v:line id="_x0000_s2094" style="position:absolute" from="5419,207" to="8530,207" strokeweight=".48pt"/>
            <v:rect id="_x0000_s2093" style="position:absolute;left:8529;top:201;width:10;height:10" fillcolor="black" stroked="f"/>
            <v:line id="_x0000_s2092" style="position:absolute" from="8539,207" to="10085,207" strokeweight=".48pt"/>
            <w10:wrap type="topAndBottom" anchorx="page"/>
          </v:group>
        </w:pict>
      </w:r>
    </w:p>
    <w:p w14:paraId="56C7CE99" w14:textId="77777777" w:rsidR="00C75312" w:rsidRDefault="00BB293A">
      <w:pPr>
        <w:spacing w:before="14"/>
        <w:ind w:left="4867"/>
        <w:rPr>
          <w:b/>
          <w:sz w:val="20"/>
        </w:rPr>
      </w:pPr>
      <w:r>
        <w:rPr>
          <w:b/>
          <w:sz w:val="20"/>
        </w:rPr>
        <w:t>Group means (SD)</w:t>
      </w:r>
    </w:p>
    <w:p w14:paraId="4A4DADAE" w14:textId="77777777" w:rsidR="00C75312" w:rsidRDefault="00C75312">
      <w:pPr>
        <w:pStyle w:val="BodyText"/>
        <w:spacing w:before="10"/>
        <w:rPr>
          <w:b/>
          <w:sz w:val="5"/>
        </w:rPr>
      </w:pPr>
    </w:p>
    <w:tbl>
      <w:tblPr>
        <w:tblW w:w="0" w:type="auto"/>
        <w:tblInd w:w="140" w:type="dxa"/>
        <w:tblLayout w:type="fixed"/>
        <w:tblCellMar>
          <w:left w:w="0" w:type="dxa"/>
          <w:right w:w="0" w:type="dxa"/>
        </w:tblCellMar>
        <w:tblLook w:val="01E0" w:firstRow="1" w:lastRow="1" w:firstColumn="1" w:lastColumn="1" w:noHBand="0" w:noVBand="0"/>
      </w:tblPr>
      <w:tblGrid>
        <w:gridCol w:w="3977"/>
        <w:gridCol w:w="1560"/>
        <w:gridCol w:w="1560"/>
        <w:gridCol w:w="1555"/>
      </w:tblGrid>
      <w:tr w:rsidR="00C75312" w14:paraId="70E8CFAD" w14:textId="77777777">
        <w:trPr>
          <w:trHeight w:val="330"/>
        </w:trPr>
        <w:tc>
          <w:tcPr>
            <w:tcW w:w="3977" w:type="dxa"/>
            <w:tcBorders>
              <w:bottom w:val="single" w:sz="4" w:space="0" w:color="000000"/>
            </w:tcBorders>
          </w:tcPr>
          <w:p w14:paraId="210CCDD8" w14:textId="77777777" w:rsidR="00C75312" w:rsidRDefault="00BB293A">
            <w:pPr>
              <w:pStyle w:val="TableParagraph"/>
              <w:spacing w:before="43"/>
              <w:ind w:left="7"/>
              <w:rPr>
                <w:b/>
                <w:sz w:val="20"/>
              </w:rPr>
            </w:pPr>
            <w:r>
              <w:rPr>
                <w:b/>
                <w:sz w:val="20"/>
              </w:rPr>
              <w:t>Condition</w:t>
            </w:r>
          </w:p>
        </w:tc>
        <w:tc>
          <w:tcPr>
            <w:tcW w:w="1560" w:type="dxa"/>
            <w:tcBorders>
              <w:top w:val="single" w:sz="4" w:space="0" w:color="000000"/>
              <w:bottom w:val="single" w:sz="4" w:space="0" w:color="000000"/>
            </w:tcBorders>
          </w:tcPr>
          <w:p w14:paraId="0341A4F3" w14:textId="77777777" w:rsidR="00C75312" w:rsidRDefault="00BB293A">
            <w:pPr>
              <w:pStyle w:val="TableParagraph"/>
              <w:spacing w:before="43"/>
              <w:ind w:left="318" w:right="317"/>
              <w:jc w:val="center"/>
              <w:rPr>
                <w:b/>
                <w:sz w:val="20"/>
              </w:rPr>
            </w:pPr>
            <w:r>
              <w:rPr>
                <w:b/>
                <w:sz w:val="20"/>
              </w:rPr>
              <w:t>ASD</w:t>
            </w:r>
          </w:p>
        </w:tc>
        <w:tc>
          <w:tcPr>
            <w:tcW w:w="1560" w:type="dxa"/>
            <w:tcBorders>
              <w:top w:val="single" w:sz="4" w:space="0" w:color="000000"/>
              <w:bottom w:val="single" w:sz="4" w:space="0" w:color="000000"/>
            </w:tcBorders>
          </w:tcPr>
          <w:p w14:paraId="0861AAB7" w14:textId="77777777" w:rsidR="00C75312" w:rsidRDefault="00BB293A">
            <w:pPr>
              <w:pStyle w:val="TableParagraph"/>
              <w:spacing w:before="43"/>
              <w:ind w:left="314" w:right="318"/>
              <w:jc w:val="center"/>
              <w:rPr>
                <w:b/>
                <w:sz w:val="20"/>
              </w:rPr>
            </w:pPr>
            <w:r>
              <w:rPr>
                <w:b/>
                <w:sz w:val="20"/>
              </w:rPr>
              <w:t>NT</w:t>
            </w:r>
          </w:p>
        </w:tc>
        <w:tc>
          <w:tcPr>
            <w:tcW w:w="1555" w:type="dxa"/>
            <w:tcBorders>
              <w:bottom w:val="single" w:sz="4" w:space="0" w:color="000000"/>
            </w:tcBorders>
          </w:tcPr>
          <w:p w14:paraId="25DED6F2" w14:textId="77777777" w:rsidR="00C75312" w:rsidRDefault="00BB293A">
            <w:pPr>
              <w:pStyle w:val="TableParagraph"/>
              <w:spacing w:before="43"/>
              <w:ind w:left="336" w:right="327"/>
              <w:jc w:val="center"/>
              <w:rPr>
                <w:b/>
                <w:i/>
                <w:sz w:val="20"/>
              </w:rPr>
            </w:pPr>
            <w:r>
              <w:rPr>
                <w:b/>
                <w:sz w:val="20"/>
              </w:rPr>
              <w:t xml:space="preserve">Cohen’s </w:t>
            </w:r>
            <w:r>
              <w:rPr>
                <w:b/>
                <w:i/>
                <w:sz w:val="20"/>
              </w:rPr>
              <w:t>d</w:t>
            </w:r>
          </w:p>
        </w:tc>
      </w:tr>
      <w:tr w:rsidR="00C75312" w14:paraId="359C8967" w14:textId="77777777">
        <w:trPr>
          <w:trHeight w:val="332"/>
        </w:trPr>
        <w:tc>
          <w:tcPr>
            <w:tcW w:w="3977" w:type="dxa"/>
            <w:tcBorders>
              <w:top w:val="single" w:sz="4" w:space="0" w:color="000000"/>
            </w:tcBorders>
          </w:tcPr>
          <w:p w14:paraId="2E7425A2" w14:textId="77777777" w:rsidR="00C75312" w:rsidRDefault="00BB293A">
            <w:pPr>
              <w:pStyle w:val="TableParagraph"/>
              <w:tabs>
                <w:tab w:val="left" w:pos="2018"/>
              </w:tabs>
              <w:spacing w:before="43"/>
              <w:ind w:left="7"/>
              <w:rPr>
                <w:sz w:val="20"/>
              </w:rPr>
            </w:pPr>
            <w:r>
              <w:rPr>
                <w:i/>
                <w:sz w:val="20"/>
              </w:rPr>
              <w:t>PM</w:t>
            </w:r>
            <w:r>
              <w:rPr>
                <w:i/>
                <w:spacing w:val="-2"/>
                <w:sz w:val="20"/>
              </w:rPr>
              <w:t xml:space="preserve"> </w:t>
            </w:r>
            <w:r>
              <w:rPr>
                <w:i/>
                <w:sz w:val="20"/>
              </w:rPr>
              <w:t>low</w:t>
            </w:r>
            <w:r>
              <w:rPr>
                <w:i/>
                <w:spacing w:val="-2"/>
                <w:sz w:val="20"/>
              </w:rPr>
              <w:t xml:space="preserve"> </w:t>
            </w:r>
            <w:r>
              <w:rPr>
                <w:i/>
                <w:sz w:val="20"/>
              </w:rPr>
              <w:t>importance</w:t>
            </w:r>
            <w:r>
              <w:rPr>
                <w:i/>
                <w:sz w:val="20"/>
              </w:rPr>
              <w:tab/>
            </w:r>
            <w:r>
              <w:rPr>
                <w:sz w:val="20"/>
              </w:rPr>
              <w:t>Ongoing proportion</w:t>
            </w:r>
            <w:r>
              <w:rPr>
                <w:spacing w:val="-2"/>
                <w:sz w:val="20"/>
              </w:rPr>
              <w:t xml:space="preserve"> </w:t>
            </w:r>
            <w:r>
              <w:rPr>
                <w:sz w:val="20"/>
              </w:rPr>
              <w:t>hits</w:t>
            </w:r>
          </w:p>
        </w:tc>
        <w:tc>
          <w:tcPr>
            <w:tcW w:w="1560" w:type="dxa"/>
            <w:tcBorders>
              <w:top w:val="single" w:sz="4" w:space="0" w:color="000000"/>
            </w:tcBorders>
          </w:tcPr>
          <w:p w14:paraId="38D48ACC" w14:textId="77777777" w:rsidR="00C75312" w:rsidRDefault="00BB293A">
            <w:pPr>
              <w:pStyle w:val="TableParagraph"/>
              <w:spacing w:before="43"/>
              <w:ind w:left="318" w:right="314"/>
              <w:jc w:val="center"/>
              <w:rPr>
                <w:sz w:val="20"/>
              </w:rPr>
            </w:pPr>
            <w:r>
              <w:rPr>
                <w:sz w:val="20"/>
              </w:rPr>
              <w:t>.71 (0.11)</w:t>
            </w:r>
          </w:p>
        </w:tc>
        <w:tc>
          <w:tcPr>
            <w:tcW w:w="1560" w:type="dxa"/>
            <w:tcBorders>
              <w:top w:val="single" w:sz="4" w:space="0" w:color="000000"/>
            </w:tcBorders>
          </w:tcPr>
          <w:p w14:paraId="4CDD90DF" w14:textId="77777777" w:rsidR="00C75312" w:rsidRDefault="00BB293A">
            <w:pPr>
              <w:pStyle w:val="TableParagraph"/>
              <w:spacing w:before="43"/>
              <w:ind w:left="318" w:right="314"/>
              <w:jc w:val="center"/>
              <w:rPr>
                <w:sz w:val="20"/>
              </w:rPr>
            </w:pPr>
            <w:r>
              <w:rPr>
                <w:sz w:val="20"/>
              </w:rPr>
              <w:t>.75 (0.09)</w:t>
            </w:r>
          </w:p>
        </w:tc>
        <w:tc>
          <w:tcPr>
            <w:tcW w:w="1555" w:type="dxa"/>
            <w:tcBorders>
              <w:top w:val="single" w:sz="4" w:space="0" w:color="000000"/>
            </w:tcBorders>
          </w:tcPr>
          <w:p w14:paraId="6B0B8FE7" w14:textId="77777777" w:rsidR="00C75312" w:rsidRDefault="00BB293A">
            <w:pPr>
              <w:pStyle w:val="TableParagraph"/>
              <w:spacing w:before="43"/>
              <w:ind w:left="336" w:right="327"/>
              <w:jc w:val="center"/>
              <w:rPr>
                <w:sz w:val="20"/>
              </w:rPr>
            </w:pPr>
            <w:r>
              <w:rPr>
                <w:sz w:val="20"/>
              </w:rPr>
              <w:t>-0.40</w:t>
            </w:r>
          </w:p>
        </w:tc>
      </w:tr>
      <w:tr w:rsidR="00C75312" w14:paraId="5ACE2757" w14:textId="77777777">
        <w:trPr>
          <w:trHeight w:val="340"/>
        </w:trPr>
        <w:tc>
          <w:tcPr>
            <w:tcW w:w="3977" w:type="dxa"/>
          </w:tcPr>
          <w:p w14:paraId="51501141" w14:textId="77777777" w:rsidR="00C75312" w:rsidRDefault="00BB293A">
            <w:pPr>
              <w:pStyle w:val="TableParagraph"/>
              <w:spacing w:before="51"/>
              <w:ind w:left="2224"/>
              <w:rPr>
                <w:sz w:val="20"/>
              </w:rPr>
            </w:pPr>
            <w:r>
              <w:rPr>
                <w:sz w:val="20"/>
              </w:rPr>
              <w:t>PM proportion hits</w:t>
            </w:r>
          </w:p>
        </w:tc>
        <w:tc>
          <w:tcPr>
            <w:tcW w:w="1560" w:type="dxa"/>
          </w:tcPr>
          <w:p w14:paraId="07B2C67B" w14:textId="77777777" w:rsidR="00C75312" w:rsidRDefault="00BB293A">
            <w:pPr>
              <w:pStyle w:val="TableParagraph"/>
              <w:spacing w:before="51"/>
              <w:ind w:left="318" w:right="314"/>
              <w:jc w:val="center"/>
              <w:rPr>
                <w:sz w:val="20"/>
              </w:rPr>
            </w:pPr>
            <w:r>
              <w:rPr>
                <w:sz w:val="20"/>
              </w:rPr>
              <w:t>.72 (0.32)</w:t>
            </w:r>
          </w:p>
        </w:tc>
        <w:tc>
          <w:tcPr>
            <w:tcW w:w="1560" w:type="dxa"/>
          </w:tcPr>
          <w:p w14:paraId="70750451" w14:textId="77777777" w:rsidR="00C75312" w:rsidRDefault="00BB293A">
            <w:pPr>
              <w:pStyle w:val="TableParagraph"/>
              <w:spacing w:before="51"/>
              <w:ind w:left="318" w:right="314"/>
              <w:jc w:val="center"/>
              <w:rPr>
                <w:sz w:val="20"/>
              </w:rPr>
            </w:pPr>
            <w:r>
              <w:rPr>
                <w:sz w:val="20"/>
              </w:rPr>
              <w:t>.95 (0.09)</w:t>
            </w:r>
          </w:p>
        </w:tc>
        <w:tc>
          <w:tcPr>
            <w:tcW w:w="1555" w:type="dxa"/>
          </w:tcPr>
          <w:p w14:paraId="54339B00" w14:textId="77777777" w:rsidR="00C75312" w:rsidRDefault="00BB293A">
            <w:pPr>
              <w:pStyle w:val="TableParagraph"/>
              <w:spacing w:before="51"/>
              <w:ind w:left="336" w:right="327"/>
              <w:jc w:val="center"/>
              <w:rPr>
                <w:sz w:val="20"/>
              </w:rPr>
            </w:pPr>
            <w:r>
              <w:rPr>
                <w:sz w:val="20"/>
              </w:rPr>
              <w:t>-0.98</w:t>
            </w:r>
          </w:p>
        </w:tc>
      </w:tr>
      <w:tr w:rsidR="00C75312" w14:paraId="055A6DEC" w14:textId="77777777">
        <w:trPr>
          <w:trHeight w:val="340"/>
        </w:trPr>
        <w:tc>
          <w:tcPr>
            <w:tcW w:w="3977" w:type="dxa"/>
          </w:tcPr>
          <w:p w14:paraId="31C8145D" w14:textId="77777777" w:rsidR="00C75312" w:rsidRDefault="00BB293A">
            <w:pPr>
              <w:pStyle w:val="TableParagraph"/>
              <w:spacing w:before="51"/>
              <w:ind w:left="2205"/>
              <w:rPr>
                <w:sz w:val="20"/>
              </w:rPr>
            </w:pPr>
            <w:r>
              <w:rPr>
                <w:sz w:val="20"/>
              </w:rPr>
              <w:t>PM target accuracy</w:t>
            </w:r>
          </w:p>
        </w:tc>
        <w:tc>
          <w:tcPr>
            <w:tcW w:w="1560" w:type="dxa"/>
          </w:tcPr>
          <w:p w14:paraId="63C212DE" w14:textId="77777777" w:rsidR="00C75312" w:rsidRDefault="00BB293A">
            <w:pPr>
              <w:pStyle w:val="TableParagraph"/>
              <w:spacing w:before="51"/>
              <w:ind w:left="318" w:right="318"/>
              <w:jc w:val="center"/>
              <w:rPr>
                <w:sz w:val="20"/>
              </w:rPr>
            </w:pPr>
            <w:r>
              <w:rPr>
                <w:sz w:val="20"/>
              </w:rPr>
              <w:t>2.20 (1.67)</w:t>
            </w:r>
          </w:p>
        </w:tc>
        <w:tc>
          <w:tcPr>
            <w:tcW w:w="1560" w:type="dxa"/>
          </w:tcPr>
          <w:p w14:paraId="275ABBBF" w14:textId="77777777" w:rsidR="00C75312" w:rsidRDefault="00BB293A">
            <w:pPr>
              <w:pStyle w:val="TableParagraph"/>
              <w:spacing w:before="51"/>
              <w:ind w:left="318" w:right="318"/>
              <w:jc w:val="center"/>
              <w:rPr>
                <w:sz w:val="20"/>
              </w:rPr>
            </w:pPr>
            <w:r>
              <w:rPr>
                <w:sz w:val="20"/>
              </w:rPr>
              <w:t>1.26 (0.89)</w:t>
            </w:r>
          </w:p>
        </w:tc>
        <w:tc>
          <w:tcPr>
            <w:tcW w:w="1555" w:type="dxa"/>
          </w:tcPr>
          <w:p w14:paraId="5EE153D8" w14:textId="77777777" w:rsidR="00C75312" w:rsidRDefault="00BB293A">
            <w:pPr>
              <w:pStyle w:val="TableParagraph"/>
              <w:spacing w:before="51"/>
              <w:ind w:left="336" w:right="327"/>
              <w:jc w:val="center"/>
              <w:rPr>
                <w:sz w:val="20"/>
              </w:rPr>
            </w:pPr>
            <w:r>
              <w:rPr>
                <w:sz w:val="20"/>
              </w:rPr>
              <w:t>0.70</w:t>
            </w:r>
          </w:p>
        </w:tc>
      </w:tr>
      <w:tr w:rsidR="00C75312" w14:paraId="2C9B2BE6" w14:textId="77777777">
        <w:trPr>
          <w:trHeight w:val="355"/>
        </w:trPr>
        <w:tc>
          <w:tcPr>
            <w:tcW w:w="3977" w:type="dxa"/>
          </w:tcPr>
          <w:p w14:paraId="7937B226" w14:textId="77777777" w:rsidR="00C75312" w:rsidRDefault="00BB293A">
            <w:pPr>
              <w:pStyle w:val="TableParagraph"/>
              <w:tabs>
                <w:tab w:val="left" w:pos="2018"/>
              </w:tabs>
              <w:spacing w:before="51"/>
              <w:ind w:left="7"/>
              <w:rPr>
                <w:sz w:val="20"/>
              </w:rPr>
            </w:pPr>
            <w:r>
              <w:rPr>
                <w:i/>
                <w:sz w:val="20"/>
              </w:rPr>
              <w:t>PM</w:t>
            </w:r>
            <w:r>
              <w:rPr>
                <w:i/>
                <w:spacing w:val="-2"/>
                <w:sz w:val="20"/>
              </w:rPr>
              <w:t xml:space="preserve"> </w:t>
            </w:r>
            <w:r>
              <w:rPr>
                <w:i/>
                <w:sz w:val="20"/>
              </w:rPr>
              <w:t>high</w:t>
            </w:r>
            <w:r>
              <w:rPr>
                <w:i/>
                <w:spacing w:val="-1"/>
                <w:sz w:val="20"/>
              </w:rPr>
              <w:t xml:space="preserve"> </w:t>
            </w:r>
            <w:r>
              <w:rPr>
                <w:i/>
                <w:sz w:val="20"/>
              </w:rPr>
              <w:t>importance</w:t>
            </w:r>
            <w:r>
              <w:rPr>
                <w:i/>
                <w:sz w:val="20"/>
              </w:rPr>
              <w:tab/>
            </w:r>
            <w:r>
              <w:rPr>
                <w:sz w:val="20"/>
              </w:rPr>
              <w:t>Ongoing proportion</w:t>
            </w:r>
            <w:r>
              <w:rPr>
                <w:spacing w:val="-2"/>
                <w:sz w:val="20"/>
              </w:rPr>
              <w:t xml:space="preserve"> </w:t>
            </w:r>
            <w:r>
              <w:rPr>
                <w:sz w:val="20"/>
              </w:rPr>
              <w:t>hits</w:t>
            </w:r>
          </w:p>
        </w:tc>
        <w:tc>
          <w:tcPr>
            <w:tcW w:w="1560" w:type="dxa"/>
          </w:tcPr>
          <w:p w14:paraId="68BA5D94" w14:textId="77777777" w:rsidR="00C75312" w:rsidRDefault="00BB293A">
            <w:pPr>
              <w:pStyle w:val="TableParagraph"/>
              <w:spacing w:before="51"/>
              <w:ind w:left="318" w:right="314"/>
              <w:jc w:val="center"/>
              <w:rPr>
                <w:sz w:val="20"/>
              </w:rPr>
            </w:pPr>
            <w:r>
              <w:rPr>
                <w:sz w:val="20"/>
              </w:rPr>
              <w:t>.67 (0.11)</w:t>
            </w:r>
          </w:p>
        </w:tc>
        <w:tc>
          <w:tcPr>
            <w:tcW w:w="1560" w:type="dxa"/>
          </w:tcPr>
          <w:p w14:paraId="50A4E7AF" w14:textId="77777777" w:rsidR="00C75312" w:rsidRDefault="00BB293A">
            <w:pPr>
              <w:pStyle w:val="TableParagraph"/>
              <w:spacing w:before="51"/>
              <w:ind w:left="318" w:right="314"/>
              <w:jc w:val="center"/>
              <w:rPr>
                <w:sz w:val="20"/>
              </w:rPr>
            </w:pPr>
            <w:r>
              <w:rPr>
                <w:sz w:val="20"/>
              </w:rPr>
              <w:t>.71 (0.12)</w:t>
            </w:r>
          </w:p>
        </w:tc>
        <w:tc>
          <w:tcPr>
            <w:tcW w:w="1555" w:type="dxa"/>
          </w:tcPr>
          <w:p w14:paraId="6158F425" w14:textId="77777777" w:rsidR="00C75312" w:rsidRDefault="00BB293A">
            <w:pPr>
              <w:pStyle w:val="TableParagraph"/>
              <w:spacing w:before="51"/>
              <w:ind w:left="336" w:right="327"/>
              <w:jc w:val="center"/>
              <w:rPr>
                <w:sz w:val="20"/>
              </w:rPr>
            </w:pPr>
            <w:r>
              <w:rPr>
                <w:sz w:val="20"/>
              </w:rPr>
              <w:t>-0.35</w:t>
            </w:r>
          </w:p>
        </w:tc>
      </w:tr>
      <w:tr w:rsidR="00C75312" w14:paraId="43312B70" w14:textId="77777777">
        <w:trPr>
          <w:trHeight w:val="383"/>
        </w:trPr>
        <w:tc>
          <w:tcPr>
            <w:tcW w:w="3977" w:type="dxa"/>
          </w:tcPr>
          <w:p w14:paraId="57EFE514" w14:textId="77777777" w:rsidR="00C75312" w:rsidRDefault="00BB293A">
            <w:pPr>
              <w:pStyle w:val="TableParagraph"/>
              <w:spacing w:before="66"/>
              <w:ind w:left="2224"/>
              <w:rPr>
                <w:sz w:val="20"/>
              </w:rPr>
            </w:pPr>
            <w:r>
              <w:rPr>
                <w:sz w:val="20"/>
              </w:rPr>
              <w:t>PM proportion hits</w:t>
            </w:r>
          </w:p>
        </w:tc>
        <w:tc>
          <w:tcPr>
            <w:tcW w:w="1560" w:type="dxa"/>
          </w:tcPr>
          <w:p w14:paraId="293417E5" w14:textId="77777777" w:rsidR="00C75312" w:rsidRDefault="00BB293A">
            <w:pPr>
              <w:pStyle w:val="TableParagraph"/>
              <w:spacing w:before="66"/>
              <w:ind w:left="318" w:right="314"/>
              <w:jc w:val="center"/>
              <w:rPr>
                <w:sz w:val="20"/>
              </w:rPr>
            </w:pPr>
            <w:r>
              <w:rPr>
                <w:sz w:val="20"/>
              </w:rPr>
              <w:t>.91 (0.24)</w:t>
            </w:r>
          </w:p>
        </w:tc>
        <w:tc>
          <w:tcPr>
            <w:tcW w:w="1560" w:type="dxa"/>
          </w:tcPr>
          <w:p w14:paraId="4E8567AF" w14:textId="77777777" w:rsidR="00C75312" w:rsidRDefault="00BB293A">
            <w:pPr>
              <w:pStyle w:val="TableParagraph"/>
              <w:spacing w:before="66"/>
              <w:ind w:left="318" w:right="314"/>
              <w:jc w:val="center"/>
              <w:rPr>
                <w:sz w:val="20"/>
              </w:rPr>
            </w:pPr>
            <w:r>
              <w:rPr>
                <w:sz w:val="20"/>
              </w:rPr>
              <w:t>.99 (0.05)</w:t>
            </w:r>
          </w:p>
        </w:tc>
        <w:tc>
          <w:tcPr>
            <w:tcW w:w="1555" w:type="dxa"/>
          </w:tcPr>
          <w:p w14:paraId="6EE786F4" w14:textId="77777777" w:rsidR="00C75312" w:rsidRDefault="00BB293A">
            <w:pPr>
              <w:pStyle w:val="TableParagraph"/>
              <w:spacing w:before="66"/>
              <w:ind w:left="336" w:right="327"/>
              <w:jc w:val="center"/>
              <w:rPr>
                <w:sz w:val="20"/>
              </w:rPr>
            </w:pPr>
            <w:r>
              <w:rPr>
                <w:sz w:val="20"/>
              </w:rPr>
              <w:t>-0.46</w:t>
            </w:r>
          </w:p>
        </w:tc>
      </w:tr>
      <w:tr w:rsidR="00C75312" w14:paraId="0B76F214" w14:textId="77777777">
        <w:trPr>
          <w:trHeight w:val="406"/>
        </w:trPr>
        <w:tc>
          <w:tcPr>
            <w:tcW w:w="3977" w:type="dxa"/>
            <w:tcBorders>
              <w:bottom w:val="single" w:sz="4" w:space="0" w:color="000000"/>
            </w:tcBorders>
          </w:tcPr>
          <w:p w14:paraId="505C37A3" w14:textId="77777777" w:rsidR="00C75312" w:rsidRDefault="00BB293A">
            <w:pPr>
              <w:pStyle w:val="TableParagraph"/>
              <w:spacing w:before="80"/>
              <w:ind w:left="2205"/>
              <w:rPr>
                <w:sz w:val="20"/>
              </w:rPr>
            </w:pPr>
            <w:r>
              <w:rPr>
                <w:sz w:val="20"/>
              </w:rPr>
              <w:t>PM target accuracy</w:t>
            </w:r>
          </w:p>
        </w:tc>
        <w:tc>
          <w:tcPr>
            <w:tcW w:w="1560" w:type="dxa"/>
            <w:tcBorders>
              <w:bottom w:val="single" w:sz="4" w:space="0" w:color="000000"/>
            </w:tcBorders>
          </w:tcPr>
          <w:p w14:paraId="7CCF3AC8" w14:textId="77777777" w:rsidR="00C75312" w:rsidRDefault="00BB293A">
            <w:pPr>
              <w:pStyle w:val="TableParagraph"/>
              <w:spacing w:before="80"/>
              <w:ind w:left="318" w:right="318"/>
              <w:jc w:val="center"/>
              <w:rPr>
                <w:sz w:val="20"/>
              </w:rPr>
            </w:pPr>
            <w:r>
              <w:rPr>
                <w:sz w:val="20"/>
              </w:rPr>
              <w:t>1.66 (0.98)</w:t>
            </w:r>
          </w:p>
        </w:tc>
        <w:tc>
          <w:tcPr>
            <w:tcW w:w="1560" w:type="dxa"/>
            <w:tcBorders>
              <w:bottom w:val="single" w:sz="4" w:space="0" w:color="000000"/>
            </w:tcBorders>
          </w:tcPr>
          <w:p w14:paraId="350F114E" w14:textId="77777777" w:rsidR="00C75312" w:rsidRDefault="00BB293A">
            <w:pPr>
              <w:pStyle w:val="TableParagraph"/>
              <w:spacing w:before="80"/>
              <w:ind w:left="318" w:right="318"/>
              <w:jc w:val="center"/>
              <w:rPr>
                <w:sz w:val="20"/>
              </w:rPr>
            </w:pPr>
            <w:r>
              <w:rPr>
                <w:sz w:val="20"/>
              </w:rPr>
              <w:t>1.13 (0.89)</w:t>
            </w:r>
          </w:p>
        </w:tc>
        <w:tc>
          <w:tcPr>
            <w:tcW w:w="1555" w:type="dxa"/>
            <w:tcBorders>
              <w:bottom w:val="single" w:sz="4" w:space="0" w:color="000000"/>
            </w:tcBorders>
          </w:tcPr>
          <w:p w14:paraId="1E17A08D" w14:textId="77777777" w:rsidR="00C75312" w:rsidRDefault="00BB293A">
            <w:pPr>
              <w:pStyle w:val="TableParagraph"/>
              <w:spacing w:before="80"/>
              <w:ind w:left="336" w:right="327"/>
              <w:jc w:val="center"/>
              <w:rPr>
                <w:sz w:val="20"/>
              </w:rPr>
            </w:pPr>
            <w:r>
              <w:rPr>
                <w:sz w:val="20"/>
              </w:rPr>
              <w:t>0.57</w:t>
            </w:r>
          </w:p>
        </w:tc>
      </w:tr>
      <w:tr w:rsidR="00C75312" w14:paraId="6903B8B9" w14:textId="77777777">
        <w:trPr>
          <w:trHeight w:val="555"/>
        </w:trPr>
        <w:tc>
          <w:tcPr>
            <w:tcW w:w="3977" w:type="dxa"/>
            <w:tcBorders>
              <w:top w:val="single" w:sz="4" w:space="0" w:color="000000"/>
            </w:tcBorders>
          </w:tcPr>
          <w:p w14:paraId="6D31AD39" w14:textId="77777777" w:rsidR="00C75312" w:rsidRDefault="00C75312">
            <w:pPr>
              <w:pStyle w:val="TableParagraph"/>
              <w:spacing w:before="3"/>
              <w:rPr>
                <w:b/>
                <w:sz w:val="24"/>
              </w:rPr>
            </w:pPr>
          </w:p>
          <w:p w14:paraId="25CF5A3F" w14:textId="77777777" w:rsidR="00C75312" w:rsidRDefault="00BB293A">
            <w:pPr>
              <w:pStyle w:val="TableParagraph"/>
              <w:spacing w:line="256" w:lineRule="exact"/>
              <w:ind w:left="7"/>
              <w:rPr>
                <w:b/>
                <w:sz w:val="24"/>
              </w:rPr>
            </w:pPr>
            <w:r>
              <w:rPr>
                <w:b/>
                <w:sz w:val="24"/>
              </w:rPr>
              <w:t>Time-monitoring</w:t>
            </w:r>
          </w:p>
        </w:tc>
        <w:tc>
          <w:tcPr>
            <w:tcW w:w="1560" w:type="dxa"/>
            <w:tcBorders>
              <w:top w:val="single" w:sz="4" w:space="0" w:color="000000"/>
            </w:tcBorders>
          </w:tcPr>
          <w:p w14:paraId="1EC5E427" w14:textId="77777777" w:rsidR="00C75312" w:rsidRDefault="00C75312">
            <w:pPr>
              <w:pStyle w:val="TableParagraph"/>
            </w:pPr>
          </w:p>
        </w:tc>
        <w:tc>
          <w:tcPr>
            <w:tcW w:w="1560" w:type="dxa"/>
            <w:tcBorders>
              <w:top w:val="single" w:sz="4" w:space="0" w:color="000000"/>
            </w:tcBorders>
          </w:tcPr>
          <w:p w14:paraId="28CE67AA" w14:textId="77777777" w:rsidR="00C75312" w:rsidRDefault="00C75312">
            <w:pPr>
              <w:pStyle w:val="TableParagraph"/>
            </w:pPr>
          </w:p>
        </w:tc>
        <w:tc>
          <w:tcPr>
            <w:tcW w:w="1555" w:type="dxa"/>
            <w:tcBorders>
              <w:top w:val="single" w:sz="4" w:space="0" w:color="000000"/>
            </w:tcBorders>
          </w:tcPr>
          <w:p w14:paraId="116BA0C7" w14:textId="77777777" w:rsidR="00C75312" w:rsidRDefault="00C75312">
            <w:pPr>
              <w:pStyle w:val="TableParagraph"/>
            </w:pPr>
          </w:p>
        </w:tc>
      </w:tr>
    </w:tbl>
    <w:p w14:paraId="4ED28785" w14:textId="77777777" w:rsidR="00C75312" w:rsidRDefault="00C75312">
      <w:pPr>
        <w:pStyle w:val="BodyText"/>
        <w:rPr>
          <w:b/>
          <w:sz w:val="22"/>
        </w:rPr>
      </w:pPr>
    </w:p>
    <w:p w14:paraId="7DA5CBE2" w14:textId="77777777" w:rsidR="00C75312" w:rsidRDefault="00BB293A">
      <w:pPr>
        <w:pStyle w:val="BodyText"/>
        <w:spacing w:before="143" w:line="480" w:lineRule="auto"/>
        <w:ind w:left="140" w:right="233" w:firstLine="720"/>
        <w:jc w:val="both"/>
      </w:pPr>
      <w:r>
        <w:pict w14:anchorId="4CD9D25A">
          <v:shape id="_x0000_s2090" type="#_x0000_t202" style="position:absolute;left:0;text-align:left;margin-left:145.45pt;margin-top:178.6pt;width:5.3pt;height:9.85pt;z-index:-260458496;mso-position-horizontal-relative:page" filled="f" stroked="f">
            <v:textbox inset="0,0,0,0">
              <w:txbxContent>
                <w:p w14:paraId="70130C8D"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A</w:t>
      </w:r>
      <w:r>
        <w:rPr>
          <w:spacing w:val="-27"/>
          <w:w w:val="105"/>
        </w:rPr>
        <w:t xml:space="preserve"> </w:t>
      </w:r>
      <w:r>
        <w:rPr>
          <w:w w:val="105"/>
        </w:rPr>
        <w:t>2</w:t>
      </w:r>
      <w:r>
        <w:rPr>
          <w:spacing w:val="-26"/>
          <w:w w:val="105"/>
        </w:rPr>
        <w:t xml:space="preserve"> </w:t>
      </w:r>
      <w:r>
        <w:rPr>
          <w:w w:val="105"/>
        </w:rPr>
        <w:t>×2</w:t>
      </w:r>
      <w:r>
        <w:rPr>
          <w:spacing w:val="-29"/>
          <w:w w:val="105"/>
        </w:rPr>
        <w:t xml:space="preserve"> </w:t>
      </w:r>
      <w:r>
        <w:rPr>
          <w:w w:val="105"/>
        </w:rPr>
        <w:t>×</w:t>
      </w:r>
      <w:r>
        <w:rPr>
          <w:spacing w:val="-30"/>
          <w:w w:val="105"/>
        </w:rPr>
        <w:t xml:space="preserve"> </w:t>
      </w:r>
      <w:r>
        <w:rPr>
          <w:w w:val="105"/>
        </w:rPr>
        <w:t>4</w:t>
      </w:r>
      <w:r>
        <w:rPr>
          <w:spacing w:val="-29"/>
          <w:w w:val="105"/>
        </w:rPr>
        <w:t xml:space="preserve"> </w:t>
      </w:r>
      <w:r>
        <w:rPr>
          <w:w w:val="105"/>
        </w:rPr>
        <w:t>mixed</w:t>
      </w:r>
      <w:r>
        <w:rPr>
          <w:spacing w:val="-26"/>
          <w:w w:val="105"/>
        </w:rPr>
        <w:t xml:space="preserve"> </w:t>
      </w:r>
      <w:r>
        <w:rPr>
          <w:w w:val="105"/>
        </w:rPr>
        <w:t>ANOVA</w:t>
      </w:r>
      <w:r>
        <w:rPr>
          <w:spacing w:val="-26"/>
          <w:w w:val="105"/>
        </w:rPr>
        <w:t xml:space="preserve"> </w:t>
      </w:r>
      <w:r>
        <w:rPr>
          <w:w w:val="105"/>
        </w:rPr>
        <w:t>was</w:t>
      </w:r>
      <w:r>
        <w:rPr>
          <w:spacing w:val="-28"/>
          <w:w w:val="105"/>
        </w:rPr>
        <w:t xml:space="preserve"> </w:t>
      </w:r>
      <w:r>
        <w:rPr>
          <w:w w:val="105"/>
        </w:rPr>
        <w:t>conducted</w:t>
      </w:r>
      <w:r>
        <w:rPr>
          <w:spacing w:val="-26"/>
          <w:w w:val="105"/>
        </w:rPr>
        <w:t xml:space="preserve"> </w:t>
      </w:r>
      <w:r>
        <w:rPr>
          <w:w w:val="105"/>
        </w:rPr>
        <w:t>on</w:t>
      </w:r>
      <w:r>
        <w:rPr>
          <w:spacing w:val="-29"/>
          <w:w w:val="105"/>
        </w:rPr>
        <w:t xml:space="preserve"> </w:t>
      </w:r>
      <w:r>
        <w:rPr>
          <w:w w:val="105"/>
        </w:rPr>
        <w:t>the</w:t>
      </w:r>
      <w:r>
        <w:rPr>
          <w:spacing w:val="-29"/>
          <w:w w:val="105"/>
        </w:rPr>
        <w:t xml:space="preserve"> </w:t>
      </w:r>
      <w:r>
        <w:rPr>
          <w:w w:val="105"/>
        </w:rPr>
        <w:t>mean</w:t>
      </w:r>
      <w:r>
        <w:rPr>
          <w:spacing w:val="-26"/>
          <w:w w:val="105"/>
        </w:rPr>
        <w:t xml:space="preserve"> </w:t>
      </w:r>
      <w:r>
        <w:rPr>
          <w:w w:val="105"/>
        </w:rPr>
        <w:t>number</w:t>
      </w:r>
      <w:r>
        <w:rPr>
          <w:spacing w:val="-28"/>
          <w:w w:val="105"/>
        </w:rPr>
        <w:t xml:space="preserve"> </w:t>
      </w:r>
      <w:r>
        <w:rPr>
          <w:w w:val="105"/>
        </w:rPr>
        <w:t>of</w:t>
      </w:r>
      <w:r>
        <w:rPr>
          <w:spacing w:val="-28"/>
          <w:w w:val="105"/>
        </w:rPr>
        <w:t xml:space="preserve"> </w:t>
      </w:r>
      <w:r>
        <w:rPr>
          <w:w w:val="105"/>
        </w:rPr>
        <w:t>time</w:t>
      </w:r>
      <w:r>
        <w:rPr>
          <w:spacing w:val="-30"/>
          <w:w w:val="105"/>
        </w:rPr>
        <w:t xml:space="preserve"> </w:t>
      </w:r>
      <w:r>
        <w:rPr>
          <w:w w:val="105"/>
        </w:rPr>
        <w:t>checks</w:t>
      </w:r>
      <w:r>
        <w:rPr>
          <w:spacing w:val="-27"/>
          <w:w w:val="105"/>
        </w:rPr>
        <w:t xml:space="preserve"> </w:t>
      </w:r>
      <w:r>
        <w:rPr>
          <w:w w:val="105"/>
        </w:rPr>
        <w:t xml:space="preserve">carried out during the task with group (ASD/NT) as between-subject factor, and condition (PM </w:t>
      </w:r>
      <w:r>
        <w:t>low/high</w:t>
      </w:r>
      <w:r>
        <w:rPr>
          <w:spacing w:val="-8"/>
        </w:rPr>
        <w:t xml:space="preserve"> </w:t>
      </w:r>
      <w:r>
        <w:t>importance)</w:t>
      </w:r>
      <w:r>
        <w:rPr>
          <w:spacing w:val="-6"/>
        </w:rPr>
        <w:t xml:space="preserve"> </w:t>
      </w:r>
      <w:r>
        <w:t>and</w:t>
      </w:r>
      <w:r>
        <w:rPr>
          <w:spacing w:val="-12"/>
        </w:rPr>
        <w:t xml:space="preserve"> </w:t>
      </w:r>
      <w:r>
        <w:t>time</w:t>
      </w:r>
      <w:r>
        <w:rPr>
          <w:spacing w:val="-14"/>
        </w:rPr>
        <w:t xml:space="preserve"> </w:t>
      </w:r>
      <w:r>
        <w:t>interval</w:t>
      </w:r>
      <w:r>
        <w:rPr>
          <w:spacing w:val="-16"/>
        </w:rPr>
        <w:t xml:space="preserve"> </w:t>
      </w:r>
      <w:r>
        <w:t>(0-30,</w:t>
      </w:r>
      <w:r>
        <w:rPr>
          <w:spacing w:val="-5"/>
        </w:rPr>
        <w:t xml:space="preserve"> </w:t>
      </w:r>
      <w:r>
        <w:t>31-60,</w:t>
      </w:r>
      <w:r>
        <w:rPr>
          <w:spacing w:val="-5"/>
        </w:rPr>
        <w:t xml:space="preserve"> </w:t>
      </w:r>
      <w:r>
        <w:t>61-90,</w:t>
      </w:r>
      <w:r>
        <w:rPr>
          <w:spacing w:val="-9"/>
        </w:rPr>
        <w:t xml:space="preserve"> </w:t>
      </w:r>
      <w:r>
        <w:t>91-120</w:t>
      </w:r>
      <w:r>
        <w:rPr>
          <w:spacing w:val="-8"/>
        </w:rPr>
        <w:t xml:space="preserve"> </w:t>
      </w:r>
      <w:r>
        <w:t>seconds)</w:t>
      </w:r>
      <w:r>
        <w:rPr>
          <w:spacing w:val="-6"/>
        </w:rPr>
        <w:t xml:space="preserve"> </w:t>
      </w:r>
      <w:r>
        <w:t>as</w:t>
      </w:r>
      <w:r>
        <w:rPr>
          <w:spacing w:val="-9"/>
        </w:rPr>
        <w:t xml:space="preserve"> </w:t>
      </w:r>
      <w:r>
        <w:t xml:space="preserve">within-subject </w:t>
      </w:r>
      <w:r>
        <w:rPr>
          <w:w w:val="105"/>
        </w:rPr>
        <w:t>factors.</w:t>
      </w:r>
      <w:r>
        <w:rPr>
          <w:spacing w:val="26"/>
          <w:w w:val="105"/>
        </w:rPr>
        <w:t xml:space="preserve"> </w:t>
      </w:r>
      <w:r>
        <w:rPr>
          <w:w w:val="105"/>
        </w:rPr>
        <w:t>Mauchly’s</w:t>
      </w:r>
      <w:r>
        <w:rPr>
          <w:spacing w:val="-19"/>
          <w:w w:val="105"/>
        </w:rPr>
        <w:t xml:space="preserve"> </w:t>
      </w:r>
      <w:r>
        <w:rPr>
          <w:w w:val="105"/>
        </w:rPr>
        <w:t>test</w:t>
      </w:r>
      <w:r>
        <w:rPr>
          <w:spacing w:val="-17"/>
          <w:w w:val="105"/>
        </w:rPr>
        <w:t xml:space="preserve"> </w:t>
      </w:r>
      <w:r>
        <w:rPr>
          <w:w w:val="105"/>
        </w:rPr>
        <w:t>indicated</w:t>
      </w:r>
      <w:r>
        <w:rPr>
          <w:spacing w:val="-20"/>
          <w:w w:val="105"/>
        </w:rPr>
        <w:t xml:space="preserve"> </w:t>
      </w:r>
      <w:r>
        <w:rPr>
          <w:w w:val="105"/>
        </w:rPr>
        <w:t>that</w:t>
      </w:r>
      <w:r>
        <w:rPr>
          <w:spacing w:val="-17"/>
          <w:w w:val="105"/>
        </w:rPr>
        <w:t xml:space="preserve"> </w:t>
      </w:r>
      <w:r>
        <w:rPr>
          <w:w w:val="105"/>
        </w:rPr>
        <w:t>the</w:t>
      </w:r>
      <w:r>
        <w:rPr>
          <w:spacing w:val="-21"/>
          <w:w w:val="105"/>
        </w:rPr>
        <w:t xml:space="preserve"> </w:t>
      </w:r>
      <w:r>
        <w:rPr>
          <w:w w:val="105"/>
        </w:rPr>
        <w:t>assumption</w:t>
      </w:r>
      <w:r>
        <w:rPr>
          <w:spacing w:val="-18"/>
          <w:w w:val="105"/>
        </w:rPr>
        <w:t xml:space="preserve"> </w:t>
      </w:r>
      <w:r>
        <w:rPr>
          <w:w w:val="105"/>
        </w:rPr>
        <w:t>of</w:t>
      </w:r>
      <w:r>
        <w:rPr>
          <w:spacing w:val="-20"/>
          <w:w w:val="105"/>
        </w:rPr>
        <w:t xml:space="preserve"> </w:t>
      </w:r>
      <w:r>
        <w:rPr>
          <w:w w:val="105"/>
        </w:rPr>
        <w:t>sphericity</w:t>
      </w:r>
      <w:r>
        <w:rPr>
          <w:spacing w:val="-18"/>
          <w:w w:val="105"/>
        </w:rPr>
        <w:t xml:space="preserve"> </w:t>
      </w:r>
      <w:r>
        <w:rPr>
          <w:w w:val="105"/>
        </w:rPr>
        <w:t>had</w:t>
      </w:r>
      <w:r>
        <w:rPr>
          <w:spacing w:val="-20"/>
          <w:w w:val="105"/>
        </w:rPr>
        <w:t xml:space="preserve"> </w:t>
      </w:r>
      <w:r>
        <w:rPr>
          <w:w w:val="105"/>
        </w:rPr>
        <w:t>been</w:t>
      </w:r>
      <w:r>
        <w:rPr>
          <w:spacing w:val="-18"/>
          <w:w w:val="105"/>
        </w:rPr>
        <w:t xml:space="preserve"> </w:t>
      </w:r>
      <w:r>
        <w:rPr>
          <w:w w:val="105"/>
        </w:rPr>
        <w:t>violated</w:t>
      </w:r>
      <w:r>
        <w:rPr>
          <w:spacing w:val="-20"/>
          <w:w w:val="105"/>
        </w:rPr>
        <w:t xml:space="preserve"> </w:t>
      </w:r>
      <w:r>
        <w:rPr>
          <w:w w:val="105"/>
        </w:rPr>
        <w:t>for</w:t>
      </w:r>
      <w:r>
        <w:rPr>
          <w:spacing w:val="-16"/>
          <w:w w:val="105"/>
        </w:rPr>
        <w:t xml:space="preserve"> </w:t>
      </w:r>
      <w:r>
        <w:rPr>
          <w:w w:val="105"/>
        </w:rPr>
        <w:t xml:space="preserve">the </w:t>
      </w:r>
      <w:r>
        <w:t>main</w:t>
      </w:r>
      <w:r>
        <w:rPr>
          <w:spacing w:val="-12"/>
        </w:rPr>
        <w:t xml:space="preserve"> </w:t>
      </w:r>
      <w:r>
        <w:t>effect</w:t>
      </w:r>
      <w:r>
        <w:rPr>
          <w:spacing w:val="-10"/>
        </w:rPr>
        <w:t xml:space="preserve"> </w:t>
      </w:r>
      <w:r>
        <w:t>of</w:t>
      </w:r>
      <w:r>
        <w:rPr>
          <w:spacing w:val="-13"/>
        </w:rPr>
        <w:t xml:space="preserve"> </w:t>
      </w:r>
      <w:r>
        <w:t>interval</w:t>
      </w:r>
      <w:r>
        <w:rPr>
          <w:spacing w:val="-15"/>
        </w:rPr>
        <w:t xml:space="preserve"> </w:t>
      </w:r>
      <w:r>
        <w:t>and</w:t>
      </w:r>
      <w:r>
        <w:rPr>
          <w:spacing w:val="-11"/>
        </w:rPr>
        <w:t xml:space="preserve"> </w:t>
      </w:r>
      <w:r>
        <w:t>the</w:t>
      </w:r>
      <w:r>
        <w:rPr>
          <w:spacing w:val="-12"/>
        </w:rPr>
        <w:t xml:space="preserve"> </w:t>
      </w:r>
      <w:r>
        <w:t>interval</w:t>
      </w:r>
      <w:r>
        <w:rPr>
          <w:spacing w:val="-10"/>
        </w:rPr>
        <w:t xml:space="preserve"> </w:t>
      </w:r>
      <w:r>
        <w:t>×</w:t>
      </w:r>
      <w:r>
        <w:rPr>
          <w:spacing w:val="-12"/>
        </w:rPr>
        <w:t xml:space="preserve"> </w:t>
      </w:r>
      <w:r>
        <w:t>importance</w:t>
      </w:r>
      <w:r>
        <w:rPr>
          <w:spacing w:val="-12"/>
        </w:rPr>
        <w:t xml:space="preserve"> </w:t>
      </w:r>
      <w:r>
        <w:t>interaction</w:t>
      </w:r>
      <w:r>
        <w:rPr>
          <w:spacing w:val="-11"/>
        </w:rPr>
        <w:t xml:space="preserve"> </w:t>
      </w:r>
      <w:r>
        <w:t>effect.</w:t>
      </w:r>
      <w:r>
        <w:rPr>
          <w:spacing w:val="-13"/>
        </w:rPr>
        <w:t xml:space="preserve"> </w:t>
      </w:r>
      <w:r>
        <w:t>Therefore,</w:t>
      </w:r>
      <w:r>
        <w:rPr>
          <w:spacing w:val="-8"/>
        </w:rPr>
        <w:t xml:space="preserve"> </w:t>
      </w:r>
      <w:r>
        <w:t xml:space="preserve">Greenhouse- </w:t>
      </w:r>
      <w:r>
        <w:rPr>
          <w:w w:val="105"/>
        </w:rPr>
        <w:t>Geisser</w:t>
      </w:r>
      <w:r>
        <w:rPr>
          <w:spacing w:val="-18"/>
          <w:w w:val="105"/>
        </w:rPr>
        <w:t xml:space="preserve"> </w:t>
      </w:r>
      <w:r>
        <w:rPr>
          <w:w w:val="105"/>
        </w:rPr>
        <w:t>correction</w:t>
      </w:r>
      <w:r>
        <w:rPr>
          <w:spacing w:val="-19"/>
          <w:w w:val="105"/>
        </w:rPr>
        <w:t xml:space="preserve"> </w:t>
      </w:r>
      <w:r>
        <w:rPr>
          <w:w w:val="105"/>
        </w:rPr>
        <w:t>was</w:t>
      </w:r>
      <w:r>
        <w:rPr>
          <w:spacing w:val="-20"/>
          <w:w w:val="105"/>
        </w:rPr>
        <w:t xml:space="preserve"> </w:t>
      </w:r>
      <w:r>
        <w:rPr>
          <w:w w:val="105"/>
        </w:rPr>
        <w:t>used</w:t>
      </w:r>
      <w:r>
        <w:rPr>
          <w:spacing w:val="-18"/>
          <w:w w:val="105"/>
        </w:rPr>
        <w:t xml:space="preserve"> </w:t>
      </w:r>
      <w:r>
        <w:rPr>
          <w:w w:val="105"/>
        </w:rPr>
        <w:t>for</w:t>
      </w:r>
      <w:r>
        <w:rPr>
          <w:spacing w:val="-21"/>
          <w:w w:val="105"/>
        </w:rPr>
        <w:t xml:space="preserve"> </w:t>
      </w:r>
      <w:r>
        <w:rPr>
          <w:w w:val="105"/>
        </w:rPr>
        <w:t>those</w:t>
      </w:r>
      <w:r>
        <w:rPr>
          <w:spacing w:val="-19"/>
          <w:w w:val="105"/>
        </w:rPr>
        <w:t xml:space="preserve"> </w:t>
      </w:r>
      <w:r>
        <w:rPr>
          <w:w w:val="105"/>
        </w:rPr>
        <w:t>effects.</w:t>
      </w:r>
      <w:r>
        <w:rPr>
          <w:spacing w:val="22"/>
          <w:w w:val="105"/>
        </w:rPr>
        <w:t xml:space="preserve"> </w:t>
      </w:r>
      <w:r>
        <w:rPr>
          <w:w w:val="105"/>
        </w:rPr>
        <w:t>No</w:t>
      </w:r>
      <w:r>
        <w:rPr>
          <w:spacing w:val="-22"/>
          <w:w w:val="105"/>
        </w:rPr>
        <w:t xml:space="preserve"> </w:t>
      </w:r>
      <w:r>
        <w:rPr>
          <w:w w:val="105"/>
        </w:rPr>
        <w:t>main</w:t>
      </w:r>
      <w:r>
        <w:rPr>
          <w:spacing w:val="-18"/>
          <w:w w:val="105"/>
        </w:rPr>
        <w:t xml:space="preserve"> </w:t>
      </w:r>
      <w:r>
        <w:rPr>
          <w:w w:val="105"/>
        </w:rPr>
        <w:t>effect</w:t>
      </w:r>
      <w:r>
        <w:rPr>
          <w:spacing w:val="-22"/>
          <w:w w:val="105"/>
        </w:rPr>
        <w:t xml:space="preserve"> </w:t>
      </w:r>
      <w:r>
        <w:rPr>
          <w:w w:val="105"/>
        </w:rPr>
        <w:t>of</w:t>
      </w:r>
      <w:r>
        <w:rPr>
          <w:spacing w:val="-20"/>
          <w:w w:val="105"/>
        </w:rPr>
        <w:t xml:space="preserve"> </w:t>
      </w:r>
      <w:r>
        <w:rPr>
          <w:w w:val="105"/>
        </w:rPr>
        <w:t>group</w:t>
      </w:r>
      <w:r>
        <w:rPr>
          <w:spacing w:val="-22"/>
          <w:w w:val="105"/>
        </w:rPr>
        <w:t xml:space="preserve"> </w:t>
      </w:r>
      <w:r>
        <w:rPr>
          <w:w w:val="105"/>
        </w:rPr>
        <w:t>was</w:t>
      </w:r>
      <w:r>
        <w:rPr>
          <w:spacing w:val="-20"/>
          <w:w w:val="105"/>
        </w:rPr>
        <w:t xml:space="preserve"> </w:t>
      </w:r>
      <w:r>
        <w:rPr>
          <w:w w:val="105"/>
        </w:rPr>
        <w:t>found,</w:t>
      </w:r>
      <w:r>
        <w:rPr>
          <w:spacing w:val="-20"/>
          <w:w w:val="105"/>
        </w:rPr>
        <w:t xml:space="preserve"> </w:t>
      </w:r>
      <w:r>
        <w:rPr>
          <w:i/>
          <w:w w:val="105"/>
        </w:rPr>
        <w:t>F</w:t>
      </w:r>
      <w:r>
        <w:rPr>
          <w:w w:val="105"/>
        </w:rPr>
        <w:t>(1,36)</w:t>
      </w:r>
      <w:r>
        <w:rPr>
          <w:spacing w:val="-21"/>
          <w:w w:val="105"/>
        </w:rPr>
        <w:t xml:space="preserve"> </w:t>
      </w:r>
      <w:r>
        <w:rPr>
          <w:w w:val="105"/>
        </w:rPr>
        <w:t xml:space="preserve">= </w:t>
      </w:r>
      <w:r>
        <w:rPr>
          <w:position w:val="2"/>
        </w:rPr>
        <w:t>0</w:t>
      </w:r>
      <w:r>
        <w:rPr>
          <w:spacing w:val="2"/>
          <w:position w:val="2"/>
        </w:rPr>
        <w:t>.</w:t>
      </w:r>
      <w:r>
        <w:rPr>
          <w:position w:val="2"/>
        </w:rPr>
        <w:t>75,</w:t>
      </w:r>
      <w:r>
        <w:rPr>
          <w:spacing w:val="4"/>
          <w:position w:val="2"/>
        </w:rPr>
        <w:t xml:space="preserve"> </w:t>
      </w:r>
      <w:r>
        <w:rPr>
          <w:i/>
          <w:position w:val="2"/>
        </w:rPr>
        <w:t>p</w:t>
      </w:r>
      <w:r>
        <w:rPr>
          <w:i/>
          <w:spacing w:val="2"/>
          <w:position w:val="2"/>
        </w:rPr>
        <w:t xml:space="preserve"> </w:t>
      </w:r>
      <w:r>
        <w:rPr>
          <w:position w:val="2"/>
        </w:rPr>
        <w:t>=</w:t>
      </w:r>
      <w:r>
        <w:rPr>
          <w:spacing w:val="1"/>
          <w:position w:val="2"/>
        </w:rPr>
        <w:t xml:space="preserve"> </w:t>
      </w:r>
      <w:r>
        <w:rPr>
          <w:spacing w:val="2"/>
          <w:position w:val="2"/>
        </w:rPr>
        <w:t>.</w:t>
      </w:r>
      <w:r>
        <w:rPr>
          <w:position w:val="2"/>
        </w:rPr>
        <w:t>3</w:t>
      </w:r>
      <w:r>
        <w:rPr>
          <w:spacing w:val="-5"/>
          <w:position w:val="2"/>
        </w:rPr>
        <w:t>9</w:t>
      </w:r>
      <w:r>
        <w:rPr>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1"/>
          <w:position w:val="2"/>
        </w:rPr>
        <w:t xml:space="preserve"> </w:t>
      </w:r>
      <w:r>
        <w:rPr>
          <w:position w:val="2"/>
        </w:rPr>
        <w:t>=</w:t>
      </w:r>
      <w:r>
        <w:rPr>
          <w:spacing w:val="1"/>
          <w:position w:val="2"/>
        </w:rPr>
        <w:t xml:space="preserve"> </w:t>
      </w:r>
      <w:r>
        <w:rPr>
          <w:spacing w:val="2"/>
          <w:position w:val="2"/>
        </w:rPr>
        <w:t>.</w:t>
      </w:r>
      <w:r>
        <w:rPr>
          <w:position w:val="2"/>
        </w:rPr>
        <w:t>02,</w:t>
      </w:r>
      <w:r>
        <w:rPr>
          <w:spacing w:val="4"/>
          <w:position w:val="2"/>
        </w:rPr>
        <w:t xml:space="preserve"> </w:t>
      </w:r>
      <w:r>
        <w:rPr>
          <w:spacing w:val="-2"/>
          <w:position w:val="2"/>
        </w:rPr>
        <w:t>B</w:t>
      </w:r>
      <w:r>
        <w:rPr>
          <w:spacing w:val="-4"/>
          <w:position w:val="2"/>
        </w:rPr>
        <w:t>F</w:t>
      </w:r>
      <w:r>
        <w:rPr>
          <w:spacing w:val="2"/>
          <w:w w:val="97"/>
          <w:position w:val="2"/>
          <w:vertAlign w:val="subscript"/>
        </w:rPr>
        <w:t>1</w:t>
      </w:r>
      <w:r>
        <w:rPr>
          <w:w w:val="97"/>
          <w:position w:val="2"/>
          <w:vertAlign w:val="subscript"/>
        </w:rPr>
        <w:t>0</w:t>
      </w:r>
      <w:r>
        <w:rPr>
          <w:spacing w:val="4"/>
          <w:position w:val="2"/>
        </w:rPr>
        <w:t xml:space="preserve"> </w:t>
      </w:r>
      <w:r>
        <w:rPr>
          <w:position w:val="2"/>
        </w:rPr>
        <w:t>=</w:t>
      </w:r>
      <w:r>
        <w:rPr>
          <w:spacing w:val="1"/>
          <w:position w:val="2"/>
        </w:rPr>
        <w:t xml:space="preserve"> </w:t>
      </w:r>
      <w:r>
        <w:rPr>
          <w:position w:val="2"/>
        </w:rPr>
        <w:t>0</w:t>
      </w:r>
      <w:r>
        <w:rPr>
          <w:spacing w:val="2"/>
          <w:position w:val="2"/>
        </w:rPr>
        <w:t>.</w:t>
      </w:r>
      <w:r>
        <w:rPr>
          <w:position w:val="2"/>
        </w:rPr>
        <w:t>2</w:t>
      </w:r>
      <w:r>
        <w:rPr>
          <w:spacing w:val="-5"/>
          <w:position w:val="2"/>
        </w:rPr>
        <w:t>8</w:t>
      </w:r>
      <w:r>
        <w:rPr>
          <w:position w:val="2"/>
        </w:rPr>
        <w:t>.</w:t>
      </w:r>
      <w:r>
        <w:rPr>
          <w:spacing w:val="4"/>
          <w:position w:val="2"/>
        </w:rPr>
        <w:t xml:space="preserve"> </w:t>
      </w:r>
      <w:r>
        <w:rPr>
          <w:spacing w:val="2"/>
          <w:position w:val="2"/>
        </w:rPr>
        <w:t>T</w:t>
      </w:r>
      <w:r>
        <w:rPr>
          <w:position w:val="2"/>
        </w:rPr>
        <w:t>h</w:t>
      </w:r>
      <w:r>
        <w:rPr>
          <w:spacing w:val="-1"/>
          <w:position w:val="2"/>
        </w:rPr>
        <w:t>e</w:t>
      </w:r>
      <w:r>
        <w:rPr>
          <w:spacing w:val="1"/>
          <w:position w:val="2"/>
        </w:rPr>
        <w:t>r</w:t>
      </w:r>
      <w:r>
        <w:rPr>
          <w:position w:val="2"/>
        </w:rPr>
        <w:t>e</w:t>
      </w:r>
      <w:r>
        <w:rPr>
          <w:spacing w:val="1"/>
          <w:position w:val="2"/>
        </w:rPr>
        <w:t xml:space="preserve"> </w:t>
      </w:r>
      <w:r>
        <w:rPr>
          <w:spacing w:val="-1"/>
          <w:position w:val="2"/>
        </w:rPr>
        <w:t>we</w:t>
      </w:r>
      <w:r>
        <w:rPr>
          <w:spacing w:val="1"/>
          <w:position w:val="2"/>
        </w:rPr>
        <w:t>r</w:t>
      </w:r>
      <w:r>
        <w:rPr>
          <w:position w:val="2"/>
        </w:rPr>
        <w:t>e</w:t>
      </w:r>
      <w:r>
        <w:rPr>
          <w:spacing w:val="1"/>
          <w:position w:val="2"/>
        </w:rPr>
        <w:t xml:space="preserve"> </w:t>
      </w:r>
      <w:r>
        <w:rPr>
          <w:spacing w:val="-3"/>
          <w:position w:val="2"/>
        </w:rPr>
        <w:t>s</w:t>
      </w:r>
      <w:r>
        <w:rPr>
          <w:position w:val="2"/>
        </w:rPr>
        <w:t>ign</w:t>
      </w:r>
      <w:r>
        <w:rPr>
          <w:spacing w:val="-5"/>
          <w:position w:val="2"/>
        </w:rPr>
        <w:t>i</w:t>
      </w:r>
      <w:r>
        <w:rPr>
          <w:spacing w:val="1"/>
          <w:position w:val="2"/>
        </w:rPr>
        <w:t>f</w:t>
      </w:r>
      <w:r>
        <w:rPr>
          <w:position w:val="2"/>
        </w:rPr>
        <w:t>i</w:t>
      </w:r>
      <w:r>
        <w:rPr>
          <w:spacing w:val="-1"/>
          <w:position w:val="2"/>
        </w:rPr>
        <w:t>ca</w:t>
      </w:r>
      <w:r>
        <w:rPr>
          <w:position w:val="2"/>
        </w:rPr>
        <w:t>nt</w:t>
      </w:r>
      <w:r>
        <w:rPr>
          <w:spacing w:val="7"/>
          <w:position w:val="2"/>
        </w:rPr>
        <w:t xml:space="preserve"> </w:t>
      </w:r>
      <w:r>
        <w:rPr>
          <w:position w:val="2"/>
        </w:rPr>
        <w:t>m</w:t>
      </w:r>
      <w:r>
        <w:rPr>
          <w:spacing w:val="-1"/>
          <w:position w:val="2"/>
        </w:rPr>
        <w:t>a</w:t>
      </w:r>
      <w:r>
        <w:rPr>
          <w:position w:val="2"/>
        </w:rPr>
        <w:t>in</w:t>
      </w:r>
      <w:r>
        <w:rPr>
          <w:spacing w:val="2"/>
          <w:position w:val="2"/>
        </w:rPr>
        <w:t xml:space="preserve"> </w:t>
      </w:r>
      <w:r>
        <w:rPr>
          <w:spacing w:val="-1"/>
          <w:position w:val="2"/>
        </w:rPr>
        <w:t>e</w:t>
      </w:r>
      <w:r>
        <w:rPr>
          <w:spacing w:val="-4"/>
          <w:position w:val="2"/>
        </w:rPr>
        <w:t>f</w:t>
      </w:r>
      <w:r>
        <w:rPr>
          <w:spacing w:val="1"/>
          <w:position w:val="2"/>
        </w:rPr>
        <w:t>f</w:t>
      </w:r>
      <w:r>
        <w:rPr>
          <w:spacing w:val="-1"/>
          <w:position w:val="2"/>
        </w:rPr>
        <w:t>ec</w:t>
      </w:r>
      <w:r>
        <w:rPr>
          <w:position w:val="2"/>
        </w:rPr>
        <w:t>ts</w:t>
      </w:r>
      <w:r>
        <w:rPr>
          <w:spacing w:val="5"/>
          <w:position w:val="2"/>
        </w:rPr>
        <w:t xml:space="preserve"> </w:t>
      </w:r>
      <w:r>
        <w:rPr>
          <w:position w:val="2"/>
        </w:rPr>
        <w:t>of</w:t>
      </w:r>
      <w:r>
        <w:rPr>
          <w:spacing w:val="4"/>
          <w:position w:val="2"/>
        </w:rPr>
        <w:t xml:space="preserve"> </w:t>
      </w:r>
      <w:r>
        <w:rPr>
          <w:spacing w:val="-1"/>
          <w:position w:val="2"/>
        </w:rPr>
        <w:t>c</w:t>
      </w:r>
      <w:r>
        <w:rPr>
          <w:position w:val="2"/>
        </w:rPr>
        <w:t>onditio</w:t>
      </w:r>
      <w:r>
        <w:rPr>
          <w:spacing w:val="-5"/>
          <w:position w:val="2"/>
        </w:rPr>
        <w:t>n</w:t>
      </w:r>
      <w:r>
        <w:rPr>
          <w:position w:val="2"/>
        </w:rPr>
        <w:t>,</w:t>
      </w:r>
      <w:r>
        <w:rPr>
          <w:spacing w:val="4"/>
          <w:position w:val="2"/>
        </w:rPr>
        <w:t xml:space="preserve"> </w:t>
      </w:r>
      <w:r>
        <w:rPr>
          <w:i/>
          <w:spacing w:val="-3"/>
          <w:position w:val="2"/>
        </w:rPr>
        <w:t>F</w:t>
      </w:r>
      <w:r>
        <w:rPr>
          <w:spacing w:val="1"/>
          <w:position w:val="2"/>
        </w:rPr>
        <w:t>(</w:t>
      </w:r>
      <w:r>
        <w:rPr>
          <w:position w:val="2"/>
        </w:rPr>
        <w:t>1</w:t>
      </w:r>
      <w:r>
        <w:rPr>
          <w:spacing w:val="2"/>
          <w:position w:val="2"/>
        </w:rPr>
        <w:t>,</w:t>
      </w:r>
      <w:r>
        <w:rPr>
          <w:position w:val="2"/>
        </w:rPr>
        <w:t>3</w:t>
      </w:r>
      <w:r>
        <w:rPr>
          <w:spacing w:val="-5"/>
          <w:position w:val="2"/>
        </w:rPr>
        <w:t>6</w:t>
      </w:r>
      <w:r>
        <w:rPr>
          <w:position w:val="2"/>
        </w:rPr>
        <w:t>)</w:t>
      </w:r>
    </w:p>
    <w:p w14:paraId="5C8BA3BF" w14:textId="77777777" w:rsidR="00C75312" w:rsidRDefault="00BB293A">
      <w:pPr>
        <w:pStyle w:val="BodyText"/>
        <w:spacing w:before="13" w:line="117" w:lineRule="exact"/>
        <w:ind w:left="140"/>
      </w:pPr>
      <w:r>
        <w:rPr>
          <w:position w:val="2"/>
        </w:rPr>
        <w:t>=</w:t>
      </w:r>
      <w:r>
        <w:rPr>
          <w:spacing w:val="11"/>
          <w:position w:val="2"/>
        </w:rPr>
        <w:t xml:space="preserve"> </w:t>
      </w:r>
      <w:r>
        <w:rPr>
          <w:position w:val="2"/>
        </w:rPr>
        <w:t>15</w:t>
      </w:r>
      <w:r>
        <w:rPr>
          <w:spacing w:val="2"/>
          <w:position w:val="2"/>
        </w:rPr>
        <w:t>.</w:t>
      </w:r>
      <w:r>
        <w:rPr>
          <w:position w:val="2"/>
        </w:rPr>
        <w:t>89,</w:t>
      </w:r>
      <w:r>
        <w:rPr>
          <w:spacing w:val="9"/>
          <w:position w:val="2"/>
        </w:rPr>
        <w:t xml:space="preserve"> </w:t>
      </w:r>
      <w:r>
        <w:rPr>
          <w:i/>
          <w:position w:val="2"/>
        </w:rPr>
        <w:t>p</w:t>
      </w:r>
      <w:r>
        <w:rPr>
          <w:i/>
          <w:spacing w:val="7"/>
          <w:position w:val="2"/>
        </w:rPr>
        <w:t xml:space="preserve"> </w:t>
      </w:r>
      <w:r>
        <w:rPr>
          <w:position w:val="2"/>
        </w:rPr>
        <w:t>&lt;</w:t>
      </w:r>
      <w:r>
        <w:rPr>
          <w:spacing w:val="11"/>
          <w:position w:val="2"/>
        </w:rPr>
        <w:t xml:space="preserve"> </w:t>
      </w:r>
      <w:r>
        <w:rPr>
          <w:spacing w:val="2"/>
          <w:position w:val="2"/>
        </w:rPr>
        <w:t>.</w:t>
      </w:r>
      <w:r>
        <w:rPr>
          <w:position w:val="2"/>
        </w:rPr>
        <w:t>00</w:t>
      </w:r>
      <w:r>
        <w:rPr>
          <w:spacing w:val="-5"/>
          <w:position w:val="2"/>
        </w:rPr>
        <w:t>1</w:t>
      </w:r>
      <w:r>
        <w:rPr>
          <w:position w:val="2"/>
        </w:rPr>
        <w:t>,</w:t>
      </w:r>
      <w:r>
        <w:rPr>
          <w:spacing w:val="9"/>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16"/>
          <w:position w:val="2"/>
        </w:rPr>
        <w:t xml:space="preserve"> </w:t>
      </w:r>
      <w:r>
        <w:rPr>
          <w:position w:val="2"/>
        </w:rPr>
        <w:t>=</w:t>
      </w:r>
      <w:r>
        <w:rPr>
          <w:spacing w:val="6"/>
          <w:position w:val="2"/>
        </w:rPr>
        <w:t xml:space="preserve"> </w:t>
      </w:r>
      <w:r>
        <w:rPr>
          <w:spacing w:val="2"/>
          <w:position w:val="2"/>
        </w:rPr>
        <w:t>.</w:t>
      </w:r>
      <w:r>
        <w:rPr>
          <w:position w:val="2"/>
        </w:rPr>
        <w:t>31,</w:t>
      </w:r>
      <w:r>
        <w:rPr>
          <w:spacing w:val="9"/>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15"/>
          <w:position w:val="2"/>
        </w:rPr>
        <w:t xml:space="preserve"> </w:t>
      </w:r>
      <w:r>
        <w:rPr>
          <w:position w:val="2"/>
        </w:rPr>
        <w:t>=</w:t>
      </w:r>
      <w:r>
        <w:rPr>
          <w:spacing w:val="11"/>
          <w:position w:val="2"/>
        </w:rPr>
        <w:t xml:space="preserve"> </w:t>
      </w:r>
      <w:r>
        <w:rPr>
          <w:position w:val="2"/>
        </w:rPr>
        <w:t>2</w:t>
      </w:r>
      <w:r>
        <w:rPr>
          <w:spacing w:val="-5"/>
          <w:position w:val="2"/>
        </w:rPr>
        <w:t>0</w:t>
      </w:r>
      <w:r>
        <w:rPr>
          <w:spacing w:val="2"/>
          <w:position w:val="2"/>
        </w:rPr>
        <w:t>.</w:t>
      </w:r>
      <w:r>
        <w:rPr>
          <w:position w:val="2"/>
        </w:rPr>
        <w:t>22,</w:t>
      </w:r>
      <w:r>
        <w:rPr>
          <w:spacing w:val="9"/>
          <w:position w:val="2"/>
        </w:rPr>
        <w:t xml:space="preserve"> </w:t>
      </w:r>
      <w:r>
        <w:rPr>
          <w:spacing w:val="-1"/>
          <w:position w:val="2"/>
        </w:rPr>
        <w:t>a</w:t>
      </w:r>
      <w:r>
        <w:rPr>
          <w:position w:val="2"/>
        </w:rPr>
        <w:t>nd</w:t>
      </w:r>
      <w:r>
        <w:rPr>
          <w:spacing w:val="12"/>
          <w:position w:val="2"/>
        </w:rPr>
        <w:t xml:space="preserve"> </w:t>
      </w:r>
      <w:r>
        <w:rPr>
          <w:position w:val="2"/>
        </w:rPr>
        <w:t>int</w:t>
      </w:r>
      <w:r>
        <w:rPr>
          <w:spacing w:val="-6"/>
          <w:position w:val="2"/>
        </w:rPr>
        <w:t>e</w:t>
      </w:r>
      <w:r>
        <w:rPr>
          <w:spacing w:val="1"/>
          <w:position w:val="2"/>
        </w:rPr>
        <w:t>r</w:t>
      </w:r>
      <w:r>
        <w:rPr>
          <w:spacing w:val="-5"/>
          <w:position w:val="2"/>
        </w:rPr>
        <w:t>v</w:t>
      </w:r>
      <w:r>
        <w:rPr>
          <w:spacing w:val="-1"/>
          <w:position w:val="2"/>
        </w:rPr>
        <w:t>a</w:t>
      </w:r>
      <w:r>
        <w:rPr>
          <w:position w:val="2"/>
        </w:rPr>
        <w:t>l</w:t>
      </w:r>
      <w:r>
        <w:rPr>
          <w:spacing w:val="12"/>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35</w:t>
      </w:r>
      <w:r>
        <w:rPr>
          <w:spacing w:val="2"/>
          <w:position w:val="2"/>
        </w:rPr>
        <w:t>,</w:t>
      </w:r>
      <w:r>
        <w:rPr>
          <w:position w:val="2"/>
        </w:rPr>
        <w:t>4</w:t>
      </w:r>
      <w:r>
        <w:rPr>
          <w:spacing w:val="-5"/>
          <w:position w:val="2"/>
        </w:rPr>
        <w:t>8</w:t>
      </w:r>
      <w:r>
        <w:rPr>
          <w:spacing w:val="2"/>
          <w:position w:val="2"/>
        </w:rPr>
        <w:t>.</w:t>
      </w:r>
      <w:r>
        <w:rPr>
          <w:position w:val="2"/>
        </w:rPr>
        <w:t>58)</w:t>
      </w:r>
      <w:r>
        <w:rPr>
          <w:spacing w:val="8"/>
          <w:position w:val="2"/>
        </w:rPr>
        <w:t xml:space="preserve"> </w:t>
      </w:r>
      <w:r>
        <w:rPr>
          <w:position w:val="2"/>
        </w:rPr>
        <w:t>=</w:t>
      </w:r>
      <w:r>
        <w:rPr>
          <w:spacing w:val="11"/>
          <w:position w:val="2"/>
        </w:rPr>
        <w:t xml:space="preserve"> </w:t>
      </w:r>
      <w:r>
        <w:rPr>
          <w:position w:val="2"/>
        </w:rPr>
        <w:t>9</w:t>
      </w:r>
      <w:r>
        <w:rPr>
          <w:spacing w:val="-5"/>
          <w:position w:val="2"/>
        </w:rPr>
        <w:t>4</w:t>
      </w:r>
      <w:r>
        <w:rPr>
          <w:spacing w:val="2"/>
          <w:position w:val="2"/>
        </w:rPr>
        <w:t>.</w:t>
      </w:r>
      <w:r>
        <w:rPr>
          <w:position w:val="2"/>
        </w:rPr>
        <w:t>55,</w:t>
      </w:r>
      <w:r>
        <w:rPr>
          <w:spacing w:val="9"/>
          <w:position w:val="2"/>
        </w:rPr>
        <w:t xml:space="preserve"> </w:t>
      </w:r>
      <w:r>
        <w:rPr>
          <w:i/>
          <w:position w:val="2"/>
        </w:rPr>
        <w:t>p</w:t>
      </w:r>
      <w:r>
        <w:rPr>
          <w:i/>
          <w:spacing w:val="12"/>
          <w:position w:val="2"/>
        </w:rPr>
        <w:t xml:space="preserve"> </w:t>
      </w:r>
      <w:r>
        <w:rPr>
          <w:position w:val="2"/>
        </w:rPr>
        <w:t>&lt;</w:t>
      </w:r>
      <w:r>
        <w:rPr>
          <w:spacing w:val="6"/>
          <w:position w:val="2"/>
        </w:rPr>
        <w:t xml:space="preserve"> </w:t>
      </w:r>
      <w:r>
        <w:rPr>
          <w:spacing w:val="2"/>
          <w:position w:val="2"/>
        </w:rPr>
        <w:t>.</w:t>
      </w:r>
      <w:r>
        <w:rPr>
          <w:position w:val="2"/>
        </w:rPr>
        <w:t>00</w:t>
      </w:r>
      <w:r>
        <w:rPr>
          <w:spacing w:val="-5"/>
          <w:position w:val="2"/>
        </w:rPr>
        <w:t>1</w:t>
      </w:r>
      <w:r>
        <w:rPr>
          <w:position w:val="2"/>
        </w:rPr>
        <w:t>,</w:t>
      </w:r>
      <w:r>
        <w:rPr>
          <w:spacing w:val="9"/>
          <w:position w:val="2"/>
        </w:rPr>
        <w:t xml:space="preserve"> </w:t>
      </w:r>
      <w:r>
        <w:rPr>
          <w:rFonts w:ascii="Cambria Math"/>
          <w:spacing w:val="3"/>
          <w:w w:val="183"/>
          <w:position w:val="2"/>
        </w:rPr>
        <w:t>!</w:t>
      </w:r>
      <w:r>
        <w:rPr>
          <w:rFonts w:ascii="Cambria Math"/>
          <w:w w:val="85"/>
          <w:position w:val="2"/>
          <w:vertAlign w:val="superscript"/>
        </w:rPr>
        <w:t>#</w:t>
      </w:r>
      <w:r>
        <w:rPr>
          <w:rFonts w:ascii="Cambria Math"/>
          <w:position w:val="2"/>
        </w:rPr>
        <w:t xml:space="preserve"> </w:t>
      </w:r>
      <w:r>
        <w:rPr>
          <w:rFonts w:ascii="Cambria Math"/>
          <w:spacing w:val="-16"/>
          <w:position w:val="2"/>
        </w:rPr>
        <w:t xml:space="preserve"> </w:t>
      </w:r>
      <w:r>
        <w:rPr>
          <w:position w:val="2"/>
        </w:rPr>
        <w:t>=</w:t>
      </w:r>
    </w:p>
    <w:p w14:paraId="7415BFF5" w14:textId="77777777" w:rsidR="00C75312" w:rsidRDefault="00BB293A">
      <w:pPr>
        <w:tabs>
          <w:tab w:val="left" w:pos="8832"/>
        </w:tabs>
        <w:spacing w:line="197" w:lineRule="exact"/>
        <w:ind w:left="2083"/>
        <w:rPr>
          <w:rFonts w:ascii="Cambria Math"/>
          <w:sz w:val="17"/>
        </w:rPr>
      </w:pPr>
      <w:r>
        <w:rPr>
          <w:rFonts w:ascii="Cambria Math"/>
          <w:w w:val="160"/>
          <w:sz w:val="17"/>
        </w:rPr>
        <w:t>"</w:t>
      </w:r>
      <w:r>
        <w:rPr>
          <w:rFonts w:ascii="Cambria Math"/>
          <w:w w:val="160"/>
          <w:sz w:val="17"/>
        </w:rPr>
        <w:tab/>
        <w:t>"</w:t>
      </w:r>
    </w:p>
    <w:p w14:paraId="01721796" w14:textId="77777777" w:rsidR="00C75312" w:rsidRDefault="00C75312">
      <w:pPr>
        <w:pStyle w:val="BodyText"/>
        <w:spacing w:before="1"/>
        <w:rPr>
          <w:rFonts w:ascii="Cambria Math"/>
          <w:sz w:val="15"/>
        </w:rPr>
      </w:pPr>
    </w:p>
    <w:p w14:paraId="10FF9975" w14:textId="77777777" w:rsidR="00C75312" w:rsidRDefault="00BB293A">
      <w:pPr>
        <w:pStyle w:val="BodyText"/>
        <w:spacing w:before="98" w:line="463" w:lineRule="auto"/>
        <w:ind w:left="140" w:right="233"/>
      </w:pPr>
      <w:r>
        <w:pict w14:anchorId="5B67A3FB">
          <v:shape id="_x0000_s2089" type="#_x0000_t202" style="position:absolute;left:0;text-align:left;margin-left:322.3pt;margin-top:38.4pt;width:5.3pt;height:9.85pt;z-index:-260457472;mso-position-horizontal-relative:page" filled="f" stroked="f">
            <v:textbox inset="0,0,0,0">
              <w:txbxContent>
                <w:p w14:paraId="07A74E0A"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position w:val="2"/>
        </w:rPr>
        <w:t>.72,</w:t>
      </w:r>
      <w:r>
        <w:rPr>
          <w:spacing w:val="-31"/>
          <w:w w:val="105"/>
          <w:position w:val="2"/>
        </w:rPr>
        <w:t xml:space="preserve"> </w:t>
      </w:r>
      <w:r>
        <w:rPr>
          <w:w w:val="105"/>
          <w:position w:val="2"/>
        </w:rPr>
        <w:t>BF</w:t>
      </w:r>
      <w:r>
        <w:rPr>
          <w:w w:val="105"/>
          <w:position w:val="2"/>
          <w:vertAlign w:val="subscript"/>
        </w:rPr>
        <w:t>10</w:t>
      </w:r>
      <w:r>
        <w:rPr>
          <w:spacing w:val="-30"/>
          <w:w w:val="105"/>
          <w:position w:val="2"/>
        </w:rPr>
        <w:t xml:space="preserve"> </w:t>
      </w:r>
      <w:r>
        <w:rPr>
          <w:w w:val="105"/>
          <w:position w:val="2"/>
        </w:rPr>
        <w:t>=</w:t>
      </w:r>
      <w:r>
        <w:rPr>
          <w:spacing w:val="-30"/>
          <w:w w:val="105"/>
          <w:position w:val="2"/>
        </w:rPr>
        <w:t xml:space="preserve"> </w:t>
      </w:r>
      <w:r>
        <w:rPr>
          <w:w w:val="105"/>
          <w:position w:val="2"/>
        </w:rPr>
        <w:t>1.25*10</w:t>
      </w:r>
      <w:r>
        <w:rPr>
          <w:w w:val="105"/>
          <w:position w:val="2"/>
          <w:vertAlign w:val="superscript"/>
        </w:rPr>
        <w:t>40</w:t>
      </w:r>
      <w:r>
        <w:rPr>
          <w:w w:val="105"/>
          <w:position w:val="2"/>
        </w:rPr>
        <w:t>.</w:t>
      </w:r>
      <w:r>
        <w:rPr>
          <w:spacing w:val="5"/>
          <w:w w:val="105"/>
          <w:position w:val="2"/>
        </w:rPr>
        <w:t xml:space="preserve"> </w:t>
      </w:r>
      <w:r>
        <w:rPr>
          <w:w w:val="105"/>
          <w:position w:val="2"/>
        </w:rPr>
        <w:t>The</w:t>
      </w:r>
      <w:r>
        <w:rPr>
          <w:spacing w:val="-30"/>
          <w:w w:val="105"/>
          <w:position w:val="2"/>
        </w:rPr>
        <w:t xml:space="preserve"> </w:t>
      </w:r>
      <w:r>
        <w:rPr>
          <w:w w:val="105"/>
          <w:position w:val="2"/>
        </w:rPr>
        <w:t>overarching</w:t>
      </w:r>
      <w:r>
        <w:rPr>
          <w:spacing w:val="-28"/>
          <w:w w:val="105"/>
          <w:position w:val="2"/>
        </w:rPr>
        <w:t xml:space="preserve"> </w:t>
      </w:r>
      <w:r>
        <w:rPr>
          <w:w w:val="105"/>
          <w:position w:val="2"/>
        </w:rPr>
        <w:t>three-way</w:t>
      </w:r>
      <w:r>
        <w:rPr>
          <w:spacing w:val="-29"/>
          <w:w w:val="105"/>
          <w:position w:val="2"/>
        </w:rPr>
        <w:t xml:space="preserve"> </w:t>
      </w:r>
      <w:r>
        <w:rPr>
          <w:w w:val="105"/>
          <w:position w:val="2"/>
        </w:rPr>
        <w:t>interaction</w:t>
      </w:r>
      <w:r>
        <w:rPr>
          <w:spacing w:val="-29"/>
          <w:w w:val="105"/>
          <w:position w:val="2"/>
        </w:rPr>
        <w:t xml:space="preserve"> </w:t>
      </w:r>
      <w:r>
        <w:rPr>
          <w:w w:val="105"/>
          <w:position w:val="2"/>
        </w:rPr>
        <w:t>Group</w:t>
      </w:r>
      <w:r>
        <w:rPr>
          <w:spacing w:val="-31"/>
          <w:w w:val="105"/>
          <w:position w:val="2"/>
        </w:rPr>
        <w:t xml:space="preserve"> </w:t>
      </w:r>
      <w:r>
        <w:rPr>
          <w:w w:val="105"/>
          <w:position w:val="2"/>
        </w:rPr>
        <w:t>×</w:t>
      </w:r>
      <w:r>
        <w:rPr>
          <w:spacing w:val="-32"/>
          <w:w w:val="105"/>
          <w:position w:val="2"/>
        </w:rPr>
        <w:t xml:space="preserve"> </w:t>
      </w:r>
      <w:r>
        <w:rPr>
          <w:w w:val="105"/>
          <w:position w:val="2"/>
        </w:rPr>
        <w:t>Importance</w:t>
      </w:r>
      <w:r>
        <w:rPr>
          <w:spacing w:val="-30"/>
          <w:w w:val="105"/>
          <w:position w:val="2"/>
        </w:rPr>
        <w:t xml:space="preserve"> </w:t>
      </w:r>
      <w:r>
        <w:rPr>
          <w:w w:val="105"/>
          <w:position w:val="2"/>
        </w:rPr>
        <w:t>×</w:t>
      </w:r>
      <w:r>
        <w:rPr>
          <w:spacing w:val="-32"/>
          <w:w w:val="105"/>
          <w:position w:val="2"/>
        </w:rPr>
        <w:t xml:space="preserve"> </w:t>
      </w:r>
      <w:r>
        <w:rPr>
          <w:w w:val="105"/>
          <w:position w:val="2"/>
        </w:rPr>
        <w:t xml:space="preserve">Interval </w:t>
      </w:r>
      <w:r>
        <w:rPr>
          <w:spacing w:val="-1"/>
          <w:position w:val="2"/>
        </w:rPr>
        <w:t>wa</w:t>
      </w:r>
      <w:r>
        <w:rPr>
          <w:position w:val="2"/>
        </w:rPr>
        <w:t>s</w:t>
      </w:r>
      <w:r>
        <w:rPr>
          <w:spacing w:val="5"/>
          <w:position w:val="2"/>
        </w:rPr>
        <w:t xml:space="preserve"> </w:t>
      </w:r>
      <w:r>
        <w:rPr>
          <w:position w:val="2"/>
        </w:rPr>
        <w:t>not</w:t>
      </w:r>
      <w:r>
        <w:rPr>
          <w:spacing w:val="7"/>
          <w:position w:val="2"/>
        </w:rPr>
        <w:t xml:space="preserve">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4"/>
          <w:position w:val="2"/>
        </w:rPr>
        <w:t xml:space="preserve"> </w:t>
      </w:r>
      <w:r>
        <w:rPr>
          <w:i/>
          <w:spacing w:val="-3"/>
          <w:position w:val="2"/>
        </w:rPr>
        <w:t>F</w:t>
      </w:r>
      <w:r>
        <w:rPr>
          <w:spacing w:val="1"/>
          <w:position w:val="2"/>
        </w:rPr>
        <w:t>(</w:t>
      </w:r>
      <w:r>
        <w:rPr>
          <w:position w:val="2"/>
        </w:rPr>
        <w:t>2</w:t>
      </w:r>
      <w:r>
        <w:rPr>
          <w:spacing w:val="2"/>
          <w:position w:val="2"/>
        </w:rPr>
        <w:t>.</w:t>
      </w:r>
      <w:r>
        <w:rPr>
          <w:position w:val="2"/>
        </w:rPr>
        <w:t>0</w:t>
      </w:r>
      <w:r>
        <w:rPr>
          <w:spacing w:val="-5"/>
          <w:position w:val="2"/>
        </w:rPr>
        <w:t>4</w:t>
      </w:r>
      <w:r>
        <w:rPr>
          <w:spacing w:val="2"/>
          <w:position w:val="2"/>
        </w:rPr>
        <w:t>,</w:t>
      </w:r>
      <w:r>
        <w:rPr>
          <w:position w:val="2"/>
        </w:rPr>
        <w:t>73</w:t>
      </w:r>
      <w:r>
        <w:rPr>
          <w:spacing w:val="2"/>
          <w:position w:val="2"/>
        </w:rPr>
        <w:t>,</w:t>
      </w:r>
      <w:r>
        <w:rPr>
          <w:position w:val="2"/>
        </w:rPr>
        <w:t>3</w:t>
      </w:r>
      <w:r>
        <w:rPr>
          <w:spacing w:val="-5"/>
          <w:position w:val="2"/>
        </w:rPr>
        <w:t>2</w:t>
      </w:r>
      <w:r>
        <w:rPr>
          <w:position w:val="2"/>
        </w:rPr>
        <w:t>)</w:t>
      </w:r>
      <w:r>
        <w:rPr>
          <w:spacing w:val="8"/>
          <w:position w:val="2"/>
        </w:rPr>
        <w:t xml:space="preserve"> </w:t>
      </w:r>
      <w:r>
        <w:rPr>
          <w:position w:val="2"/>
        </w:rPr>
        <w:t>=</w:t>
      </w:r>
      <w:r>
        <w:rPr>
          <w:spacing w:val="1"/>
          <w:position w:val="2"/>
        </w:rPr>
        <w:t xml:space="preserve"> </w:t>
      </w:r>
      <w:r>
        <w:rPr>
          <w:position w:val="2"/>
        </w:rPr>
        <w:t>1</w:t>
      </w:r>
      <w:r>
        <w:rPr>
          <w:spacing w:val="2"/>
          <w:position w:val="2"/>
        </w:rPr>
        <w:t>.</w:t>
      </w:r>
      <w:r>
        <w:rPr>
          <w:position w:val="2"/>
        </w:rPr>
        <w:t>4</w:t>
      </w:r>
      <w:r>
        <w:rPr>
          <w:spacing w:val="-5"/>
          <w:position w:val="2"/>
        </w:rPr>
        <w:t>2</w:t>
      </w:r>
      <w:r>
        <w:rPr>
          <w:position w:val="2"/>
        </w:rPr>
        <w:t>,</w:t>
      </w:r>
      <w:r>
        <w:rPr>
          <w:spacing w:val="4"/>
          <w:position w:val="2"/>
        </w:rPr>
        <w:t xml:space="preserve"> </w:t>
      </w:r>
      <w:r>
        <w:rPr>
          <w:i/>
          <w:position w:val="2"/>
        </w:rPr>
        <w:t>p</w:t>
      </w:r>
      <w:r>
        <w:rPr>
          <w:i/>
          <w:spacing w:val="7"/>
          <w:position w:val="2"/>
        </w:rPr>
        <w:t xml:space="preserve"> </w:t>
      </w:r>
      <w:r>
        <w:rPr>
          <w:position w:val="2"/>
        </w:rPr>
        <w:t>=</w:t>
      </w:r>
      <w:r>
        <w:rPr>
          <w:spacing w:val="1"/>
          <w:position w:val="2"/>
        </w:rPr>
        <w:t xml:space="preserve"> </w:t>
      </w:r>
      <w:r>
        <w:rPr>
          <w:spacing w:val="2"/>
          <w:position w:val="2"/>
        </w:rPr>
        <w:t>.</w:t>
      </w:r>
      <w:r>
        <w:rPr>
          <w:position w:val="2"/>
        </w:rPr>
        <w:t>2</w:t>
      </w:r>
      <w:r>
        <w:rPr>
          <w:spacing w:val="-5"/>
          <w:position w:val="2"/>
        </w:rPr>
        <w:t>5</w:t>
      </w:r>
      <w:r>
        <w:rPr>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2"/>
          <w:position w:val="2"/>
        </w:rPr>
        <w:t xml:space="preserve"> </w:t>
      </w:r>
      <w:r>
        <w:rPr>
          <w:position w:val="2"/>
        </w:rPr>
        <w:t>=</w:t>
      </w:r>
      <w:r>
        <w:rPr>
          <w:spacing w:val="1"/>
          <w:position w:val="2"/>
        </w:rPr>
        <w:t xml:space="preserve"> </w:t>
      </w:r>
      <w:r>
        <w:rPr>
          <w:spacing w:val="2"/>
          <w:position w:val="2"/>
        </w:rPr>
        <w:t>.</w:t>
      </w:r>
      <w:r>
        <w:rPr>
          <w:position w:val="2"/>
        </w:rPr>
        <w:t>04,</w:t>
      </w:r>
      <w:r>
        <w:rPr>
          <w:spacing w:val="4"/>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9"/>
          <w:position w:val="2"/>
        </w:rPr>
        <w:t xml:space="preserve"> </w:t>
      </w:r>
      <w:r>
        <w:rPr>
          <w:position w:val="2"/>
        </w:rPr>
        <w:t>=</w:t>
      </w:r>
      <w:r>
        <w:rPr>
          <w:spacing w:val="1"/>
          <w:position w:val="2"/>
        </w:rPr>
        <w:t xml:space="preserve"> </w:t>
      </w:r>
      <w:r>
        <w:rPr>
          <w:position w:val="2"/>
        </w:rPr>
        <w:t>0</w:t>
      </w:r>
      <w:r>
        <w:rPr>
          <w:spacing w:val="2"/>
          <w:position w:val="2"/>
        </w:rPr>
        <w:t>.</w:t>
      </w:r>
      <w:r>
        <w:rPr>
          <w:position w:val="2"/>
        </w:rPr>
        <w:t>1</w:t>
      </w:r>
      <w:r>
        <w:rPr>
          <w:spacing w:val="-5"/>
          <w:position w:val="2"/>
        </w:rPr>
        <w:t>5</w:t>
      </w:r>
      <w:r>
        <w:rPr>
          <w:position w:val="2"/>
        </w:rPr>
        <w:t>,</w:t>
      </w:r>
      <w:r>
        <w:rPr>
          <w:spacing w:val="4"/>
          <w:position w:val="2"/>
        </w:rPr>
        <w:t xml:space="preserve"> </w:t>
      </w:r>
      <w:r>
        <w:rPr>
          <w:position w:val="2"/>
        </w:rPr>
        <w:t>ho</w:t>
      </w:r>
      <w:r>
        <w:rPr>
          <w:spacing w:val="-1"/>
          <w:position w:val="2"/>
        </w:rPr>
        <w:t>we</w:t>
      </w:r>
      <w:r>
        <w:rPr>
          <w:position w:val="2"/>
        </w:rPr>
        <w:t>v</w:t>
      </w:r>
      <w:r>
        <w:rPr>
          <w:spacing w:val="-1"/>
          <w:position w:val="2"/>
        </w:rPr>
        <w:t>e</w:t>
      </w:r>
      <w:r>
        <w:rPr>
          <w:position w:val="2"/>
        </w:rPr>
        <w:t>r</w:t>
      </w:r>
      <w:r>
        <w:rPr>
          <w:spacing w:val="8"/>
          <w:position w:val="2"/>
        </w:rPr>
        <w:t xml:space="preserve"> </w:t>
      </w:r>
      <w:r>
        <w:rPr>
          <w:spacing w:val="-3"/>
          <w:position w:val="2"/>
        </w:rPr>
        <w:t>s</w:t>
      </w:r>
      <w:r>
        <w:rPr>
          <w:position w:val="2"/>
        </w:rPr>
        <w:t>ome</w:t>
      </w:r>
      <w:r>
        <w:rPr>
          <w:spacing w:val="6"/>
          <w:position w:val="2"/>
        </w:rPr>
        <w:t xml:space="preserve"> </w:t>
      </w:r>
      <w:r>
        <w:rPr>
          <w:position w:val="2"/>
        </w:rPr>
        <w:t>t</w:t>
      </w:r>
      <w:r>
        <w:rPr>
          <w:spacing w:val="-1"/>
          <w:position w:val="2"/>
        </w:rPr>
        <w:t>w</w:t>
      </w:r>
      <w:r>
        <w:rPr>
          <w:position w:val="2"/>
        </w:rPr>
        <w:t>o-</w:t>
      </w:r>
    </w:p>
    <w:p w14:paraId="38AEC751" w14:textId="77777777" w:rsidR="00C75312" w:rsidRDefault="00C75312">
      <w:pPr>
        <w:spacing w:line="463" w:lineRule="auto"/>
        <w:sectPr w:rsidR="00C75312">
          <w:pgSz w:w="11900" w:h="16840"/>
          <w:pgMar w:top="1160" w:right="1200" w:bottom="280" w:left="1300" w:header="720" w:footer="0" w:gutter="0"/>
          <w:cols w:space="720"/>
        </w:sectPr>
      </w:pPr>
    </w:p>
    <w:p w14:paraId="24213B0B" w14:textId="77777777" w:rsidR="00C75312" w:rsidRDefault="00C75312">
      <w:pPr>
        <w:pStyle w:val="BodyText"/>
        <w:spacing w:before="9"/>
        <w:rPr>
          <w:sz w:val="15"/>
        </w:rPr>
      </w:pPr>
    </w:p>
    <w:p w14:paraId="29E2D13D" w14:textId="77777777" w:rsidR="00C75312" w:rsidRDefault="00BB293A">
      <w:pPr>
        <w:pStyle w:val="BodyText"/>
        <w:spacing w:before="90" w:line="482" w:lineRule="auto"/>
        <w:ind w:left="140" w:right="233"/>
        <w:jc w:val="both"/>
      </w:pPr>
      <w:r>
        <w:pict w14:anchorId="320AB37E">
          <v:shape id="_x0000_s2088" type="#_x0000_t202" style="position:absolute;left:0;text-align:left;margin-left:148.3pt;margin-top:37.95pt;width:5.3pt;height:9.85pt;z-index:-260456448;mso-position-horizontal-relative:page" filled="f" stroked="f">
            <v:textbox inset="0,0,0,0">
              <w:txbxContent>
                <w:p w14:paraId="4375EC14"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F94C469">
          <v:shape id="_x0000_s2087" type="#_x0000_t202" style="position:absolute;left:0;text-align:left;margin-left:241.2pt;margin-top:150.5pt;width:5.3pt;height:9.85pt;z-index:-260455424;mso-position-horizontal-relative:page" filled="f" stroked="f">
            <v:textbox inset="0,0,0,0">
              <w:txbxContent>
                <w:p w14:paraId="62FAF413"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693FCF9A">
          <v:shape id="_x0000_s2086" type="#_x0000_t202" style="position:absolute;left:0;text-align:left;margin-left:299.5pt;margin-top:180.05pt;width:5.3pt;height:9.85pt;z-index:-260454400;mso-position-horizontal-relative:page" filled="f" stroked="f">
            <v:textbox inset="0,0,0,0">
              <w:txbxContent>
                <w:p w14:paraId="52CBEB44"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00C3085">
          <v:shape id="_x0000_s2085" type="#_x0000_t202" style="position:absolute;left:0;text-align:left;margin-left:167.05pt;margin-top:265pt;width:5.3pt;height:9.85pt;z-index:-260453376;mso-position-horizontal-relative:page" filled="f" stroked="f">
            <v:textbox inset="0,0,0,0">
              <w:txbxContent>
                <w:p w14:paraId="41602DA0"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7EAE3588">
          <v:shape id="_x0000_s2084" type="#_x0000_t202" style="position:absolute;left:0;text-align:left;margin-left:250.8pt;margin-top:294.5pt;width:5.3pt;height:9.85pt;z-index:-260452352;mso-position-horizontal-relative:page" filled="f" stroked="f">
            <v:textbox inset="0,0,0,0">
              <w:txbxContent>
                <w:p w14:paraId="57CECF55"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w w:val="105"/>
        </w:rPr>
        <w:t>way</w:t>
      </w:r>
      <w:r>
        <w:rPr>
          <w:spacing w:val="-43"/>
          <w:w w:val="105"/>
        </w:rPr>
        <w:t xml:space="preserve"> </w:t>
      </w:r>
      <w:r>
        <w:rPr>
          <w:w w:val="105"/>
        </w:rPr>
        <w:t>interactions</w:t>
      </w:r>
      <w:r>
        <w:rPr>
          <w:spacing w:val="-43"/>
          <w:w w:val="105"/>
        </w:rPr>
        <w:t xml:space="preserve"> </w:t>
      </w:r>
      <w:r>
        <w:rPr>
          <w:w w:val="105"/>
        </w:rPr>
        <w:t>were.</w:t>
      </w:r>
      <w:r>
        <w:rPr>
          <w:spacing w:val="-23"/>
          <w:w w:val="105"/>
        </w:rPr>
        <w:t xml:space="preserve"> </w:t>
      </w:r>
      <w:r>
        <w:rPr>
          <w:w w:val="105"/>
        </w:rPr>
        <w:t>The</w:t>
      </w:r>
      <w:r>
        <w:rPr>
          <w:spacing w:val="-44"/>
          <w:w w:val="105"/>
        </w:rPr>
        <w:t xml:space="preserve"> </w:t>
      </w:r>
      <w:r>
        <w:rPr>
          <w:w w:val="105"/>
        </w:rPr>
        <w:t>significant</w:t>
      </w:r>
      <w:r>
        <w:rPr>
          <w:spacing w:val="-43"/>
          <w:w w:val="105"/>
        </w:rPr>
        <w:t xml:space="preserve"> </w:t>
      </w:r>
      <w:r>
        <w:rPr>
          <w:w w:val="105"/>
        </w:rPr>
        <w:t>interaction</w:t>
      </w:r>
      <w:r>
        <w:rPr>
          <w:spacing w:val="-44"/>
          <w:w w:val="105"/>
        </w:rPr>
        <w:t xml:space="preserve"> </w:t>
      </w:r>
      <w:r>
        <w:rPr>
          <w:w w:val="105"/>
        </w:rPr>
        <w:t>between</w:t>
      </w:r>
      <w:r>
        <w:rPr>
          <w:spacing w:val="-42"/>
          <w:w w:val="105"/>
        </w:rPr>
        <w:t xml:space="preserve"> </w:t>
      </w:r>
      <w:r>
        <w:rPr>
          <w:w w:val="105"/>
        </w:rPr>
        <w:t>group</w:t>
      </w:r>
      <w:r>
        <w:rPr>
          <w:spacing w:val="-43"/>
          <w:w w:val="105"/>
        </w:rPr>
        <w:t xml:space="preserve"> </w:t>
      </w:r>
      <w:r>
        <w:rPr>
          <w:w w:val="105"/>
        </w:rPr>
        <w:t>and</w:t>
      </w:r>
      <w:r>
        <w:rPr>
          <w:spacing w:val="-42"/>
          <w:w w:val="105"/>
        </w:rPr>
        <w:t xml:space="preserve"> </w:t>
      </w:r>
      <w:r>
        <w:rPr>
          <w:w w:val="105"/>
        </w:rPr>
        <w:t>interval</w:t>
      </w:r>
      <w:r>
        <w:rPr>
          <w:spacing w:val="-44"/>
          <w:w w:val="105"/>
        </w:rPr>
        <w:t xml:space="preserve"> </w:t>
      </w:r>
      <w:r>
        <w:rPr>
          <w:i/>
          <w:w w:val="105"/>
        </w:rPr>
        <w:t>F</w:t>
      </w:r>
      <w:r>
        <w:rPr>
          <w:w w:val="105"/>
        </w:rPr>
        <w:t>(1.35,48.58)</w:t>
      </w:r>
      <w:r>
        <w:rPr>
          <w:spacing w:val="-42"/>
          <w:w w:val="105"/>
        </w:rPr>
        <w:t xml:space="preserve"> </w:t>
      </w:r>
      <w:r>
        <w:rPr>
          <w:w w:val="105"/>
        </w:rPr>
        <w:t xml:space="preserve">= </w:t>
      </w:r>
      <w:r>
        <w:rPr>
          <w:position w:val="2"/>
        </w:rPr>
        <w:t>5</w:t>
      </w:r>
      <w:r>
        <w:rPr>
          <w:spacing w:val="2"/>
          <w:position w:val="2"/>
        </w:rPr>
        <w:t>.</w:t>
      </w:r>
      <w:r>
        <w:rPr>
          <w:position w:val="2"/>
        </w:rPr>
        <w:t>58,</w:t>
      </w:r>
      <w:r>
        <w:rPr>
          <w:spacing w:val="19"/>
          <w:position w:val="2"/>
        </w:rPr>
        <w:t xml:space="preserve"> </w:t>
      </w:r>
      <w:r>
        <w:rPr>
          <w:position w:val="2"/>
        </w:rPr>
        <w:t>p</w:t>
      </w:r>
      <w:r>
        <w:rPr>
          <w:spacing w:val="16"/>
          <w:position w:val="2"/>
        </w:rPr>
        <w:t xml:space="preserve"> </w:t>
      </w:r>
      <w:r>
        <w:rPr>
          <w:position w:val="2"/>
        </w:rPr>
        <w:t>=</w:t>
      </w:r>
      <w:r>
        <w:rPr>
          <w:spacing w:val="15"/>
          <w:position w:val="2"/>
        </w:rPr>
        <w:t xml:space="preserve"> </w:t>
      </w:r>
      <w:r>
        <w:rPr>
          <w:spacing w:val="2"/>
          <w:position w:val="2"/>
        </w:rPr>
        <w:t>.</w:t>
      </w:r>
      <w:r>
        <w:rPr>
          <w:position w:val="2"/>
        </w:rPr>
        <w:t>0</w:t>
      </w:r>
      <w:r>
        <w:rPr>
          <w:spacing w:val="-5"/>
          <w:position w:val="2"/>
        </w:rPr>
        <w:t>1</w:t>
      </w:r>
      <w:r>
        <w:rPr>
          <w:position w:val="2"/>
        </w:rPr>
        <w:t>,</w:t>
      </w:r>
      <w:r>
        <w:rPr>
          <w:spacing w:val="14"/>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7"/>
          <w:position w:val="2"/>
        </w:rPr>
        <w:t xml:space="preserve"> </w:t>
      </w:r>
      <w:r>
        <w:rPr>
          <w:position w:val="2"/>
        </w:rPr>
        <w:t>=</w:t>
      </w:r>
      <w:r>
        <w:rPr>
          <w:spacing w:val="15"/>
          <w:position w:val="2"/>
        </w:rPr>
        <w:t xml:space="preserve"> </w:t>
      </w:r>
      <w:r>
        <w:rPr>
          <w:spacing w:val="2"/>
          <w:position w:val="2"/>
        </w:rPr>
        <w:t>.</w:t>
      </w:r>
      <w:r>
        <w:rPr>
          <w:position w:val="2"/>
        </w:rPr>
        <w:t>13,</w:t>
      </w:r>
      <w:r>
        <w:rPr>
          <w:spacing w:val="19"/>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19"/>
          <w:position w:val="2"/>
        </w:rPr>
        <w:t xml:space="preserve"> </w:t>
      </w:r>
      <w:r>
        <w:rPr>
          <w:position w:val="2"/>
        </w:rPr>
        <w:t>=</w:t>
      </w:r>
      <w:r>
        <w:rPr>
          <w:spacing w:val="20"/>
          <w:position w:val="2"/>
        </w:rPr>
        <w:t xml:space="preserve"> </w:t>
      </w:r>
      <w:r>
        <w:rPr>
          <w:position w:val="2"/>
        </w:rPr>
        <w:t>12</w:t>
      </w:r>
      <w:r>
        <w:rPr>
          <w:spacing w:val="-5"/>
          <w:position w:val="2"/>
        </w:rPr>
        <w:t>4</w:t>
      </w:r>
      <w:r>
        <w:rPr>
          <w:spacing w:val="2"/>
          <w:position w:val="2"/>
        </w:rPr>
        <w:t>.</w:t>
      </w:r>
      <w:r>
        <w:rPr>
          <w:position w:val="2"/>
        </w:rPr>
        <w:t>0</w:t>
      </w:r>
      <w:r>
        <w:rPr>
          <w:spacing w:val="-5"/>
          <w:position w:val="2"/>
        </w:rPr>
        <w:t>7</w:t>
      </w:r>
      <w:r>
        <w:rPr>
          <w:position w:val="2"/>
        </w:rPr>
        <w:t>,</w:t>
      </w:r>
      <w:r>
        <w:rPr>
          <w:spacing w:val="19"/>
          <w:position w:val="2"/>
        </w:rPr>
        <w:t xml:space="preserve"> </w:t>
      </w:r>
      <w:r>
        <w:rPr>
          <w:position w:val="2"/>
        </w:rPr>
        <w:t>indi</w:t>
      </w:r>
      <w:r>
        <w:rPr>
          <w:spacing w:val="-1"/>
          <w:position w:val="2"/>
        </w:rPr>
        <w:t>ca</w:t>
      </w:r>
      <w:r>
        <w:rPr>
          <w:position w:val="2"/>
        </w:rPr>
        <w:t>t</w:t>
      </w:r>
      <w:r>
        <w:rPr>
          <w:spacing w:val="-1"/>
          <w:position w:val="2"/>
        </w:rPr>
        <w:t>e</w:t>
      </w:r>
      <w:r>
        <w:rPr>
          <w:position w:val="2"/>
        </w:rPr>
        <w:t>d</w:t>
      </w:r>
      <w:r>
        <w:rPr>
          <w:spacing w:val="21"/>
          <w:position w:val="2"/>
        </w:rPr>
        <w:t xml:space="preserve"> </w:t>
      </w:r>
      <w:r>
        <w:rPr>
          <w:position w:val="2"/>
        </w:rPr>
        <w:t>t</w:t>
      </w:r>
      <w:r>
        <w:rPr>
          <w:spacing w:val="-5"/>
          <w:position w:val="2"/>
        </w:rPr>
        <w:t>h</w:t>
      </w:r>
      <w:r>
        <w:rPr>
          <w:spacing w:val="-1"/>
          <w:position w:val="2"/>
        </w:rPr>
        <w:t>a</w:t>
      </w:r>
      <w:r>
        <w:rPr>
          <w:position w:val="2"/>
        </w:rPr>
        <w:t>t</w:t>
      </w:r>
      <w:r>
        <w:rPr>
          <w:spacing w:val="22"/>
          <w:position w:val="2"/>
        </w:rPr>
        <w:t xml:space="preserve"> </w:t>
      </w:r>
      <w:r>
        <w:rPr>
          <w:position w:val="2"/>
        </w:rPr>
        <w:t>the</w:t>
      </w:r>
      <w:r>
        <w:rPr>
          <w:spacing w:val="15"/>
          <w:position w:val="2"/>
        </w:rPr>
        <w:t xml:space="preserve"> </w:t>
      </w:r>
      <w:r>
        <w:rPr>
          <w:spacing w:val="-1"/>
          <w:position w:val="2"/>
        </w:rPr>
        <w:t>N</w:t>
      </w:r>
      <w:r>
        <w:rPr>
          <w:position w:val="2"/>
        </w:rPr>
        <w:t>T</w:t>
      </w:r>
      <w:r>
        <w:rPr>
          <w:spacing w:val="19"/>
          <w:position w:val="2"/>
        </w:rPr>
        <w:t xml:space="preserve"> </w:t>
      </w:r>
      <w:r>
        <w:rPr>
          <w:position w:val="2"/>
        </w:rPr>
        <w:t>g</w:t>
      </w:r>
      <w:r>
        <w:rPr>
          <w:spacing w:val="1"/>
          <w:position w:val="2"/>
        </w:rPr>
        <w:t>r</w:t>
      </w:r>
      <w:r>
        <w:rPr>
          <w:position w:val="2"/>
        </w:rPr>
        <w:t>oup</w:t>
      </w:r>
      <w:r>
        <w:rPr>
          <w:spacing w:val="16"/>
          <w:position w:val="2"/>
        </w:rPr>
        <w:t xml:space="preserve"> </w:t>
      </w:r>
      <w:r>
        <w:rPr>
          <w:spacing w:val="-1"/>
          <w:position w:val="2"/>
        </w:rPr>
        <w:t>c</w:t>
      </w:r>
      <w:r>
        <w:rPr>
          <w:position w:val="2"/>
        </w:rPr>
        <w:t>h</w:t>
      </w:r>
      <w:r>
        <w:rPr>
          <w:spacing w:val="-1"/>
          <w:position w:val="2"/>
        </w:rPr>
        <w:t>ec</w:t>
      </w:r>
      <w:r>
        <w:rPr>
          <w:position w:val="2"/>
        </w:rPr>
        <w:t>k</w:t>
      </w:r>
      <w:r>
        <w:rPr>
          <w:spacing w:val="-1"/>
          <w:position w:val="2"/>
        </w:rPr>
        <w:t>e</w:t>
      </w:r>
      <w:r>
        <w:rPr>
          <w:position w:val="2"/>
        </w:rPr>
        <w:t>d</w:t>
      </w:r>
      <w:r>
        <w:rPr>
          <w:spacing w:val="16"/>
          <w:position w:val="2"/>
        </w:rPr>
        <w:t xml:space="preserve"> </w:t>
      </w:r>
      <w:r>
        <w:rPr>
          <w:position w:val="2"/>
        </w:rPr>
        <w:t>the</w:t>
      </w:r>
      <w:r>
        <w:rPr>
          <w:spacing w:val="15"/>
          <w:position w:val="2"/>
        </w:rPr>
        <w:t xml:space="preserve"> </w:t>
      </w:r>
      <w:r>
        <w:rPr>
          <w:position w:val="2"/>
        </w:rPr>
        <w:t>time</w:t>
      </w:r>
      <w:r>
        <w:rPr>
          <w:spacing w:val="15"/>
          <w:position w:val="2"/>
        </w:rPr>
        <w:t xml:space="preserve"> </w:t>
      </w:r>
      <w:r>
        <w:rPr>
          <w:position w:val="2"/>
        </w:rPr>
        <w:t>mo</w:t>
      </w:r>
      <w:r>
        <w:rPr>
          <w:spacing w:val="1"/>
          <w:position w:val="2"/>
        </w:rPr>
        <w:t>r</w:t>
      </w:r>
      <w:r>
        <w:rPr>
          <w:position w:val="2"/>
        </w:rPr>
        <w:t xml:space="preserve">e </w:t>
      </w:r>
      <w:r>
        <w:rPr>
          <w:w w:val="105"/>
        </w:rPr>
        <w:t>often than the ASD group. However, tests of simple effects only revealed a marginally significant</w:t>
      </w:r>
      <w:r>
        <w:rPr>
          <w:spacing w:val="-15"/>
          <w:w w:val="105"/>
        </w:rPr>
        <w:t xml:space="preserve"> </w:t>
      </w:r>
      <w:r>
        <w:rPr>
          <w:w w:val="105"/>
        </w:rPr>
        <w:t>group</w:t>
      </w:r>
      <w:r>
        <w:rPr>
          <w:spacing w:val="-17"/>
          <w:w w:val="105"/>
        </w:rPr>
        <w:t xml:space="preserve"> </w:t>
      </w:r>
      <w:r>
        <w:rPr>
          <w:w w:val="105"/>
        </w:rPr>
        <w:t>difference</w:t>
      </w:r>
      <w:r>
        <w:rPr>
          <w:spacing w:val="-16"/>
          <w:w w:val="105"/>
        </w:rPr>
        <w:t xml:space="preserve"> </w:t>
      </w:r>
      <w:r>
        <w:rPr>
          <w:w w:val="105"/>
        </w:rPr>
        <w:t>for</w:t>
      </w:r>
      <w:r>
        <w:rPr>
          <w:spacing w:val="-16"/>
          <w:w w:val="105"/>
        </w:rPr>
        <w:t xml:space="preserve"> </w:t>
      </w:r>
      <w:r>
        <w:rPr>
          <w:w w:val="105"/>
        </w:rPr>
        <w:t>the</w:t>
      </w:r>
      <w:r>
        <w:rPr>
          <w:spacing w:val="-18"/>
          <w:w w:val="105"/>
        </w:rPr>
        <w:t xml:space="preserve"> </w:t>
      </w:r>
      <w:r>
        <w:rPr>
          <w:w w:val="105"/>
        </w:rPr>
        <w:t>interval</w:t>
      </w:r>
      <w:r>
        <w:rPr>
          <w:spacing w:val="-14"/>
          <w:w w:val="105"/>
        </w:rPr>
        <w:t xml:space="preserve"> </w:t>
      </w:r>
      <w:r>
        <w:rPr>
          <w:w w:val="105"/>
        </w:rPr>
        <w:t>prior</w:t>
      </w:r>
      <w:r>
        <w:rPr>
          <w:spacing w:val="-20"/>
          <w:w w:val="105"/>
        </w:rPr>
        <w:t xml:space="preserve"> </w:t>
      </w:r>
      <w:r>
        <w:rPr>
          <w:w w:val="105"/>
        </w:rPr>
        <w:t>to</w:t>
      </w:r>
      <w:r>
        <w:rPr>
          <w:spacing w:val="-15"/>
          <w:w w:val="105"/>
        </w:rPr>
        <w:t xml:space="preserve"> </w:t>
      </w:r>
      <w:r>
        <w:rPr>
          <w:w w:val="105"/>
        </w:rPr>
        <w:t>target</w:t>
      </w:r>
      <w:r>
        <w:rPr>
          <w:spacing w:val="-17"/>
          <w:w w:val="105"/>
        </w:rPr>
        <w:t xml:space="preserve"> </w:t>
      </w:r>
      <w:r>
        <w:rPr>
          <w:w w:val="105"/>
        </w:rPr>
        <w:t>time</w:t>
      </w:r>
      <w:r>
        <w:rPr>
          <w:spacing w:val="-18"/>
          <w:w w:val="105"/>
        </w:rPr>
        <w:t xml:space="preserve"> </w:t>
      </w:r>
      <w:r>
        <w:rPr>
          <w:w w:val="105"/>
        </w:rPr>
        <w:t>(91-120</w:t>
      </w:r>
      <w:r>
        <w:rPr>
          <w:spacing w:val="-15"/>
          <w:w w:val="105"/>
        </w:rPr>
        <w:t xml:space="preserve"> </w:t>
      </w:r>
      <w:r>
        <w:rPr>
          <w:w w:val="105"/>
        </w:rPr>
        <w:t>seconds)</w:t>
      </w:r>
      <w:r>
        <w:rPr>
          <w:spacing w:val="-14"/>
          <w:w w:val="105"/>
        </w:rPr>
        <w:t xml:space="preserve"> </w:t>
      </w:r>
      <w:r>
        <w:rPr>
          <w:w w:val="105"/>
        </w:rPr>
        <w:t>with</w:t>
      </w:r>
      <w:r>
        <w:rPr>
          <w:spacing w:val="-15"/>
          <w:w w:val="105"/>
        </w:rPr>
        <w:t xml:space="preserve"> </w:t>
      </w:r>
      <w:r>
        <w:rPr>
          <w:w w:val="105"/>
        </w:rPr>
        <w:t>more time</w:t>
      </w:r>
      <w:r>
        <w:rPr>
          <w:spacing w:val="-16"/>
          <w:w w:val="105"/>
        </w:rPr>
        <w:t xml:space="preserve"> </w:t>
      </w:r>
      <w:r>
        <w:rPr>
          <w:w w:val="105"/>
        </w:rPr>
        <w:t>checks</w:t>
      </w:r>
      <w:r>
        <w:rPr>
          <w:spacing w:val="-18"/>
          <w:w w:val="105"/>
        </w:rPr>
        <w:t xml:space="preserve"> </w:t>
      </w:r>
      <w:r>
        <w:rPr>
          <w:w w:val="105"/>
        </w:rPr>
        <w:t>in</w:t>
      </w:r>
      <w:r>
        <w:rPr>
          <w:spacing w:val="-15"/>
          <w:w w:val="105"/>
        </w:rPr>
        <w:t xml:space="preserve"> </w:t>
      </w:r>
      <w:r>
        <w:rPr>
          <w:w w:val="105"/>
        </w:rPr>
        <w:t>the</w:t>
      </w:r>
      <w:r>
        <w:rPr>
          <w:spacing w:val="-16"/>
          <w:w w:val="105"/>
        </w:rPr>
        <w:t xml:space="preserve"> </w:t>
      </w:r>
      <w:r>
        <w:rPr>
          <w:spacing w:val="-3"/>
          <w:w w:val="105"/>
        </w:rPr>
        <w:t>NT</w:t>
      </w:r>
      <w:r>
        <w:rPr>
          <w:spacing w:val="-14"/>
          <w:w w:val="105"/>
        </w:rPr>
        <w:t xml:space="preserve"> </w:t>
      </w:r>
      <w:r>
        <w:rPr>
          <w:w w:val="105"/>
        </w:rPr>
        <w:t>group</w:t>
      </w:r>
      <w:r>
        <w:rPr>
          <w:spacing w:val="-18"/>
          <w:w w:val="105"/>
        </w:rPr>
        <w:t xml:space="preserve"> </w:t>
      </w:r>
      <w:r>
        <w:rPr>
          <w:w w:val="105"/>
        </w:rPr>
        <w:t>(</w:t>
      </w:r>
      <w:r>
        <w:rPr>
          <w:i/>
          <w:w w:val="105"/>
        </w:rPr>
        <w:t>M</w:t>
      </w:r>
      <w:r>
        <w:rPr>
          <w:w w:val="105"/>
        </w:rPr>
        <w:t>=2.75,</w:t>
      </w:r>
      <w:r>
        <w:rPr>
          <w:spacing w:val="-14"/>
          <w:w w:val="105"/>
        </w:rPr>
        <w:t xml:space="preserve"> </w:t>
      </w:r>
      <w:r>
        <w:rPr>
          <w:i/>
          <w:spacing w:val="-3"/>
          <w:w w:val="105"/>
        </w:rPr>
        <w:t>SE</w:t>
      </w:r>
      <w:r>
        <w:rPr>
          <w:i/>
          <w:spacing w:val="-14"/>
          <w:w w:val="105"/>
        </w:rPr>
        <w:t xml:space="preserve"> </w:t>
      </w:r>
      <w:r>
        <w:rPr>
          <w:w w:val="105"/>
        </w:rPr>
        <w:t>=.27)</w:t>
      </w:r>
      <w:r>
        <w:rPr>
          <w:spacing w:val="-15"/>
          <w:w w:val="105"/>
        </w:rPr>
        <w:t xml:space="preserve"> </w:t>
      </w:r>
      <w:r>
        <w:rPr>
          <w:spacing w:val="-3"/>
          <w:w w:val="105"/>
        </w:rPr>
        <w:t>in</w:t>
      </w:r>
      <w:r>
        <w:rPr>
          <w:spacing w:val="-15"/>
          <w:w w:val="105"/>
        </w:rPr>
        <w:t xml:space="preserve"> </w:t>
      </w:r>
      <w:r>
        <w:rPr>
          <w:w w:val="105"/>
        </w:rPr>
        <w:t>comparison</w:t>
      </w:r>
      <w:r>
        <w:rPr>
          <w:spacing w:val="-15"/>
          <w:w w:val="105"/>
        </w:rPr>
        <w:t xml:space="preserve"> </w:t>
      </w:r>
      <w:r>
        <w:rPr>
          <w:w w:val="105"/>
        </w:rPr>
        <w:t>to</w:t>
      </w:r>
      <w:r>
        <w:rPr>
          <w:spacing w:val="-19"/>
          <w:w w:val="105"/>
        </w:rPr>
        <w:t xml:space="preserve"> </w:t>
      </w:r>
      <w:r>
        <w:rPr>
          <w:w w:val="105"/>
        </w:rPr>
        <w:t>the</w:t>
      </w:r>
      <w:r>
        <w:rPr>
          <w:spacing w:val="-16"/>
          <w:w w:val="105"/>
        </w:rPr>
        <w:t xml:space="preserve"> </w:t>
      </w:r>
      <w:r>
        <w:rPr>
          <w:w w:val="105"/>
        </w:rPr>
        <w:t>ASD</w:t>
      </w:r>
      <w:r>
        <w:rPr>
          <w:spacing w:val="-16"/>
          <w:w w:val="105"/>
        </w:rPr>
        <w:t xml:space="preserve"> </w:t>
      </w:r>
      <w:r>
        <w:rPr>
          <w:w w:val="105"/>
        </w:rPr>
        <w:t>group</w:t>
      </w:r>
      <w:r>
        <w:rPr>
          <w:spacing w:val="-18"/>
          <w:w w:val="105"/>
        </w:rPr>
        <w:t xml:space="preserve"> </w:t>
      </w:r>
      <w:r>
        <w:rPr>
          <w:w w:val="105"/>
        </w:rPr>
        <w:t>(</w:t>
      </w:r>
      <w:r>
        <w:rPr>
          <w:i/>
          <w:w w:val="105"/>
        </w:rPr>
        <w:t>M</w:t>
      </w:r>
      <w:r>
        <w:rPr>
          <w:i/>
          <w:spacing w:val="-15"/>
          <w:w w:val="105"/>
        </w:rPr>
        <w:t xml:space="preserve"> </w:t>
      </w:r>
      <w:r>
        <w:rPr>
          <w:w w:val="105"/>
        </w:rPr>
        <w:t>=</w:t>
      </w:r>
      <w:r>
        <w:rPr>
          <w:spacing w:val="-19"/>
          <w:w w:val="105"/>
        </w:rPr>
        <w:t xml:space="preserve"> </w:t>
      </w:r>
      <w:r>
        <w:rPr>
          <w:w w:val="105"/>
        </w:rPr>
        <w:t xml:space="preserve">2.02, </w:t>
      </w:r>
      <w:r>
        <w:rPr>
          <w:i/>
          <w:position w:val="2"/>
        </w:rPr>
        <w:t>SE</w:t>
      </w:r>
      <w:r>
        <w:rPr>
          <w:i/>
          <w:spacing w:val="-5"/>
          <w:position w:val="2"/>
        </w:rPr>
        <w:t xml:space="preserve"> </w:t>
      </w:r>
      <w:r>
        <w:rPr>
          <w:position w:val="2"/>
        </w:rPr>
        <w:t>=</w:t>
      </w:r>
      <w:r>
        <w:rPr>
          <w:spacing w:val="-9"/>
          <w:position w:val="2"/>
        </w:rPr>
        <w:t xml:space="preserve"> </w:t>
      </w:r>
      <w:r>
        <w:rPr>
          <w:spacing w:val="2"/>
          <w:position w:val="2"/>
        </w:rPr>
        <w:t>.</w:t>
      </w:r>
      <w:r>
        <w:rPr>
          <w:position w:val="2"/>
        </w:rPr>
        <w:t>2</w:t>
      </w:r>
      <w:r>
        <w:rPr>
          <w:spacing w:val="-5"/>
          <w:position w:val="2"/>
        </w:rPr>
        <w:t>7</w:t>
      </w:r>
      <w:r>
        <w:rPr>
          <w:spacing w:val="1"/>
          <w:position w:val="2"/>
        </w:rPr>
        <w:t>)</w:t>
      </w:r>
      <w:r>
        <w:rPr>
          <w:position w:val="2"/>
        </w:rPr>
        <w:t>,</w:t>
      </w:r>
      <w:r>
        <w:rPr>
          <w:spacing w:val="-10"/>
          <w:position w:val="2"/>
        </w:rPr>
        <w:t xml:space="preserve"> </w:t>
      </w:r>
      <w:r>
        <w:rPr>
          <w:i/>
          <w:spacing w:val="2"/>
          <w:position w:val="2"/>
        </w:rPr>
        <w:t>F</w:t>
      </w:r>
      <w:r>
        <w:rPr>
          <w:spacing w:val="1"/>
          <w:position w:val="2"/>
        </w:rPr>
        <w:t>(</w:t>
      </w:r>
      <w:r>
        <w:rPr>
          <w:spacing w:val="-5"/>
          <w:position w:val="2"/>
        </w:rPr>
        <w:t>1</w:t>
      </w:r>
      <w:r>
        <w:rPr>
          <w:spacing w:val="2"/>
          <w:position w:val="2"/>
        </w:rPr>
        <w:t>,</w:t>
      </w:r>
      <w:r>
        <w:rPr>
          <w:position w:val="2"/>
        </w:rPr>
        <w:t>36)</w:t>
      </w:r>
      <w:r>
        <w:rPr>
          <w:spacing w:val="-11"/>
          <w:position w:val="2"/>
        </w:rPr>
        <w:t xml:space="preserve"> </w:t>
      </w:r>
      <w:r>
        <w:rPr>
          <w:position w:val="2"/>
        </w:rPr>
        <w:t>=</w:t>
      </w:r>
      <w:r>
        <w:rPr>
          <w:spacing w:val="-9"/>
          <w:position w:val="2"/>
        </w:rPr>
        <w:t xml:space="preserve"> </w:t>
      </w:r>
      <w:r>
        <w:rPr>
          <w:position w:val="2"/>
        </w:rPr>
        <w:t>3</w:t>
      </w:r>
      <w:r>
        <w:rPr>
          <w:spacing w:val="2"/>
          <w:position w:val="2"/>
        </w:rPr>
        <w:t>.</w:t>
      </w:r>
      <w:r>
        <w:rPr>
          <w:position w:val="2"/>
        </w:rPr>
        <w:t>5</w:t>
      </w:r>
      <w:r>
        <w:rPr>
          <w:spacing w:val="-5"/>
          <w:position w:val="2"/>
        </w:rPr>
        <w:t>3</w:t>
      </w:r>
      <w:r>
        <w:rPr>
          <w:position w:val="2"/>
        </w:rPr>
        <w:t>,</w:t>
      </w:r>
      <w:r>
        <w:rPr>
          <w:spacing w:val="-5"/>
          <w:position w:val="2"/>
        </w:rPr>
        <w:t xml:space="preserve"> </w:t>
      </w:r>
      <w:r>
        <w:rPr>
          <w:i/>
          <w:position w:val="2"/>
        </w:rPr>
        <w:t>p</w:t>
      </w:r>
      <w:r>
        <w:rPr>
          <w:i/>
          <w:spacing w:val="-8"/>
          <w:position w:val="2"/>
        </w:rPr>
        <w:t xml:space="preserve"> </w:t>
      </w:r>
      <w:r>
        <w:rPr>
          <w:position w:val="2"/>
        </w:rPr>
        <w:t>=</w:t>
      </w:r>
      <w:r>
        <w:rPr>
          <w:spacing w:val="-13"/>
          <w:position w:val="2"/>
        </w:rPr>
        <w:t xml:space="preserve"> </w:t>
      </w:r>
      <w:r>
        <w:rPr>
          <w:spacing w:val="2"/>
          <w:position w:val="2"/>
        </w:rPr>
        <w:t>.</w:t>
      </w:r>
      <w:r>
        <w:rPr>
          <w:position w:val="2"/>
        </w:rPr>
        <w:t>06,</w:t>
      </w:r>
      <w:r>
        <w:rPr>
          <w:spacing w:val="-15"/>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7"/>
          <w:position w:val="2"/>
        </w:rPr>
        <w:t xml:space="preserve"> </w:t>
      </w:r>
      <w:r>
        <w:rPr>
          <w:position w:val="2"/>
        </w:rPr>
        <w:t>=</w:t>
      </w:r>
      <w:r>
        <w:rPr>
          <w:spacing w:val="-9"/>
          <w:position w:val="2"/>
        </w:rPr>
        <w:t xml:space="preserve"> </w:t>
      </w:r>
      <w:r>
        <w:rPr>
          <w:spacing w:val="2"/>
          <w:position w:val="2"/>
        </w:rPr>
        <w:t>.</w:t>
      </w:r>
      <w:r>
        <w:rPr>
          <w:position w:val="2"/>
        </w:rPr>
        <w:t>0</w:t>
      </w:r>
      <w:r>
        <w:rPr>
          <w:spacing w:val="-5"/>
          <w:position w:val="2"/>
        </w:rPr>
        <w:t>9</w:t>
      </w:r>
      <w:r>
        <w:rPr>
          <w:position w:val="2"/>
        </w:rPr>
        <w:t>,</w:t>
      </w:r>
      <w:r>
        <w:rPr>
          <w:spacing w:val="-5"/>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10"/>
          <w:position w:val="2"/>
        </w:rPr>
        <w:t xml:space="preserve"> </w:t>
      </w:r>
      <w:r>
        <w:rPr>
          <w:position w:val="2"/>
        </w:rPr>
        <w:t>=</w:t>
      </w:r>
      <w:r>
        <w:rPr>
          <w:spacing w:val="-9"/>
          <w:position w:val="2"/>
        </w:rPr>
        <w:t xml:space="preserve"> </w:t>
      </w:r>
      <w:r>
        <w:rPr>
          <w:position w:val="2"/>
        </w:rPr>
        <w:t>1</w:t>
      </w:r>
      <w:r>
        <w:rPr>
          <w:spacing w:val="-3"/>
          <w:position w:val="2"/>
        </w:rPr>
        <w:t>.</w:t>
      </w:r>
      <w:r>
        <w:rPr>
          <w:position w:val="2"/>
        </w:rPr>
        <w:t xml:space="preserve">29. </w:t>
      </w:r>
      <w:r>
        <w:rPr>
          <w:spacing w:val="-12"/>
          <w:position w:val="2"/>
        </w:rPr>
        <w:t xml:space="preserve"> </w:t>
      </w:r>
      <w:r>
        <w:rPr>
          <w:position w:val="2"/>
        </w:rPr>
        <w:t>F</w:t>
      </w:r>
      <w:r>
        <w:rPr>
          <w:spacing w:val="-5"/>
          <w:position w:val="2"/>
        </w:rPr>
        <w:t>u</w:t>
      </w:r>
      <w:r>
        <w:rPr>
          <w:spacing w:val="1"/>
          <w:position w:val="2"/>
        </w:rPr>
        <w:t>r</w:t>
      </w:r>
      <w:r>
        <w:rPr>
          <w:position w:val="2"/>
        </w:rPr>
        <w:t>th</w:t>
      </w:r>
      <w:r>
        <w:rPr>
          <w:spacing w:val="-1"/>
          <w:position w:val="2"/>
        </w:rPr>
        <w:t>e</w:t>
      </w:r>
      <w:r>
        <w:rPr>
          <w:spacing w:val="1"/>
          <w:position w:val="2"/>
        </w:rPr>
        <w:t>r</w:t>
      </w:r>
      <w:r>
        <w:rPr>
          <w:position w:val="2"/>
        </w:rPr>
        <w:t>mo</w:t>
      </w:r>
      <w:r>
        <w:rPr>
          <w:spacing w:val="1"/>
          <w:position w:val="2"/>
        </w:rPr>
        <w:t>r</w:t>
      </w:r>
      <w:r>
        <w:rPr>
          <w:position w:val="2"/>
        </w:rPr>
        <w:t>e</w:t>
      </w:r>
      <w:r>
        <w:rPr>
          <w:spacing w:val="-13"/>
          <w:position w:val="2"/>
        </w:rPr>
        <w:t xml:space="preserve"> </w:t>
      </w:r>
      <w:r>
        <w:rPr>
          <w:position w:val="2"/>
        </w:rPr>
        <w:t>the</w:t>
      </w:r>
      <w:r>
        <w:rPr>
          <w:spacing w:val="-9"/>
          <w:position w:val="2"/>
        </w:rPr>
        <w:t xml:space="preserve"> </w:t>
      </w:r>
      <w:r>
        <w:rPr>
          <w:spacing w:val="-2"/>
          <w:position w:val="2"/>
        </w:rPr>
        <w:t>C</w:t>
      </w:r>
      <w:r>
        <w:rPr>
          <w:position w:val="2"/>
        </w:rPr>
        <w:t>ondition</w:t>
      </w:r>
      <w:r>
        <w:rPr>
          <w:spacing w:val="-8"/>
          <w:position w:val="2"/>
        </w:rPr>
        <w:t xml:space="preserve"> </w:t>
      </w:r>
      <w:r>
        <w:rPr>
          <w:position w:val="2"/>
        </w:rPr>
        <w:t>×</w:t>
      </w:r>
      <w:r>
        <w:rPr>
          <w:spacing w:val="-13"/>
          <w:position w:val="2"/>
        </w:rPr>
        <w:t xml:space="preserve"> </w:t>
      </w:r>
      <w:r>
        <w:rPr>
          <w:spacing w:val="1"/>
          <w:position w:val="2"/>
        </w:rPr>
        <w:t>I</w:t>
      </w:r>
      <w:r>
        <w:rPr>
          <w:position w:val="2"/>
        </w:rPr>
        <w:t>nt</w:t>
      </w:r>
      <w:r>
        <w:rPr>
          <w:spacing w:val="-1"/>
          <w:position w:val="2"/>
        </w:rPr>
        <w:t>e</w:t>
      </w:r>
      <w:r>
        <w:rPr>
          <w:spacing w:val="1"/>
          <w:position w:val="2"/>
        </w:rPr>
        <w:t>r</w:t>
      </w:r>
      <w:r>
        <w:rPr>
          <w:position w:val="2"/>
        </w:rPr>
        <w:t>v</w:t>
      </w:r>
      <w:r>
        <w:rPr>
          <w:spacing w:val="-1"/>
          <w:position w:val="2"/>
        </w:rPr>
        <w:t>a</w:t>
      </w:r>
      <w:r>
        <w:rPr>
          <w:position w:val="2"/>
        </w:rPr>
        <w:t>l int</w:t>
      </w:r>
      <w:r>
        <w:rPr>
          <w:spacing w:val="-1"/>
          <w:position w:val="2"/>
        </w:rPr>
        <w:t>e</w:t>
      </w:r>
      <w:r>
        <w:rPr>
          <w:spacing w:val="1"/>
          <w:position w:val="2"/>
        </w:rPr>
        <w:t>r</w:t>
      </w:r>
      <w:r>
        <w:rPr>
          <w:spacing w:val="-1"/>
          <w:position w:val="2"/>
        </w:rPr>
        <w:t>ac</w:t>
      </w:r>
      <w:r>
        <w:rPr>
          <w:position w:val="2"/>
        </w:rPr>
        <w:t xml:space="preserve">tion, </w:t>
      </w:r>
      <w:r>
        <w:rPr>
          <w:spacing w:val="-22"/>
          <w:position w:val="2"/>
        </w:rPr>
        <w:t xml:space="preserve"> </w:t>
      </w:r>
      <w:r>
        <w:rPr>
          <w:i/>
          <w:spacing w:val="-3"/>
          <w:position w:val="2"/>
        </w:rPr>
        <w:t>F</w:t>
      </w:r>
      <w:r>
        <w:rPr>
          <w:spacing w:val="1"/>
          <w:position w:val="2"/>
        </w:rPr>
        <w:t>(</w:t>
      </w:r>
      <w:r>
        <w:rPr>
          <w:position w:val="2"/>
        </w:rPr>
        <w:t>2</w:t>
      </w:r>
      <w:r>
        <w:rPr>
          <w:spacing w:val="2"/>
          <w:position w:val="2"/>
        </w:rPr>
        <w:t>.</w:t>
      </w:r>
      <w:r>
        <w:rPr>
          <w:position w:val="2"/>
        </w:rPr>
        <w:t>0</w:t>
      </w:r>
      <w:r>
        <w:rPr>
          <w:spacing w:val="-5"/>
          <w:position w:val="2"/>
        </w:rPr>
        <w:t>4</w:t>
      </w:r>
      <w:r>
        <w:rPr>
          <w:spacing w:val="2"/>
          <w:position w:val="2"/>
        </w:rPr>
        <w:t>,</w:t>
      </w:r>
      <w:r>
        <w:rPr>
          <w:position w:val="2"/>
        </w:rPr>
        <w:t>73</w:t>
      </w:r>
      <w:r>
        <w:rPr>
          <w:spacing w:val="2"/>
          <w:position w:val="2"/>
        </w:rPr>
        <w:t>.</w:t>
      </w:r>
      <w:r>
        <w:rPr>
          <w:position w:val="2"/>
        </w:rPr>
        <w:t>3</w:t>
      </w:r>
      <w:r>
        <w:rPr>
          <w:spacing w:val="-5"/>
          <w:position w:val="2"/>
        </w:rPr>
        <w:t>2</w:t>
      </w:r>
      <w:r>
        <w:rPr>
          <w:position w:val="2"/>
        </w:rPr>
        <w:t xml:space="preserve">) </w:t>
      </w:r>
      <w:r>
        <w:rPr>
          <w:spacing w:val="-23"/>
          <w:position w:val="2"/>
        </w:rPr>
        <w:t xml:space="preserve"> </w:t>
      </w:r>
      <w:r>
        <w:rPr>
          <w:position w:val="2"/>
        </w:rPr>
        <w:t xml:space="preserve">= </w:t>
      </w:r>
      <w:r>
        <w:rPr>
          <w:spacing w:val="-25"/>
          <w:position w:val="2"/>
        </w:rPr>
        <w:t xml:space="preserve"> </w:t>
      </w:r>
      <w:r>
        <w:rPr>
          <w:spacing w:val="-5"/>
          <w:position w:val="2"/>
        </w:rPr>
        <w:t>6</w:t>
      </w:r>
      <w:r>
        <w:rPr>
          <w:spacing w:val="2"/>
          <w:position w:val="2"/>
        </w:rPr>
        <w:t>.</w:t>
      </w:r>
      <w:r>
        <w:rPr>
          <w:position w:val="2"/>
        </w:rPr>
        <w:t xml:space="preserve">51, </w:t>
      </w:r>
      <w:r>
        <w:rPr>
          <w:spacing w:val="-22"/>
          <w:position w:val="2"/>
        </w:rPr>
        <w:t xml:space="preserve"> </w:t>
      </w:r>
      <w:r>
        <w:rPr>
          <w:i/>
          <w:position w:val="2"/>
        </w:rPr>
        <w:t xml:space="preserve">p </w:t>
      </w:r>
      <w:r>
        <w:rPr>
          <w:i/>
          <w:spacing w:val="-29"/>
          <w:position w:val="2"/>
        </w:rPr>
        <w:t xml:space="preserve"> </w:t>
      </w:r>
      <w:r>
        <w:rPr>
          <w:position w:val="2"/>
        </w:rPr>
        <w:t xml:space="preserve">= </w:t>
      </w:r>
      <w:r>
        <w:rPr>
          <w:spacing w:val="-25"/>
          <w:position w:val="2"/>
        </w:rPr>
        <w:t xml:space="preserve"> </w:t>
      </w:r>
      <w:r>
        <w:rPr>
          <w:spacing w:val="2"/>
          <w:position w:val="2"/>
        </w:rPr>
        <w:t>.</w:t>
      </w:r>
      <w:r>
        <w:rPr>
          <w:position w:val="2"/>
        </w:rPr>
        <w:t>00</w:t>
      </w:r>
      <w:r>
        <w:rPr>
          <w:spacing w:val="-5"/>
          <w:position w:val="2"/>
        </w:rPr>
        <w:t>2</w:t>
      </w:r>
      <w:r>
        <w:rPr>
          <w:position w:val="2"/>
        </w:rPr>
        <w:t xml:space="preserve">, </w:t>
      </w:r>
      <w:r>
        <w:rPr>
          <w:spacing w:val="-27"/>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8"/>
          <w:position w:val="2"/>
        </w:rPr>
        <w:t xml:space="preserve"> </w:t>
      </w:r>
      <w:r>
        <w:rPr>
          <w:position w:val="2"/>
        </w:rPr>
        <w:t xml:space="preserve">= </w:t>
      </w:r>
      <w:r>
        <w:rPr>
          <w:spacing w:val="-25"/>
          <w:position w:val="2"/>
        </w:rPr>
        <w:t xml:space="preserve"> </w:t>
      </w:r>
      <w:r>
        <w:rPr>
          <w:spacing w:val="-3"/>
          <w:position w:val="2"/>
        </w:rPr>
        <w:t>.</w:t>
      </w:r>
      <w:r>
        <w:rPr>
          <w:position w:val="2"/>
        </w:rPr>
        <w:t xml:space="preserve">15, </w:t>
      </w:r>
      <w:r>
        <w:rPr>
          <w:spacing w:val="-22"/>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position w:val="2"/>
        </w:rPr>
        <w:t xml:space="preserve"> </w:t>
      </w:r>
      <w:r>
        <w:rPr>
          <w:spacing w:val="-27"/>
          <w:position w:val="2"/>
        </w:rPr>
        <w:t xml:space="preserve"> </w:t>
      </w:r>
      <w:r>
        <w:rPr>
          <w:position w:val="2"/>
        </w:rPr>
        <w:t xml:space="preserve">= </w:t>
      </w:r>
      <w:r>
        <w:rPr>
          <w:spacing w:val="-25"/>
          <w:position w:val="2"/>
        </w:rPr>
        <w:t xml:space="preserve"> </w:t>
      </w:r>
      <w:r>
        <w:rPr>
          <w:position w:val="2"/>
        </w:rPr>
        <w:t>1</w:t>
      </w:r>
      <w:r>
        <w:rPr>
          <w:spacing w:val="2"/>
          <w:position w:val="2"/>
        </w:rPr>
        <w:t>.</w:t>
      </w:r>
      <w:r>
        <w:rPr>
          <w:position w:val="2"/>
        </w:rPr>
        <w:t>7</w:t>
      </w:r>
      <w:r>
        <w:rPr>
          <w:spacing w:val="-5"/>
          <w:position w:val="2"/>
        </w:rPr>
        <w:t>7</w:t>
      </w:r>
      <w:r>
        <w:rPr>
          <w:position w:val="2"/>
        </w:rPr>
        <w:t xml:space="preserve">, </w:t>
      </w:r>
      <w:r>
        <w:rPr>
          <w:spacing w:val="-22"/>
          <w:position w:val="2"/>
        </w:rPr>
        <w:t xml:space="preserve"> </w:t>
      </w:r>
      <w:r>
        <w:rPr>
          <w:spacing w:val="1"/>
          <w:position w:val="2"/>
        </w:rPr>
        <w:t>r</w:t>
      </w:r>
      <w:r>
        <w:rPr>
          <w:spacing w:val="-1"/>
          <w:position w:val="2"/>
        </w:rPr>
        <w:t>e</w:t>
      </w:r>
      <w:r>
        <w:rPr>
          <w:position w:val="2"/>
        </w:rPr>
        <w:t>v</w:t>
      </w:r>
      <w:r>
        <w:rPr>
          <w:spacing w:val="-1"/>
          <w:position w:val="2"/>
        </w:rPr>
        <w:t>ea</w:t>
      </w:r>
      <w:r>
        <w:rPr>
          <w:position w:val="2"/>
        </w:rPr>
        <w:t>l</w:t>
      </w:r>
      <w:r>
        <w:rPr>
          <w:spacing w:val="-1"/>
          <w:position w:val="2"/>
        </w:rPr>
        <w:t>e</w:t>
      </w:r>
      <w:r>
        <w:rPr>
          <w:position w:val="2"/>
        </w:rPr>
        <w:t xml:space="preserve">d </w:t>
      </w:r>
      <w:r>
        <w:rPr>
          <w:spacing w:val="-24"/>
          <w:position w:val="2"/>
        </w:rPr>
        <w:t xml:space="preserve"> </w:t>
      </w:r>
      <w:r>
        <w:rPr>
          <w:position w:val="2"/>
        </w:rPr>
        <w:t>th</w:t>
      </w:r>
      <w:r>
        <w:rPr>
          <w:spacing w:val="-1"/>
          <w:position w:val="2"/>
        </w:rPr>
        <w:t>a</w:t>
      </w:r>
      <w:r>
        <w:rPr>
          <w:position w:val="2"/>
        </w:rPr>
        <w:t xml:space="preserve">t </w:t>
      </w:r>
      <w:r>
        <w:rPr>
          <w:spacing w:val="-29"/>
          <w:position w:val="2"/>
        </w:rPr>
        <w:t xml:space="preserve"> </w:t>
      </w:r>
      <w:r>
        <w:rPr>
          <w:spacing w:val="1"/>
          <w:position w:val="2"/>
        </w:rPr>
        <w:t>f</w:t>
      </w:r>
      <w:r>
        <w:rPr>
          <w:position w:val="2"/>
        </w:rPr>
        <w:t xml:space="preserve">or </w:t>
      </w:r>
      <w:r>
        <w:rPr>
          <w:spacing w:val="-23"/>
          <w:position w:val="2"/>
        </w:rPr>
        <w:t xml:space="preserve"> </w:t>
      </w:r>
      <w:r>
        <w:rPr>
          <w:position w:val="2"/>
        </w:rPr>
        <w:t>t</w:t>
      </w:r>
      <w:r>
        <w:rPr>
          <w:spacing w:val="-5"/>
          <w:position w:val="2"/>
        </w:rPr>
        <w:t>h</w:t>
      </w:r>
      <w:r>
        <w:rPr>
          <w:spacing w:val="1"/>
          <w:position w:val="2"/>
        </w:rPr>
        <w:t>r</w:t>
      </w:r>
      <w:r>
        <w:rPr>
          <w:spacing w:val="-1"/>
          <w:position w:val="2"/>
        </w:rPr>
        <w:t>e</w:t>
      </w:r>
      <w:r>
        <w:rPr>
          <w:position w:val="2"/>
        </w:rPr>
        <w:t xml:space="preserve">e </w:t>
      </w:r>
      <w:r>
        <w:rPr>
          <w:w w:val="105"/>
        </w:rPr>
        <w:t>intervals</w:t>
      </w:r>
      <w:r>
        <w:rPr>
          <w:spacing w:val="-12"/>
          <w:w w:val="105"/>
        </w:rPr>
        <w:t xml:space="preserve"> </w:t>
      </w:r>
      <w:r>
        <w:rPr>
          <w:w w:val="105"/>
        </w:rPr>
        <w:t>(31-60,</w:t>
      </w:r>
      <w:r>
        <w:rPr>
          <w:spacing w:val="-9"/>
          <w:w w:val="105"/>
        </w:rPr>
        <w:t xml:space="preserve"> </w:t>
      </w:r>
      <w:r>
        <w:rPr>
          <w:w w:val="105"/>
        </w:rPr>
        <w:t>61-90,</w:t>
      </w:r>
      <w:r>
        <w:rPr>
          <w:spacing w:val="-9"/>
          <w:w w:val="105"/>
        </w:rPr>
        <w:t xml:space="preserve"> </w:t>
      </w:r>
      <w:r>
        <w:rPr>
          <w:w w:val="105"/>
        </w:rPr>
        <w:t>91-120</w:t>
      </w:r>
      <w:r>
        <w:rPr>
          <w:spacing w:val="-11"/>
          <w:w w:val="105"/>
        </w:rPr>
        <w:t xml:space="preserve"> </w:t>
      </w:r>
      <w:r>
        <w:rPr>
          <w:w w:val="105"/>
        </w:rPr>
        <w:t>seconds)</w:t>
      </w:r>
      <w:r>
        <w:rPr>
          <w:spacing w:val="-10"/>
          <w:w w:val="105"/>
        </w:rPr>
        <w:t xml:space="preserve"> </w:t>
      </w:r>
      <w:r>
        <w:rPr>
          <w:w w:val="105"/>
        </w:rPr>
        <w:t>across</w:t>
      </w:r>
      <w:r>
        <w:rPr>
          <w:spacing w:val="-9"/>
          <w:w w:val="105"/>
        </w:rPr>
        <w:t xml:space="preserve"> </w:t>
      </w:r>
      <w:r>
        <w:rPr>
          <w:w w:val="105"/>
        </w:rPr>
        <w:t>both</w:t>
      </w:r>
      <w:r>
        <w:rPr>
          <w:spacing w:val="-10"/>
          <w:w w:val="105"/>
        </w:rPr>
        <w:t xml:space="preserve"> </w:t>
      </w:r>
      <w:r>
        <w:rPr>
          <w:w w:val="105"/>
        </w:rPr>
        <w:t>groups,</w:t>
      </w:r>
      <w:r>
        <w:rPr>
          <w:spacing w:val="-10"/>
          <w:w w:val="105"/>
        </w:rPr>
        <w:t xml:space="preserve"> </w:t>
      </w:r>
      <w:r>
        <w:rPr>
          <w:w w:val="105"/>
        </w:rPr>
        <w:t>participants</w:t>
      </w:r>
      <w:r>
        <w:rPr>
          <w:spacing w:val="-11"/>
          <w:w w:val="105"/>
        </w:rPr>
        <w:t xml:space="preserve"> </w:t>
      </w:r>
      <w:r>
        <w:rPr>
          <w:w w:val="105"/>
        </w:rPr>
        <w:t>checked</w:t>
      </w:r>
      <w:r>
        <w:rPr>
          <w:spacing w:val="-10"/>
          <w:w w:val="105"/>
        </w:rPr>
        <w:t xml:space="preserve"> </w:t>
      </w:r>
      <w:r>
        <w:rPr>
          <w:w w:val="105"/>
        </w:rPr>
        <w:t>the</w:t>
      </w:r>
      <w:r>
        <w:rPr>
          <w:spacing w:val="-11"/>
          <w:w w:val="105"/>
        </w:rPr>
        <w:t xml:space="preserve"> </w:t>
      </w:r>
      <w:r>
        <w:rPr>
          <w:w w:val="105"/>
        </w:rPr>
        <w:t>time significantly</w:t>
      </w:r>
      <w:r>
        <w:rPr>
          <w:spacing w:val="-41"/>
          <w:w w:val="105"/>
        </w:rPr>
        <w:t xml:space="preserve"> </w:t>
      </w:r>
      <w:r>
        <w:rPr>
          <w:w w:val="105"/>
        </w:rPr>
        <w:t>more</w:t>
      </w:r>
      <w:r>
        <w:rPr>
          <w:spacing w:val="-43"/>
          <w:w w:val="105"/>
        </w:rPr>
        <w:t xml:space="preserve"> </w:t>
      </w:r>
      <w:r>
        <w:rPr>
          <w:w w:val="105"/>
        </w:rPr>
        <w:t>often</w:t>
      </w:r>
      <w:r>
        <w:rPr>
          <w:spacing w:val="-42"/>
          <w:w w:val="105"/>
        </w:rPr>
        <w:t xml:space="preserve"> </w:t>
      </w:r>
      <w:r>
        <w:rPr>
          <w:w w:val="105"/>
        </w:rPr>
        <w:t>in</w:t>
      </w:r>
      <w:r>
        <w:rPr>
          <w:spacing w:val="-42"/>
          <w:w w:val="105"/>
        </w:rPr>
        <w:t xml:space="preserve"> </w:t>
      </w:r>
      <w:r>
        <w:rPr>
          <w:w w:val="105"/>
        </w:rPr>
        <w:t>the</w:t>
      </w:r>
      <w:r>
        <w:rPr>
          <w:spacing w:val="-41"/>
          <w:w w:val="105"/>
        </w:rPr>
        <w:t xml:space="preserve"> </w:t>
      </w:r>
      <w:r>
        <w:rPr>
          <w:w w:val="105"/>
        </w:rPr>
        <w:t>high</w:t>
      </w:r>
      <w:r>
        <w:rPr>
          <w:spacing w:val="-40"/>
          <w:w w:val="105"/>
        </w:rPr>
        <w:t xml:space="preserve"> </w:t>
      </w:r>
      <w:r>
        <w:rPr>
          <w:w w:val="105"/>
        </w:rPr>
        <w:t>importance</w:t>
      </w:r>
      <w:r>
        <w:rPr>
          <w:spacing w:val="-41"/>
          <w:w w:val="105"/>
        </w:rPr>
        <w:t xml:space="preserve"> </w:t>
      </w:r>
      <w:r>
        <w:rPr>
          <w:w w:val="105"/>
        </w:rPr>
        <w:t>condition</w:t>
      </w:r>
      <w:r>
        <w:rPr>
          <w:spacing w:val="-40"/>
          <w:w w:val="105"/>
        </w:rPr>
        <w:t xml:space="preserve"> </w:t>
      </w:r>
      <w:r>
        <w:rPr>
          <w:w w:val="105"/>
        </w:rPr>
        <w:t>than</w:t>
      </w:r>
      <w:r>
        <w:rPr>
          <w:spacing w:val="-43"/>
          <w:w w:val="105"/>
        </w:rPr>
        <w:t xml:space="preserve"> </w:t>
      </w:r>
      <w:r>
        <w:rPr>
          <w:w w:val="105"/>
        </w:rPr>
        <w:t>in</w:t>
      </w:r>
      <w:r>
        <w:rPr>
          <w:spacing w:val="-42"/>
          <w:w w:val="105"/>
        </w:rPr>
        <w:t xml:space="preserve"> </w:t>
      </w:r>
      <w:r>
        <w:rPr>
          <w:w w:val="105"/>
        </w:rPr>
        <w:t>the</w:t>
      </w:r>
      <w:r>
        <w:rPr>
          <w:spacing w:val="-41"/>
          <w:w w:val="105"/>
        </w:rPr>
        <w:t xml:space="preserve"> </w:t>
      </w:r>
      <w:r>
        <w:rPr>
          <w:w w:val="105"/>
        </w:rPr>
        <w:t>low</w:t>
      </w:r>
      <w:r>
        <w:rPr>
          <w:spacing w:val="-42"/>
          <w:w w:val="105"/>
        </w:rPr>
        <w:t xml:space="preserve"> </w:t>
      </w:r>
      <w:r>
        <w:rPr>
          <w:w w:val="105"/>
        </w:rPr>
        <w:t>importance</w:t>
      </w:r>
      <w:r>
        <w:rPr>
          <w:spacing w:val="-41"/>
          <w:w w:val="105"/>
        </w:rPr>
        <w:t xml:space="preserve"> </w:t>
      </w:r>
      <w:r>
        <w:rPr>
          <w:w w:val="105"/>
        </w:rPr>
        <w:t xml:space="preserve">condition </w:t>
      </w:r>
      <w:r>
        <w:rPr>
          <w:spacing w:val="1"/>
          <w:position w:val="2"/>
        </w:rPr>
        <w:t>(</w:t>
      </w:r>
      <w:r>
        <w:rPr>
          <w:spacing w:val="-1"/>
          <w:position w:val="2"/>
        </w:rPr>
        <w:t>a</w:t>
      </w:r>
      <w:r>
        <w:rPr>
          <w:position w:val="2"/>
        </w:rPr>
        <w:t>ll</w:t>
      </w:r>
      <w:r>
        <w:rPr>
          <w:spacing w:val="22"/>
          <w:position w:val="2"/>
        </w:rPr>
        <w:t xml:space="preserve"> </w:t>
      </w:r>
      <w:proofErr w:type="spellStart"/>
      <w:r>
        <w:rPr>
          <w:i/>
          <w:position w:val="2"/>
        </w:rPr>
        <w:t>p</w:t>
      </w:r>
      <w:r>
        <w:rPr>
          <w:position w:val="2"/>
        </w:rPr>
        <w:t>s</w:t>
      </w:r>
      <w:proofErr w:type="spellEnd"/>
      <w:r>
        <w:rPr>
          <w:spacing w:val="19"/>
          <w:position w:val="2"/>
        </w:rPr>
        <w:t xml:space="preserve"> </w:t>
      </w:r>
      <w:r>
        <w:rPr>
          <w:position w:val="2"/>
        </w:rPr>
        <w:t>≤</w:t>
      </w:r>
      <w:r>
        <w:rPr>
          <w:spacing w:val="14"/>
          <w:position w:val="2"/>
        </w:rPr>
        <w:t xml:space="preserve"> </w:t>
      </w:r>
      <w:r>
        <w:rPr>
          <w:spacing w:val="2"/>
          <w:position w:val="2"/>
        </w:rPr>
        <w:t>.</w:t>
      </w:r>
      <w:r>
        <w:rPr>
          <w:position w:val="2"/>
        </w:rPr>
        <w:t>00</w:t>
      </w:r>
      <w:r>
        <w:rPr>
          <w:spacing w:val="-5"/>
          <w:position w:val="2"/>
        </w:rPr>
        <w:t>1</w:t>
      </w:r>
      <w:r>
        <w:rPr>
          <w:position w:val="2"/>
        </w:rPr>
        <w:t>,</w:t>
      </w:r>
      <w:r>
        <w:rPr>
          <w:spacing w:val="19"/>
          <w:position w:val="2"/>
        </w:rPr>
        <w:t xml:space="preserve"> </w:t>
      </w:r>
      <w:r>
        <w:rPr>
          <w:spacing w:val="-1"/>
          <w:position w:val="2"/>
        </w:rPr>
        <w:t>a</w:t>
      </w:r>
      <w:r>
        <w:rPr>
          <w:position w:val="2"/>
        </w:rPr>
        <w:t>ll</w:t>
      </w:r>
      <w:r>
        <w:rPr>
          <w:spacing w:val="17"/>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1"/>
          <w:position w:val="2"/>
        </w:rPr>
        <w:t xml:space="preserve"> </w:t>
      </w:r>
      <w:r>
        <w:rPr>
          <w:position w:val="2"/>
        </w:rPr>
        <w:t>≥</w:t>
      </w:r>
      <w:r>
        <w:rPr>
          <w:spacing w:val="19"/>
          <w:position w:val="2"/>
        </w:rPr>
        <w:t xml:space="preserve"> </w:t>
      </w:r>
      <w:r>
        <w:rPr>
          <w:spacing w:val="2"/>
          <w:position w:val="2"/>
        </w:rPr>
        <w:t>.</w:t>
      </w:r>
      <w:r>
        <w:rPr>
          <w:position w:val="2"/>
        </w:rPr>
        <w:t>5</w:t>
      </w:r>
      <w:r>
        <w:rPr>
          <w:spacing w:val="-5"/>
          <w:position w:val="2"/>
        </w:rPr>
        <w:t>0</w:t>
      </w:r>
      <w:r>
        <w:rPr>
          <w:position w:val="2"/>
        </w:rPr>
        <w:t>,</w:t>
      </w:r>
      <w:r>
        <w:rPr>
          <w:spacing w:val="24"/>
          <w:position w:val="2"/>
        </w:rPr>
        <w:t xml:space="preserve"> </w:t>
      </w:r>
      <w:r>
        <w:rPr>
          <w:spacing w:val="-1"/>
          <w:position w:val="2"/>
        </w:rPr>
        <w:t>a</w:t>
      </w:r>
      <w:r>
        <w:rPr>
          <w:position w:val="2"/>
        </w:rPr>
        <w:t>ll</w:t>
      </w:r>
      <w:r>
        <w:rPr>
          <w:spacing w:val="17"/>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spacing w:val="24"/>
          <w:position w:val="2"/>
        </w:rPr>
        <w:t xml:space="preserve"> </w:t>
      </w:r>
      <w:r>
        <w:rPr>
          <w:position w:val="2"/>
        </w:rPr>
        <w:t>≥</w:t>
      </w:r>
      <w:r>
        <w:rPr>
          <w:spacing w:val="14"/>
          <w:position w:val="2"/>
        </w:rPr>
        <w:t xml:space="preserve"> </w:t>
      </w:r>
      <w:r>
        <w:rPr>
          <w:position w:val="2"/>
        </w:rPr>
        <w:t>3</w:t>
      </w:r>
      <w:r>
        <w:rPr>
          <w:spacing w:val="2"/>
          <w:position w:val="2"/>
        </w:rPr>
        <w:t>.</w:t>
      </w:r>
      <w:r>
        <w:rPr>
          <w:position w:val="2"/>
        </w:rPr>
        <w:t>6</w:t>
      </w:r>
      <w:r>
        <w:rPr>
          <w:spacing w:val="-5"/>
          <w:position w:val="2"/>
        </w:rPr>
        <w:t>5</w:t>
      </w:r>
      <w:r>
        <w:rPr>
          <w:spacing w:val="1"/>
          <w:position w:val="2"/>
        </w:rPr>
        <w:t>)</w:t>
      </w:r>
      <w:r>
        <w:rPr>
          <w:spacing w:val="-3"/>
          <w:position w:val="2"/>
        </w:rPr>
        <w:t>.</w:t>
      </w:r>
      <w:r>
        <w:rPr>
          <w:position w:val="2"/>
        </w:rPr>
        <w:t xml:space="preserve">.  </w:t>
      </w:r>
      <w:r>
        <w:rPr>
          <w:spacing w:val="-24"/>
          <w:position w:val="2"/>
        </w:rPr>
        <w:t xml:space="preserve"> </w:t>
      </w:r>
      <w:r>
        <w:rPr>
          <w:spacing w:val="2"/>
          <w:position w:val="2"/>
        </w:rPr>
        <w:t>T</w:t>
      </w:r>
      <w:r>
        <w:rPr>
          <w:position w:val="2"/>
        </w:rPr>
        <w:t>he</w:t>
      </w:r>
      <w:r>
        <w:rPr>
          <w:spacing w:val="15"/>
          <w:position w:val="2"/>
        </w:rPr>
        <w:t xml:space="preserve"> </w:t>
      </w:r>
      <w:r>
        <w:rPr>
          <w:spacing w:val="-1"/>
          <w:position w:val="2"/>
        </w:rPr>
        <w:t>G</w:t>
      </w:r>
      <w:r>
        <w:rPr>
          <w:spacing w:val="1"/>
          <w:position w:val="2"/>
        </w:rPr>
        <w:t>r</w:t>
      </w:r>
      <w:r>
        <w:rPr>
          <w:position w:val="2"/>
        </w:rPr>
        <w:t>oup</w:t>
      </w:r>
      <w:r>
        <w:rPr>
          <w:spacing w:val="21"/>
          <w:position w:val="2"/>
        </w:rPr>
        <w:t xml:space="preserve"> </w:t>
      </w:r>
      <w:r>
        <w:rPr>
          <w:position w:val="2"/>
        </w:rPr>
        <w:t>×</w:t>
      </w:r>
      <w:r>
        <w:rPr>
          <w:spacing w:val="15"/>
          <w:position w:val="2"/>
        </w:rPr>
        <w:t xml:space="preserve"> </w:t>
      </w:r>
      <w:r>
        <w:rPr>
          <w:spacing w:val="1"/>
          <w:position w:val="2"/>
        </w:rPr>
        <w:t>I</w:t>
      </w:r>
      <w:r>
        <w:rPr>
          <w:position w:val="2"/>
        </w:rPr>
        <w:t>mpo</w:t>
      </w:r>
      <w:r>
        <w:rPr>
          <w:spacing w:val="-4"/>
          <w:position w:val="2"/>
        </w:rPr>
        <w:t>r</w:t>
      </w:r>
      <w:r>
        <w:rPr>
          <w:position w:val="2"/>
        </w:rPr>
        <w:t>t</w:t>
      </w:r>
      <w:r>
        <w:rPr>
          <w:spacing w:val="-1"/>
          <w:position w:val="2"/>
        </w:rPr>
        <w:t>a</w:t>
      </w:r>
      <w:r>
        <w:rPr>
          <w:position w:val="2"/>
        </w:rPr>
        <w:t>n</w:t>
      </w:r>
      <w:r>
        <w:rPr>
          <w:spacing w:val="-1"/>
          <w:position w:val="2"/>
        </w:rPr>
        <w:t>c</w:t>
      </w:r>
      <w:r>
        <w:rPr>
          <w:position w:val="2"/>
        </w:rPr>
        <w:t>e</w:t>
      </w:r>
      <w:r>
        <w:rPr>
          <w:spacing w:val="20"/>
          <w:position w:val="2"/>
        </w:rPr>
        <w:t xml:space="preserve"> </w:t>
      </w:r>
      <w:r>
        <w:rPr>
          <w:position w:val="2"/>
        </w:rPr>
        <w:t>int</w:t>
      </w:r>
      <w:r>
        <w:rPr>
          <w:spacing w:val="-1"/>
          <w:position w:val="2"/>
        </w:rPr>
        <w:t>e</w:t>
      </w:r>
      <w:r>
        <w:rPr>
          <w:spacing w:val="1"/>
          <w:position w:val="2"/>
        </w:rPr>
        <w:t>r</w:t>
      </w:r>
      <w:r>
        <w:rPr>
          <w:spacing w:val="-1"/>
          <w:position w:val="2"/>
        </w:rPr>
        <w:t>ac</w:t>
      </w:r>
      <w:r>
        <w:rPr>
          <w:position w:val="2"/>
        </w:rPr>
        <w:t>tion</w:t>
      </w:r>
      <w:r>
        <w:rPr>
          <w:spacing w:val="16"/>
          <w:position w:val="2"/>
        </w:rPr>
        <w:t xml:space="preserve"> </w:t>
      </w:r>
      <w:r>
        <w:rPr>
          <w:spacing w:val="-1"/>
          <w:position w:val="2"/>
        </w:rPr>
        <w:t>wa</w:t>
      </w:r>
      <w:r>
        <w:rPr>
          <w:position w:val="2"/>
        </w:rPr>
        <w:t>s</w:t>
      </w:r>
      <w:r>
        <w:rPr>
          <w:spacing w:val="19"/>
          <w:position w:val="2"/>
        </w:rPr>
        <w:t xml:space="preserve"> </w:t>
      </w:r>
      <w:r>
        <w:rPr>
          <w:position w:val="2"/>
        </w:rPr>
        <w:t xml:space="preserve">not </w:t>
      </w:r>
      <w:r>
        <w:rPr>
          <w:spacing w:val="-3"/>
          <w:position w:val="2"/>
        </w:rPr>
        <w:t>s</w:t>
      </w:r>
      <w:r>
        <w:rPr>
          <w:position w:val="2"/>
        </w:rPr>
        <w:t>igni</w:t>
      </w:r>
      <w:r>
        <w:rPr>
          <w:spacing w:val="1"/>
          <w:position w:val="2"/>
        </w:rPr>
        <w:t>f</w:t>
      </w:r>
      <w:r>
        <w:rPr>
          <w:position w:val="2"/>
        </w:rPr>
        <w:t>i</w:t>
      </w:r>
      <w:r>
        <w:rPr>
          <w:spacing w:val="-1"/>
          <w:position w:val="2"/>
        </w:rPr>
        <w:t>ca</w:t>
      </w:r>
      <w:r>
        <w:rPr>
          <w:position w:val="2"/>
        </w:rPr>
        <w:t>nt,</w:t>
      </w:r>
      <w:r>
        <w:rPr>
          <w:spacing w:val="4"/>
          <w:position w:val="2"/>
        </w:rPr>
        <w:t xml:space="preserve"> </w:t>
      </w:r>
      <w:r>
        <w:rPr>
          <w:i/>
          <w:spacing w:val="-3"/>
          <w:position w:val="2"/>
        </w:rPr>
        <w:t>F</w:t>
      </w:r>
      <w:r>
        <w:rPr>
          <w:spacing w:val="1"/>
          <w:position w:val="2"/>
        </w:rPr>
        <w:t>(</w:t>
      </w:r>
      <w:r>
        <w:rPr>
          <w:position w:val="2"/>
        </w:rPr>
        <w:t>1</w:t>
      </w:r>
      <w:r>
        <w:rPr>
          <w:spacing w:val="2"/>
          <w:position w:val="2"/>
        </w:rPr>
        <w:t>,</w:t>
      </w:r>
      <w:r>
        <w:rPr>
          <w:position w:val="2"/>
        </w:rPr>
        <w:t>3</w:t>
      </w:r>
      <w:r>
        <w:rPr>
          <w:spacing w:val="-5"/>
          <w:position w:val="2"/>
        </w:rPr>
        <w:t>6</w:t>
      </w:r>
      <w:r>
        <w:rPr>
          <w:position w:val="2"/>
        </w:rPr>
        <w:t>)</w:t>
      </w:r>
      <w:r>
        <w:rPr>
          <w:spacing w:val="4"/>
          <w:position w:val="2"/>
        </w:rPr>
        <w:t xml:space="preserve"> </w:t>
      </w:r>
      <w:r>
        <w:rPr>
          <w:position w:val="2"/>
        </w:rPr>
        <w:t>=</w:t>
      </w:r>
      <w:r>
        <w:rPr>
          <w:spacing w:val="1"/>
          <w:position w:val="2"/>
        </w:rPr>
        <w:t xml:space="preserve"> </w:t>
      </w:r>
      <w:r>
        <w:rPr>
          <w:spacing w:val="-5"/>
          <w:position w:val="2"/>
        </w:rPr>
        <w:t>0</w:t>
      </w:r>
      <w:r>
        <w:rPr>
          <w:spacing w:val="2"/>
          <w:position w:val="2"/>
        </w:rPr>
        <w:t>.</w:t>
      </w:r>
      <w:r>
        <w:rPr>
          <w:position w:val="2"/>
        </w:rPr>
        <w:t xml:space="preserve">10, </w:t>
      </w:r>
      <w:r>
        <w:rPr>
          <w:i/>
          <w:position w:val="2"/>
        </w:rPr>
        <w:t>p</w:t>
      </w:r>
      <w:r>
        <w:rPr>
          <w:i/>
          <w:spacing w:val="2"/>
          <w:position w:val="2"/>
        </w:rPr>
        <w:t xml:space="preserve"> </w:t>
      </w:r>
      <w:r>
        <w:rPr>
          <w:position w:val="2"/>
        </w:rPr>
        <w:t>=</w:t>
      </w:r>
      <w:r>
        <w:rPr>
          <w:spacing w:val="-4"/>
          <w:position w:val="2"/>
        </w:rPr>
        <w:t xml:space="preserve"> </w:t>
      </w:r>
      <w:r>
        <w:rPr>
          <w:spacing w:val="2"/>
          <w:position w:val="2"/>
        </w:rPr>
        <w:t>.</w:t>
      </w:r>
      <w:r>
        <w:rPr>
          <w:position w:val="2"/>
        </w:rPr>
        <w:t>7</w:t>
      </w:r>
      <w:r>
        <w:rPr>
          <w:spacing w:val="-5"/>
          <w:position w:val="2"/>
        </w:rPr>
        <w:t>6</w:t>
      </w:r>
      <w:r>
        <w:rPr>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16"/>
          <w:position w:val="2"/>
        </w:rPr>
        <w:t xml:space="preserve"> </w:t>
      </w:r>
      <w:r>
        <w:rPr>
          <w:position w:val="2"/>
        </w:rPr>
        <w:t>=</w:t>
      </w:r>
      <w:r>
        <w:rPr>
          <w:spacing w:val="-4"/>
          <w:position w:val="2"/>
        </w:rPr>
        <w:t xml:space="preserve"> </w:t>
      </w:r>
      <w:r>
        <w:rPr>
          <w:spacing w:val="2"/>
          <w:position w:val="2"/>
        </w:rPr>
        <w:t>.</w:t>
      </w:r>
      <w:r>
        <w:rPr>
          <w:position w:val="2"/>
        </w:rPr>
        <w:t>00</w:t>
      </w:r>
      <w:r>
        <w:rPr>
          <w:spacing w:val="-5"/>
          <w:position w:val="2"/>
        </w:rPr>
        <w:t>3</w:t>
      </w:r>
      <w:r>
        <w:rPr>
          <w:position w:val="2"/>
        </w:rPr>
        <w:t>,</w:t>
      </w:r>
      <w:r>
        <w:rPr>
          <w:spacing w:val="4"/>
          <w:position w:val="2"/>
        </w:rPr>
        <w:t xml:space="preserve"> </w:t>
      </w:r>
      <w:r>
        <w:rPr>
          <w:spacing w:val="-2"/>
          <w:position w:val="2"/>
        </w:rPr>
        <w:t>B</w:t>
      </w:r>
      <w:r>
        <w:rPr>
          <w:position w:val="2"/>
        </w:rPr>
        <w:t>F</w:t>
      </w:r>
      <w:r>
        <w:rPr>
          <w:spacing w:val="-3"/>
          <w:w w:val="97"/>
          <w:position w:val="2"/>
          <w:vertAlign w:val="subscript"/>
        </w:rPr>
        <w:t>1</w:t>
      </w:r>
      <w:r>
        <w:rPr>
          <w:w w:val="97"/>
          <w:position w:val="2"/>
          <w:vertAlign w:val="subscript"/>
        </w:rPr>
        <w:t>0</w:t>
      </w:r>
      <w:r>
        <w:rPr>
          <w:position w:val="2"/>
        </w:rPr>
        <w:t xml:space="preserve"> =</w:t>
      </w:r>
      <w:r>
        <w:rPr>
          <w:spacing w:val="1"/>
          <w:position w:val="2"/>
        </w:rPr>
        <w:t xml:space="preserve"> </w:t>
      </w:r>
      <w:r>
        <w:rPr>
          <w:position w:val="2"/>
        </w:rPr>
        <w:t>0</w:t>
      </w:r>
      <w:r>
        <w:rPr>
          <w:spacing w:val="2"/>
          <w:position w:val="2"/>
        </w:rPr>
        <w:t>.</w:t>
      </w:r>
      <w:r>
        <w:rPr>
          <w:position w:val="2"/>
        </w:rPr>
        <w:t>18.</w:t>
      </w:r>
    </w:p>
    <w:p w14:paraId="7D81EC7F" w14:textId="77777777" w:rsidR="00C75312" w:rsidRDefault="00C75312">
      <w:pPr>
        <w:spacing w:line="482" w:lineRule="auto"/>
        <w:jc w:val="both"/>
        <w:sectPr w:rsidR="00C75312">
          <w:pgSz w:w="11900" w:h="16840"/>
          <w:pgMar w:top="1160" w:right="1200" w:bottom="280" w:left="1300" w:header="720" w:footer="0" w:gutter="0"/>
          <w:cols w:space="720"/>
        </w:sectPr>
      </w:pPr>
    </w:p>
    <w:p w14:paraId="7C5AAE15" w14:textId="77777777" w:rsidR="00C75312" w:rsidRDefault="00BB293A">
      <w:pPr>
        <w:pStyle w:val="Heading1"/>
        <w:spacing w:before="80"/>
        <w:ind w:left="1752"/>
      </w:pPr>
      <w:r>
        <w:lastRenderedPageBreak/>
        <w:t>Appendix 3: Results from Fisher-z tests conducted in Chapter 5</w:t>
      </w:r>
    </w:p>
    <w:p w14:paraId="3DD555D6" w14:textId="77777777" w:rsidR="00C75312" w:rsidRDefault="00C75312">
      <w:pPr>
        <w:pStyle w:val="BodyText"/>
        <w:spacing w:before="10"/>
        <w:rPr>
          <w:b/>
          <w:sz w:val="23"/>
        </w:rPr>
      </w:pPr>
    </w:p>
    <w:p w14:paraId="3C4AD679" w14:textId="77777777" w:rsidR="00C75312" w:rsidRDefault="00BB293A">
      <w:pPr>
        <w:ind w:left="140" w:right="540"/>
        <w:rPr>
          <w:i/>
          <w:sz w:val="20"/>
        </w:rPr>
      </w:pPr>
      <w:r>
        <w:rPr>
          <w:i/>
          <w:sz w:val="20"/>
        </w:rPr>
        <w:t>Table A4. Results of Fisher z tests comparing findings by Umeda et al. (2016) with correlations found in this study separately by condition</w:t>
      </w:r>
    </w:p>
    <w:p w14:paraId="1E12B0BB" w14:textId="77777777" w:rsidR="00C75312" w:rsidRDefault="00C75312">
      <w:pPr>
        <w:pStyle w:val="BodyText"/>
        <w:spacing w:before="10"/>
        <w:rPr>
          <w:i/>
          <w:sz w:val="10"/>
        </w:rPr>
      </w:pPr>
    </w:p>
    <w:tbl>
      <w:tblPr>
        <w:tblW w:w="0" w:type="auto"/>
        <w:tblInd w:w="140" w:type="dxa"/>
        <w:tblLayout w:type="fixed"/>
        <w:tblCellMar>
          <w:left w:w="0" w:type="dxa"/>
          <w:right w:w="0" w:type="dxa"/>
        </w:tblCellMar>
        <w:tblLook w:val="01E0" w:firstRow="1" w:lastRow="1" w:firstColumn="1" w:lastColumn="1" w:noHBand="0" w:noVBand="0"/>
      </w:tblPr>
      <w:tblGrid>
        <w:gridCol w:w="4883"/>
        <w:gridCol w:w="1063"/>
        <w:gridCol w:w="878"/>
        <w:gridCol w:w="1135"/>
        <w:gridCol w:w="971"/>
      </w:tblGrid>
      <w:tr w:rsidR="00C75312" w14:paraId="3CCA1A7B" w14:textId="77777777">
        <w:trPr>
          <w:trHeight w:val="623"/>
        </w:trPr>
        <w:tc>
          <w:tcPr>
            <w:tcW w:w="4883" w:type="dxa"/>
            <w:tcBorders>
              <w:top w:val="single" w:sz="4" w:space="0" w:color="000000"/>
              <w:bottom w:val="single" w:sz="4" w:space="0" w:color="000000"/>
            </w:tcBorders>
          </w:tcPr>
          <w:p w14:paraId="4E12C86E" w14:textId="77777777" w:rsidR="00C75312" w:rsidRDefault="00BB293A">
            <w:pPr>
              <w:pStyle w:val="TableParagraph"/>
              <w:spacing w:before="39" w:line="259" w:lineRule="auto"/>
              <w:ind w:left="112" w:right="412"/>
              <w:rPr>
                <w:b/>
              </w:rPr>
            </w:pPr>
            <w:r>
              <w:rPr>
                <w:b/>
              </w:rPr>
              <w:t>Correlation comparison PM and interoceptive accuracy</w:t>
            </w:r>
          </w:p>
        </w:tc>
        <w:tc>
          <w:tcPr>
            <w:tcW w:w="1063" w:type="dxa"/>
            <w:tcBorders>
              <w:top w:val="single" w:sz="4" w:space="0" w:color="000000"/>
              <w:bottom w:val="single" w:sz="4" w:space="0" w:color="000000"/>
            </w:tcBorders>
          </w:tcPr>
          <w:p w14:paraId="419FFD47" w14:textId="77777777" w:rsidR="00C75312" w:rsidRDefault="00BB293A">
            <w:pPr>
              <w:pStyle w:val="TableParagraph"/>
              <w:spacing w:before="38"/>
              <w:ind w:left="412" w:right="223"/>
              <w:jc w:val="center"/>
              <w:rPr>
                <w:b/>
                <w:i/>
              </w:rPr>
            </w:pPr>
            <w:r>
              <w:rPr>
                <w:b/>
                <w:i/>
                <w:w w:val="105"/>
                <w:position w:val="2"/>
              </w:rPr>
              <w:t>r</w:t>
            </w:r>
            <w:r>
              <w:rPr>
                <w:b/>
                <w:i/>
                <w:w w:val="105"/>
                <w:position w:val="2"/>
                <w:vertAlign w:val="subscript"/>
              </w:rPr>
              <w:t>1</w:t>
            </w:r>
          </w:p>
        </w:tc>
        <w:tc>
          <w:tcPr>
            <w:tcW w:w="878" w:type="dxa"/>
            <w:tcBorders>
              <w:top w:val="single" w:sz="4" w:space="0" w:color="000000"/>
              <w:bottom w:val="single" w:sz="4" w:space="0" w:color="000000"/>
            </w:tcBorders>
          </w:tcPr>
          <w:p w14:paraId="31C4540D" w14:textId="77777777" w:rsidR="00C75312" w:rsidRDefault="00BB293A">
            <w:pPr>
              <w:pStyle w:val="TableParagraph"/>
              <w:spacing w:before="38"/>
              <w:ind w:left="220" w:right="158"/>
              <w:jc w:val="center"/>
              <w:rPr>
                <w:b/>
                <w:i/>
              </w:rPr>
            </w:pPr>
            <w:r>
              <w:rPr>
                <w:b/>
                <w:i/>
                <w:w w:val="105"/>
                <w:position w:val="2"/>
              </w:rPr>
              <w:t>r</w:t>
            </w:r>
            <w:r>
              <w:rPr>
                <w:b/>
                <w:i/>
                <w:w w:val="105"/>
                <w:position w:val="2"/>
                <w:vertAlign w:val="subscript"/>
              </w:rPr>
              <w:t>2</w:t>
            </w:r>
          </w:p>
        </w:tc>
        <w:tc>
          <w:tcPr>
            <w:tcW w:w="1135" w:type="dxa"/>
            <w:tcBorders>
              <w:top w:val="single" w:sz="4" w:space="0" w:color="000000"/>
              <w:bottom w:val="single" w:sz="4" w:space="0" w:color="000000"/>
            </w:tcBorders>
          </w:tcPr>
          <w:p w14:paraId="53D94698" w14:textId="77777777" w:rsidR="00C75312" w:rsidRDefault="00BB293A">
            <w:pPr>
              <w:pStyle w:val="TableParagraph"/>
              <w:spacing w:before="39"/>
              <w:ind w:left="153" w:right="184"/>
              <w:jc w:val="center"/>
              <w:rPr>
                <w:b/>
                <w:i/>
              </w:rPr>
            </w:pPr>
            <w:r>
              <w:rPr>
                <w:b/>
              </w:rPr>
              <w:t>Fisher-</w:t>
            </w:r>
            <w:r>
              <w:rPr>
                <w:b/>
                <w:i/>
              </w:rPr>
              <w:t>z</w:t>
            </w:r>
          </w:p>
        </w:tc>
        <w:tc>
          <w:tcPr>
            <w:tcW w:w="971" w:type="dxa"/>
            <w:tcBorders>
              <w:top w:val="single" w:sz="4" w:space="0" w:color="000000"/>
              <w:bottom w:val="single" w:sz="4" w:space="0" w:color="000000"/>
            </w:tcBorders>
          </w:tcPr>
          <w:p w14:paraId="5176272F" w14:textId="77777777" w:rsidR="00C75312" w:rsidRDefault="00BB293A">
            <w:pPr>
              <w:pStyle w:val="TableParagraph"/>
              <w:spacing w:before="39"/>
              <w:ind w:right="77"/>
              <w:jc w:val="center"/>
              <w:rPr>
                <w:b/>
                <w:i/>
              </w:rPr>
            </w:pPr>
            <w:r>
              <w:rPr>
                <w:b/>
                <w:i/>
              </w:rPr>
              <w:t>p</w:t>
            </w:r>
          </w:p>
        </w:tc>
      </w:tr>
      <w:tr w:rsidR="00C75312" w14:paraId="3DC2F5C4" w14:textId="77777777">
        <w:trPr>
          <w:trHeight w:val="347"/>
        </w:trPr>
        <w:tc>
          <w:tcPr>
            <w:tcW w:w="4883" w:type="dxa"/>
            <w:tcBorders>
              <w:top w:val="single" w:sz="4" w:space="0" w:color="000000"/>
            </w:tcBorders>
          </w:tcPr>
          <w:p w14:paraId="3066A372" w14:textId="77777777" w:rsidR="00C75312" w:rsidRPr="002C3022" w:rsidRDefault="00BB293A">
            <w:pPr>
              <w:pStyle w:val="TableParagraph"/>
              <w:spacing w:before="39"/>
              <w:ind w:left="112"/>
              <w:rPr>
                <w:lang w:val="fr-FR"/>
              </w:rPr>
            </w:pPr>
            <w:r w:rsidRPr="002C3022">
              <w:rPr>
                <w:lang w:val="fr-FR"/>
              </w:rPr>
              <w:t>Umeda et al. vs EBPM condition</w:t>
            </w:r>
          </w:p>
        </w:tc>
        <w:tc>
          <w:tcPr>
            <w:tcW w:w="1063" w:type="dxa"/>
            <w:tcBorders>
              <w:top w:val="single" w:sz="4" w:space="0" w:color="000000"/>
            </w:tcBorders>
          </w:tcPr>
          <w:p w14:paraId="6C99202E" w14:textId="77777777" w:rsidR="00C75312" w:rsidRDefault="00BB293A">
            <w:pPr>
              <w:pStyle w:val="TableParagraph"/>
              <w:spacing w:before="39"/>
              <w:ind w:left="414" w:right="223"/>
              <w:jc w:val="center"/>
            </w:pPr>
            <w:r>
              <w:t>0.35</w:t>
            </w:r>
          </w:p>
        </w:tc>
        <w:tc>
          <w:tcPr>
            <w:tcW w:w="878" w:type="dxa"/>
            <w:tcBorders>
              <w:top w:val="single" w:sz="4" w:space="0" w:color="000000"/>
            </w:tcBorders>
          </w:tcPr>
          <w:p w14:paraId="497487C3" w14:textId="77777777" w:rsidR="00C75312" w:rsidRDefault="00BB293A">
            <w:pPr>
              <w:pStyle w:val="TableParagraph"/>
              <w:spacing w:before="39"/>
              <w:ind w:left="220" w:right="155"/>
              <w:jc w:val="center"/>
            </w:pPr>
            <w:r>
              <w:t>0.26</w:t>
            </w:r>
          </w:p>
        </w:tc>
        <w:tc>
          <w:tcPr>
            <w:tcW w:w="1135" w:type="dxa"/>
            <w:tcBorders>
              <w:top w:val="single" w:sz="4" w:space="0" w:color="000000"/>
            </w:tcBorders>
          </w:tcPr>
          <w:p w14:paraId="168911D8" w14:textId="77777777" w:rsidR="00C75312" w:rsidRDefault="00BB293A">
            <w:pPr>
              <w:pStyle w:val="TableParagraph"/>
              <w:spacing w:before="39"/>
              <w:ind w:left="153" w:right="178"/>
              <w:jc w:val="center"/>
            </w:pPr>
            <w:r>
              <w:t>0.38</w:t>
            </w:r>
          </w:p>
        </w:tc>
        <w:tc>
          <w:tcPr>
            <w:tcW w:w="971" w:type="dxa"/>
            <w:tcBorders>
              <w:top w:val="single" w:sz="4" w:space="0" w:color="000000"/>
            </w:tcBorders>
          </w:tcPr>
          <w:p w14:paraId="237E4251" w14:textId="77777777" w:rsidR="00C75312" w:rsidRDefault="00BB293A">
            <w:pPr>
              <w:pStyle w:val="TableParagraph"/>
              <w:spacing w:before="39"/>
              <w:ind w:left="177" w:right="254"/>
              <w:jc w:val="center"/>
            </w:pPr>
            <w:r>
              <w:t>0.70</w:t>
            </w:r>
          </w:p>
        </w:tc>
      </w:tr>
      <w:tr w:rsidR="00C75312" w14:paraId="170C24E5" w14:textId="77777777">
        <w:trPr>
          <w:trHeight w:val="352"/>
        </w:trPr>
        <w:tc>
          <w:tcPr>
            <w:tcW w:w="4883" w:type="dxa"/>
          </w:tcPr>
          <w:p w14:paraId="7B5B3FF5" w14:textId="77777777" w:rsidR="00C75312" w:rsidRPr="002C3022" w:rsidRDefault="00BB293A">
            <w:pPr>
              <w:pStyle w:val="TableParagraph"/>
              <w:spacing w:before="46"/>
              <w:ind w:left="112"/>
              <w:rPr>
                <w:lang w:val="fr-FR"/>
              </w:rPr>
            </w:pPr>
            <w:r w:rsidRPr="002C3022">
              <w:rPr>
                <w:lang w:val="fr-FR"/>
              </w:rPr>
              <w:t>Umeda et al. vs TBPM condition, a)</w:t>
            </w:r>
          </w:p>
        </w:tc>
        <w:tc>
          <w:tcPr>
            <w:tcW w:w="1063" w:type="dxa"/>
          </w:tcPr>
          <w:p w14:paraId="76B19F73" w14:textId="77777777" w:rsidR="00C75312" w:rsidRDefault="00BB293A">
            <w:pPr>
              <w:pStyle w:val="TableParagraph"/>
              <w:spacing w:before="46"/>
              <w:ind w:left="414" w:right="223"/>
              <w:jc w:val="center"/>
            </w:pPr>
            <w:r>
              <w:t>0.35</w:t>
            </w:r>
          </w:p>
        </w:tc>
        <w:tc>
          <w:tcPr>
            <w:tcW w:w="878" w:type="dxa"/>
          </w:tcPr>
          <w:p w14:paraId="173EEBF3" w14:textId="77777777" w:rsidR="00C75312" w:rsidRDefault="00BB293A">
            <w:pPr>
              <w:pStyle w:val="TableParagraph"/>
              <w:spacing w:before="46"/>
              <w:ind w:left="220" w:right="159"/>
              <w:jc w:val="center"/>
            </w:pPr>
            <w:r>
              <w:t>0.29’</w:t>
            </w:r>
          </w:p>
        </w:tc>
        <w:tc>
          <w:tcPr>
            <w:tcW w:w="1135" w:type="dxa"/>
          </w:tcPr>
          <w:p w14:paraId="63EE95C7" w14:textId="77777777" w:rsidR="00C75312" w:rsidRDefault="00BB293A">
            <w:pPr>
              <w:pStyle w:val="TableParagraph"/>
              <w:spacing w:before="46"/>
              <w:ind w:left="153" w:right="178"/>
              <w:jc w:val="center"/>
            </w:pPr>
            <w:r>
              <w:t>0.25</w:t>
            </w:r>
          </w:p>
        </w:tc>
        <w:tc>
          <w:tcPr>
            <w:tcW w:w="971" w:type="dxa"/>
          </w:tcPr>
          <w:p w14:paraId="52F4DE97" w14:textId="77777777" w:rsidR="00C75312" w:rsidRDefault="00BB293A">
            <w:pPr>
              <w:pStyle w:val="TableParagraph"/>
              <w:spacing w:before="46"/>
              <w:ind w:left="177" w:right="254"/>
              <w:jc w:val="center"/>
            </w:pPr>
            <w:r>
              <w:t>0.80</w:t>
            </w:r>
          </w:p>
        </w:tc>
      </w:tr>
      <w:tr w:rsidR="00C75312" w14:paraId="0796E248" w14:textId="77777777">
        <w:trPr>
          <w:trHeight w:val="359"/>
        </w:trPr>
        <w:tc>
          <w:tcPr>
            <w:tcW w:w="4883" w:type="dxa"/>
            <w:tcBorders>
              <w:bottom w:val="single" w:sz="4" w:space="0" w:color="000000"/>
            </w:tcBorders>
          </w:tcPr>
          <w:p w14:paraId="47F01718" w14:textId="77777777" w:rsidR="00C75312" w:rsidRPr="002C3022" w:rsidRDefault="00BB293A">
            <w:pPr>
              <w:pStyle w:val="TableParagraph"/>
              <w:spacing w:before="44"/>
              <w:ind w:left="112"/>
              <w:rPr>
                <w:lang w:val="fr-FR"/>
              </w:rPr>
            </w:pPr>
            <w:r w:rsidRPr="002C3022">
              <w:rPr>
                <w:lang w:val="fr-FR"/>
              </w:rPr>
              <w:t>Umeda et al. vs TBPM condition, b)</w:t>
            </w:r>
          </w:p>
        </w:tc>
        <w:tc>
          <w:tcPr>
            <w:tcW w:w="1063" w:type="dxa"/>
            <w:tcBorders>
              <w:bottom w:val="single" w:sz="4" w:space="0" w:color="000000"/>
            </w:tcBorders>
          </w:tcPr>
          <w:p w14:paraId="60B2CC82" w14:textId="77777777" w:rsidR="00C75312" w:rsidRDefault="00BB293A">
            <w:pPr>
              <w:pStyle w:val="TableParagraph"/>
              <w:spacing w:before="44"/>
              <w:ind w:left="414" w:right="223"/>
              <w:jc w:val="center"/>
            </w:pPr>
            <w:r>
              <w:t>0.35</w:t>
            </w:r>
          </w:p>
        </w:tc>
        <w:tc>
          <w:tcPr>
            <w:tcW w:w="878" w:type="dxa"/>
            <w:tcBorders>
              <w:bottom w:val="single" w:sz="4" w:space="0" w:color="000000"/>
            </w:tcBorders>
          </w:tcPr>
          <w:p w14:paraId="465C7A6E" w14:textId="77777777" w:rsidR="00C75312" w:rsidRDefault="00BB293A">
            <w:pPr>
              <w:pStyle w:val="TableParagraph"/>
              <w:spacing w:before="44"/>
              <w:ind w:left="220" w:right="155"/>
              <w:jc w:val="center"/>
            </w:pPr>
            <w:r>
              <w:t>0.26</w:t>
            </w:r>
          </w:p>
        </w:tc>
        <w:tc>
          <w:tcPr>
            <w:tcW w:w="1135" w:type="dxa"/>
            <w:tcBorders>
              <w:bottom w:val="single" w:sz="4" w:space="0" w:color="000000"/>
            </w:tcBorders>
          </w:tcPr>
          <w:p w14:paraId="64D1BAAE" w14:textId="77777777" w:rsidR="00C75312" w:rsidRDefault="00BB293A">
            <w:pPr>
              <w:pStyle w:val="TableParagraph"/>
              <w:spacing w:before="44"/>
              <w:ind w:left="153" w:right="178"/>
              <w:jc w:val="center"/>
            </w:pPr>
            <w:r>
              <w:t>-0.826</w:t>
            </w:r>
          </w:p>
        </w:tc>
        <w:tc>
          <w:tcPr>
            <w:tcW w:w="971" w:type="dxa"/>
            <w:tcBorders>
              <w:bottom w:val="single" w:sz="4" w:space="0" w:color="000000"/>
            </w:tcBorders>
          </w:tcPr>
          <w:p w14:paraId="5CF3948E" w14:textId="77777777" w:rsidR="00C75312" w:rsidRDefault="00BB293A">
            <w:pPr>
              <w:pStyle w:val="TableParagraph"/>
              <w:spacing w:before="44"/>
              <w:ind w:left="182" w:right="254"/>
              <w:jc w:val="center"/>
            </w:pPr>
            <w:r>
              <w:t>0.409</w:t>
            </w:r>
          </w:p>
        </w:tc>
      </w:tr>
    </w:tbl>
    <w:p w14:paraId="42739DB4" w14:textId="77777777" w:rsidR="00C75312" w:rsidRDefault="00BB293A">
      <w:pPr>
        <w:ind w:left="140" w:right="320"/>
        <w:rPr>
          <w:i/>
          <w:sz w:val="20"/>
        </w:rPr>
      </w:pPr>
      <w:r>
        <w:rPr>
          <w:i/>
          <w:sz w:val="20"/>
        </w:rPr>
        <w:t>Note. EBPM: event-based PM; TBPM: time-based PM. For the time-based PM conditions two comparisons were conducted a) the comparison that involved the correlation between PM target accuracy and interoception and b) the comparison that involved the correlation between PM target accuracy and interoception</w:t>
      </w:r>
    </w:p>
    <w:p w14:paraId="6875C90C" w14:textId="77777777" w:rsidR="00C75312" w:rsidRDefault="00C75312">
      <w:pPr>
        <w:pStyle w:val="BodyText"/>
        <w:spacing w:before="2"/>
        <w:rPr>
          <w:i/>
          <w:sz w:val="17"/>
        </w:rPr>
      </w:pPr>
    </w:p>
    <w:p w14:paraId="09AEB637" w14:textId="77777777" w:rsidR="00C75312" w:rsidRDefault="00BB293A">
      <w:pPr>
        <w:ind w:left="140"/>
        <w:rPr>
          <w:i/>
          <w:sz w:val="20"/>
        </w:rPr>
      </w:pPr>
      <w:r>
        <w:rPr>
          <w:i/>
          <w:sz w:val="20"/>
        </w:rPr>
        <w:t>Table A5. Results of Fisher z tests comparing correlations between the event- and time-based PM condition</w:t>
      </w:r>
    </w:p>
    <w:p w14:paraId="0E912231" w14:textId="77777777" w:rsidR="00C75312" w:rsidRDefault="00C75312">
      <w:pPr>
        <w:pStyle w:val="BodyText"/>
        <w:spacing w:before="11"/>
        <w:rPr>
          <w:i/>
          <w:sz w:val="17"/>
        </w:rPr>
      </w:pPr>
    </w:p>
    <w:tbl>
      <w:tblPr>
        <w:tblW w:w="0" w:type="auto"/>
        <w:tblInd w:w="118" w:type="dxa"/>
        <w:tblLayout w:type="fixed"/>
        <w:tblCellMar>
          <w:left w:w="0" w:type="dxa"/>
          <w:right w:w="0" w:type="dxa"/>
        </w:tblCellMar>
        <w:tblLook w:val="01E0" w:firstRow="1" w:lastRow="1" w:firstColumn="1" w:lastColumn="1" w:noHBand="0" w:noVBand="0"/>
      </w:tblPr>
      <w:tblGrid>
        <w:gridCol w:w="4172"/>
        <w:gridCol w:w="1357"/>
        <w:gridCol w:w="1298"/>
        <w:gridCol w:w="1100"/>
        <w:gridCol w:w="1259"/>
      </w:tblGrid>
      <w:tr w:rsidR="00C75312" w14:paraId="3DEE1804" w14:textId="77777777">
        <w:trPr>
          <w:trHeight w:val="623"/>
        </w:trPr>
        <w:tc>
          <w:tcPr>
            <w:tcW w:w="4172" w:type="dxa"/>
            <w:tcBorders>
              <w:top w:val="single" w:sz="4" w:space="0" w:color="000000"/>
              <w:bottom w:val="single" w:sz="4" w:space="0" w:color="000000"/>
            </w:tcBorders>
          </w:tcPr>
          <w:p w14:paraId="70D96CD7" w14:textId="77777777" w:rsidR="00C75312" w:rsidRDefault="00BB293A">
            <w:pPr>
              <w:pStyle w:val="TableParagraph"/>
              <w:spacing w:before="39"/>
              <w:ind w:left="134"/>
              <w:rPr>
                <w:b/>
              </w:rPr>
            </w:pPr>
            <w:r>
              <w:rPr>
                <w:b/>
              </w:rPr>
              <w:t>Correlation comparison</w:t>
            </w:r>
          </w:p>
        </w:tc>
        <w:tc>
          <w:tcPr>
            <w:tcW w:w="1357" w:type="dxa"/>
            <w:tcBorders>
              <w:top w:val="single" w:sz="4" w:space="0" w:color="000000"/>
              <w:bottom w:val="single" w:sz="4" w:space="0" w:color="000000"/>
            </w:tcBorders>
          </w:tcPr>
          <w:p w14:paraId="60317967" w14:textId="77777777" w:rsidR="00C75312" w:rsidRDefault="00BB293A">
            <w:pPr>
              <w:pStyle w:val="TableParagraph"/>
              <w:spacing w:before="39"/>
              <w:ind w:left="171" w:right="122"/>
              <w:jc w:val="center"/>
              <w:rPr>
                <w:b/>
              </w:rPr>
            </w:pPr>
            <w:r>
              <w:rPr>
                <w:b/>
              </w:rPr>
              <w:t>TBPM</w:t>
            </w:r>
          </w:p>
          <w:p w14:paraId="650B43A6" w14:textId="77777777" w:rsidR="00C75312" w:rsidRDefault="00BB293A">
            <w:pPr>
              <w:pStyle w:val="TableParagraph"/>
              <w:spacing w:before="21"/>
              <w:ind w:left="174" w:right="122"/>
              <w:jc w:val="center"/>
              <w:rPr>
                <w:b/>
                <w:i/>
              </w:rPr>
            </w:pPr>
            <w:r>
              <w:rPr>
                <w:b/>
              </w:rPr>
              <w:t xml:space="preserve">condition </w:t>
            </w:r>
            <w:r>
              <w:rPr>
                <w:b/>
                <w:i/>
              </w:rPr>
              <w:t>r</w:t>
            </w:r>
          </w:p>
        </w:tc>
        <w:tc>
          <w:tcPr>
            <w:tcW w:w="1298" w:type="dxa"/>
            <w:tcBorders>
              <w:top w:val="single" w:sz="4" w:space="0" w:color="000000"/>
              <w:bottom w:val="single" w:sz="4" w:space="0" w:color="000000"/>
            </w:tcBorders>
          </w:tcPr>
          <w:p w14:paraId="7C2F3255" w14:textId="77777777" w:rsidR="00C75312" w:rsidRDefault="00BB293A">
            <w:pPr>
              <w:pStyle w:val="TableParagraph"/>
              <w:spacing w:before="39"/>
              <w:ind w:left="120" w:right="114"/>
              <w:jc w:val="center"/>
              <w:rPr>
                <w:b/>
              </w:rPr>
            </w:pPr>
            <w:r>
              <w:rPr>
                <w:b/>
              </w:rPr>
              <w:t>EBPM</w:t>
            </w:r>
          </w:p>
          <w:p w14:paraId="39AAF0D3" w14:textId="77777777" w:rsidR="00C75312" w:rsidRDefault="00BB293A">
            <w:pPr>
              <w:pStyle w:val="TableParagraph"/>
              <w:spacing w:before="21"/>
              <w:ind w:left="122" w:right="114"/>
              <w:jc w:val="center"/>
              <w:rPr>
                <w:b/>
                <w:i/>
              </w:rPr>
            </w:pPr>
            <w:r>
              <w:rPr>
                <w:b/>
              </w:rPr>
              <w:t xml:space="preserve">condition </w:t>
            </w:r>
            <w:r>
              <w:rPr>
                <w:b/>
                <w:i/>
              </w:rPr>
              <w:t>r</w:t>
            </w:r>
          </w:p>
        </w:tc>
        <w:tc>
          <w:tcPr>
            <w:tcW w:w="1100" w:type="dxa"/>
            <w:tcBorders>
              <w:top w:val="single" w:sz="4" w:space="0" w:color="000000"/>
              <w:bottom w:val="single" w:sz="4" w:space="0" w:color="000000"/>
            </w:tcBorders>
          </w:tcPr>
          <w:p w14:paraId="6DE59190" w14:textId="77777777" w:rsidR="00C75312" w:rsidRDefault="00BB293A">
            <w:pPr>
              <w:pStyle w:val="TableParagraph"/>
              <w:spacing w:before="39"/>
              <w:ind w:left="114" w:right="272"/>
              <w:jc w:val="center"/>
              <w:rPr>
                <w:b/>
              </w:rPr>
            </w:pPr>
            <w:r>
              <w:rPr>
                <w:b/>
              </w:rPr>
              <w:t>Fisher-</w:t>
            </w:r>
          </w:p>
          <w:p w14:paraId="1B0E2306" w14:textId="77777777" w:rsidR="00C75312" w:rsidRDefault="00BB293A">
            <w:pPr>
              <w:pStyle w:val="TableParagraph"/>
              <w:spacing w:before="21"/>
              <w:ind w:right="160"/>
              <w:jc w:val="center"/>
              <w:rPr>
                <w:b/>
                <w:i/>
              </w:rPr>
            </w:pPr>
            <w:r>
              <w:rPr>
                <w:b/>
                <w:i/>
              </w:rPr>
              <w:t>z</w:t>
            </w:r>
          </w:p>
        </w:tc>
        <w:tc>
          <w:tcPr>
            <w:tcW w:w="1259" w:type="dxa"/>
            <w:tcBorders>
              <w:top w:val="single" w:sz="4" w:space="0" w:color="000000"/>
              <w:bottom w:val="single" w:sz="4" w:space="0" w:color="000000"/>
            </w:tcBorders>
          </w:tcPr>
          <w:p w14:paraId="08624B44" w14:textId="77777777" w:rsidR="00C75312" w:rsidRDefault="00BB293A">
            <w:pPr>
              <w:pStyle w:val="TableParagraph"/>
              <w:spacing w:before="39"/>
              <w:ind w:right="171"/>
              <w:jc w:val="center"/>
              <w:rPr>
                <w:b/>
                <w:i/>
              </w:rPr>
            </w:pPr>
            <w:r>
              <w:rPr>
                <w:b/>
                <w:i/>
              </w:rPr>
              <w:t>p</w:t>
            </w:r>
          </w:p>
        </w:tc>
      </w:tr>
      <w:tr w:rsidR="00C75312" w14:paraId="007C00CE" w14:textId="77777777">
        <w:trPr>
          <w:trHeight w:val="354"/>
        </w:trPr>
        <w:tc>
          <w:tcPr>
            <w:tcW w:w="4172" w:type="dxa"/>
            <w:tcBorders>
              <w:top w:val="single" w:sz="4" w:space="0" w:color="000000"/>
              <w:bottom w:val="single" w:sz="4" w:space="0" w:color="000000"/>
            </w:tcBorders>
          </w:tcPr>
          <w:p w14:paraId="721C20A6" w14:textId="77777777" w:rsidR="00C75312" w:rsidRDefault="00BB293A">
            <w:pPr>
              <w:pStyle w:val="TableParagraph"/>
              <w:spacing w:before="39"/>
              <w:ind w:left="134"/>
              <w:rPr>
                <w:i/>
              </w:rPr>
            </w:pPr>
            <w:r>
              <w:rPr>
                <w:i/>
              </w:rPr>
              <w:t>PM - interoceptive accuracy (IA)</w:t>
            </w:r>
          </w:p>
        </w:tc>
        <w:tc>
          <w:tcPr>
            <w:tcW w:w="1357" w:type="dxa"/>
            <w:tcBorders>
              <w:top w:val="single" w:sz="4" w:space="0" w:color="000000"/>
              <w:bottom w:val="single" w:sz="4" w:space="0" w:color="000000"/>
            </w:tcBorders>
          </w:tcPr>
          <w:p w14:paraId="3C1D8048" w14:textId="77777777" w:rsidR="00C75312" w:rsidRDefault="00C75312">
            <w:pPr>
              <w:pStyle w:val="TableParagraph"/>
              <w:rPr>
                <w:sz w:val="20"/>
              </w:rPr>
            </w:pPr>
          </w:p>
        </w:tc>
        <w:tc>
          <w:tcPr>
            <w:tcW w:w="1298" w:type="dxa"/>
            <w:tcBorders>
              <w:top w:val="single" w:sz="4" w:space="0" w:color="000000"/>
              <w:bottom w:val="single" w:sz="4" w:space="0" w:color="000000"/>
            </w:tcBorders>
          </w:tcPr>
          <w:p w14:paraId="52CF2D49" w14:textId="77777777" w:rsidR="00C75312" w:rsidRDefault="00C75312">
            <w:pPr>
              <w:pStyle w:val="TableParagraph"/>
              <w:rPr>
                <w:sz w:val="20"/>
              </w:rPr>
            </w:pPr>
          </w:p>
        </w:tc>
        <w:tc>
          <w:tcPr>
            <w:tcW w:w="1100" w:type="dxa"/>
            <w:tcBorders>
              <w:top w:val="single" w:sz="4" w:space="0" w:color="000000"/>
              <w:bottom w:val="single" w:sz="4" w:space="0" w:color="000000"/>
            </w:tcBorders>
          </w:tcPr>
          <w:p w14:paraId="71092F45" w14:textId="77777777" w:rsidR="00C75312" w:rsidRDefault="00C75312">
            <w:pPr>
              <w:pStyle w:val="TableParagraph"/>
              <w:rPr>
                <w:sz w:val="20"/>
              </w:rPr>
            </w:pPr>
          </w:p>
        </w:tc>
        <w:tc>
          <w:tcPr>
            <w:tcW w:w="1259" w:type="dxa"/>
            <w:tcBorders>
              <w:top w:val="single" w:sz="4" w:space="0" w:color="000000"/>
              <w:bottom w:val="single" w:sz="4" w:space="0" w:color="000000"/>
            </w:tcBorders>
          </w:tcPr>
          <w:p w14:paraId="08675D89" w14:textId="77777777" w:rsidR="00C75312" w:rsidRDefault="00C75312">
            <w:pPr>
              <w:pStyle w:val="TableParagraph"/>
              <w:rPr>
                <w:sz w:val="20"/>
              </w:rPr>
            </w:pPr>
          </w:p>
        </w:tc>
      </w:tr>
      <w:tr w:rsidR="00C75312" w14:paraId="4981FD79" w14:textId="77777777">
        <w:trPr>
          <w:trHeight w:val="347"/>
        </w:trPr>
        <w:tc>
          <w:tcPr>
            <w:tcW w:w="4172" w:type="dxa"/>
            <w:tcBorders>
              <w:top w:val="single" w:sz="4" w:space="0" w:color="000000"/>
            </w:tcBorders>
          </w:tcPr>
          <w:p w14:paraId="30377C82" w14:textId="77777777" w:rsidR="00C75312" w:rsidRDefault="00BB293A">
            <w:pPr>
              <w:pStyle w:val="TableParagraph"/>
              <w:spacing w:before="39"/>
              <w:ind w:left="134"/>
            </w:pPr>
            <w:r>
              <w:t>Comparison A</w:t>
            </w:r>
          </w:p>
        </w:tc>
        <w:tc>
          <w:tcPr>
            <w:tcW w:w="1357" w:type="dxa"/>
            <w:tcBorders>
              <w:top w:val="single" w:sz="4" w:space="0" w:color="000000"/>
            </w:tcBorders>
          </w:tcPr>
          <w:p w14:paraId="5BB05E5E" w14:textId="77777777" w:rsidR="00C75312" w:rsidRDefault="00BB293A">
            <w:pPr>
              <w:pStyle w:val="TableParagraph"/>
              <w:spacing w:before="39"/>
              <w:ind w:right="418"/>
              <w:jc w:val="right"/>
            </w:pPr>
            <w:r>
              <w:t>0.29’</w:t>
            </w:r>
          </w:p>
        </w:tc>
        <w:tc>
          <w:tcPr>
            <w:tcW w:w="1298" w:type="dxa"/>
            <w:tcBorders>
              <w:top w:val="single" w:sz="4" w:space="0" w:color="000000"/>
            </w:tcBorders>
          </w:tcPr>
          <w:p w14:paraId="18212B02" w14:textId="77777777" w:rsidR="00C75312" w:rsidRDefault="00BB293A">
            <w:pPr>
              <w:pStyle w:val="TableParagraph"/>
              <w:spacing w:before="39"/>
              <w:ind w:left="118" w:right="114"/>
              <w:jc w:val="center"/>
            </w:pPr>
            <w:r>
              <w:t>0.26</w:t>
            </w:r>
          </w:p>
        </w:tc>
        <w:tc>
          <w:tcPr>
            <w:tcW w:w="1100" w:type="dxa"/>
            <w:tcBorders>
              <w:top w:val="single" w:sz="4" w:space="0" w:color="000000"/>
            </w:tcBorders>
          </w:tcPr>
          <w:p w14:paraId="4B7BA845" w14:textId="77777777" w:rsidR="00C75312" w:rsidRDefault="00BB293A">
            <w:pPr>
              <w:pStyle w:val="TableParagraph"/>
              <w:spacing w:before="39"/>
              <w:ind w:left="277"/>
            </w:pPr>
            <w:r>
              <w:t>0.11</w:t>
            </w:r>
          </w:p>
        </w:tc>
        <w:tc>
          <w:tcPr>
            <w:tcW w:w="1259" w:type="dxa"/>
            <w:tcBorders>
              <w:top w:val="single" w:sz="4" w:space="0" w:color="000000"/>
            </w:tcBorders>
          </w:tcPr>
          <w:p w14:paraId="61F32FEA" w14:textId="77777777" w:rsidR="00C75312" w:rsidRDefault="00BB293A">
            <w:pPr>
              <w:pStyle w:val="TableParagraph"/>
              <w:spacing w:before="39"/>
              <w:ind w:left="275" w:right="446"/>
              <w:jc w:val="center"/>
            </w:pPr>
            <w:r>
              <w:t>0.91</w:t>
            </w:r>
          </w:p>
        </w:tc>
      </w:tr>
      <w:tr w:rsidR="00C75312" w14:paraId="4C60CB8E" w14:textId="77777777">
        <w:trPr>
          <w:trHeight w:val="357"/>
        </w:trPr>
        <w:tc>
          <w:tcPr>
            <w:tcW w:w="4172" w:type="dxa"/>
            <w:tcBorders>
              <w:bottom w:val="single" w:sz="4" w:space="0" w:color="000000"/>
            </w:tcBorders>
          </w:tcPr>
          <w:p w14:paraId="1AE5E027" w14:textId="77777777" w:rsidR="00C75312" w:rsidRDefault="00BB293A">
            <w:pPr>
              <w:pStyle w:val="TableParagraph"/>
              <w:spacing w:before="46"/>
              <w:ind w:left="134"/>
            </w:pPr>
            <w:r>
              <w:t>Comparison B</w:t>
            </w:r>
          </w:p>
        </w:tc>
        <w:tc>
          <w:tcPr>
            <w:tcW w:w="1357" w:type="dxa"/>
            <w:tcBorders>
              <w:bottom w:val="single" w:sz="4" w:space="0" w:color="000000"/>
            </w:tcBorders>
          </w:tcPr>
          <w:p w14:paraId="7FD4FFCC" w14:textId="77777777" w:rsidR="00C75312" w:rsidRDefault="00BB293A">
            <w:pPr>
              <w:pStyle w:val="TableParagraph"/>
              <w:spacing w:before="46"/>
              <w:ind w:right="458"/>
              <w:jc w:val="right"/>
            </w:pPr>
            <w:r>
              <w:t>0.03</w:t>
            </w:r>
          </w:p>
        </w:tc>
        <w:tc>
          <w:tcPr>
            <w:tcW w:w="1298" w:type="dxa"/>
            <w:tcBorders>
              <w:bottom w:val="single" w:sz="4" w:space="0" w:color="000000"/>
            </w:tcBorders>
          </w:tcPr>
          <w:p w14:paraId="296627D4" w14:textId="77777777" w:rsidR="00C75312" w:rsidRDefault="00BB293A">
            <w:pPr>
              <w:pStyle w:val="TableParagraph"/>
              <w:spacing w:before="46"/>
              <w:ind w:left="118" w:right="114"/>
              <w:jc w:val="center"/>
            </w:pPr>
            <w:r>
              <w:t>0.26</w:t>
            </w:r>
          </w:p>
        </w:tc>
        <w:tc>
          <w:tcPr>
            <w:tcW w:w="1100" w:type="dxa"/>
            <w:tcBorders>
              <w:bottom w:val="single" w:sz="4" w:space="0" w:color="000000"/>
            </w:tcBorders>
          </w:tcPr>
          <w:p w14:paraId="4F12A716" w14:textId="77777777" w:rsidR="00C75312" w:rsidRDefault="00BB293A">
            <w:pPr>
              <w:pStyle w:val="TableParagraph"/>
              <w:spacing w:before="46"/>
              <w:ind w:left="238"/>
            </w:pPr>
            <w:r>
              <w:t>-0.83</w:t>
            </w:r>
          </w:p>
        </w:tc>
        <w:tc>
          <w:tcPr>
            <w:tcW w:w="1259" w:type="dxa"/>
            <w:tcBorders>
              <w:bottom w:val="single" w:sz="4" w:space="0" w:color="000000"/>
            </w:tcBorders>
          </w:tcPr>
          <w:p w14:paraId="19A0E43E" w14:textId="77777777" w:rsidR="00C75312" w:rsidRDefault="00BB293A">
            <w:pPr>
              <w:pStyle w:val="TableParagraph"/>
              <w:spacing w:before="46"/>
              <w:ind w:left="275" w:right="446"/>
              <w:jc w:val="center"/>
            </w:pPr>
            <w:r>
              <w:t>0.41</w:t>
            </w:r>
          </w:p>
        </w:tc>
      </w:tr>
      <w:tr w:rsidR="00C75312" w14:paraId="697EB0B0" w14:textId="77777777">
        <w:trPr>
          <w:trHeight w:val="354"/>
        </w:trPr>
        <w:tc>
          <w:tcPr>
            <w:tcW w:w="4172" w:type="dxa"/>
            <w:tcBorders>
              <w:top w:val="single" w:sz="4" w:space="0" w:color="000000"/>
              <w:bottom w:val="single" w:sz="4" w:space="0" w:color="000000"/>
            </w:tcBorders>
          </w:tcPr>
          <w:p w14:paraId="386DE6CB" w14:textId="77777777" w:rsidR="00C75312" w:rsidRDefault="00BB293A">
            <w:pPr>
              <w:pStyle w:val="TableParagraph"/>
              <w:spacing w:before="38"/>
              <w:ind w:left="134"/>
            </w:pPr>
            <w:r>
              <w:rPr>
                <w:i/>
                <w:position w:val="2"/>
              </w:rPr>
              <w:t>PM - autism traits(</w:t>
            </w:r>
            <w:proofErr w:type="spellStart"/>
            <w:r>
              <w:rPr>
                <w:position w:val="2"/>
              </w:rPr>
              <w:t>AQ</w:t>
            </w:r>
            <w:r>
              <w:rPr>
                <w:position w:val="2"/>
                <w:vertAlign w:val="subscript"/>
              </w:rPr>
              <w:t>traits</w:t>
            </w:r>
            <w:proofErr w:type="spellEnd"/>
            <w:r>
              <w:rPr>
                <w:position w:val="2"/>
                <w:vertAlign w:val="subscript"/>
              </w:rPr>
              <w:t>)</w:t>
            </w:r>
          </w:p>
        </w:tc>
        <w:tc>
          <w:tcPr>
            <w:tcW w:w="1357" w:type="dxa"/>
            <w:tcBorders>
              <w:top w:val="single" w:sz="4" w:space="0" w:color="000000"/>
              <w:bottom w:val="single" w:sz="4" w:space="0" w:color="000000"/>
            </w:tcBorders>
          </w:tcPr>
          <w:p w14:paraId="6B3BDC46" w14:textId="77777777" w:rsidR="00C75312" w:rsidRDefault="00C75312">
            <w:pPr>
              <w:pStyle w:val="TableParagraph"/>
              <w:rPr>
                <w:sz w:val="20"/>
              </w:rPr>
            </w:pPr>
          </w:p>
        </w:tc>
        <w:tc>
          <w:tcPr>
            <w:tcW w:w="1298" w:type="dxa"/>
            <w:tcBorders>
              <w:top w:val="single" w:sz="4" w:space="0" w:color="000000"/>
              <w:bottom w:val="single" w:sz="4" w:space="0" w:color="000000"/>
            </w:tcBorders>
          </w:tcPr>
          <w:p w14:paraId="727E6429" w14:textId="77777777" w:rsidR="00C75312" w:rsidRDefault="00C75312">
            <w:pPr>
              <w:pStyle w:val="TableParagraph"/>
              <w:rPr>
                <w:sz w:val="20"/>
              </w:rPr>
            </w:pPr>
          </w:p>
        </w:tc>
        <w:tc>
          <w:tcPr>
            <w:tcW w:w="1100" w:type="dxa"/>
            <w:tcBorders>
              <w:top w:val="single" w:sz="4" w:space="0" w:color="000000"/>
              <w:bottom w:val="single" w:sz="4" w:space="0" w:color="000000"/>
            </w:tcBorders>
          </w:tcPr>
          <w:p w14:paraId="75D5671C" w14:textId="77777777" w:rsidR="00C75312" w:rsidRDefault="00C75312">
            <w:pPr>
              <w:pStyle w:val="TableParagraph"/>
              <w:rPr>
                <w:sz w:val="20"/>
              </w:rPr>
            </w:pPr>
          </w:p>
        </w:tc>
        <w:tc>
          <w:tcPr>
            <w:tcW w:w="1259" w:type="dxa"/>
            <w:tcBorders>
              <w:top w:val="single" w:sz="4" w:space="0" w:color="000000"/>
              <w:bottom w:val="single" w:sz="4" w:space="0" w:color="000000"/>
            </w:tcBorders>
          </w:tcPr>
          <w:p w14:paraId="16E1A4DF" w14:textId="77777777" w:rsidR="00C75312" w:rsidRDefault="00C75312">
            <w:pPr>
              <w:pStyle w:val="TableParagraph"/>
              <w:rPr>
                <w:sz w:val="20"/>
              </w:rPr>
            </w:pPr>
          </w:p>
        </w:tc>
      </w:tr>
      <w:tr w:rsidR="00C75312" w14:paraId="373702BF" w14:textId="77777777">
        <w:trPr>
          <w:trHeight w:val="345"/>
        </w:trPr>
        <w:tc>
          <w:tcPr>
            <w:tcW w:w="4172" w:type="dxa"/>
            <w:tcBorders>
              <w:top w:val="single" w:sz="4" w:space="0" w:color="000000"/>
            </w:tcBorders>
          </w:tcPr>
          <w:p w14:paraId="3C4D3A30" w14:textId="77777777" w:rsidR="00C75312" w:rsidRDefault="00BB293A">
            <w:pPr>
              <w:pStyle w:val="TableParagraph"/>
              <w:spacing w:before="39"/>
              <w:ind w:left="134"/>
            </w:pPr>
            <w:r>
              <w:t>Comparison A</w:t>
            </w:r>
          </w:p>
        </w:tc>
        <w:tc>
          <w:tcPr>
            <w:tcW w:w="1357" w:type="dxa"/>
            <w:tcBorders>
              <w:top w:val="single" w:sz="4" w:space="0" w:color="000000"/>
            </w:tcBorders>
          </w:tcPr>
          <w:p w14:paraId="79BE0CA4" w14:textId="77777777" w:rsidR="00C75312" w:rsidRDefault="00BB293A">
            <w:pPr>
              <w:pStyle w:val="TableParagraph"/>
              <w:spacing w:before="39"/>
              <w:ind w:right="419"/>
              <w:jc w:val="right"/>
            </w:pPr>
            <w:r>
              <w:t>-0.63</w:t>
            </w:r>
          </w:p>
        </w:tc>
        <w:tc>
          <w:tcPr>
            <w:tcW w:w="1298" w:type="dxa"/>
            <w:tcBorders>
              <w:top w:val="single" w:sz="4" w:space="0" w:color="000000"/>
            </w:tcBorders>
          </w:tcPr>
          <w:p w14:paraId="0AF7DB2E" w14:textId="77777777" w:rsidR="00C75312" w:rsidRDefault="00BB293A">
            <w:pPr>
              <w:pStyle w:val="TableParagraph"/>
              <w:spacing w:before="39"/>
              <w:ind w:left="122" w:right="114"/>
              <w:jc w:val="center"/>
            </w:pPr>
            <w:r>
              <w:t>-0.09</w:t>
            </w:r>
          </w:p>
        </w:tc>
        <w:tc>
          <w:tcPr>
            <w:tcW w:w="1100" w:type="dxa"/>
            <w:tcBorders>
              <w:top w:val="single" w:sz="4" w:space="0" w:color="000000"/>
            </w:tcBorders>
          </w:tcPr>
          <w:p w14:paraId="61A020E4" w14:textId="77777777" w:rsidR="00C75312" w:rsidRDefault="00BB293A">
            <w:pPr>
              <w:pStyle w:val="TableParagraph"/>
              <w:spacing w:before="39"/>
              <w:ind w:left="238"/>
            </w:pPr>
            <w:r>
              <w:t>-2.28</w:t>
            </w:r>
          </w:p>
        </w:tc>
        <w:tc>
          <w:tcPr>
            <w:tcW w:w="1259" w:type="dxa"/>
            <w:tcBorders>
              <w:top w:val="single" w:sz="4" w:space="0" w:color="000000"/>
            </w:tcBorders>
          </w:tcPr>
          <w:p w14:paraId="571AB8F9" w14:textId="77777777" w:rsidR="00C75312" w:rsidRDefault="00BB293A">
            <w:pPr>
              <w:pStyle w:val="TableParagraph"/>
              <w:spacing w:before="39"/>
              <w:ind w:left="278" w:right="446"/>
              <w:jc w:val="center"/>
            </w:pPr>
            <w:r>
              <w:t>0.02*</w:t>
            </w:r>
          </w:p>
        </w:tc>
      </w:tr>
      <w:tr w:rsidR="00C75312" w14:paraId="660B6276" w14:textId="77777777">
        <w:trPr>
          <w:trHeight w:val="359"/>
        </w:trPr>
        <w:tc>
          <w:tcPr>
            <w:tcW w:w="4172" w:type="dxa"/>
            <w:tcBorders>
              <w:bottom w:val="single" w:sz="4" w:space="0" w:color="000000"/>
            </w:tcBorders>
          </w:tcPr>
          <w:p w14:paraId="54712E81" w14:textId="77777777" w:rsidR="00C75312" w:rsidRDefault="00BB293A">
            <w:pPr>
              <w:pStyle w:val="TableParagraph"/>
              <w:spacing w:before="44"/>
              <w:ind w:left="134"/>
            </w:pPr>
            <w:r>
              <w:t>Comparison B</w:t>
            </w:r>
          </w:p>
        </w:tc>
        <w:tc>
          <w:tcPr>
            <w:tcW w:w="1357" w:type="dxa"/>
            <w:tcBorders>
              <w:bottom w:val="single" w:sz="4" w:space="0" w:color="000000"/>
            </w:tcBorders>
          </w:tcPr>
          <w:p w14:paraId="1511F1E5" w14:textId="77777777" w:rsidR="00C75312" w:rsidRDefault="00BB293A">
            <w:pPr>
              <w:pStyle w:val="TableParagraph"/>
              <w:spacing w:before="44"/>
              <w:ind w:right="419"/>
              <w:jc w:val="right"/>
            </w:pPr>
            <w:r>
              <w:t>-0.09</w:t>
            </w:r>
          </w:p>
        </w:tc>
        <w:tc>
          <w:tcPr>
            <w:tcW w:w="1298" w:type="dxa"/>
            <w:tcBorders>
              <w:bottom w:val="single" w:sz="4" w:space="0" w:color="000000"/>
            </w:tcBorders>
          </w:tcPr>
          <w:p w14:paraId="6C79884C" w14:textId="77777777" w:rsidR="00C75312" w:rsidRDefault="00BB293A">
            <w:pPr>
              <w:pStyle w:val="TableParagraph"/>
              <w:spacing w:before="44"/>
              <w:ind w:left="122" w:right="114"/>
              <w:jc w:val="center"/>
            </w:pPr>
            <w:r>
              <w:t>-0.09</w:t>
            </w:r>
          </w:p>
        </w:tc>
        <w:tc>
          <w:tcPr>
            <w:tcW w:w="1100" w:type="dxa"/>
            <w:tcBorders>
              <w:bottom w:val="single" w:sz="4" w:space="0" w:color="000000"/>
            </w:tcBorders>
          </w:tcPr>
          <w:p w14:paraId="0D6ECEF6" w14:textId="77777777" w:rsidR="00C75312" w:rsidRDefault="00BB293A">
            <w:pPr>
              <w:pStyle w:val="TableParagraph"/>
              <w:spacing w:before="44"/>
              <w:ind w:left="277"/>
            </w:pPr>
            <w:r>
              <w:t>0.00</w:t>
            </w:r>
          </w:p>
        </w:tc>
        <w:tc>
          <w:tcPr>
            <w:tcW w:w="1259" w:type="dxa"/>
            <w:tcBorders>
              <w:bottom w:val="single" w:sz="4" w:space="0" w:color="000000"/>
            </w:tcBorders>
          </w:tcPr>
          <w:p w14:paraId="6F0676E0" w14:textId="77777777" w:rsidR="00C75312" w:rsidRDefault="00BB293A">
            <w:pPr>
              <w:pStyle w:val="TableParagraph"/>
              <w:spacing w:before="44"/>
              <w:ind w:left="275" w:right="446"/>
              <w:jc w:val="center"/>
            </w:pPr>
            <w:r>
              <w:t>1.00</w:t>
            </w:r>
          </w:p>
        </w:tc>
      </w:tr>
      <w:tr w:rsidR="00C75312" w14:paraId="324DD2AB" w14:textId="77777777">
        <w:trPr>
          <w:trHeight w:val="354"/>
        </w:trPr>
        <w:tc>
          <w:tcPr>
            <w:tcW w:w="4172" w:type="dxa"/>
            <w:tcBorders>
              <w:top w:val="single" w:sz="4" w:space="0" w:color="000000"/>
              <w:bottom w:val="single" w:sz="4" w:space="0" w:color="000000"/>
            </w:tcBorders>
          </w:tcPr>
          <w:p w14:paraId="5DCD4911" w14:textId="77777777" w:rsidR="00C75312" w:rsidRDefault="00BB293A">
            <w:pPr>
              <w:pStyle w:val="TableParagraph"/>
              <w:spacing w:before="38"/>
              <w:ind w:left="134"/>
            </w:pPr>
            <w:r>
              <w:rPr>
                <w:i/>
                <w:position w:val="2"/>
              </w:rPr>
              <w:t>PM - alexithymia traits (</w:t>
            </w:r>
            <w:proofErr w:type="spellStart"/>
            <w:r>
              <w:rPr>
                <w:position w:val="2"/>
              </w:rPr>
              <w:t>TAS</w:t>
            </w:r>
            <w:r>
              <w:rPr>
                <w:position w:val="2"/>
                <w:vertAlign w:val="subscript"/>
              </w:rPr>
              <w:t>traits</w:t>
            </w:r>
            <w:proofErr w:type="spellEnd"/>
            <w:r>
              <w:rPr>
                <w:position w:val="2"/>
              </w:rPr>
              <w:t>)</w:t>
            </w:r>
          </w:p>
        </w:tc>
        <w:tc>
          <w:tcPr>
            <w:tcW w:w="1357" w:type="dxa"/>
            <w:tcBorders>
              <w:top w:val="single" w:sz="4" w:space="0" w:color="000000"/>
              <w:bottom w:val="single" w:sz="4" w:space="0" w:color="000000"/>
            </w:tcBorders>
          </w:tcPr>
          <w:p w14:paraId="27790936" w14:textId="77777777" w:rsidR="00C75312" w:rsidRDefault="00C75312">
            <w:pPr>
              <w:pStyle w:val="TableParagraph"/>
              <w:rPr>
                <w:sz w:val="20"/>
              </w:rPr>
            </w:pPr>
          </w:p>
        </w:tc>
        <w:tc>
          <w:tcPr>
            <w:tcW w:w="1298" w:type="dxa"/>
            <w:tcBorders>
              <w:top w:val="single" w:sz="4" w:space="0" w:color="000000"/>
              <w:bottom w:val="single" w:sz="4" w:space="0" w:color="000000"/>
            </w:tcBorders>
          </w:tcPr>
          <w:p w14:paraId="69633601" w14:textId="77777777" w:rsidR="00C75312" w:rsidRDefault="00C75312">
            <w:pPr>
              <w:pStyle w:val="TableParagraph"/>
              <w:rPr>
                <w:sz w:val="20"/>
              </w:rPr>
            </w:pPr>
          </w:p>
        </w:tc>
        <w:tc>
          <w:tcPr>
            <w:tcW w:w="1100" w:type="dxa"/>
            <w:tcBorders>
              <w:top w:val="single" w:sz="4" w:space="0" w:color="000000"/>
              <w:bottom w:val="single" w:sz="4" w:space="0" w:color="000000"/>
            </w:tcBorders>
          </w:tcPr>
          <w:p w14:paraId="1E1BB8F4" w14:textId="77777777" w:rsidR="00C75312" w:rsidRDefault="00C75312">
            <w:pPr>
              <w:pStyle w:val="TableParagraph"/>
              <w:rPr>
                <w:sz w:val="20"/>
              </w:rPr>
            </w:pPr>
          </w:p>
        </w:tc>
        <w:tc>
          <w:tcPr>
            <w:tcW w:w="1259" w:type="dxa"/>
            <w:tcBorders>
              <w:top w:val="single" w:sz="4" w:space="0" w:color="000000"/>
              <w:bottom w:val="single" w:sz="4" w:space="0" w:color="000000"/>
            </w:tcBorders>
          </w:tcPr>
          <w:p w14:paraId="28933465" w14:textId="77777777" w:rsidR="00C75312" w:rsidRDefault="00C75312">
            <w:pPr>
              <w:pStyle w:val="TableParagraph"/>
              <w:rPr>
                <w:sz w:val="20"/>
              </w:rPr>
            </w:pPr>
          </w:p>
        </w:tc>
      </w:tr>
      <w:tr w:rsidR="00C75312" w14:paraId="708598F3" w14:textId="77777777">
        <w:trPr>
          <w:trHeight w:val="345"/>
        </w:trPr>
        <w:tc>
          <w:tcPr>
            <w:tcW w:w="4172" w:type="dxa"/>
            <w:tcBorders>
              <w:top w:val="single" w:sz="4" w:space="0" w:color="000000"/>
            </w:tcBorders>
          </w:tcPr>
          <w:p w14:paraId="6E97CB00" w14:textId="77777777" w:rsidR="00C75312" w:rsidRDefault="00BB293A">
            <w:pPr>
              <w:pStyle w:val="TableParagraph"/>
              <w:spacing w:before="39"/>
              <w:ind w:left="134"/>
            </w:pPr>
            <w:r>
              <w:t>Comparison A</w:t>
            </w:r>
          </w:p>
        </w:tc>
        <w:tc>
          <w:tcPr>
            <w:tcW w:w="1357" w:type="dxa"/>
            <w:tcBorders>
              <w:top w:val="single" w:sz="4" w:space="0" w:color="000000"/>
            </w:tcBorders>
          </w:tcPr>
          <w:p w14:paraId="5053B9E2" w14:textId="77777777" w:rsidR="00C75312" w:rsidRDefault="00BB293A">
            <w:pPr>
              <w:pStyle w:val="TableParagraph"/>
              <w:spacing w:before="39"/>
              <w:ind w:right="419"/>
              <w:jc w:val="right"/>
            </w:pPr>
            <w:r>
              <w:t>-0.36</w:t>
            </w:r>
          </w:p>
        </w:tc>
        <w:tc>
          <w:tcPr>
            <w:tcW w:w="1298" w:type="dxa"/>
            <w:tcBorders>
              <w:top w:val="single" w:sz="4" w:space="0" w:color="000000"/>
            </w:tcBorders>
          </w:tcPr>
          <w:p w14:paraId="370EE8BF" w14:textId="77777777" w:rsidR="00C75312" w:rsidRDefault="00BB293A">
            <w:pPr>
              <w:pStyle w:val="TableParagraph"/>
              <w:spacing w:before="39"/>
              <w:ind w:left="118" w:right="114"/>
              <w:jc w:val="center"/>
            </w:pPr>
            <w:r>
              <w:t>-0.1</w:t>
            </w:r>
          </w:p>
        </w:tc>
        <w:tc>
          <w:tcPr>
            <w:tcW w:w="1100" w:type="dxa"/>
            <w:tcBorders>
              <w:top w:val="single" w:sz="4" w:space="0" w:color="000000"/>
            </w:tcBorders>
          </w:tcPr>
          <w:p w14:paraId="5203B277" w14:textId="77777777" w:rsidR="00C75312" w:rsidRDefault="00BB293A">
            <w:pPr>
              <w:pStyle w:val="TableParagraph"/>
              <w:spacing w:before="39"/>
              <w:ind w:left="238"/>
            </w:pPr>
            <w:r>
              <w:t>-0.97</w:t>
            </w:r>
          </w:p>
        </w:tc>
        <w:tc>
          <w:tcPr>
            <w:tcW w:w="1259" w:type="dxa"/>
            <w:tcBorders>
              <w:top w:val="single" w:sz="4" w:space="0" w:color="000000"/>
            </w:tcBorders>
          </w:tcPr>
          <w:p w14:paraId="72E25937" w14:textId="77777777" w:rsidR="00C75312" w:rsidRDefault="00BB293A">
            <w:pPr>
              <w:pStyle w:val="TableParagraph"/>
              <w:spacing w:before="39"/>
              <w:ind w:left="275" w:right="446"/>
              <w:jc w:val="center"/>
            </w:pPr>
            <w:r>
              <w:t>0.33</w:t>
            </w:r>
          </w:p>
        </w:tc>
      </w:tr>
      <w:tr w:rsidR="00C75312" w14:paraId="27BE3B19" w14:textId="77777777">
        <w:trPr>
          <w:trHeight w:val="359"/>
        </w:trPr>
        <w:tc>
          <w:tcPr>
            <w:tcW w:w="4172" w:type="dxa"/>
            <w:tcBorders>
              <w:bottom w:val="single" w:sz="4" w:space="0" w:color="000000"/>
            </w:tcBorders>
          </w:tcPr>
          <w:p w14:paraId="504999CA" w14:textId="77777777" w:rsidR="00C75312" w:rsidRDefault="00BB293A">
            <w:pPr>
              <w:pStyle w:val="TableParagraph"/>
              <w:spacing w:before="44"/>
              <w:ind w:left="134"/>
            </w:pPr>
            <w:r>
              <w:t>Comparison B</w:t>
            </w:r>
          </w:p>
        </w:tc>
        <w:tc>
          <w:tcPr>
            <w:tcW w:w="1357" w:type="dxa"/>
            <w:tcBorders>
              <w:bottom w:val="single" w:sz="4" w:space="0" w:color="000000"/>
            </w:tcBorders>
          </w:tcPr>
          <w:p w14:paraId="329DA96F" w14:textId="77777777" w:rsidR="00C75312" w:rsidRDefault="00BB293A">
            <w:pPr>
              <w:pStyle w:val="TableParagraph"/>
              <w:spacing w:before="44"/>
              <w:ind w:right="419"/>
              <w:jc w:val="right"/>
            </w:pPr>
            <w:r>
              <w:t>-0.19</w:t>
            </w:r>
          </w:p>
        </w:tc>
        <w:tc>
          <w:tcPr>
            <w:tcW w:w="1298" w:type="dxa"/>
            <w:tcBorders>
              <w:bottom w:val="single" w:sz="4" w:space="0" w:color="000000"/>
            </w:tcBorders>
          </w:tcPr>
          <w:p w14:paraId="6579D300" w14:textId="77777777" w:rsidR="00C75312" w:rsidRDefault="00BB293A">
            <w:pPr>
              <w:pStyle w:val="TableParagraph"/>
              <w:spacing w:before="44"/>
              <w:ind w:left="118" w:right="114"/>
              <w:jc w:val="center"/>
            </w:pPr>
            <w:r>
              <w:t>-0.1</w:t>
            </w:r>
          </w:p>
        </w:tc>
        <w:tc>
          <w:tcPr>
            <w:tcW w:w="1100" w:type="dxa"/>
            <w:tcBorders>
              <w:bottom w:val="single" w:sz="4" w:space="0" w:color="000000"/>
            </w:tcBorders>
          </w:tcPr>
          <w:p w14:paraId="0DA09260" w14:textId="77777777" w:rsidR="00C75312" w:rsidRDefault="00BB293A">
            <w:pPr>
              <w:pStyle w:val="TableParagraph"/>
              <w:spacing w:before="44"/>
              <w:ind w:left="277"/>
            </w:pPr>
            <w:r>
              <w:t>0.04</w:t>
            </w:r>
          </w:p>
        </w:tc>
        <w:tc>
          <w:tcPr>
            <w:tcW w:w="1259" w:type="dxa"/>
            <w:tcBorders>
              <w:bottom w:val="single" w:sz="4" w:space="0" w:color="000000"/>
            </w:tcBorders>
          </w:tcPr>
          <w:p w14:paraId="641C2B83" w14:textId="77777777" w:rsidR="00C75312" w:rsidRDefault="00BB293A">
            <w:pPr>
              <w:pStyle w:val="TableParagraph"/>
              <w:spacing w:before="44"/>
              <w:ind w:left="275" w:right="446"/>
              <w:jc w:val="center"/>
            </w:pPr>
            <w:r>
              <w:t>0.97</w:t>
            </w:r>
          </w:p>
        </w:tc>
      </w:tr>
      <w:tr w:rsidR="00C75312" w14:paraId="055A4056" w14:textId="77777777">
        <w:trPr>
          <w:trHeight w:val="350"/>
        </w:trPr>
        <w:tc>
          <w:tcPr>
            <w:tcW w:w="4172" w:type="dxa"/>
            <w:tcBorders>
              <w:top w:val="single" w:sz="4" w:space="0" w:color="000000"/>
              <w:bottom w:val="single" w:sz="4" w:space="0" w:color="000000"/>
            </w:tcBorders>
          </w:tcPr>
          <w:p w14:paraId="47EE073F" w14:textId="77777777" w:rsidR="00C75312" w:rsidRDefault="00BB293A">
            <w:pPr>
              <w:pStyle w:val="TableParagraph"/>
              <w:spacing w:before="38"/>
              <w:ind w:left="134"/>
              <w:rPr>
                <w:i/>
              </w:rPr>
            </w:pPr>
            <w:r>
              <w:rPr>
                <w:i/>
                <w:position w:val="2"/>
              </w:rPr>
              <w:t>PM - WCST perseverative errors (WCST</w:t>
            </w:r>
            <w:r>
              <w:rPr>
                <w:i/>
                <w:position w:val="2"/>
                <w:vertAlign w:val="subscript"/>
              </w:rPr>
              <w:t>PE</w:t>
            </w:r>
            <w:r>
              <w:rPr>
                <w:i/>
                <w:position w:val="2"/>
              </w:rPr>
              <w:t>)</w:t>
            </w:r>
          </w:p>
        </w:tc>
        <w:tc>
          <w:tcPr>
            <w:tcW w:w="1357" w:type="dxa"/>
            <w:tcBorders>
              <w:top w:val="single" w:sz="4" w:space="0" w:color="000000"/>
              <w:bottom w:val="single" w:sz="4" w:space="0" w:color="000000"/>
            </w:tcBorders>
          </w:tcPr>
          <w:p w14:paraId="1198DB93" w14:textId="77777777" w:rsidR="00C75312" w:rsidRDefault="00C75312">
            <w:pPr>
              <w:pStyle w:val="TableParagraph"/>
              <w:rPr>
                <w:sz w:val="20"/>
              </w:rPr>
            </w:pPr>
          </w:p>
        </w:tc>
        <w:tc>
          <w:tcPr>
            <w:tcW w:w="1298" w:type="dxa"/>
            <w:tcBorders>
              <w:top w:val="single" w:sz="4" w:space="0" w:color="000000"/>
              <w:bottom w:val="single" w:sz="4" w:space="0" w:color="000000"/>
            </w:tcBorders>
          </w:tcPr>
          <w:p w14:paraId="302C4828" w14:textId="77777777" w:rsidR="00C75312" w:rsidRDefault="00C75312">
            <w:pPr>
              <w:pStyle w:val="TableParagraph"/>
              <w:rPr>
                <w:sz w:val="20"/>
              </w:rPr>
            </w:pPr>
          </w:p>
        </w:tc>
        <w:tc>
          <w:tcPr>
            <w:tcW w:w="1100" w:type="dxa"/>
            <w:tcBorders>
              <w:top w:val="single" w:sz="4" w:space="0" w:color="000000"/>
              <w:bottom w:val="single" w:sz="4" w:space="0" w:color="000000"/>
            </w:tcBorders>
          </w:tcPr>
          <w:p w14:paraId="2DD8F163" w14:textId="77777777" w:rsidR="00C75312" w:rsidRDefault="00C75312">
            <w:pPr>
              <w:pStyle w:val="TableParagraph"/>
              <w:rPr>
                <w:sz w:val="20"/>
              </w:rPr>
            </w:pPr>
          </w:p>
        </w:tc>
        <w:tc>
          <w:tcPr>
            <w:tcW w:w="1259" w:type="dxa"/>
            <w:tcBorders>
              <w:top w:val="single" w:sz="4" w:space="0" w:color="000000"/>
              <w:bottom w:val="single" w:sz="4" w:space="0" w:color="000000"/>
            </w:tcBorders>
          </w:tcPr>
          <w:p w14:paraId="76B1280C" w14:textId="77777777" w:rsidR="00C75312" w:rsidRDefault="00C75312">
            <w:pPr>
              <w:pStyle w:val="TableParagraph"/>
              <w:rPr>
                <w:sz w:val="20"/>
              </w:rPr>
            </w:pPr>
          </w:p>
        </w:tc>
      </w:tr>
      <w:tr w:rsidR="00C75312" w14:paraId="3DADE383" w14:textId="77777777">
        <w:trPr>
          <w:trHeight w:val="347"/>
        </w:trPr>
        <w:tc>
          <w:tcPr>
            <w:tcW w:w="4172" w:type="dxa"/>
            <w:tcBorders>
              <w:top w:val="single" w:sz="4" w:space="0" w:color="000000"/>
            </w:tcBorders>
          </w:tcPr>
          <w:p w14:paraId="7262CCF9" w14:textId="77777777" w:rsidR="00C75312" w:rsidRDefault="00BB293A">
            <w:pPr>
              <w:pStyle w:val="TableParagraph"/>
              <w:spacing w:before="39"/>
              <w:ind w:left="134"/>
            </w:pPr>
            <w:r>
              <w:t>Comparison A</w:t>
            </w:r>
          </w:p>
        </w:tc>
        <w:tc>
          <w:tcPr>
            <w:tcW w:w="1357" w:type="dxa"/>
            <w:tcBorders>
              <w:top w:val="single" w:sz="4" w:space="0" w:color="000000"/>
            </w:tcBorders>
          </w:tcPr>
          <w:p w14:paraId="535E7354" w14:textId="77777777" w:rsidR="00C75312" w:rsidRDefault="00BB293A">
            <w:pPr>
              <w:pStyle w:val="TableParagraph"/>
              <w:spacing w:before="39"/>
              <w:ind w:right="419"/>
              <w:jc w:val="right"/>
            </w:pPr>
            <w:r>
              <w:t>-0.06</w:t>
            </w:r>
          </w:p>
        </w:tc>
        <w:tc>
          <w:tcPr>
            <w:tcW w:w="1298" w:type="dxa"/>
            <w:tcBorders>
              <w:top w:val="single" w:sz="4" w:space="0" w:color="000000"/>
            </w:tcBorders>
          </w:tcPr>
          <w:p w14:paraId="697B358E" w14:textId="77777777" w:rsidR="00C75312" w:rsidRDefault="00BB293A">
            <w:pPr>
              <w:pStyle w:val="TableParagraph"/>
              <w:spacing w:before="39"/>
              <w:ind w:left="118" w:right="114"/>
              <w:jc w:val="center"/>
            </w:pPr>
            <w:r>
              <w:t>-0.2</w:t>
            </w:r>
          </w:p>
        </w:tc>
        <w:tc>
          <w:tcPr>
            <w:tcW w:w="1100" w:type="dxa"/>
            <w:tcBorders>
              <w:top w:val="single" w:sz="4" w:space="0" w:color="000000"/>
            </w:tcBorders>
          </w:tcPr>
          <w:p w14:paraId="36C272D6" w14:textId="77777777" w:rsidR="00C75312" w:rsidRDefault="00BB293A">
            <w:pPr>
              <w:pStyle w:val="TableParagraph"/>
              <w:spacing w:before="39"/>
              <w:ind w:left="277"/>
            </w:pPr>
            <w:r>
              <w:t>0.50</w:t>
            </w:r>
          </w:p>
        </w:tc>
        <w:tc>
          <w:tcPr>
            <w:tcW w:w="1259" w:type="dxa"/>
            <w:tcBorders>
              <w:top w:val="single" w:sz="4" w:space="0" w:color="000000"/>
            </w:tcBorders>
          </w:tcPr>
          <w:p w14:paraId="5CBC44F2" w14:textId="77777777" w:rsidR="00C75312" w:rsidRDefault="00BB293A">
            <w:pPr>
              <w:pStyle w:val="TableParagraph"/>
              <w:spacing w:before="39"/>
              <w:ind w:left="275" w:right="446"/>
              <w:jc w:val="center"/>
            </w:pPr>
            <w:r>
              <w:t>0.62</w:t>
            </w:r>
          </w:p>
        </w:tc>
      </w:tr>
      <w:tr w:rsidR="00C75312" w14:paraId="11FAA298" w14:textId="77777777">
        <w:trPr>
          <w:trHeight w:val="362"/>
        </w:trPr>
        <w:tc>
          <w:tcPr>
            <w:tcW w:w="4172" w:type="dxa"/>
            <w:tcBorders>
              <w:bottom w:val="single" w:sz="4" w:space="0" w:color="000000"/>
            </w:tcBorders>
          </w:tcPr>
          <w:p w14:paraId="52FDEC22" w14:textId="77777777" w:rsidR="00C75312" w:rsidRDefault="00BB293A">
            <w:pPr>
              <w:pStyle w:val="TableParagraph"/>
              <w:spacing w:before="46"/>
              <w:ind w:left="134"/>
            </w:pPr>
            <w:r>
              <w:t>Comparison B</w:t>
            </w:r>
          </w:p>
        </w:tc>
        <w:tc>
          <w:tcPr>
            <w:tcW w:w="1357" w:type="dxa"/>
            <w:tcBorders>
              <w:bottom w:val="single" w:sz="4" w:space="0" w:color="000000"/>
            </w:tcBorders>
          </w:tcPr>
          <w:p w14:paraId="7258C27E" w14:textId="77777777" w:rsidR="00C75312" w:rsidRDefault="00BB293A">
            <w:pPr>
              <w:pStyle w:val="TableParagraph"/>
              <w:spacing w:before="46"/>
              <w:ind w:right="419"/>
              <w:jc w:val="right"/>
            </w:pPr>
            <w:r>
              <w:t>-0.38</w:t>
            </w:r>
          </w:p>
        </w:tc>
        <w:tc>
          <w:tcPr>
            <w:tcW w:w="1298" w:type="dxa"/>
            <w:tcBorders>
              <w:bottom w:val="single" w:sz="4" w:space="0" w:color="000000"/>
            </w:tcBorders>
          </w:tcPr>
          <w:p w14:paraId="522A5C6D" w14:textId="77777777" w:rsidR="00C75312" w:rsidRDefault="00BB293A">
            <w:pPr>
              <w:pStyle w:val="TableParagraph"/>
              <w:spacing w:before="46"/>
              <w:ind w:left="118" w:right="114"/>
              <w:jc w:val="center"/>
            </w:pPr>
            <w:r>
              <w:t>-0.2</w:t>
            </w:r>
          </w:p>
        </w:tc>
        <w:tc>
          <w:tcPr>
            <w:tcW w:w="1100" w:type="dxa"/>
            <w:tcBorders>
              <w:bottom w:val="single" w:sz="4" w:space="0" w:color="000000"/>
            </w:tcBorders>
          </w:tcPr>
          <w:p w14:paraId="3E2896CB" w14:textId="77777777" w:rsidR="00C75312" w:rsidRDefault="00BB293A">
            <w:pPr>
              <w:pStyle w:val="TableParagraph"/>
              <w:spacing w:before="46"/>
              <w:ind w:left="238"/>
            </w:pPr>
            <w:r>
              <w:t>-0.32</w:t>
            </w:r>
          </w:p>
        </w:tc>
        <w:tc>
          <w:tcPr>
            <w:tcW w:w="1259" w:type="dxa"/>
            <w:tcBorders>
              <w:bottom w:val="single" w:sz="4" w:space="0" w:color="000000"/>
            </w:tcBorders>
          </w:tcPr>
          <w:p w14:paraId="362DB161" w14:textId="77777777" w:rsidR="00C75312" w:rsidRDefault="00BB293A">
            <w:pPr>
              <w:pStyle w:val="TableParagraph"/>
              <w:spacing w:before="46"/>
              <w:ind w:left="275" w:right="446"/>
              <w:jc w:val="center"/>
            </w:pPr>
            <w:r>
              <w:t>0.75</w:t>
            </w:r>
          </w:p>
        </w:tc>
      </w:tr>
      <w:tr w:rsidR="00C75312" w14:paraId="7C2B5E8B" w14:textId="77777777">
        <w:trPr>
          <w:trHeight w:val="346"/>
        </w:trPr>
        <w:tc>
          <w:tcPr>
            <w:tcW w:w="4172" w:type="dxa"/>
            <w:tcBorders>
              <w:top w:val="single" w:sz="4" w:space="0" w:color="000000"/>
            </w:tcBorders>
          </w:tcPr>
          <w:p w14:paraId="573C5837" w14:textId="77777777" w:rsidR="00C75312" w:rsidRDefault="00BB293A">
            <w:pPr>
              <w:pStyle w:val="TableParagraph"/>
              <w:spacing w:before="38"/>
              <w:ind w:left="134"/>
              <w:rPr>
                <w:i/>
              </w:rPr>
            </w:pPr>
            <w:r>
              <w:rPr>
                <w:i/>
                <w:position w:val="2"/>
              </w:rPr>
              <w:t>AQ</w:t>
            </w:r>
            <w:r>
              <w:rPr>
                <w:i/>
                <w:sz w:val="14"/>
              </w:rPr>
              <w:t xml:space="preserve">traits </w:t>
            </w:r>
            <w:r>
              <w:rPr>
                <w:i/>
                <w:position w:val="2"/>
              </w:rPr>
              <w:t>- IA</w:t>
            </w:r>
          </w:p>
        </w:tc>
        <w:tc>
          <w:tcPr>
            <w:tcW w:w="1357" w:type="dxa"/>
            <w:tcBorders>
              <w:top w:val="single" w:sz="4" w:space="0" w:color="000000"/>
            </w:tcBorders>
          </w:tcPr>
          <w:p w14:paraId="41111C42" w14:textId="77777777" w:rsidR="00C75312" w:rsidRDefault="00BB293A">
            <w:pPr>
              <w:pStyle w:val="TableParagraph"/>
              <w:spacing w:before="39"/>
              <w:ind w:right="419"/>
              <w:jc w:val="right"/>
            </w:pPr>
            <w:r>
              <w:t>-0.02</w:t>
            </w:r>
          </w:p>
        </w:tc>
        <w:tc>
          <w:tcPr>
            <w:tcW w:w="1298" w:type="dxa"/>
            <w:tcBorders>
              <w:top w:val="single" w:sz="4" w:space="0" w:color="000000"/>
            </w:tcBorders>
          </w:tcPr>
          <w:p w14:paraId="4875E77E" w14:textId="77777777" w:rsidR="00C75312" w:rsidRDefault="00BB293A">
            <w:pPr>
              <w:pStyle w:val="TableParagraph"/>
              <w:spacing w:before="39"/>
              <w:ind w:left="118" w:right="114"/>
              <w:jc w:val="center"/>
            </w:pPr>
            <w:r>
              <w:t>0.14</w:t>
            </w:r>
          </w:p>
        </w:tc>
        <w:tc>
          <w:tcPr>
            <w:tcW w:w="1100" w:type="dxa"/>
            <w:tcBorders>
              <w:top w:val="single" w:sz="4" w:space="0" w:color="000000"/>
            </w:tcBorders>
          </w:tcPr>
          <w:p w14:paraId="6E3EAC9B" w14:textId="77777777" w:rsidR="00C75312" w:rsidRDefault="00BB293A">
            <w:pPr>
              <w:pStyle w:val="TableParagraph"/>
              <w:spacing w:before="39"/>
              <w:ind w:left="238"/>
            </w:pPr>
            <w:r>
              <w:t>-0.56</w:t>
            </w:r>
          </w:p>
        </w:tc>
        <w:tc>
          <w:tcPr>
            <w:tcW w:w="1259" w:type="dxa"/>
            <w:tcBorders>
              <w:top w:val="single" w:sz="4" w:space="0" w:color="000000"/>
            </w:tcBorders>
          </w:tcPr>
          <w:p w14:paraId="75709C5C" w14:textId="77777777" w:rsidR="00C75312" w:rsidRDefault="00BB293A">
            <w:pPr>
              <w:pStyle w:val="TableParagraph"/>
              <w:spacing w:before="39"/>
              <w:ind w:left="275" w:right="446"/>
              <w:jc w:val="center"/>
            </w:pPr>
            <w:r>
              <w:t>0.57</w:t>
            </w:r>
          </w:p>
        </w:tc>
      </w:tr>
      <w:tr w:rsidR="00C75312" w14:paraId="71D36F92" w14:textId="77777777">
        <w:trPr>
          <w:trHeight w:val="352"/>
        </w:trPr>
        <w:tc>
          <w:tcPr>
            <w:tcW w:w="4172" w:type="dxa"/>
          </w:tcPr>
          <w:p w14:paraId="26D6F4B5" w14:textId="77777777" w:rsidR="00C75312" w:rsidRDefault="00BB293A">
            <w:pPr>
              <w:pStyle w:val="TableParagraph"/>
              <w:spacing w:before="42"/>
              <w:ind w:left="134"/>
              <w:rPr>
                <w:i/>
                <w:sz w:val="14"/>
              </w:rPr>
            </w:pPr>
            <w:r>
              <w:rPr>
                <w:i/>
                <w:position w:val="2"/>
              </w:rPr>
              <w:t>AQ</w:t>
            </w:r>
            <w:proofErr w:type="spellStart"/>
            <w:r>
              <w:rPr>
                <w:i/>
                <w:sz w:val="14"/>
              </w:rPr>
              <w:t>ttraits</w:t>
            </w:r>
            <w:proofErr w:type="spellEnd"/>
            <w:r>
              <w:rPr>
                <w:i/>
                <w:sz w:val="14"/>
              </w:rPr>
              <w:t xml:space="preserve"> </w:t>
            </w:r>
            <w:r>
              <w:rPr>
                <w:i/>
                <w:position w:val="2"/>
              </w:rPr>
              <w:t>- TAS</w:t>
            </w:r>
            <w:r>
              <w:rPr>
                <w:i/>
                <w:sz w:val="14"/>
              </w:rPr>
              <w:t>traits</w:t>
            </w:r>
          </w:p>
        </w:tc>
        <w:tc>
          <w:tcPr>
            <w:tcW w:w="1357" w:type="dxa"/>
          </w:tcPr>
          <w:p w14:paraId="1F76811F" w14:textId="77777777" w:rsidR="00C75312" w:rsidRDefault="00BB293A">
            <w:pPr>
              <w:pStyle w:val="TableParagraph"/>
              <w:spacing w:before="43"/>
              <w:ind w:right="458"/>
              <w:jc w:val="right"/>
            </w:pPr>
            <w:r>
              <w:t>0.54</w:t>
            </w:r>
          </w:p>
        </w:tc>
        <w:tc>
          <w:tcPr>
            <w:tcW w:w="1298" w:type="dxa"/>
          </w:tcPr>
          <w:p w14:paraId="20445309" w14:textId="77777777" w:rsidR="00C75312" w:rsidRDefault="00BB293A">
            <w:pPr>
              <w:pStyle w:val="TableParagraph"/>
              <w:spacing w:before="43"/>
              <w:ind w:left="118" w:right="114"/>
              <w:jc w:val="center"/>
            </w:pPr>
            <w:r>
              <w:t>0.17</w:t>
            </w:r>
          </w:p>
        </w:tc>
        <w:tc>
          <w:tcPr>
            <w:tcW w:w="1100" w:type="dxa"/>
          </w:tcPr>
          <w:p w14:paraId="783252C3" w14:textId="77777777" w:rsidR="00C75312" w:rsidRDefault="00BB293A">
            <w:pPr>
              <w:pStyle w:val="TableParagraph"/>
              <w:spacing w:before="43"/>
              <w:ind w:left="277"/>
            </w:pPr>
            <w:r>
              <w:t>1.51</w:t>
            </w:r>
          </w:p>
        </w:tc>
        <w:tc>
          <w:tcPr>
            <w:tcW w:w="1259" w:type="dxa"/>
          </w:tcPr>
          <w:p w14:paraId="3D9E0285" w14:textId="77777777" w:rsidR="00C75312" w:rsidRDefault="00BB293A">
            <w:pPr>
              <w:pStyle w:val="TableParagraph"/>
              <w:spacing w:before="43"/>
              <w:ind w:left="275" w:right="446"/>
              <w:jc w:val="center"/>
            </w:pPr>
            <w:r>
              <w:t>0.13</w:t>
            </w:r>
          </w:p>
        </w:tc>
      </w:tr>
      <w:tr w:rsidR="00C75312" w14:paraId="4FB79A5D" w14:textId="77777777">
        <w:trPr>
          <w:trHeight w:val="352"/>
        </w:trPr>
        <w:tc>
          <w:tcPr>
            <w:tcW w:w="4172" w:type="dxa"/>
          </w:tcPr>
          <w:p w14:paraId="576C2A46" w14:textId="77777777" w:rsidR="00C75312" w:rsidRDefault="00BB293A">
            <w:pPr>
              <w:pStyle w:val="TableParagraph"/>
              <w:spacing w:before="45"/>
              <w:ind w:left="134"/>
              <w:rPr>
                <w:i/>
                <w:sz w:val="14"/>
              </w:rPr>
            </w:pPr>
            <w:r>
              <w:rPr>
                <w:i/>
                <w:position w:val="2"/>
              </w:rPr>
              <w:t>AQ</w:t>
            </w:r>
            <w:proofErr w:type="spellStart"/>
            <w:r>
              <w:rPr>
                <w:i/>
                <w:sz w:val="14"/>
              </w:rPr>
              <w:t>ttraits</w:t>
            </w:r>
            <w:proofErr w:type="spellEnd"/>
            <w:r>
              <w:rPr>
                <w:i/>
                <w:sz w:val="14"/>
              </w:rPr>
              <w:t xml:space="preserve"> </w:t>
            </w:r>
            <w:r>
              <w:rPr>
                <w:i/>
                <w:position w:val="2"/>
              </w:rPr>
              <w:t>- WCST</w:t>
            </w:r>
            <w:r>
              <w:rPr>
                <w:i/>
                <w:sz w:val="14"/>
              </w:rPr>
              <w:t>PE</w:t>
            </w:r>
          </w:p>
        </w:tc>
        <w:tc>
          <w:tcPr>
            <w:tcW w:w="1357" w:type="dxa"/>
          </w:tcPr>
          <w:p w14:paraId="6B9EB18B" w14:textId="77777777" w:rsidR="00C75312" w:rsidRDefault="00BB293A">
            <w:pPr>
              <w:pStyle w:val="TableParagraph"/>
              <w:spacing w:before="46"/>
              <w:ind w:right="419"/>
              <w:jc w:val="right"/>
            </w:pPr>
            <w:r>
              <w:t>-0.21</w:t>
            </w:r>
          </w:p>
        </w:tc>
        <w:tc>
          <w:tcPr>
            <w:tcW w:w="1298" w:type="dxa"/>
          </w:tcPr>
          <w:p w14:paraId="420E13D6" w14:textId="77777777" w:rsidR="00C75312" w:rsidRDefault="00BB293A">
            <w:pPr>
              <w:pStyle w:val="TableParagraph"/>
              <w:spacing w:before="46"/>
              <w:ind w:left="118" w:right="114"/>
              <w:jc w:val="center"/>
            </w:pPr>
            <w:r>
              <w:t>0.08</w:t>
            </w:r>
          </w:p>
        </w:tc>
        <w:tc>
          <w:tcPr>
            <w:tcW w:w="1100" w:type="dxa"/>
          </w:tcPr>
          <w:p w14:paraId="311BD9C7" w14:textId="77777777" w:rsidR="00C75312" w:rsidRDefault="00BB293A">
            <w:pPr>
              <w:pStyle w:val="TableParagraph"/>
              <w:spacing w:before="46"/>
              <w:ind w:left="238"/>
            </w:pPr>
            <w:r>
              <w:t>-1.03</w:t>
            </w:r>
          </w:p>
        </w:tc>
        <w:tc>
          <w:tcPr>
            <w:tcW w:w="1259" w:type="dxa"/>
          </w:tcPr>
          <w:p w14:paraId="147E6363" w14:textId="77777777" w:rsidR="00C75312" w:rsidRDefault="00BB293A">
            <w:pPr>
              <w:pStyle w:val="TableParagraph"/>
              <w:spacing w:before="46"/>
              <w:ind w:left="275" w:right="446"/>
              <w:jc w:val="center"/>
            </w:pPr>
            <w:r>
              <w:t>0.30</w:t>
            </w:r>
          </w:p>
        </w:tc>
      </w:tr>
      <w:tr w:rsidR="00C75312" w14:paraId="0A67EC82" w14:textId="77777777">
        <w:trPr>
          <w:trHeight w:val="352"/>
        </w:trPr>
        <w:tc>
          <w:tcPr>
            <w:tcW w:w="4172" w:type="dxa"/>
          </w:tcPr>
          <w:p w14:paraId="51A9D3FA" w14:textId="77777777" w:rsidR="00C75312" w:rsidRDefault="00BB293A">
            <w:pPr>
              <w:pStyle w:val="TableParagraph"/>
              <w:spacing w:before="42"/>
              <w:ind w:left="134"/>
              <w:rPr>
                <w:i/>
              </w:rPr>
            </w:pPr>
            <w:r>
              <w:rPr>
                <w:i/>
                <w:position w:val="2"/>
              </w:rPr>
              <w:t>TAS</w:t>
            </w:r>
            <w:r>
              <w:rPr>
                <w:i/>
                <w:sz w:val="14"/>
              </w:rPr>
              <w:t xml:space="preserve">traits </w:t>
            </w:r>
            <w:r>
              <w:rPr>
                <w:i/>
                <w:position w:val="2"/>
              </w:rPr>
              <w:t>- IA</w:t>
            </w:r>
          </w:p>
        </w:tc>
        <w:tc>
          <w:tcPr>
            <w:tcW w:w="1357" w:type="dxa"/>
          </w:tcPr>
          <w:p w14:paraId="7B35F0C3" w14:textId="77777777" w:rsidR="00C75312" w:rsidRDefault="00BB293A">
            <w:pPr>
              <w:pStyle w:val="TableParagraph"/>
              <w:spacing w:before="43"/>
              <w:ind w:right="419"/>
              <w:jc w:val="right"/>
            </w:pPr>
            <w:r>
              <w:t>-0.10</w:t>
            </w:r>
          </w:p>
        </w:tc>
        <w:tc>
          <w:tcPr>
            <w:tcW w:w="1298" w:type="dxa"/>
          </w:tcPr>
          <w:p w14:paraId="5F626BF6" w14:textId="77777777" w:rsidR="00C75312" w:rsidRDefault="00BB293A">
            <w:pPr>
              <w:pStyle w:val="TableParagraph"/>
              <w:spacing w:before="43"/>
              <w:ind w:left="118" w:right="114"/>
              <w:jc w:val="center"/>
            </w:pPr>
            <w:r>
              <w:t>0.33</w:t>
            </w:r>
          </w:p>
        </w:tc>
        <w:tc>
          <w:tcPr>
            <w:tcW w:w="1100" w:type="dxa"/>
          </w:tcPr>
          <w:p w14:paraId="5DD4B7C6" w14:textId="77777777" w:rsidR="00C75312" w:rsidRDefault="00BB293A">
            <w:pPr>
              <w:pStyle w:val="TableParagraph"/>
              <w:spacing w:before="43"/>
              <w:ind w:left="238"/>
            </w:pPr>
            <w:r>
              <w:t>-1.55</w:t>
            </w:r>
          </w:p>
        </w:tc>
        <w:tc>
          <w:tcPr>
            <w:tcW w:w="1259" w:type="dxa"/>
          </w:tcPr>
          <w:p w14:paraId="449B06FD" w14:textId="77777777" w:rsidR="00C75312" w:rsidRDefault="00BB293A">
            <w:pPr>
              <w:pStyle w:val="TableParagraph"/>
              <w:spacing w:before="43"/>
              <w:ind w:left="275" w:right="446"/>
              <w:jc w:val="center"/>
            </w:pPr>
            <w:r>
              <w:t>0.12</w:t>
            </w:r>
          </w:p>
        </w:tc>
      </w:tr>
      <w:tr w:rsidR="00C75312" w14:paraId="15791930" w14:textId="77777777">
        <w:trPr>
          <w:trHeight w:val="352"/>
        </w:trPr>
        <w:tc>
          <w:tcPr>
            <w:tcW w:w="4172" w:type="dxa"/>
          </w:tcPr>
          <w:p w14:paraId="4FE8ED79" w14:textId="77777777" w:rsidR="00C75312" w:rsidRDefault="00BB293A">
            <w:pPr>
              <w:pStyle w:val="TableParagraph"/>
              <w:spacing w:before="45"/>
              <w:ind w:left="134"/>
              <w:rPr>
                <w:i/>
              </w:rPr>
            </w:pPr>
            <w:r>
              <w:rPr>
                <w:i/>
                <w:position w:val="2"/>
              </w:rPr>
              <w:t>TAS - WCST</w:t>
            </w:r>
            <w:r>
              <w:rPr>
                <w:i/>
                <w:position w:val="2"/>
                <w:vertAlign w:val="subscript"/>
              </w:rPr>
              <w:t>PE</w:t>
            </w:r>
          </w:p>
        </w:tc>
        <w:tc>
          <w:tcPr>
            <w:tcW w:w="1357" w:type="dxa"/>
          </w:tcPr>
          <w:p w14:paraId="35EB2847" w14:textId="77777777" w:rsidR="00C75312" w:rsidRDefault="00BB293A">
            <w:pPr>
              <w:pStyle w:val="TableParagraph"/>
              <w:spacing w:before="46"/>
              <w:ind w:right="419"/>
              <w:jc w:val="right"/>
            </w:pPr>
            <w:r>
              <w:t>-0.08</w:t>
            </w:r>
          </w:p>
        </w:tc>
        <w:tc>
          <w:tcPr>
            <w:tcW w:w="1298" w:type="dxa"/>
          </w:tcPr>
          <w:p w14:paraId="19750629" w14:textId="77777777" w:rsidR="00C75312" w:rsidRDefault="00BB293A">
            <w:pPr>
              <w:pStyle w:val="TableParagraph"/>
              <w:spacing w:before="46"/>
              <w:ind w:left="118" w:right="114"/>
              <w:jc w:val="center"/>
            </w:pPr>
            <w:r>
              <w:t>0.32</w:t>
            </w:r>
          </w:p>
        </w:tc>
        <w:tc>
          <w:tcPr>
            <w:tcW w:w="1100" w:type="dxa"/>
          </w:tcPr>
          <w:p w14:paraId="397A089E" w14:textId="77777777" w:rsidR="00C75312" w:rsidRDefault="00BB293A">
            <w:pPr>
              <w:pStyle w:val="TableParagraph"/>
              <w:spacing w:before="46"/>
              <w:ind w:left="238"/>
            </w:pPr>
            <w:r>
              <w:t>-0.74</w:t>
            </w:r>
          </w:p>
        </w:tc>
        <w:tc>
          <w:tcPr>
            <w:tcW w:w="1259" w:type="dxa"/>
          </w:tcPr>
          <w:p w14:paraId="19A9784E" w14:textId="77777777" w:rsidR="00C75312" w:rsidRDefault="00BB293A">
            <w:pPr>
              <w:pStyle w:val="TableParagraph"/>
              <w:spacing w:before="46"/>
              <w:ind w:left="275" w:right="446"/>
              <w:jc w:val="center"/>
            </w:pPr>
            <w:r>
              <w:t>0.46</w:t>
            </w:r>
          </w:p>
        </w:tc>
      </w:tr>
      <w:tr w:rsidR="00C75312" w14:paraId="1C12DC1C" w14:textId="77777777">
        <w:trPr>
          <w:trHeight w:val="352"/>
        </w:trPr>
        <w:tc>
          <w:tcPr>
            <w:tcW w:w="4172" w:type="dxa"/>
          </w:tcPr>
          <w:p w14:paraId="61C7F989" w14:textId="77777777" w:rsidR="00C75312" w:rsidRDefault="00BB293A">
            <w:pPr>
              <w:pStyle w:val="TableParagraph"/>
              <w:spacing w:before="42"/>
              <w:ind w:left="134"/>
              <w:rPr>
                <w:i/>
              </w:rPr>
            </w:pPr>
            <w:r>
              <w:rPr>
                <w:i/>
                <w:position w:val="2"/>
              </w:rPr>
              <w:t>WCST</w:t>
            </w:r>
            <w:r>
              <w:rPr>
                <w:i/>
                <w:position w:val="2"/>
                <w:vertAlign w:val="subscript"/>
              </w:rPr>
              <w:t>PE</w:t>
            </w:r>
            <w:r>
              <w:rPr>
                <w:i/>
                <w:position w:val="2"/>
              </w:rPr>
              <w:t xml:space="preserve"> - IA</w:t>
            </w:r>
          </w:p>
        </w:tc>
        <w:tc>
          <w:tcPr>
            <w:tcW w:w="1357" w:type="dxa"/>
          </w:tcPr>
          <w:p w14:paraId="4FBCF853" w14:textId="77777777" w:rsidR="00C75312" w:rsidRDefault="00BB293A">
            <w:pPr>
              <w:pStyle w:val="TableParagraph"/>
              <w:spacing w:before="43"/>
              <w:ind w:right="458"/>
              <w:jc w:val="right"/>
            </w:pPr>
            <w:r>
              <w:t>0.01</w:t>
            </w:r>
          </w:p>
        </w:tc>
        <w:tc>
          <w:tcPr>
            <w:tcW w:w="1298" w:type="dxa"/>
          </w:tcPr>
          <w:p w14:paraId="1F8F7626" w14:textId="77777777" w:rsidR="00C75312" w:rsidRDefault="00BB293A">
            <w:pPr>
              <w:pStyle w:val="TableParagraph"/>
              <w:spacing w:before="43"/>
              <w:ind w:left="118" w:right="114"/>
              <w:jc w:val="center"/>
            </w:pPr>
            <w:r>
              <w:t>0.35</w:t>
            </w:r>
          </w:p>
        </w:tc>
        <w:tc>
          <w:tcPr>
            <w:tcW w:w="1100" w:type="dxa"/>
          </w:tcPr>
          <w:p w14:paraId="5DB45C28" w14:textId="77777777" w:rsidR="00C75312" w:rsidRDefault="00BB293A">
            <w:pPr>
              <w:pStyle w:val="TableParagraph"/>
              <w:spacing w:before="43"/>
              <w:ind w:left="238"/>
            </w:pPr>
            <w:r>
              <w:t>-1.24</w:t>
            </w:r>
          </w:p>
        </w:tc>
        <w:tc>
          <w:tcPr>
            <w:tcW w:w="1259" w:type="dxa"/>
          </w:tcPr>
          <w:p w14:paraId="6B4047E4" w14:textId="77777777" w:rsidR="00C75312" w:rsidRDefault="00BB293A">
            <w:pPr>
              <w:pStyle w:val="TableParagraph"/>
              <w:spacing w:before="43"/>
              <w:ind w:left="275" w:right="446"/>
              <w:jc w:val="center"/>
            </w:pPr>
            <w:r>
              <w:t>0.21</w:t>
            </w:r>
          </w:p>
        </w:tc>
      </w:tr>
      <w:tr w:rsidR="00C75312" w14:paraId="72161C7D" w14:textId="77777777">
        <w:trPr>
          <w:trHeight w:val="352"/>
        </w:trPr>
        <w:tc>
          <w:tcPr>
            <w:tcW w:w="4172" w:type="dxa"/>
          </w:tcPr>
          <w:p w14:paraId="1A92CF67" w14:textId="77777777" w:rsidR="00C75312" w:rsidRDefault="00BB293A">
            <w:pPr>
              <w:pStyle w:val="TableParagraph"/>
              <w:spacing w:before="46"/>
              <w:ind w:left="134"/>
              <w:rPr>
                <w:i/>
              </w:rPr>
            </w:pPr>
            <w:r>
              <w:rPr>
                <w:i/>
              </w:rPr>
              <w:t>Ongoing task hits - PM hits</w:t>
            </w:r>
          </w:p>
        </w:tc>
        <w:tc>
          <w:tcPr>
            <w:tcW w:w="1357" w:type="dxa"/>
          </w:tcPr>
          <w:p w14:paraId="0D2B62DC" w14:textId="77777777" w:rsidR="00C75312" w:rsidRDefault="00BB293A">
            <w:pPr>
              <w:pStyle w:val="TableParagraph"/>
              <w:spacing w:before="46"/>
              <w:ind w:right="400"/>
              <w:jc w:val="right"/>
            </w:pPr>
            <w:r>
              <w:t>0.022</w:t>
            </w:r>
          </w:p>
        </w:tc>
        <w:tc>
          <w:tcPr>
            <w:tcW w:w="1298" w:type="dxa"/>
          </w:tcPr>
          <w:p w14:paraId="547C4D7D" w14:textId="77777777" w:rsidR="00C75312" w:rsidRDefault="00BB293A">
            <w:pPr>
              <w:pStyle w:val="TableParagraph"/>
              <w:spacing w:before="46"/>
              <w:ind w:left="122" w:right="114"/>
              <w:jc w:val="center"/>
            </w:pPr>
            <w:r>
              <w:t>0.335</w:t>
            </w:r>
          </w:p>
        </w:tc>
        <w:tc>
          <w:tcPr>
            <w:tcW w:w="1100" w:type="dxa"/>
          </w:tcPr>
          <w:p w14:paraId="3FB59DC2" w14:textId="77777777" w:rsidR="00C75312" w:rsidRDefault="00BB293A">
            <w:pPr>
              <w:pStyle w:val="TableParagraph"/>
              <w:spacing w:before="46"/>
              <w:ind w:left="238"/>
            </w:pPr>
            <w:r>
              <w:t>-1.14</w:t>
            </w:r>
          </w:p>
        </w:tc>
        <w:tc>
          <w:tcPr>
            <w:tcW w:w="1259" w:type="dxa"/>
          </w:tcPr>
          <w:p w14:paraId="35720427" w14:textId="77777777" w:rsidR="00C75312" w:rsidRDefault="00BB293A">
            <w:pPr>
              <w:pStyle w:val="TableParagraph"/>
              <w:spacing w:before="46"/>
              <w:ind w:left="275" w:right="446"/>
              <w:jc w:val="center"/>
            </w:pPr>
            <w:r>
              <w:t>0.25</w:t>
            </w:r>
          </w:p>
        </w:tc>
      </w:tr>
      <w:tr w:rsidR="00C75312" w14:paraId="79CAB5F9" w14:textId="77777777">
        <w:trPr>
          <w:trHeight w:val="352"/>
        </w:trPr>
        <w:tc>
          <w:tcPr>
            <w:tcW w:w="4172" w:type="dxa"/>
          </w:tcPr>
          <w:p w14:paraId="554FDCD2" w14:textId="77777777" w:rsidR="00C75312" w:rsidRDefault="00BB293A">
            <w:pPr>
              <w:pStyle w:val="TableParagraph"/>
              <w:spacing w:before="44"/>
              <w:ind w:left="134"/>
              <w:rPr>
                <w:i/>
              </w:rPr>
            </w:pPr>
            <w:r>
              <w:rPr>
                <w:i/>
              </w:rPr>
              <w:t>Ongoing task hits - IA</w:t>
            </w:r>
          </w:p>
        </w:tc>
        <w:tc>
          <w:tcPr>
            <w:tcW w:w="1357" w:type="dxa"/>
          </w:tcPr>
          <w:p w14:paraId="73D75667" w14:textId="77777777" w:rsidR="00C75312" w:rsidRDefault="00BB293A">
            <w:pPr>
              <w:pStyle w:val="TableParagraph"/>
              <w:spacing w:before="44"/>
              <w:ind w:right="458"/>
              <w:jc w:val="right"/>
            </w:pPr>
            <w:r>
              <w:t>0.36</w:t>
            </w:r>
          </w:p>
        </w:tc>
        <w:tc>
          <w:tcPr>
            <w:tcW w:w="1298" w:type="dxa"/>
          </w:tcPr>
          <w:p w14:paraId="271A9FC3" w14:textId="77777777" w:rsidR="00C75312" w:rsidRDefault="00BB293A">
            <w:pPr>
              <w:pStyle w:val="TableParagraph"/>
              <w:spacing w:before="44"/>
              <w:ind w:left="118" w:right="114"/>
              <w:jc w:val="center"/>
            </w:pPr>
            <w:r>
              <w:t>0.09</w:t>
            </w:r>
          </w:p>
        </w:tc>
        <w:tc>
          <w:tcPr>
            <w:tcW w:w="1100" w:type="dxa"/>
          </w:tcPr>
          <w:p w14:paraId="436FB682" w14:textId="77777777" w:rsidR="00C75312" w:rsidRDefault="00BB293A">
            <w:pPr>
              <w:pStyle w:val="TableParagraph"/>
              <w:spacing w:before="44"/>
              <w:ind w:left="277"/>
            </w:pPr>
            <w:r>
              <w:t>1.00</w:t>
            </w:r>
          </w:p>
        </w:tc>
        <w:tc>
          <w:tcPr>
            <w:tcW w:w="1259" w:type="dxa"/>
          </w:tcPr>
          <w:p w14:paraId="2FB97BAF" w14:textId="77777777" w:rsidR="00C75312" w:rsidRDefault="00BB293A">
            <w:pPr>
              <w:pStyle w:val="TableParagraph"/>
              <w:spacing w:before="44"/>
              <w:ind w:left="275" w:right="446"/>
              <w:jc w:val="center"/>
            </w:pPr>
            <w:r>
              <w:t>0.32</w:t>
            </w:r>
          </w:p>
        </w:tc>
      </w:tr>
      <w:tr w:rsidR="00C75312" w14:paraId="7B7FDB28" w14:textId="77777777">
        <w:trPr>
          <w:trHeight w:val="355"/>
        </w:trPr>
        <w:tc>
          <w:tcPr>
            <w:tcW w:w="4172" w:type="dxa"/>
          </w:tcPr>
          <w:p w14:paraId="70B403A5" w14:textId="77777777" w:rsidR="00C75312" w:rsidRDefault="00BB293A">
            <w:pPr>
              <w:pStyle w:val="TableParagraph"/>
              <w:spacing w:before="46"/>
              <w:ind w:left="134"/>
              <w:rPr>
                <w:i/>
              </w:rPr>
            </w:pPr>
            <w:r>
              <w:rPr>
                <w:i/>
                <w:position w:val="2"/>
              </w:rPr>
              <w:t xml:space="preserve">Ongoing task hits - </w:t>
            </w:r>
            <w:proofErr w:type="spellStart"/>
            <w:r>
              <w:rPr>
                <w:i/>
                <w:position w:val="2"/>
              </w:rPr>
              <w:t>AQ</w:t>
            </w:r>
            <w:r>
              <w:rPr>
                <w:i/>
                <w:position w:val="2"/>
                <w:vertAlign w:val="subscript"/>
              </w:rPr>
              <w:t>traits</w:t>
            </w:r>
            <w:proofErr w:type="spellEnd"/>
          </w:p>
        </w:tc>
        <w:tc>
          <w:tcPr>
            <w:tcW w:w="1357" w:type="dxa"/>
          </w:tcPr>
          <w:p w14:paraId="44FCCA40" w14:textId="77777777" w:rsidR="00C75312" w:rsidRDefault="00BB293A">
            <w:pPr>
              <w:pStyle w:val="TableParagraph"/>
              <w:spacing w:before="46"/>
              <w:ind w:right="400"/>
              <w:jc w:val="right"/>
            </w:pPr>
            <w:r>
              <w:t>0.103</w:t>
            </w:r>
          </w:p>
        </w:tc>
        <w:tc>
          <w:tcPr>
            <w:tcW w:w="1298" w:type="dxa"/>
          </w:tcPr>
          <w:p w14:paraId="30E7D616" w14:textId="77777777" w:rsidR="00C75312" w:rsidRDefault="00BB293A">
            <w:pPr>
              <w:pStyle w:val="TableParagraph"/>
              <w:spacing w:before="46"/>
              <w:ind w:left="118" w:right="114"/>
              <w:jc w:val="center"/>
            </w:pPr>
            <w:r>
              <w:t>0.01</w:t>
            </w:r>
          </w:p>
        </w:tc>
        <w:tc>
          <w:tcPr>
            <w:tcW w:w="1100" w:type="dxa"/>
          </w:tcPr>
          <w:p w14:paraId="490CE5DB" w14:textId="77777777" w:rsidR="00C75312" w:rsidRDefault="00BB293A">
            <w:pPr>
              <w:pStyle w:val="TableParagraph"/>
              <w:spacing w:before="46"/>
              <w:ind w:left="277"/>
            </w:pPr>
            <w:r>
              <w:t>0.33</w:t>
            </w:r>
          </w:p>
        </w:tc>
        <w:tc>
          <w:tcPr>
            <w:tcW w:w="1259" w:type="dxa"/>
          </w:tcPr>
          <w:p w14:paraId="0EDAD090" w14:textId="77777777" w:rsidR="00C75312" w:rsidRDefault="00BB293A">
            <w:pPr>
              <w:pStyle w:val="TableParagraph"/>
              <w:spacing w:before="46"/>
              <w:ind w:left="275" w:right="446"/>
              <w:jc w:val="center"/>
            </w:pPr>
            <w:r>
              <w:t>0.74</w:t>
            </w:r>
          </w:p>
        </w:tc>
      </w:tr>
      <w:tr w:rsidR="00C75312" w14:paraId="5B28297E" w14:textId="77777777">
        <w:trPr>
          <w:trHeight w:val="352"/>
        </w:trPr>
        <w:tc>
          <w:tcPr>
            <w:tcW w:w="4172" w:type="dxa"/>
          </w:tcPr>
          <w:p w14:paraId="73078C3B" w14:textId="77777777" w:rsidR="00C75312" w:rsidRDefault="00BB293A">
            <w:pPr>
              <w:pStyle w:val="TableParagraph"/>
              <w:spacing w:before="45"/>
              <w:ind w:left="134"/>
              <w:rPr>
                <w:i/>
              </w:rPr>
            </w:pPr>
            <w:r>
              <w:rPr>
                <w:i/>
                <w:position w:val="2"/>
              </w:rPr>
              <w:t xml:space="preserve">Ongoing task hits - </w:t>
            </w:r>
            <w:proofErr w:type="spellStart"/>
            <w:r>
              <w:rPr>
                <w:i/>
                <w:position w:val="2"/>
              </w:rPr>
              <w:t>TAS</w:t>
            </w:r>
            <w:r>
              <w:rPr>
                <w:i/>
                <w:position w:val="2"/>
                <w:vertAlign w:val="subscript"/>
              </w:rPr>
              <w:t>traits</w:t>
            </w:r>
            <w:proofErr w:type="spellEnd"/>
          </w:p>
        </w:tc>
        <w:tc>
          <w:tcPr>
            <w:tcW w:w="1357" w:type="dxa"/>
          </w:tcPr>
          <w:p w14:paraId="039BB9A2" w14:textId="77777777" w:rsidR="00C75312" w:rsidRDefault="00BB293A">
            <w:pPr>
              <w:pStyle w:val="TableParagraph"/>
              <w:spacing w:before="46"/>
              <w:ind w:right="419"/>
              <w:jc w:val="right"/>
            </w:pPr>
            <w:r>
              <w:t>-0.10</w:t>
            </w:r>
          </w:p>
        </w:tc>
        <w:tc>
          <w:tcPr>
            <w:tcW w:w="1298" w:type="dxa"/>
          </w:tcPr>
          <w:p w14:paraId="082D3B9F" w14:textId="77777777" w:rsidR="00C75312" w:rsidRDefault="00BB293A">
            <w:pPr>
              <w:pStyle w:val="TableParagraph"/>
              <w:spacing w:before="46"/>
              <w:ind w:left="118" w:right="114"/>
              <w:jc w:val="center"/>
            </w:pPr>
            <w:r>
              <w:t>0.13</w:t>
            </w:r>
          </w:p>
        </w:tc>
        <w:tc>
          <w:tcPr>
            <w:tcW w:w="1100" w:type="dxa"/>
          </w:tcPr>
          <w:p w14:paraId="4A54E5FA" w14:textId="77777777" w:rsidR="00C75312" w:rsidRDefault="00BB293A">
            <w:pPr>
              <w:pStyle w:val="TableParagraph"/>
              <w:spacing w:before="46"/>
              <w:ind w:left="238"/>
            </w:pPr>
            <w:r>
              <w:t>-0.80</w:t>
            </w:r>
          </w:p>
        </w:tc>
        <w:tc>
          <w:tcPr>
            <w:tcW w:w="1259" w:type="dxa"/>
          </w:tcPr>
          <w:p w14:paraId="36078FE6" w14:textId="77777777" w:rsidR="00C75312" w:rsidRDefault="00BB293A">
            <w:pPr>
              <w:pStyle w:val="TableParagraph"/>
              <w:spacing w:before="46"/>
              <w:ind w:left="275" w:right="446"/>
              <w:jc w:val="center"/>
            </w:pPr>
            <w:r>
              <w:t>0.42</w:t>
            </w:r>
          </w:p>
        </w:tc>
      </w:tr>
      <w:tr w:rsidR="00C75312" w14:paraId="22F9B88D" w14:textId="77777777">
        <w:trPr>
          <w:trHeight w:val="359"/>
        </w:trPr>
        <w:tc>
          <w:tcPr>
            <w:tcW w:w="4172" w:type="dxa"/>
            <w:tcBorders>
              <w:bottom w:val="single" w:sz="4" w:space="0" w:color="000000"/>
            </w:tcBorders>
          </w:tcPr>
          <w:p w14:paraId="2ECCB6CB" w14:textId="77777777" w:rsidR="00C75312" w:rsidRDefault="00BB293A">
            <w:pPr>
              <w:pStyle w:val="TableParagraph"/>
              <w:spacing w:before="42"/>
              <w:ind w:left="134"/>
              <w:rPr>
                <w:i/>
              </w:rPr>
            </w:pPr>
            <w:r>
              <w:rPr>
                <w:i/>
                <w:position w:val="2"/>
              </w:rPr>
              <w:t>Ongoing task hits - WCST</w:t>
            </w:r>
            <w:r>
              <w:rPr>
                <w:i/>
                <w:position w:val="2"/>
                <w:vertAlign w:val="subscript"/>
              </w:rPr>
              <w:t>PE</w:t>
            </w:r>
          </w:p>
        </w:tc>
        <w:tc>
          <w:tcPr>
            <w:tcW w:w="1357" w:type="dxa"/>
            <w:tcBorders>
              <w:bottom w:val="single" w:sz="4" w:space="0" w:color="000000"/>
            </w:tcBorders>
          </w:tcPr>
          <w:p w14:paraId="7E8D526C" w14:textId="77777777" w:rsidR="00C75312" w:rsidRDefault="00BB293A">
            <w:pPr>
              <w:pStyle w:val="TableParagraph"/>
              <w:spacing w:before="43"/>
              <w:ind w:right="419"/>
              <w:jc w:val="right"/>
            </w:pPr>
            <w:r>
              <w:t>-0.30</w:t>
            </w:r>
          </w:p>
        </w:tc>
        <w:tc>
          <w:tcPr>
            <w:tcW w:w="1298" w:type="dxa"/>
            <w:tcBorders>
              <w:bottom w:val="single" w:sz="4" w:space="0" w:color="000000"/>
            </w:tcBorders>
          </w:tcPr>
          <w:p w14:paraId="0EA000C8" w14:textId="77777777" w:rsidR="00C75312" w:rsidRDefault="00BB293A">
            <w:pPr>
              <w:pStyle w:val="TableParagraph"/>
              <w:spacing w:before="43"/>
              <w:ind w:left="122" w:right="114"/>
              <w:jc w:val="center"/>
            </w:pPr>
            <w:r>
              <w:t>-0.28</w:t>
            </w:r>
          </w:p>
        </w:tc>
        <w:tc>
          <w:tcPr>
            <w:tcW w:w="1100" w:type="dxa"/>
            <w:tcBorders>
              <w:bottom w:val="single" w:sz="4" w:space="0" w:color="000000"/>
            </w:tcBorders>
          </w:tcPr>
          <w:p w14:paraId="2B4AC2C3" w14:textId="77777777" w:rsidR="00C75312" w:rsidRDefault="00BB293A">
            <w:pPr>
              <w:pStyle w:val="TableParagraph"/>
              <w:spacing w:before="43"/>
              <w:ind w:left="238"/>
            </w:pPr>
            <w:r>
              <w:t>-0.10</w:t>
            </w:r>
          </w:p>
        </w:tc>
        <w:tc>
          <w:tcPr>
            <w:tcW w:w="1259" w:type="dxa"/>
            <w:tcBorders>
              <w:bottom w:val="single" w:sz="4" w:space="0" w:color="000000"/>
            </w:tcBorders>
          </w:tcPr>
          <w:p w14:paraId="6E1E7EF7" w14:textId="77777777" w:rsidR="00C75312" w:rsidRDefault="00BB293A">
            <w:pPr>
              <w:pStyle w:val="TableParagraph"/>
              <w:spacing w:before="43"/>
              <w:ind w:left="275" w:right="446"/>
              <w:jc w:val="center"/>
            </w:pPr>
            <w:r>
              <w:t>0.92</w:t>
            </w:r>
          </w:p>
        </w:tc>
      </w:tr>
    </w:tbl>
    <w:p w14:paraId="6129C593" w14:textId="77777777" w:rsidR="00C75312" w:rsidRDefault="00BB293A">
      <w:pPr>
        <w:ind w:left="140" w:right="602"/>
        <w:rPr>
          <w:i/>
          <w:sz w:val="20"/>
        </w:rPr>
      </w:pPr>
      <w:r>
        <w:rPr>
          <w:i/>
          <w:sz w:val="20"/>
        </w:rPr>
        <w:t>Note. Comparison A: The correlation in the time-based PM condition involves PM target accuracy. Comparison B: The correlation in the time-based PM condition involves PM proportion hits. EBPM: event- based PM; IA: interoceptive accuracy; TBPM: time-based PM.</w:t>
      </w:r>
    </w:p>
    <w:p w14:paraId="1A8D75C4" w14:textId="77777777" w:rsidR="00C75312" w:rsidRDefault="00C75312">
      <w:pPr>
        <w:rPr>
          <w:sz w:val="20"/>
        </w:rPr>
        <w:sectPr w:rsidR="00C75312">
          <w:pgSz w:w="11900" w:h="16840"/>
          <w:pgMar w:top="1160" w:right="1200" w:bottom="280" w:left="1300" w:header="720" w:footer="0" w:gutter="0"/>
          <w:cols w:space="720"/>
        </w:sectPr>
      </w:pPr>
    </w:p>
    <w:p w14:paraId="3FEBA01E" w14:textId="77777777" w:rsidR="00C75312" w:rsidRDefault="00C75312">
      <w:pPr>
        <w:pStyle w:val="BodyText"/>
        <w:spacing w:before="9"/>
        <w:rPr>
          <w:i/>
          <w:sz w:val="15"/>
        </w:rPr>
      </w:pPr>
    </w:p>
    <w:p w14:paraId="4D6A766A" w14:textId="77777777" w:rsidR="00C75312" w:rsidRDefault="00BB293A">
      <w:pPr>
        <w:pStyle w:val="Heading1"/>
        <w:spacing w:before="90"/>
        <w:ind w:left="754"/>
      </w:pPr>
      <w:r>
        <w:t>Appendix 4: Pilot study on the role of interoception in time-base PM in ASD</w:t>
      </w:r>
    </w:p>
    <w:p w14:paraId="084DA058" w14:textId="77777777" w:rsidR="00C75312" w:rsidRDefault="00C75312">
      <w:pPr>
        <w:pStyle w:val="BodyText"/>
        <w:spacing w:before="5"/>
        <w:rPr>
          <w:b/>
          <w:sz w:val="34"/>
        </w:rPr>
      </w:pPr>
    </w:p>
    <w:p w14:paraId="250D0FA9" w14:textId="77777777" w:rsidR="00C75312" w:rsidRDefault="00BB293A">
      <w:pPr>
        <w:pStyle w:val="BodyText"/>
        <w:spacing w:line="480" w:lineRule="auto"/>
        <w:ind w:left="140" w:firstLine="720"/>
      </w:pPr>
      <w:r>
        <w:t>A pilot study was conducted to investigate the potential roles of interoception and alexithymia in time-based PM in individuals diagnosed with ASD.</w:t>
      </w:r>
    </w:p>
    <w:p w14:paraId="011E8903" w14:textId="77777777" w:rsidR="00C75312" w:rsidRDefault="00BB293A">
      <w:pPr>
        <w:pStyle w:val="Heading1"/>
        <w:spacing w:before="120"/>
      </w:pPr>
      <w:r>
        <w:t>Methods</w:t>
      </w:r>
    </w:p>
    <w:p w14:paraId="0B7AD790" w14:textId="77777777" w:rsidR="00C75312" w:rsidRDefault="00C75312">
      <w:pPr>
        <w:pStyle w:val="BodyText"/>
        <w:spacing w:before="5"/>
        <w:rPr>
          <w:b/>
          <w:sz w:val="34"/>
        </w:rPr>
      </w:pPr>
    </w:p>
    <w:p w14:paraId="02AC6DE2" w14:textId="77777777" w:rsidR="00C75312" w:rsidRDefault="00BB293A">
      <w:pPr>
        <w:pStyle w:val="BodyText"/>
        <w:spacing w:line="480" w:lineRule="auto"/>
        <w:ind w:left="140" w:right="234" w:firstLine="720"/>
        <w:jc w:val="both"/>
      </w:pPr>
      <w:r>
        <w:t>A</w:t>
      </w:r>
      <w:r>
        <w:rPr>
          <w:spacing w:val="-15"/>
        </w:rPr>
        <w:t xml:space="preserve"> </w:t>
      </w:r>
      <w:r>
        <w:t>subsample</w:t>
      </w:r>
      <w:r>
        <w:rPr>
          <w:spacing w:val="-14"/>
        </w:rPr>
        <w:t xml:space="preserve"> </w:t>
      </w:r>
      <w:r>
        <w:t>of</w:t>
      </w:r>
      <w:r>
        <w:rPr>
          <w:spacing w:val="-12"/>
        </w:rPr>
        <w:t xml:space="preserve"> </w:t>
      </w:r>
      <w:r>
        <w:t>the</w:t>
      </w:r>
      <w:r>
        <w:rPr>
          <w:spacing w:val="-14"/>
        </w:rPr>
        <w:t xml:space="preserve"> </w:t>
      </w:r>
      <w:r>
        <w:t>participants</w:t>
      </w:r>
      <w:r>
        <w:rPr>
          <w:spacing w:val="-16"/>
        </w:rPr>
        <w:t xml:space="preserve"> </w:t>
      </w:r>
      <w:r>
        <w:t>from</w:t>
      </w:r>
      <w:r>
        <w:rPr>
          <w:spacing w:val="-13"/>
        </w:rPr>
        <w:t xml:space="preserve"> </w:t>
      </w:r>
      <w:r>
        <w:t>Chapter</w:t>
      </w:r>
      <w:r>
        <w:rPr>
          <w:spacing w:val="-12"/>
        </w:rPr>
        <w:t xml:space="preserve"> </w:t>
      </w:r>
      <w:r>
        <w:t>4</w:t>
      </w:r>
      <w:r>
        <w:rPr>
          <w:spacing w:val="-13"/>
        </w:rPr>
        <w:t xml:space="preserve"> </w:t>
      </w:r>
      <w:r>
        <w:t>(</w:t>
      </w:r>
      <w:r>
        <w:rPr>
          <w:i/>
        </w:rPr>
        <w:t>N</w:t>
      </w:r>
      <w:r>
        <w:rPr>
          <w:i/>
          <w:spacing w:val="-15"/>
        </w:rPr>
        <w:t xml:space="preserve"> </w:t>
      </w:r>
      <w:r>
        <w:t>=</w:t>
      </w:r>
      <w:r>
        <w:rPr>
          <w:spacing w:val="-14"/>
        </w:rPr>
        <w:t xml:space="preserve"> </w:t>
      </w:r>
      <w:r>
        <w:t>27)</w:t>
      </w:r>
      <w:r>
        <w:rPr>
          <w:spacing w:val="-12"/>
        </w:rPr>
        <w:t xml:space="preserve"> </w:t>
      </w:r>
      <w:r>
        <w:t>took</w:t>
      </w:r>
      <w:r>
        <w:rPr>
          <w:spacing w:val="-13"/>
        </w:rPr>
        <w:t xml:space="preserve"> </w:t>
      </w:r>
      <w:r>
        <w:t>part</w:t>
      </w:r>
      <w:r>
        <w:rPr>
          <w:spacing w:val="-14"/>
        </w:rPr>
        <w:t xml:space="preserve"> </w:t>
      </w:r>
      <w:r>
        <w:t>in</w:t>
      </w:r>
      <w:r>
        <w:rPr>
          <w:spacing w:val="-13"/>
        </w:rPr>
        <w:t xml:space="preserve"> </w:t>
      </w:r>
      <w:r>
        <w:t>this</w:t>
      </w:r>
      <w:r>
        <w:rPr>
          <w:spacing w:val="-16"/>
        </w:rPr>
        <w:t xml:space="preserve"> </w:t>
      </w:r>
      <w:r>
        <w:t>pilot.</w:t>
      </w:r>
      <w:r>
        <w:rPr>
          <w:spacing w:val="36"/>
        </w:rPr>
        <w:t xml:space="preserve"> </w:t>
      </w:r>
      <w:r>
        <w:t>Thirteen participants (11 male) with ASD, as well 14 NT individuals (12 male) completed all</w:t>
      </w:r>
      <w:r>
        <w:rPr>
          <w:spacing w:val="-38"/>
        </w:rPr>
        <w:t xml:space="preserve"> </w:t>
      </w:r>
      <w:r>
        <w:t xml:space="preserve">measures as described in Chapter 4 (WASI-II, ADOS-2, AQ questionnaire, WCST, etc.), as well additional measures of interoceptive accuracy (heart beat detection task) and alexithymia (TAS-20 questionnaire) as described in Chapter </w:t>
      </w:r>
      <w:r>
        <w:rPr>
          <w:spacing w:val="-3"/>
        </w:rPr>
        <w:t xml:space="preserve">5. </w:t>
      </w:r>
      <w:r>
        <w:t xml:space="preserve">Groups were closely matched for gender, chronological age, verbal, and non-verbal abilities (see Table A 6). As a measure of time- based PM in ASD, performance data </w:t>
      </w:r>
      <w:r>
        <w:rPr>
          <w:spacing w:val="-3"/>
        </w:rPr>
        <w:t xml:space="preserve">of </w:t>
      </w:r>
      <w:r>
        <w:t>the PM low importanc</w:t>
      </w:r>
      <w:r>
        <w:t xml:space="preserve">e condition used in Chapter 4 was </w:t>
      </w:r>
      <w:proofErr w:type="spellStart"/>
      <w:r>
        <w:t>analysed</w:t>
      </w:r>
      <w:proofErr w:type="spellEnd"/>
      <w:r>
        <w:t xml:space="preserve"> (see Chapter 4 for a detailed description of the task procedure and</w:t>
      </w:r>
      <w:r>
        <w:rPr>
          <w:spacing w:val="-14"/>
        </w:rPr>
        <w:t xml:space="preserve"> </w:t>
      </w:r>
      <w:r>
        <w:t>scoring).</w:t>
      </w:r>
    </w:p>
    <w:p w14:paraId="2C00296B" w14:textId="77777777" w:rsidR="00C75312" w:rsidRDefault="00BB293A">
      <w:pPr>
        <w:spacing w:before="120"/>
        <w:ind w:left="140"/>
        <w:rPr>
          <w:i/>
          <w:sz w:val="20"/>
        </w:rPr>
      </w:pPr>
      <w:r>
        <w:rPr>
          <w:i/>
          <w:sz w:val="20"/>
        </w:rPr>
        <w:t>Table A 6. Group characteristics and matching of sub-sample</w:t>
      </w:r>
    </w:p>
    <w:p w14:paraId="1D41B372" w14:textId="77777777" w:rsidR="00C75312" w:rsidRDefault="00C75312">
      <w:pPr>
        <w:pStyle w:val="BodyText"/>
        <w:rPr>
          <w:i/>
          <w:sz w:val="17"/>
        </w:rPr>
      </w:pPr>
    </w:p>
    <w:p w14:paraId="7C8DECC5" w14:textId="77777777" w:rsidR="00C75312" w:rsidRDefault="00BB293A">
      <w:pPr>
        <w:pStyle w:val="BodyText"/>
        <w:spacing w:line="20" w:lineRule="exact"/>
        <w:ind w:left="132"/>
        <w:rPr>
          <w:sz w:val="2"/>
        </w:rPr>
      </w:pPr>
      <w:r>
        <w:rPr>
          <w:sz w:val="2"/>
        </w:rPr>
      </w:r>
      <w:r>
        <w:rPr>
          <w:sz w:val="2"/>
        </w:rPr>
        <w:pict w14:anchorId="064BB230">
          <v:group id="_x0000_s2072" style="width:451pt;height:.75pt;mso-position-horizontal-relative:char;mso-position-vertical-relative:line" coordsize="9020,15">
            <v:line id="_x0000_s2083" style="position:absolute" from="0,7" to="1848,7" strokeweight=".72pt"/>
            <v:rect id="_x0000_s2082" style="position:absolute;left:1848;width:15;height:15" fillcolor="black" stroked="f"/>
            <v:line id="_x0000_s2081" style="position:absolute" from="1862,7" to="5678,7" strokeweight=".72pt"/>
            <v:rect id="_x0000_s2080" style="position:absolute;left:5678;width:15;height:15" fillcolor="black" stroked="f"/>
            <v:line id="_x0000_s2079" style="position:absolute" from="5693,7" to="6528,7" strokeweight=".72pt"/>
            <v:rect id="_x0000_s2078" style="position:absolute;left:6528;width:15;height:15" fillcolor="black" stroked="f"/>
            <v:line id="_x0000_s2077" style="position:absolute" from="6542,7" to="7378,7" strokeweight=".72pt"/>
            <v:rect id="_x0000_s2076" style="position:absolute;left:7377;width:15;height:15" fillcolor="black" stroked="f"/>
            <v:line id="_x0000_s2075" style="position:absolute" from="7392,7" to="8088,7" strokeweight=".72pt"/>
            <v:rect id="_x0000_s2074" style="position:absolute;left:8088;width:15;height:15" fillcolor="black" stroked="f"/>
            <v:line id="_x0000_s2073" style="position:absolute" from="8102,7" to="9019,7" strokeweight=".72pt"/>
            <w10:anchorlock/>
          </v:group>
        </w:pict>
      </w:r>
    </w:p>
    <w:p w14:paraId="6BC14DA4" w14:textId="77777777" w:rsidR="00C75312" w:rsidRDefault="00C75312">
      <w:pPr>
        <w:spacing w:line="20" w:lineRule="exact"/>
        <w:rPr>
          <w:sz w:val="2"/>
        </w:rPr>
        <w:sectPr w:rsidR="00C75312">
          <w:pgSz w:w="11900" w:h="16840"/>
          <w:pgMar w:top="1160" w:right="1200" w:bottom="280" w:left="1300" w:header="720" w:footer="0" w:gutter="0"/>
          <w:cols w:space="720"/>
        </w:sectPr>
      </w:pPr>
    </w:p>
    <w:p w14:paraId="71CC8FC6" w14:textId="77777777" w:rsidR="00C75312" w:rsidRDefault="00BB293A">
      <w:pPr>
        <w:tabs>
          <w:tab w:val="left" w:pos="4752"/>
        </w:tabs>
        <w:spacing w:before="87" w:line="420" w:lineRule="auto"/>
        <w:ind w:left="2780" w:firstLine="321"/>
        <w:rPr>
          <w:b/>
          <w:sz w:val="20"/>
        </w:rPr>
      </w:pPr>
      <w:r>
        <w:pict w14:anchorId="20FF7D3B">
          <v:group id="_x0000_s2068" style="position:absolute;left:0;text-align:left;margin-left:164.4pt;margin-top:21.35pt;width:191.55pt;height:.5pt;z-index:-260450304;mso-position-horizontal-relative:page" coordorigin="3288,427" coordsize="3831,10">
            <v:line id="_x0000_s2071" style="position:absolute" from="3288,432" to="5270,432" strokeweight=".48pt"/>
            <v:rect id="_x0000_s2070" style="position:absolute;left:5270;top:427;width:10;height:10" fillcolor="black" stroked="f"/>
            <v:line id="_x0000_s2069" style="position:absolute" from="5280,432" to="7118,432" strokeweight=".48pt"/>
            <w10:wrap anchorx="page"/>
          </v:group>
        </w:pict>
      </w:r>
      <w:r>
        <w:rPr>
          <w:b/>
          <w:sz w:val="20"/>
        </w:rPr>
        <w:t>Group means (SD) ASD</w:t>
      </w:r>
      <w:r>
        <w:rPr>
          <w:b/>
          <w:sz w:val="20"/>
        </w:rPr>
        <w:tab/>
      </w:r>
      <w:r>
        <w:rPr>
          <w:b/>
          <w:spacing w:val="-12"/>
          <w:sz w:val="20"/>
        </w:rPr>
        <w:t>NT</w:t>
      </w:r>
    </w:p>
    <w:p w14:paraId="4FB4A13B" w14:textId="77777777" w:rsidR="00C75312" w:rsidRDefault="00BB293A">
      <w:pPr>
        <w:pStyle w:val="BodyText"/>
        <w:rPr>
          <w:b/>
          <w:sz w:val="22"/>
        </w:rPr>
      </w:pPr>
      <w:r>
        <w:br w:type="column"/>
      </w:r>
    </w:p>
    <w:p w14:paraId="5F9A297A" w14:textId="77777777" w:rsidR="00C75312" w:rsidRDefault="00C75312">
      <w:pPr>
        <w:pStyle w:val="BodyText"/>
        <w:rPr>
          <w:b/>
          <w:sz w:val="22"/>
        </w:rPr>
      </w:pPr>
    </w:p>
    <w:p w14:paraId="38360D61" w14:textId="77777777" w:rsidR="00C75312" w:rsidRDefault="00BB293A">
      <w:pPr>
        <w:tabs>
          <w:tab w:val="left" w:pos="1939"/>
          <w:tab w:val="left" w:pos="2750"/>
          <w:tab w:val="left" w:pos="3201"/>
        </w:tabs>
        <w:spacing w:before="128"/>
        <w:ind w:left="1142"/>
        <w:rPr>
          <w:b/>
          <w:i/>
          <w:sz w:val="20"/>
        </w:rPr>
      </w:pPr>
      <w:r>
        <w:pict w14:anchorId="04741734">
          <v:shape id="_x0000_s2067" type="#_x0000_t202" style="position:absolute;left:0;text-align:left;margin-left:71.3pt;margin-top:13.95pt;width:451.7pt;height:217.1pt;z-index:2518528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82"/>
                    <w:gridCol w:w="1843"/>
                    <w:gridCol w:w="1872"/>
                    <w:gridCol w:w="900"/>
                    <w:gridCol w:w="679"/>
                    <w:gridCol w:w="905"/>
                    <w:gridCol w:w="852"/>
                  </w:tblGrid>
                  <w:tr w:rsidR="00C75312" w14:paraId="154DE571" w14:textId="77777777">
                    <w:trPr>
                      <w:trHeight w:val="294"/>
                    </w:trPr>
                    <w:tc>
                      <w:tcPr>
                        <w:tcW w:w="1982" w:type="dxa"/>
                        <w:tcBorders>
                          <w:bottom w:val="single" w:sz="6" w:space="0" w:color="000000"/>
                        </w:tcBorders>
                      </w:tcPr>
                      <w:p w14:paraId="527817AB" w14:textId="77777777" w:rsidR="00C75312" w:rsidRDefault="00C75312">
                        <w:pPr>
                          <w:pStyle w:val="TableParagraph"/>
                        </w:pPr>
                      </w:p>
                    </w:tc>
                    <w:tc>
                      <w:tcPr>
                        <w:tcW w:w="1843" w:type="dxa"/>
                        <w:tcBorders>
                          <w:bottom w:val="single" w:sz="6" w:space="0" w:color="000000"/>
                        </w:tcBorders>
                      </w:tcPr>
                      <w:p w14:paraId="6430DB41" w14:textId="77777777" w:rsidR="00C75312" w:rsidRDefault="00BB293A">
                        <w:pPr>
                          <w:pStyle w:val="TableParagraph"/>
                          <w:spacing w:line="223" w:lineRule="exact"/>
                          <w:ind w:left="117" w:right="210"/>
                          <w:jc w:val="center"/>
                          <w:rPr>
                            <w:b/>
                            <w:sz w:val="20"/>
                          </w:rPr>
                        </w:pPr>
                        <w:r>
                          <w:rPr>
                            <w:b/>
                            <w:sz w:val="20"/>
                          </w:rPr>
                          <w:t>(</w:t>
                        </w:r>
                        <w:r>
                          <w:rPr>
                            <w:b/>
                            <w:i/>
                            <w:sz w:val="20"/>
                          </w:rPr>
                          <w:t xml:space="preserve">n </w:t>
                        </w:r>
                        <w:r>
                          <w:rPr>
                            <w:b/>
                            <w:sz w:val="20"/>
                          </w:rPr>
                          <w:t>= 13, 2 female)</w:t>
                        </w:r>
                      </w:p>
                    </w:tc>
                    <w:tc>
                      <w:tcPr>
                        <w:tcW w:w="1872" w:type="dxa"/>
                        <w:tcBorders>
                          <w:bottom w:val="single" w:sz="6" w:space="0" w:color="000000"/>
                        </w:tcBorders>
                      </w:tcPr>
                      <w:p w14:paraId="4158282D" w14:textId="77777777" w:rsidR="00C75312" w:rsidRDefault="00BB293A">
                        <w:pPr>
                          <w:pStyle w:val="TableParagraph"/>
                          <w:spacing w:line="223" w:lineRule="exact"/>
                          <w:ind w:left="213" w:right="193"/>
                          <w:jc w:val="center"/>
                          <w:rPr>
                            <w:b/>
                            <w:sz w:val="20"/>
                          </w:rPr>
                        </w:pPr>
                        <w:r>
                          <w:rPr>
                            <w:b/>
                            <w:sz w:val="20"/>
                          </w:rPr>
                          <w:t>(</w:t>
                        </w:r>
                        <w:r>
                          <w:rPr>
                            <w:b/>
                            <w:i/>
                            <w:sz w:val="20"/>
                          </w:rPr>
                          <w:t xml:space="preserve">n </w:t>
                        </w:r>
                        <w:r>
                          <w:rPr>
                            <w:b/>
                            <w:sz w:val="20"/>
                          </w:rPr>
                          <w:t>=14, 2 female)</w:t>
                        </w:r>
                      </w:p>
                    </w:tc>
                    <w:tc>
                      <w:tcPr>
                        <w:tcW w:w="3336" w:type="dxa"/>
                        <w:gridSpan w:val="4"/>
                        <w:tcBorders>
                          <w:bottom w:val="single" w:sz="6" w:space="0" w:color="000000"/>
                        </w:tcBorders>
                      </w:tcPr>
                      <w:p w14:paraId="6E0A1ED6" w14:textId="77777777" w:rsidR="00C75312" w:rsidRDefault="00C75312">
                        <w:pPr>
                          <w:pStyle w:val="TableParagraph"/>
                        </w:pPr>
                      </w:p>
                    </w:tc>
                  </w:tr>
                  <w:tr w:rsidR="00C75312" w14:paraId="236BE2DF" w14:textId="77777777">
                    <w:trPr>
                      <w:trHeight w:val="418"/>
                    </w:trPr>
                    <w:tc>
                      <w:tcPr>
                        <w:tcW w:w="1982" w:type="dxa"/>
                        <w:tcBorders>
                          <w:top w:val="single" w:sz="6" w:space="0" w:color="000000"/>
                        </w:tcBorders>
                      </w:tcPr>
                      <w:p w14:paraId="6867D087" w14:textId="77777777" w:rsidR="00C75312" w:rsidRDefault="00BB293A">
                        <w:pPr>
                          <w:pStyle w:val="TableParagraph"/>
                          <w:spacing w:before="86"/>
                          <w:ind w:left="5" w:right="114"/>
                          <w:jc w:val="center"/>
                          <w:rPr>
                            <w:sz w:val="20"/>
                          </w:rPr>
                        </w:pPr>
                        <w:r>
                          <w:rPr>
                            <w:sz w:val="20"/>
                          </w:rPr>
                          <w:t>Age</w:t>
                        </w:r>
                      </w:p>
                    </w:tc>
                    <w:tc>
                      <w:tcPr>
                        <w:tcW w:w="1843" w:type="dxa"/>
                        <w:tcBorders>
                          <w:top w:val="single" w:sz="6" w:space="0" w:color="000000"/>
                        </w:tcBorders>
                      </w:tcPr>
                      <w:p w14:paraId="71B7B8E3" w14:textId="77777777" w:rsidR="00C75312" w:rsidRDefault="00BB293A">
                        <w:pPr>
                          <w:pStyle w:val="TableParagraph"/>
                          <w:spacing w:before="86"/>
                          <w:ind w:left="117" w:right="210"/>
                          <w:jc w:val="center"/>
                          <w:rPr>
                            <w:sz w:val="20"/>
                          </w:rPr>
                        </w:pPr>
                        <w:r>
                          <w:rPr>
                            <w:sz w:val="20"/>
                          </w:rPr>
                          <w:t>35.27 (9.82)</w:t>
                        </w:r>
                      </w:p>
                    </w:tc>
                    <w:tc>
                      <w:tcPr>
                        <w:tcW w:w="1872" w:type="dxa"/>
                        <w:tcBorders>
                          <w:top w:val="single" w:sz="6" w:space="0" w:color="000000"/>
                        </w:tcBorders>
                      </w:tcPr>
                      <w:p w14:paraId="303CC13F" w14:textId="77777777" w:rsidR="00C75312" w:rsidRDefault="00BB293A">
                        <w:pPr>
                          <w:pStyle w:val="TableParagraph"/>
                          <w:spacing w:before="86"/>
                          <w:ind w:left="208" w:right="193"/>
                          <w:jc w:val="center"/>
                          <w:rPr>
                            <w:sz w:val="20"/>
                          </w:rPr>
                        </w:pPr>
                        <w:r>
                          <w:rPr>
                            <w:sz w:val="20"/>
                          </w:rPr>
                          <w:t>35.64 (12.67)</w:t>
                        </w:r>
                      </w:p>
                    </w:tc>
                    <w:tc>
                      <w:tcPr>
                        <w:tcW w:w="900" w:type="dxa"/>
                        <w:tcBorders>
                          <w:top w:val="single" w:sz="6" w:space="0" w:color="000000"/>
                        </w:tcBorders>
                      </w:tcPr>
                      <w:p w14:paraId="25CE4D34" w14:textId="77777777" w:rsidR="00C75312" w:rsidRDefault="00BB293A">
                        <w:pPr>
                          <w:pStyle w:val="TableParagraph"/>
                          <w:spacing w:before="86"/>
                          <w:ind w:left="195" w:right="247"/>
                          <w:jc w:val="center"/>
                          <w:rPr>
                            <w:sz w:val="20"/>
                          </w:rPr>
                        </w:pPr>
                        <w:r>
                          <w:rPr>
                            <w:sz w:val="20"/>
                          </w:rPr>
                          <w:t>-0.08</w:t>
                        </w:r>
                      </w:p>
                    </w:tc>
                    <w:tc>
                      <w:tcPr>
                        <w:tcW w:w="679" w:type="dxa"/>
                        <w:tcBorders>
                          <w:top w:val="single" w:sz="6" w:space="0" w:color="000000"/>
                        </w:tcBorders>
                      </w:tcPr>
                      <w:p w14:paraId="76748A05" w14:textId="77777777" w:rsidR="00C75312" w:rsidRDefault="00BB293A">
                        <w:pPr>
                          <w:pStyle w:val="TableParagraph"/>
                          <w:spacing w:before="86"/>
                          <w:ind w:right="208"/>
                          <w:jc w:val="right"/>
                          <w:rPr>
                            <w:sz w:val="20"/>
                          </w:rPr>
                        </w:pPr>
                        <w:r>
                          <w:rPr>
                            <w:sz w:val="20"/>
                          </w:rPr>
                          <w:t>25</w:t>
                        </w:r>
                      </w:p>
                    </w:tc>
                    <w:tc>
                      <w:tcPr>
                        <w:tcW w:w="905" w:type="dxa"/>
                        <w:tcBorders>
                          <w:top w:val="single" w:sz="6" w:space="0" w:color="000000"/>
                        </w:tcBorders>
                      </w:tcPr>
                      <w:p w14:paraId="6FDFE29E" w14:textId="77777777" w:rsidR="00C75312" w:rsidRDefault="00BB293A">
                        <w:pPr>
                          <w:pStyle w:val="TableParagraph"/>
                          <w:spacing w:before="86"/>
                          <w:ind w:left="189" w:right="157"/>
                          <w:jc w:val="center"/>
                          <w:rPr>
                            <w:sz w:val="20"/>
                          </w:rPr>
                        </w:pPr>
                        <w:r>
                          <w:rPr>
                            <w:sz w:val="20"/>
                          </w:rPr>
                          <w:t>.93</w:t>
                        </w:r>
                      </w:p>
                    </w:tc>
                    <w:tc>
                      <w:tcPr>
                        <w:tcW w:w="852" w:type="dxa"/>
                        <w:tcBorders>
                          <w:top w:val="single" w:sz="6" w:space="0" w:color="000000"/>
                        </w:tcBorders>
                      </w:tcPr>
                      <w:p w14:paraId="7B05AA86" w14:textId="77777777" w:rsidR="00C75312" w:rsidRDefault="00BB293A">
                        <w:pPr>
                          <w:pStyle w:val="TableParagraph"/>
                          <w:spacing w:before="86"/>
                          <w:ind w:left="175"/>
                          <w:rPr>
                            <w:sz w:val="20"/>
                          </w:rPr>
                        </w:pPr>
                        <w:r>
                          <w:rPr>
                            <w:sz w:val="20"/>
                          </w:rPr>
                          <w:t>-0.03</w:t>
                        </w:r>
                      </w:p>
                    </w:tc>
                  </w:tr>
                  <w:tr w:rsidR="00C75312" w14:paraId="649C5242" w14:textId="77777777">
                    <w:trPr>
                      <w:trHeight w:val="427"/>
                    </w:trPr>
                    <w:tc>
                      <w:tcPr>
                        <w:tcW w:w="1982" w:type="dxa"/>
                      </w:tcPr>
                      <w:p w14:paraId="7CEB5927" w14:textId="77777777" w:rsidR="00C75312" w:rsidRDefault="00BB293A">
                        <w:pPr>
                          <w:pStyle w:val="TableParagraph"/>
                          <w:spacing w:before="95"/>
                          <w:ind w:left="8" w:right="114"/>
                          <w:jc w:val="center"/>
                          <w:rPr>
                            <w:sz w:val="20"/>
                          </w:rPr>
                        </w:pPr>
                        <w:r>
                          <w:rPr>
                            <w:sz w:val="20"/>
                          </w:rPr>
                          <w:t>VIQ</w:t>
                        </w:r>
                      </w:p>
                    </w:tc>
                    <w:tc>
                      <w:tcPr>
                        <w:tcW w:w="1843" w:type="dxa"/>
                      </w:tcPr>
                      <w:p w14:paraId="6BC82CB2" w14:textId="77777777" w:rsidR="00C75312" w:rsidRDefault="00BB293A">
                        <w:pPr>
                          <w:pStyle w:val="TableParagraph"/>
                          <w:spacing w:before="95"/>
                          <w:ind w:left="113" w:right="210"/>
                          <w:jc w:val="center"/>
                          <w:rPr>
                            <w:sz w:val="20"/>
                          </w:rPr>
                        </w:pPr>
                        <w:r>
                          <w:rPr>
                            <w:sz w:val="20"/>
                          </w:rPr>
                          <w:t>106.85 (14.47)</w:t>
                        </w:r>
                      </w:p>
                    </w:tc>
                    <w:tc>
                      <w:tcPr>
                        <w:tcW w:w="1872" w:type="dxa"/>
                      </w:tcPr>
                      <w:p w14:paraId="7967887F" w14:textId="77777777" w:rsidR="00C75312" w:rsidRDefault="00BB293A">
                        <w:pPr>
                          <w:pStyle w:val="TableParagraph"/>
                          <w:spacing w:before="95"/>
                          <w:ind w:left="208" w:right="193"/>
                          <w:jc w:val="center"/>
                          <w:rPr>
                            <w:sz w:val="20"/>
                          </w:rPr>
                        </w:pPr>
                        <w:r>
                          <w:rPr>
                            <w:sz w:val="20"/>
                          </w:rPr>
                          <w:t>104.64 (8.11)</w:t>
                        </w:r>
                      </w:p>
                    </w:tc>
                    <w:tc>
                      <w:tcPr>
                        <w:tcW w:w="900" w:type="dxa"/>
                      </w:tcPr>
                      <w:p w14:paraId="13EC5644" w14:textId="77777777" w:rsidR="00C75312" w:rsidRDefault="00BB293A">
                        <w:pPr>
                          <w:pStyle w:val="TableParagraph"/>
                          <w:spacing w:before="95"/>
                          <w:ind w:left="194" w:right="247"/>
                          <w:jc w:val="center"/>
                          <w:rPr>
                            <w:sz w:val="20"/>
                          </w:rPr>
                        </w:pPr>
                        <w:r>
                          <w:rPr>
                            <w:sz w:val="20"/>
                          </w:rPr>
                          <w:t>0.49</w:t>
                        </w:r>
                      </w:p>
                    </w:tc>
                    <w:tc>
                      <w:tcPr>
                        <w:tcW w:w="679" w:type="dxa"/>
                      </w:tcPr>
                      <w:p w14:paraId="6CB6385B" w14:textId="77777777" w:rsidR="00C75312" w:rsidRDefault="00BB293A">
                        <w:pPr>
                          <w:pStyle w:val="TableParagraph"/>
                          <w:spacing w:before="95"/>
                          <w:ind w:right="208"/>
                          <w:jc w:val="right"/>
                          <w:rPr>
                            <w:sz w:val="20"/>
                          </w:rPr>
                        </w:pPr>
                        <w:r>
                          <w:rPr>
                            <w:sz w:val="20"/>
                          </w:rPr>
                          <w:t>25</w:t>
                        </w:r>
                      </w:p>
                    </w:tc>
                    <w:tc>
                      <w:tcPr>
                        <w:tcW w:w="905" w:type="dxa"/>
                      </w:tcPr>
                      <w:p w14:paraId="259CEA1B" w14:textId="77777777" w:rsidR="00C75312" w:rsidRDefault="00BB293A">
                        <w:pPr>
                          <w:pStyle w:val="TableParagraph"/>
                          <w:spacing w:before="95"/>
                          <w:ind w:left="189" w:right="157"/>
                          <w:jc w:val="center"/>
                          <w:rPr>
                            <w:sz w:val="20"/>
                          </w:rPr>
                        </w:pPr>
                        <w:r>
                          <w:rPr>
                            <w:sz w:val="20"/>
                          </w:rPr>
                          <w:t>.63</w:t>
                        </w:r>
                      </w:p>
                    </w:tc>
                    <w:tc>
                      <w:tcPr>
                        <w:tcW w:w="852" w:type="dxa"/>
                      </w:tcPr>
                      <w:p w14:paraId="0FCDC8C8" w14:textId="77777777" w:rsidR="00C75312" w:rsidRDefault="00BB293A">
                        <w:pPr>
                          <w:pStyle w:val="TableParagraph"/>
                          <w:spacing w:before="95"/>
                          <w:ind w:left="209"/>
                          <w:rPr>
                            <w:sz w:val="20"/>
                          </w:rPr>
                        </w:pPr>
                        <w:r>
                          <w:rPr>
                            <w:sz w:val="20"/>
                          </w:rPr>
                          <w:t>0.19</w:t>
                        </w:r>
                      </w:p>
                    </w:tc>
                  </w:tr>
                  <w:tr w:rsidR="00C75312" w14:paraId="1817ECDD" w14:textId="77777777">
                    <w:trPr>
                      <w:trHeight w:val="427"/>
                    </w:trPr>
                    <w:tc>
                      <w:tcPr>
                        <w:tcW w:w="1982" w:type="dxa"/>
                      </w:tcPr>
                      <w:p w14:paraId="5C0C9141" w14:textId="77777777" w:rsidR="00C75312" w:rsidRDefault="00BB293A">
                        <w:pPr>
                          <w:pStyle w:val="TableParagraph"/>
                          <w:spacing w:before="95"/>
                          <w:ind w:left="3" w:right="114"/>
                          <w:jc w:val="center"/>
                          <w:rPr>
                            <w:sz w:val="20"/>
                          </w:rPr>
                        </w:pPr>
                        <w:r>
                          <w:rPr>
                            <w:sz w:val="20"/>
                          </w:rPr>
                          <w:t>PIQ</w:t>
                        </w:r>
                      </w:p>
                    </w:tc>
                    <w:tc>
                      <w:tcPr>
                        <w:tcW w:w="1843" w:type="dxa"/>
                      </w:tcPr>
                      <w:p w14:paraId="692D5E4D" w14:textId="77777777" w:rsidR="00C75312" w:rsidRDefault="00BB293A">
                        <w:pPr>
                          <w:pStyle w:val="TableParagraph"/>
                          <w:spacing w:before="95"/>
                          <w:ind w:left="113" w:right="210"/>
                          <w:jc w:val="center"/>
                          <w:rPr>
                            <w:sz w:val="20"/>
                          </w:rPr>
                        </w:pPr>
                        <w:r>
                          <w:rPr>
                            <w:sz w:val="20"/>
                          </w:rPr>
                          <w:t>109.00 (18.89)</w:t>
                        </w:r>
                      </w:p>
                    </w:tc>
                    <w:tc>
                      <w:tcPr>
                        <w:tcW w:w="1872" w:type="dxa"/>
                      </w:tcPr>
                      <w:p w14:paraId="0C879B33" w14:textId="77777777" w:rsidR="00C75312" w:rsidRDefault="00BB293A">
                        <w:pPr>
                          <w:pStyle w:val="TableParagraph"/>
                          <w:spacing w:before="95"/>
                          <w:ind w:left="208" w:right="193"/>
                          <w:jc w:val="center"/>
                          <w:rPr>
                            <w:sz w:val="20"/>
                          </w:rPr>
                        </w:pPr>
                        <w:r>
                          <w:rPr>
                            <w:sz w:val="20"/>
                          </w:rPr>
                          <w:t>104.00 (10.81)</w:t>
                        </w:r>
                      </w:p>
                    </w:tc>
                    <w:tc>
                      <w:tcPr>
                        <w:tcW w:w="900" w:type="dxa"/>
                      </w:tcPr>
                      <w:p w14:paraId="4959A43B" w14:textId="77777777" w:rsidR="00C75312" w:rsidRDefault="00BB293A">
                        <w:pPr>
                          <w:pStyle w:val="TableParagraph"/>
                          <w:spacing w:before="95"/>
                          <w:ind w:left="195" w:right="247"/>
                          <w:jc w:val="center"/>
                          <w:rPr>
                            <w:sz w:val="20"/>
                          </w:rPr>
                        </w:pPr>
                        <w:r>
                          <w:rPr>
                            <w:sz w:val="20"/>
                          </w:rPr>
                          <w:t>0.85</w:t>
                        </w:r>
                      </w:p>
                    </w:tc>
                    <w:tc>
                      <w:tcPr>
                        <w:tcW w:w="679" w:type="dxa"/>
                      </w:tcPr>
                      <w:p w14:paraId="0EFE47D3" w14:textId="77777777" w:rsidR="00C75312" w:rsidRDefault="00BB293A">
                        <w:pPr>
                          <w:pStyle w:val="TableParagraph"/>
                          <w:spacing w:before="95"/>
                          <w:ind w:right="208"/>
                          <w:jc w:val="right"/>
                          <w:rPr>
                            <w:sz w:val="20"/>
                          </w:rPr>
                        </w:pPr>
                        <w:r>
                          <w:rPr>
                            <w:sz w:val="20"/>
                          </w:rPr>
                          <w:t>25</w:t>
                        </w:r>
                      </w:p>
                    </w:tc>
                    <w:tc>
                      <w:tcPr>
                        <w:tcW w:w="905" w:type="dxa"/>
                      </w:tcPr>
                      <w:p w14:paraId="4C161BB4" w14:textId="77777777" w:rsidR="00C75312" w:rsidRDefault="00BB293A">
                        <w:pPr>
                          <w:pStyle w:val="TableParagraph"/>
                          <w:spacing w:before="95"/>
                          <w:ind w:left="189" w:right="157"/>
                          <w:jc w:val="center"/>
                          <w:rPr>
                            <w:sz w:val="20"/>
                          </w:rPr>
                        </w:pPr>
                        <w:r>
                          <w:rPr>
                            <w:sz w:val="20"/>
                          </w:rPr>
                          <w:t>.40</w:t>
                        </w:r>
                      </w:p>
                    </w:tc>
                    <w:tc>
                      <w:tcPr>
                        <w:tcW w:w="852" w:type="dxa"/>
                      </w:tcPr>
                      <w:p w14:paraId="0731AF1F" w14:textId="77777777" w:rsidR="00C75312" w:rsidRDefault="00BB293A">
                        <w:pPr>
                          <w:pStyle w:val="TableParagraph"/>
                          <w:spacing w:before="95"/>
                          <w:ind w:left="209"/>
                          <w:rPr>
                            <w:sz w:val="20"/>
                          </w:rPr>
                        </w:pPr>
                        <w:r>
                          <w:rPr>
                            <w:sz w:val="20"/>
                          </w:rPr>
                          <w:t>0.33</w:t>
                        </w:r>
                      </w:p>
                    </w:tc>
                  </w:tr>
                  <w:tr w:rsidR="00C75312" w14:paraId="0FC4CCA1" w14:textId="77777777">
                    <w:trPr>
                      <w:trHeight w:val="427"/>
                    </w:trPr>
                    <w:tc>
                      <w:tcPr>
                        <w:tcW w:w="1982" w:type="dxa"/>
                      </w:tcPr>
                      <w:p w14:paraId="68E6A164" w14:textId="77777777" w:rsidR="00C75312" w:rsidRDefault="00BB293A">
                        <w:pPr>
                          <w:pStyle w:val="TableParagraph"/>
                          <w:spacing w:before="95"/>
                          <w:ind w:left="8" w:right="114"/>
                          <w:jc w:val="center"/>
                          <w:rPr>
                            <w:sz w:val="20"/>
                          </w:rPr>
                        </w:pPr>
                        <w:r>
                          <w:rPr>
                            <w:sz w:val="20"/>
                          </w:rPr>
                          <w:t>FSIQ</w:t>
                        </w:r>
                      </w:p>
                    </w:tc>
                    <w:tc>
                      <w:tcPr>
                        <w:tcW w:w="1843" w:type="dxa"/>
                      </w:tcPr>
                      <w:p w14:paraId="72CA61A0" w14:textId="77777777" w:rsidR="00C75312" w:rsidRDefault="00BB293A">
                        <w:pPr>
                          <w:pStyle w:val="TableParagraph"/>
                          <w:spacing w:before="95"/>
                          <w:ind w:left="113" w:right="210"/>
                          <w:jc w:val="center"/>
                          <w:rPr>
                            <w:sz w:val="20"/>
                          </w:rPr>
                        </w:pPr>
                        <w:r>
                          <w:rPr>
                            <w:sz w:val="20"/>
                          </w:rPr>
                          <w:t>108.38 (15.85)</w:t>
                        </w:r>
                      </w:p>
                    </w:tc>
                    <w:tc>
                      <w:tcPr>
                        <w:tcW w:w="1872" w:type="dxa"/>
                      </w:tcPr>
                      <w:p w14:paraId="59103155" w14:textId="77777777" w:rsidR="00C75312" w:rsidRDefault="00BB293A">
                        <w:pPr>
                          <w:pStyle w:val="TableParagraph"/>
                          <w:spacing w:before="95"/>
                          <w:ind w:left="208" w:right="193"/>
                          <w:jc w:val="center"/>
                          <w:rPr>
                            <w:sz w:val="20"/>
                          </w:rPr>
                        </w:pPr>
                        <w:r>
                          <w:rPr>
                            <w:sz w:val="20"/>
                          </w:rPr>
                          <w:t>104.79 (8.68)</w:t>
                        </w:r>
                      </w:p>
                    </w:tc>
                    <w:tc>
                      <w:tcPr>
                        <w:tcW w:w="900" w:type="dxa"/>
                      </w:tcPr>
                      <w:p w14:paraId="5D416D9B" w14:textId="77777777" w:rsidR="00C75312" w:rsidRDefault="00BB293A">
                        <w:pPr>
                          <w:pStyle w:val="TableParagraph"/>
                          <w:spacing w:before="95"/>
                          <w:ind w:left="195" w:right="247"/>
                          <w:jc w:val="center"/>
                          <w:rPr>
                            <w:sz w:val="20"/>
                          </w:rPr>
                        </w:pPr>
                        <w:r>
                          <w:rPr>
                            <w:sz w:val="20"/>
                          </w:rPr>
                          <w:t>0.74</w:t>
                        </w:r>
                      </w:p>
                    </w:tc>
                    <w:tc>
                      <w:tcPr>
                        <w:tcW w:w="679" w:type="dxa"/>
                      </w:tcPr>
                      <w:p w14:paraId="3216CA72" w14:textId="77777777" w:rsidR="00C75312" w:rsidRDefault="00BB293A">
                        <w:pPr>
                          <w:pStyle w:val="TableParagraph"/>
                          <w:spacing w:before="95"/>
                          <w:ind w:right="208"/>
                          <w:jc w:val="right"/>
                          <w:rPr>
                            <w:sz w:val="20"/>
                          </w:rPr>
                        </w:pPr>
                        <w:r>
                          <w:rPr>
                            <w:sz w:val="20"/>
                          </w:rPr>
                          <w:t>25</w:t>
                        </w:r>
                      </w:p>
                    </w:tc>
                    <w:tc>
                      <w:tcPr>
                        <w:tcW w:w="905" w:type="dxa"/>
                      </w:tcPr>
                      <w:p w14:paraId="2F6149E9" w14:textId="77777777" w:rsidR="00C75312" w:rsidRDefault="00BB293A">
                        <w:pPr>
                          <w:pStyle w:val="TableParagraph"/>
                          <w:spacing w:before="95"/>
                          <w:ind w:left="189" w:right="157"/>
                          <w:jc w:val="center"/>
                          <w:rPr>
                            <w:sz w:val="20"/>
                          </w:rPr>
                        </w:pPr>
                        <w:r>
                          <w:rPr>
                            <w:sz w:val="20"/>
                          </w:rPr>
                          <w:t>.48</w:t>
                        </w:r>
                      </w:p>
                    </w:tc>
                    <w:tc>
                      <w:tcPr>
                        <w:tcW w:w="852" w:type="dxa"/>
                      </w:tcPr>
                      <w:p w14:paraId="425D48F6" w14:textId="77777777" w:rsidR="00C75312" w:rsidRDefault="00BB293A">
                        <w:pPr>
                          <w:pStyle w:val="TableParagraph"/>
                          <w:spacing w:before="95"/>
                          <w:ind w:left="209"/>
                          <w:rPr>
                            <w:sz w:val="20"/>
                          </w:rPr>
                        </w:pPr>
                        <w:r>
                          <w:rPr>
                            <w:sz w:val="20"/>
                          </w:rPr>
                          <w:t>0.29</w:t>
                        </w:r>
                      </w:p>
                    </w:tc>
                  </w:tr>
                  <w:tr w:rsidR="00C75312" w14:paraId="5F9E3EE5" w14:textId="77777777">
                    <w:trPr>
                      <w:trHeight w:val="424"/>
                    </w:trPr>
                    <w:tc>
                      <w:tcPr>
                        <w:tcW w:w="1982" w:type="dxa"/>
                      </w:tcPr>
                      <w:p w14:paraId="0BEAE601" w14:textId="77777777" w:rsidR="00C75312" w:rsidRDefault="00BB293A">
                        <w:pPr>
                          <w:pStyle w:val="TableParagraph"/>
                          <w:spacing w:before="95"/>
                          <w:ind w:left="5" w:right="114"/>
                          <w:jc w:val="center"/>
                          <w:rPr>
                            <w:sz w:val="20"/>
                          </w:rPr>
                        </w:pPr>
                        <w:r>
                          <w:rPr>
                            <w:sz w:val="20"/>
                          </w:rPr>
                          <w:t>AQ</w:t>
                        </w:r>
                      </w:p>
                    </w:tc>
                    <w:tc>
                      <w:tcPr>
                        <w:tcW w:w="1843" w:type="dxa"/>
                      </w:tcPr>
                      <w:p w14:paraId="4D86599A" w14:textId="77777777" w:rsidR="00C75312" w:rsidRDefault="00BB293A">
                        <w:pPr>
                          <w:pStyle w:val="TableParagraph"/>
                          <w:spacing w:before="95"/>
                          <w:ind w:left="117" w:right="210"/>
                          <w:jc w:val="center"/>
                          <w:rPr>
                            <w:sz w:val="20"/>
                          </w:rPr>
                        </w:pPr>
                        <w:r>
                          <w:rPr>
                            <w:sz w:val="20"/>
                          </w:rPr>
                          <w:t>31.08 (9.74)</w:t>
                        </w:r>
                      </w:p>
                    </w:tc>
                    <w:tc>
                      <w:tcPr>
                        <w:tcW w:w="1872" w:type="dxa"/>
                      </w:tcPr>
                      <w:p w14:paraId="36284D5A" w14:textId="77777777" w:rsidR="00C75312" w:rsidRDefault="00BB293A">
                        <w:pPr>
                          <w:pStyle w:val="TableParagraph"/>
                          <w:spacing w:before="95"/>
                          <w:ind w:left="213" w:right="193"/>
                          <w:jc w:val="center"/>
                          <w:rPr>
                            <w:sz w:val="20"/>
                          </w:rPr>
                        </w:pPr>
                        <w:r>
                          <w:rPr>
                            <w:sz w:val="20"/>
                          </w:rPr>
                          <w:t>14.64 (5.24)</w:t>
                        </w:r>
                      </w:p>
                    </w:tc>
                    <w:tc>
                      <w:tcPr>
                        <w:tcW w:w="900" w:type="dxa"/>
                      </w:tcPr>
                      <w:p w14:paraId="432C3875" w14:textId="77777777" w:rsidR="00C75312" w:rsidRDefault="00BB293A">
                        <w:pPr>
                          <w:pStyle w:val="TableParagraph"/>
                          <w:spacing w:before="95"/>
                          <w:ind w:left="195" w:right="247"/>
                          <w:jc w:val="center"/>
                          <w:rPr>
                            <w:sz w:val="20"/>
                          </w:rPr>
                        </w:pPr>
                        <w:r>
                          <w:rPr>
                            <w:sz w:val="20"/>
                          </w:rPr>
                          <w:t>5.52</w:t>
                        </w:r>
                      </w:p>
                    </w:tc>
                    <w:tc>
                      <w:tcPr>
                        <w:tcW w:w="679" w:type="dxa"/>
                      </w:tcPr>
                      <w:p w14:paraId="127EB447" w14:textId="77777777" w:rsidR="00C75312" w:rsidRDefault="00BB293A">
                        <w:pPr>
                          <w:pStyle w:val="TableParagraph"/>
                          <w:spacing w:before="95"/>
                          <w:ind w:right="208"/>
                          <w:jc w:val="right"/>
                          <w:rPr>
                            <w:sz w:val="20"/>
                          </w:rPr>
                        </w:pPr>
                        <w:r>
                          <w:rPr>
                            <w:sz w:val="20"/>
                          </w:rPr>
                          <w:t>25</w:t>
                        </w:r>
                      </w:p>
                    </w:tc>
                    <w:tc>
                      <w:tcPr>
                        <w:tcW w:w="905" w:type="dxa"/>
                      </w:tcPr>
                      <w:p w14:paraId="21D6BE1E" w14:textId="77777777" w:rsidR="00C75312" w:rsidRDefault="00BB293A">
                        <w:pPr>
                          <w:pStyle w:val="TableParagraph"/>
                          <w:spacing w:before="95"/>
                          <w:ind w:left="194" w:right="157"/>
                          <w:jc w:val="center"/>
                          <w:rPr>
                            <w:sz w:val="20"/>
                          </w:rPr>
                        </w:pPr>
                        <w:r>
                          <w:rPr>
                            <w:sz w:val="20"/>
                          </w:rPr>
                          <w:t>&lt; .001</w:t>
                        </w:r>
                      </w:p>
                    </w:tc>
                    <w:tc>
                      <w:tcPr>
                        <w:tcW w:w="852" w:type="dxa"/>
                      </w:tcPr>
                      <w:p w14:paraId="464852D3" w14:textId="77777777" w:rsidR="00C75312" w:rsidRDefault="00BB293A">
                        <w:pPr>
                          <w:pStyle w:val="TableParagraph"/>
                          <w:spacing w:before="95"/>
                          <w:ind w:left="209"/>
                          <w:rPr>
                            <w:sz w:val="20"/>
                          </w:rPr>
                        </w:pPr>
                        <w:r>
                          <w:rPr>
                            <w:sz w:val="20"/>
                          </w:rPr>
                          <w:t>2.12</w:t>
                        </w:r>
                      </w:p>
                    </w:tc>
                  </w:tr>
                  <w:tr w:rsidR="00C75312" w14:paraId="58A2899D" w14:textId="77777777">
                    <w:trPr>
                      <w:trHeight w:val="424"/>
                    </w:trPr>
                    <w:tc>
                      <w:tcPr>
                        <w:tcW w:w="1982" w:type="dxa"/>
                      </w:tcPr>
                      <w:p w14:paraId="54DFB3A7" w14:textId="77777777" w:rsidR="00C75312" w:rsidRDefault="00BB293A">
                        <w:pPr>
                          <w:pStyle w:val="TableParagraph"/>
                          <w:spacing w:before="92"/>
                          <w:ind w:left="2" w:right="114"/>
                          <w:jc w:val="center"/>
                          <w:rPr>
                            <w:sz w:val="20"/>
                          </w:rPr>
                        </w:pPr>
                        <w:r>
                          <w:rPr>
                            <w:sz w:val="20"/>
                          </w:rPr>
                          <w:t>ADOS</w:t>
                        </w:r>
                      </w:p>
                    </w:tc>
                    <w:tc>
                      <w:tcPr>
                        <w:tcW w:w="1843" w:type="dxa"/>
                      </w:tcPr>
                      <w:p w14:paraId="24FBED0E" w14:textId="77777777" w:rsidR="00C75312" w:rsidRDefault="00BB293A">
                        <w:pPr>
                          <w:pStyle w:val="TableParagraph"/>
                          <w:spacing w:before="92"/>
                          <w:ind w:left="113" w:right="210"/>
                          <w:jc w:val="center"/>
                          <w:rPr>
                            <w:sz w:val="20"/>
                          </w:rPr>
                        </w:pPr>
                        <w:r>
                          <w:rPr>
                            <w:sz w:val="20"/>
                          </w:rPr>
                          <w:t>11.77</w:t>
                        </w:r>
                      </w:p>
                    </w:tc>
                    <w:tc>
                      <w:tcPr>
                        <w:tcW w:w="1872" w:type="dxa"/>
                      </w:tcPr>
                      <w:p w14:paraId="6FC1EE53" w14:textId="77777777" w:rsidR="00C75312" w:rsidRDefault="00C75312">
                        <w:pPr>
                          <w:pStyle w:val="TableParagraph"/>
                        </w:pPr>
                      </w:p>
                    </w:tc>
                    <w:tc>
                      <w:tcPr>
                        <w:tcW w:w="900" w:type="dxa"/>
                      </w:tcPr>
                      <w:p w14:paraId="7DE0E7DA" w14:textId="77777777" w:rsidR="00C75312" w:rsidRDefault="00C75312">
                        <w:pPr>
                          <w:pStyle w:val="TableParagraph"/>
                        </w:pPr>
                      </w:p>
                    </w:tc>
                    <w:tc>
                      <w:tcPr>
                        <w:tcW w:w="679" w:type="dxa"/>
                      </w:tcPr>
                      <w:p w14:paraId="382B8038" w14:textId="77777777" w:rsidR="00C75312" w:rsidRDefault="00BB293A">
                        <w:pPr>
                          <w:pStyle w:val="TableParagraph"/>
                          <w:spacing w:before="92"/>
                          <w:ind w:right="208"/>
                          <w:jc w:val="right"/>
                          <w:rPr>
                            <w:sz w:val="20"/>
                          </w:rPr>
                        </w:pPr>
                        <w:r>
                          <w:rPr>
                            <w:sz w:val="20"/>
                          </w:rPr>
                          <w:t>25</w:t>
                        </w:r>
                      </w:p>
                    </w:tc>
                    <w:tc>
                      <w:tcPr>
                        <w:tcW w:w="905" w:type="dxa"/>
                      </w:tcPr>
                      <w:p w14:paraId="77E2BF14" w14:textId="77777777" w:rsidR="00C75312" w:rsidRDefault="00C75312">
                        <w:pPr>
                          <w:pStyle w:val="TableParagraph"/>
                        </w:pPr>
                      </w:p>
                    </w:tc>
                    <w:tc>
                      <w:tcPr>
                        <w:tcW w:w="852" w:type="dxa"/>
                      </w:tcPr>
                      <w:p w14:paraId="50C96132" w14:textId="77777777" w:rsidR="00C75312" w:rsidRDefault="00C75312">
                        <w:pPr>
                          <w:pStyle w:val="TableParagraph"/>
                        </w:pPr>
                      </w:p>
                    </w:tc>
                  </w:tr>
                  <w:tr w:rsidR="00C75312" w14:paraId="179A23B1" w14:textId="77777777">
                    <w:trPr>
                      <w:trHeight w:val="410"/>
                    </w:trPr>
                    <w:tc>
                      <w:tcPr>
                        <w:tcW w:w="1982" w:type="dxa"/>
                      </w:tcPr>
                      <w:p w14:paraId="6E862CB1" w14:textId="77777777" w:rsidR="00C75312" w:rsidRDefault="00BB293A">
                        <w:pPr>
                          <w:pStyle w:val="TableParagraph"/>
                          <w:spacing w:before="95"/>
                          <w:ind w:left="3" w:right="114"/>
                          <w:jc w:val="center"/>
                          <w:rPr>
                            <w:sz w:val="20"/>
                          </w:rPr>
                        </w:pPr>
                        <w:r>
                          <w:rPr>
                            <w:sz w:val="20"/>
                          </w:rPr>
                          <w:t>TAS</w:t>
                        </w:r>
                      </w:p>
                    </w:tc>
                    <w:tc>
                      <w:tcPr>
                        <w:tcW w:w="1843" w:type="dxa"/>
                      </w:tcPr>
                      <w:p w14:paraId="2C6D6848" w14:textId="77777777" w:rsidR="00C75312" w:rsidRDefault="00BB293A">
                        <w:pPr>
                          <w:pStyle w:val="TableParagraph"/>
                          <w:spacing w:before="95"/>
                          <w:ind w:left="113" w:right="210"/>
                          <w:jc w:val="center"/>
                          <w:rPr>
                            <w:sz w:val="20"/>
                          </w:rPr>
                        </w:pPr>
                        <w:r>
                          <w:rPr>
                            <w:sz w:val="20"/>
                          </w:rPr>
                          <w:t>58.92 (14.31)</w:t>
                        </w:r>
                      </w:p>
                    </w:tc>
                    <w:tc>
                      <w:tcPr>
                        <w:tcW w:w="1872" w:type="dxa"/>
                      </w:tcPr>
                      <w:p w14:paraId="7C464DDF" w14:textId="77777777" w:rsidR="00C75312" w:rsidRDefault="00BB293A">
                        <w:pPr>
                          <w:pStyle w:val="TableParagraph"/>
                          <w:spacing w:before="95"/>
                          <w:ind w:left="213" w:right="193"/>
                          <w:jc w:val="center"/>
                          <w:rPr>
                            <w:sz w:val="20"/>
                          </w:rPr>
                        </w:pPr>
                        <w:r>
                          <w:rPr>
                            <w:sz w:val="20"/>
                          </w:rPr>
                          <w:t>42.29 (8.37)</w:t>
                        </w:r>
                      </w:p>
                    </w:tc>
                    <w:tc>
                      <w:tcPr>
                        <w:tcW w:w="900" w:type="dxa"/>
                      </w:tcPr>
                      <w:p w14:paraId="30265B4D" w14:textId="77777777" w:rsidR="00C75312" w:rsidRDefault="00BB293A">
                        <w:pPr>
                          <w:pStyle w:val="TableParagraph"/>
                          <w:spacing w:before="95"/>
                          <w:ind w:left="195" w:right="247"/>
                          <w:jc w:val="center"/>
                          <w:rPr>
                            <w:sz w:val="20"/>
                          </w:rPr>
                        </w:pPr>
                        <w:r>
                          <w:rPr>
                            <w:sz w:val="20"/>
                          </w:rPr>
                          <w:t>3.72</w:t>
                        </w:r>
                      </w:p>
                    </w:tc>
                    <w:tc>
                      <w:tcPr>
                        <w:tcW w:w="679" w:type="dxa"/>
                      </w:tcPr>
                      <w:p w14:paraId="4A89530B" w14:textId="77777777" w:rsidR="00C75312" w:rsidRDefault="00BB293A">
                        <w:pPr>
                          <w:pStyle w:val="TableParagraph"/>
                          <w:spacing w:before="95"/>
                          <w:ind w:right="208"/>
                          <w:jc w:val="right"/>
                          <w:rPr>
                            <w:sz w:val="20"/>
                          </w:rPr>
                        </w:pPr>
                        <w:r>
                          <w:rPr>
                            <w:sz w:val="20"/>
                          </w:rPr>
                          <w:t>25</w:t>
                        </w:r>
                      </w:p>
                    </w:tc>
                    <w:tc>
                      <w:tcPr>
                        <w:tcW w:w="905" w:type="dxa"/>
                      </w:tcPr>
                      <w:p w14:paraId="11439E12" w14:textId="77777777" w:rsidR="00C75312" w:rsidRDefault="00BB293A">
                        <w:pPr>
                          <w:pStyle w:val="TableParagraph"/>
                          <w:spacing w:before="95"/>
                          <w:ind w:left="194" w:right="157"/>
                          <w:jc w:val="center"/>
                          <w:rPr>
                            <w:sz w:val="20"/>
                          </w:rPr>
                        </w:pPr>
                        <w:r>
                          <w:rPr>
                            <w:sz w:val="20"/>
                          </w:rPr>
                          <w:t>.001</w:t>
                        </w:r>
                      </w:p>
                    </w:tc>
                    <w:tc>
                      <w:tcPr>
                        <w:tcW w:w="852" w:type="dxa"/>
                      </w:tcPr>
                      <w:p w14:paraId="6A13E08B" w14:textId="77777777" w:rsidR="00C75312" w:rsidRDefault="00BB293A">
                        <w:pPr>
                          <w:pStyle w:val="TableParagraph"/>
                          <w:spacing w:before="95"/>
                          <w:ind w:left="209"/>
                          <w:rPr>
                            <w:sz w:val="20"/>
                          </w:rPr>
                        </w:pPr>
                        <w:r>
                          <w:rPr>
                            <w:sz w:val="20"/>
                          </w:rPr>
                          <w:t>1.43</w:t>
                        </w:r>
                      </w:p>
                    </w:tc>
                  </w:tr>
                  <w:tr w:rsidR="00C75312" w14:paraId="65D94A08" w14:textId="77777777">
                    <w:trPr>
                      <w:trHeight w:val="643"/>
                    </w:trPr>
                    <w:tc>
                      <w:tcPr>
                        <w:tcW w:w="1982" w:type="dxa"/>
                      </w:tcPr>
                      <w:p w14:paraId="0F58060F" w14:textId="77777777" w:rsidR="00C75312" w:rsidRDefault="00BB293A">
                        <w:pPr>
                          <w:pStyle w:val="TableParagraph"/>
                          <w:spacing w:before="78" w:line="261" w:lineRule="auto"/>
                          <w:ind w:left="700" w:right="195" w:hanging="605"/>
                          <w:rPr>
                            <w:sz w:val="20"/>
                          </w:rPr>
                        </w:pPr>
                        <w:r>
                          <w:rPr>
                            <w:sz w:val="20"/>
                          </w:rPr>
                          <w:t>WCST perseverative errors</w:t>
                        </w:r>
                      </w:p>
                    </w:tc>
                    <w:tc>
                      <w:tcPr>
                        <w:tcW w:w="1843" w:type="dxa"/>
                      </w:tcPr>
                      <w:p w14:paraId="3EED2F3D" w14:textId="77777777" w:rsidR="00C75312" w:rsidRDefault="00C75312">
                        <w:pPr>
                          <w:pStyle w:val="TableParagraph"/>
                          <w:spacing w:before="7"/>
                          <w:rPr>
                            <w:b/>
                            <w:i/>
                            <w:sz w:val="17"/>
                          </w:rPr>
                        </w:pPr>
                      </w:p>
                      <w:p w14:paraId="2C39FD12" w14:textId="77777777" w:rsidR="00C75312" w:rsidRDefault="00BB293A">
                        <w:pPr>
                          <w:pStyle w:val="TableParagraph"/>
                          <w:ind w:left="113" w:right="210"/>
                          <w:jc w:val="center"/>
                          <w:rPr>
                            <w:sz w:val="20"/>
                          </w:rPr>
                        </w:pPr>
                        <w:r>
                          <w:rPr>
                            <w:sz w:val="20"/>
                          </w:rPr>
                          <w:t>15.70 (12.44)</w:t>
                        </w:r>
                      </w:p>
                    </w:tc>
                    <w:tc>
                      <w:tcPr>
                        <w:tcW w:w="1872" w:type="dxa"/>
                      </w:tcPr>
                      <w:p w14:paraId="47AE6113" w14:textId="77777777" w:rsidR="00C75312" w:rsidRDefault="00C75312">
                        <w:pPr>
                          <w:pStyle w:val="TableParagraph"/>
                          <w:spacing w:before="7"/>
                          <w:rPr>
                            <w:b/>
                            <w:i/>
                            <w:sz w:val="17"/>
                          </w:rPr>
                        </w:pPr>
                      </w:p>
                      <w:p w14:paraId="07CEDEF6" w14:textId="77777777" w:rsidR="00C75312" w:rsidRDefault="00BB293A">
                        <w:pPr>
                          <w:pStyle w:val="TableParagraph"/>
                          <w:ind w:left="208" w:right="193"/>
                          <w:jc w:val="center"/>
                          <w:rPr>
                            <w:sz w:val="20"/>
                          </w:rPr>
                        </w:pPr>
                        <w:r>
                          <w:rPr>
                            <w:sz w:val="20"/>
                          </w:rPr>
                          <w:t>6.36 (4.78)</w:t>
                        </w:r>
                      </w:p>
                    </w:tc>
                    <w:tc>
                      <w:tcPr>
                        <w:tcW w:w="900" w:type="dxa"/>
                      </w:tcPr>
                      <w:p w14:paraId="264C3AAB" w14:textId="77777777" w:rsidR="00C75312" w:rsidRDefault="00C75312">
                        <w:pPr>
                          <w:pStyle w:val="TableParagraph"/>
                          <w:spacing w:before="7"/>
                          <w:rPr>
                            <w:b/>
                            <w:i/>
                            <w:sz w:val="17"/>
                          </w:rPr>
                        </w:pPr>
                      </w:p>
                      <w:p w14:paraId="5573678B" w14:textId="77777777" w:rsidR="00C75312" w:rsidRDefault="00BB293A">
                        <w:pPr>
                          <w:pStyle w:val="TableParagraph"/>
                          <w:ind w:left="195" w:right="247"/>
                          <w:jc w:val="center"/>
                          <w:rPr>
                            <w:sz w:val="20"/>
                          </w:rPr>
                        </w:pPr>
                        <w:r>
                          <w:rPr>
                            <w:sz w:val="20"/>
                          </w:rPr>
                          <w:t>2.58</w:t>
                        </w:r>
                      </w:p>
                    </w:tc>
                    <w:tc>
                      <w:tcPr>
                        <w:tcW w:w="679" w:type="dxa"/>
                      </w:tcPr>
                      <w:p w14:paraId="47582CE4" w14:textId="77777777" w:rsidR="00C75312" w:rsidRDefault="00C75312">
                        <w:pPr>
                          <w:pStyle w:val="TableParagraph"/>
                          <w:spacing w:before="7"/>
                          <w:rPr>
                            <w:b/>
                            <w:i/>
                            <w:sz w:val="17"/>
                          </w:rPr>
                        </w:pPr>
                      </w:p>
                      <w:p w14:paraId="1CBF082A" w14:textId="77777777" w:rsidR="00C75312" w:rsidRDefault="00BB293A">
                        <w:pPr>
                          <w:pStyle w:val="TableParagraph"/>
                          <w:ind w:right="208"/>
                          <w:jc w:val="right"/>
                          <w:rPr>
                            <w:sz w:val="20"/>
                          </w:rPr>
                        </w:pPr>
                        <w:r>
                          <w:rPr>
                            <w:sz w:val="20"/>
                          </w:rPr>
                          <w:t>25</w:t>
                        </w:r>
                      </w:p>
                    </w:tc>
                    <w:tc>
                      <w:tcPr>
                        <w:tcW w:w="905" w:type="dxa"/>
                      </w:tcPr>
                      <w:p w14:paraId="67A8E4DC" w14:textId="77777777" w:rsidR="00C75312" w:rsidRDefault="00C75312">
                        <w:pPr>
                          <w:pStyle w:val="TableParagraph"/>
                          <w:spacing w:before="7"/>
                          <w:rPr>
                            <w:b/>
                            <w:i/>
                            <w:sz w:val="17"/>
                          </w:rPr>
                        </w:pPr>
                      </w:p>
                      <w:p w14:paraId="5560AF33" w14:textId="77777777" w:rsidR="00C75312" w:rsidRDefault="00BB293A">
                        <w:pPr>
                          <w:pStyle w:val="TableParagraph"/>
                          <w:ind w:left="189" w:right="157"/>
                          <w:jc w:val="center"/>
                          <w:rPr>
                            <w:sz w:val="20"/>
                          </w:rPr>
                        </w:pPr>
                        <w:r>
                          <w:rPr>
                            <w:sz w:val="20"/>
                          </w:rPr>
                          <w:t>.02</w:t>
                        </w:r>
                      </w:p>
                    </w:tc>
                    <w:tc>
                      <w:tcPr>
                        <w:tcW w:w="852" w:type="dxa"/>
                      </w:tcPr>
                      <w:p w14:paraId="792E2B37" w14:textId="77777777" w:rsidR="00C75312" w:rsidRDefault="00C75312">
                        <w:pPr>
                          <w:pStyle w:val="TableParagraph"/>
                          <w:spacing w:before="7"/>
                          <w:rPr>
                            <w:b/>
                            <w:i/>
                            <w:sz w:val="17"/>
                          </w:rPr>
                        </w:pPr>
                      </w:p>
                      <w:p w14:paraId="7B3CC833" w14:textId="77777777" w:rsidR="00C75312" w:rsidRDefault="00BB293A">
                        <w:pPr>
                          <w:pStyle w:val="TableParagraph"/>
                          <w:ind w:left="209"/>
                          <w:rPr>
                            <w:sz w:val="20"/>
                          </w:rPr>
                        </w:pPr>
                        <w:r>
                          <w:rPr>
                            <w:sz w:val="20"/>
                          </w:rPr>
                          <w:t>1.07</w:t>
                        </w:r>
                      </w:p>
                    </w:tc>
                  </w:tr>
                  <w:tr w:rsidR="00C75312" w14:paraId="04742A3C" w14:textId="77777777">
                    <w:trPr>
                      <w:trHeight w:val="413"/>
                    </w:trPr>
                    <w:tc>
                      <w:tcPr>
                        <w:tcW w:w="1982" w:type="dxa"/>
                        <w:tcBorders>
                          <w:bottom w:val="single" w:sz="4" w:space="0" w:color="000000"/>
                        </w:tcBorders>
                      </w:tcPr>
                      <w:p w14:paraId="5BF9F856" w14:textId="77777777" w:rsidR="00C75312" w:rsidRDefault="00BB293A">
                        <w:pPr>
                          <w:pStyle w:val="TableParagraph"/>
                          <w:spacing w:before="78"/>
                          <w:ind w:left="11" w:right="114"/>
                          <w:jc w:val="center"/>
                          <w:rPr>
                            <w:sz w:val="20"/>
                          </w:rPr>
                        </w:pPr>
                        <w:r>
                          <w:rPr>
                            <w:sz w:val="20"/>
                          </w:rPr>
                          <w:t>Interoceptive accuracy</w:t>
                        </w:r>
                      </w:p>
                    </w:tc>
                    <w:tc>
                      <w:tcPr>
                        <w:tcW w:w="1843" w:type="dxa"/>
                        <w:tcBorders>
                          <w:bottom w:val="single" w:sz="4" w:space="0" w:color="000000"/>
                        </w:tcBorders>
                      </w:tcPr>
                      <w:p w14:paraId="1FB8D682" w14:textId="77777777" w:rsidR="00C75312" w:rsidRDefault="00BB293A">
                        <w:pPr>
                          <w:pStyle w:val="TableParagraph"/>
                          <w:spacing w:before="78"/>
                          <w:ind w:left="113" w:right="210"/>
                          <w:jc w:val="center"/>
                          <w:rPr>
                            <w:sz w:val="20"/>
                          </w:rPr>
                        </w:pPr>
                        <w:r>
                          <w:rPr>
                            <w:sz w:val="20"/>
                          </w:rPr>
                          <w:t>55.68 (31.74)</w:t>
                        </w:r>
                      </w:p>
                    </w:tc>
                    <w:tc>
                      <w:tcPr>
                        <w:tcW w:w="1872" w:type="dxa"/>
                        <w:tcBorders>
                          <w:bottom w:val="single" w:sz="4" w:space="0" w:color="000000"/>
                        </w:tcBorders>
                      </w:tcPr>
                      <w:p w14:paraId="1109F5D9" w14:textId="77777777" w:rsidR="00C75312" w:rsidRDefault="00BB293A">
                        <w:pPr>
                          <w:pStyle w:val="TableParagraph"/>
                          <w:spacing w:before="78"/>
                          <w:ind w:left="208" w:right="193"/>
                          <w:jc w:val="center"/>
                          <w:rPr>
                            <w:sz w:val="20"/>
                          </w:rPr>
                        </w:pPr>
                        <w:r>
                          <w:rPr>
                            <w:sz w:val="20"/>
                          </w:rPr>
                          <w:t>70.44 (17.44)</w:t>
                        </w:r>
                      </w:p>
                    </w:tc>
                    <w:tc>
                      <w:tcPr>
                        <w:tcW w:w="900" w:type="dxa"/>
                        <w:tcBorders>
                          <w:bottom w:val="single" w:sz="4" w:space="0" w:color="000000"/>
                        </w:tcBorders>
                      </w:tcPr>
                      <w:p w14:paraId="46293749" w14:textId="77777777" w:rsidR="00C75312" w:rsidRDefault="00BB293A">
                        <w:pPr>
                          <w:pStyle w:val="TableParagraph"/>
                          <w:spacing w:before="78"/>
                          <w:ind w:left="195" w:right="247"/>
                          <w:jc w:val="center"/>
                          <w:rPr>
                            <w:sz w:val="20"/>
                          </w:rPr>
                        </w:pPr>
                        <w:r>
                          <w:rPr>
                            <w:sz w:val="20"/>
                          </w:rPr>
                          <w:t>-1.51</w:t>
                        </w:r>
                      </w:p>
                    </w:tc>
                    <w:tc>
                      <w:tcPr>
                        <w:tcW w:w="679" w:type="dxa"/>
                        <w:tcBorders>
                          <w:bottom w:val="single" w:sz="4" w:space="0" w:color="000000"/>
                        </w:tcBorders>
                      </w:tcPr>
                      <w:p w14:paraId="363AC0DD" w14:textId="77777777" w:rsidR="00C75312" w:rsidRDefault="00BB293A">
                        <w:pPr>
                          <w:pStyle w:val="TableParagraph"/>
                          <w:spacing w:before="78"/>
                          <w:ind w:right="208"/>
                          <w:jc w:val="right"/>
                          <w:rPr>
                            <w:sz w:val="20"/>
                          </w:rPr>
                        </w:pPr>
                        <w:r>
                          <w:rPr>
                            <w:sz w:val="20"/>
                          </w:rPr>
                          <w:t>25</w:t>
                        </w:r>
                      </w:p>
                    </w:tc>
                    <w:tc>
                      <w:tcPr>
                        <w:tcW w:w="905" w:type="dxa"/>
                        <w:tcBorders>
                          <w:bottom w:val="single" w:sz="4" w:space="0" w:color="000000"/>
                        </w:tcBorders>
                      </w:tcPr>
                      <w:p w14:paraId="0705B3DB" w14:textId="77777777" w:rsidR="00C75312" w:rsidRDefault="00BB293A">
                        <w:pPr>
                          <w:pStyle w:val="TableParagraph"/>
                          <w:spacing w:before="78"/>
                          <w:ind w:left="189" w:right="157"/>
                          <w:jc w:val="center"/>
                          <w:rPr>
                            <w:sz w:val="20"/>
                          </w:rPr>
                        </w:pPr>
                        <w:r>
                          <w:rPr>
                            <w:sz w:val="20"/>
                          </w:rPr>
                          <w:t>.14</w:t>
                        </w:r>
                      </w:p>
                    </w:tc>
                    <w:tc>
                      <w:tcPr>
                        <w:tcW w:w="852" w:type="dxa"/>
                        <w:tcBorders>
                          <w:bottom w:val="single" w:sz="4" w:space="0" w:color="000000"/>
                        </w:tcBorders>
                      </w:tcPr>
                      <w:p w14:paraId="00D19CAC" w14:textId="77777777" w:rsidR="00C75312" w:rsidRDefault="00BB293A">
                        <w:pPr>
                          <w:pStyle w:val="TableParagraph"/>
                          <w:spacing w:before="78"/>
                          <w:ind w:left="175"/>
                          <w:rPr>
                            <w:sz w:val="20"/>
                          </w:rPr>
                        </w:pPr>
                        <w:r>
                          <w:rPr>
                            <w:sz w:val="20"/>
                          </w:rPr>
                          <w:t>-0.58</w:t>
                        </w:r>
                      </w:p>
                    </w:tc>
                  </w:tr>
                </w:tbl>
                <w:p w14:paraId="7784F8AA" w14:textId="77777777" w:rsidR="00C75312" w:rsidRDefault="00C75312">
                  <w:pPr>
                    <w:pStyle w:val="BodyText"/>
                  </w:pPr>
                </w:p>
              </w:txbxContent>
            </v:textbox>
            <w10:wrap anchorx="page"/>
          </v:shape>
        </w:pict>
      </w:r>
      <w:r>
        <w:rPr>
          <w:b/>
          <w:i/>
          <w:sz w:val="20"/>
        </w:rPr>
        <w:t>t</w:t>
      </w:r>
      <w:r>
        <w:rPr>
          <w:b/>
          <w:i/>
          <w:sz w:val="20"/>
        </w:rPr>
        <w:tab/>
      </w:r>
      <w:proofErr w:type="spellStart"/>
      <w:r>
        <w:rPr>
          <w:b/>
          <w:i/>
          <w:sz w:val="20"/>
        </w:rPr>
        <w:t>df</w:t>
      </w:r>
      <w:proofErr w:type="spellEnd"/>
      <w:r>
        <w:rPr>
          <w:b/>
          <w:i/>
          <w:sz w:val="20"/>
        </w:rPr>
        <w:tab/>
        <w:t>p</w:t>
      </w:r>
      <w:r>
        <w:rPr>
          <w:b/>
          <w:i/>
          <w:sz w:val="20"/>
        </w:rPr>
        <w:tab/>
      </w:r>
      <w:r>
        <w:rPr>
          <w:b/>
          <w:sz w:val="20"/>
        </w:rPr>
        <w:t>Cohen's</w:t>
      </w:r>
      <w:r>
        <w:rPr>
          <w:b/>
          <w:spacing w:val="1"/>
          <w:sz w:val="20"/>
        </w:rPr>
        <w:t xml:space="preserve"> </w:t>
      </w:r>
      <w:r>
        <w:rPr>
          <w:b/>
          <w:i/>
          <w:sz w:val="20"/>
        </w:rPr>
        <w:t>d</w:t>
      </w:r>
    </w:p>
    <w:p w14:paraId="0CAC16D6" w14:textId="77777777" w:rsidR="00C75312" w:rsidRDefault="00C75312">
      <w:pPr>
        <w:rPr>
          <w:sz w:val="20"/>
        </w:rPr>
        <w:sectPr w:rsidR="00C75312">
          <w:type w:val="continuous"/>
          <w:pgSz w:w="11900" w:h="16840"/>
          <w:pgMar w:top="700" w:right="1200" w:bottom="280" w:left="1300" w:header="720" w:footer="720" w:gutter="0"/>
          <w:cols w:num="2" w:space="720" w:equalWidth="0">
            <w:col w:w="5030" w:space="40"/>
            <w:col w:w="4330"/>
          </w:cols>
        </w:sectPr>
      </w:pPr>
    </w:p>
    <w:p w14:paraId="40F4C5FE" w14:textId="77777777" w:rsidR="00C75312" w:rsidRDefault="00C75312">
      <w:pPr>
        <w:pStyle w:val="BodyText"/>
        <w:spacing w:before="9"/>
        <w:rPr>
          <w:b/>
          <w:i/>
          <w:sz w:val="15"/>
        </w:rPr>
      </w:pPr>
    </w:p>
    <w:p w14:paraId="095C683C" w14:textId="77777777" w:rsidR="00C75312" w:rsidRDefault="00BB293A">
      <w:pPr>
        <w:pStyle w:val="Heading1"/>
        <w:spacing w:before="90"/>
      </w:pPr>
      <w:r>
        <w:t>Results</w:t>
      </w:r>
    </w:p>
    <w:p w14:paraId="391779CC" w14:textId="77777777" w:rsidR="00C75312" w:rsidRDefault="00C75312">
      <w:pPr>
        <w:pStyle w:val="BodyText"/>
        <w:spacing w:before="5"/>
        <w:rPr>
          <w:b/>
          <w:sz w:val="34"/>
        </w:rPr>
      </w:pPr>
    </w:p>
    <w:p w14:paraId="54A86332" w14:textId="77777777" w:rsidR="00C75312" w:rsidRDefault="00BB293A">
      <w:pPr>
        <w:pStyle w:val="BodyText"/>
        <w:spacing w:line="480" w:lineRule="auto"/>
        <w:ind w:left="140" w:right="233" w:firstLine="720"/>
        <w:jc w:val="both"/>
      </w:pPr>
      <w:r>
        <w:pict w14:anchorId="74AAE667">
          <v:shape id="_x0000_s2066" type="#_x0000_t202" style="position:absolute;left:0;text-align:left;margin-left:379.7pt;margin-top:254.25pt;width:5.3pt;height:9.85pt;z-index:-260447232;mso-position-horizontal-relative:page" filled="f" stroked="f">
            <v:textbox inset="0,0,0,0">
              <w:txbxContent>
                <w:p w14:paraId="39931325"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5B55E651">
          <v:shape id="_x0000_s2065" type="#_x0000_t202" style="position:absolute;left:0;text-align:left;margin-left:397.45pt;margin-top:283.8pt;width:5.3pt;height:9.85pt;z-index:-260446208;mso-position-horizontal-relative:page" filled="f" stroked="f">
            <v:textbox inset="0,0,0,0">
              <w:txbxContent>
                <w:p w14:paraId="1F3FFA9E"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pict w14:anchorId="097196A8">
          <v:shape id="_x0000_s2064" type="#_x0000_t202" style="position:absolute;left:0;text-align:left;margin-left:485.75pt;margin-top:313.55pt;width:5.3pt;height:9.85pt;z-index:-260445184;mso-position-horizontal-relative:page" filled="f" stroked="f">
            <v:textbox inset="0,0,0,0">
              <w:txbxContent>
                <w:p w14:paraId="2D88B277" w14:textId="77777777" w:rsidR="00C75312" w:rsidRDefault="00BB293A">
                  <w:pPr>
                    <w:spacing w:line="197" w:lineRule="exact"/>
                    <w:rPr>
                      <w:rFonts w:ascii="Cambria Math"/>
                      <w:sz w:val="17"/>
                    </w:rPr>
                  </w:pPr>
                  <w:r>
                    <w:rPr>
                      <w:rFonts w:ascii="Cambria Math"/>
                      <w:w w:val="158"/>
                      <w:sz w:val="17"/>
                    </w:rPr>
                    <w:t>"</w:t>
                  </w:r>
                </w:p>
              </w:txbxContent>
            </v:textbox>
            <w10:wrap anchorx="page"/>
          </v:shape>
        </w:pict>
      </w:r>
      <w:r>
        <w:rPr>
          <w:b/>
        </w:rPr>
        <w:t xml:space="preserve">Ongoing and PM performance. </w:t>
      </w:r>
      <w:r>
        <w:t xml:space="preserve">Using independent samples t-tests, between-group differences in ongoing task accuracy and RT ongoing hits performance was </w:t>
      </w:r>
      <w:proofErr w:type="spellStart"/>
      <w:r>
        <w:t>analysed</w:t>
      </w:r>
      <w:proofErr w:type="spellEnd"/>
      <w:r>
        <w:t>. No significant group differences emerged for either comparison. For between-group differences in PM proportion hits and PM target accuracy, independent samples t-tests revealed a significant group difference in time-based PM proportion hits, indicating fewer correct responses in the ASD group (similar to what was found in Chapter 4). Furthermore, the</w:t>
      </w:r>
      <w:r>
        <w:t>re was also</w:t>
      </w:r>
      <w:r>
        <w:rPr>
          <w:spacing w:val="-5"/>
        </w:rPr>
        <w:t xml:space="preserve"> </w:t>
      </w:r>
      <w:r>
        <w:t>a</w:t>
      </w:r>
      <w:r>
        <w:rPr>
          <w:spacing w:val="-6"/>
        </w:rPr>
        <w:t xml:space="preserve"> </w:t>
      </w:r>
      <w:r>
        <w:t>trend</w:t>
      </w:r>
      <w:r>
        <w:rPr>
          <w:spacing w:val="-5"/>
        </w:rPr>
        <w:t xml:space="preserve"> </w:t>
      </w:r>
      <w:r>
        <w:t>evident</w:t>
      </w:r>
      <w:r>
        <w:rPr>
          <w:spacing w:val="-13"/>
        </w:rPr>
        <w:t xml:space="preserve"> </w:t>
      </w:r>
      <w:r>
        <w:t>for</w:t>
      </w:r>
      <w:r>
        <w:rPr>
          <w:spacing w:val="-8"/>
        </w:rPr>
        <w:t xml:space="preserve"> </w:t>
      </w:r>
      <w:r>
        <w:t>less</w:t>
      </w:r>
      <w:r>
        <w:rPr>
          <w:spacing w:val="-6"/>
        </w:rPr>
        <w:t xml:space="preserve"> </w:t>
      </w:r>
      <w:r>
        <w:t>timely</w:t>
      </w:r>
      <w:r>
        <w:rPr>
          <w:spacing w:val="-10"/>
        </w:rPr>
        <w:t xml:space="preserve"> </w:t>
      </w:r>
      <w:r>
        <w:t>PM</w:t>
      </w:r>
      <w:r>
        <w:rPr>
          <w:spacing w:val="-11"/>
        </w:rPr>
        <w:t xml:space="preserve"> </w:t>
      </w:r>
      <w:r>
        <w:t>responses</w:t>
      </w:r>
      <w:r>
        <w:rPr>
          <w:spacing w:val="-7"/>
        </w:rPr>
        <w:t xml:space="preserve"> </w:t>
      </w:r>
      <w:r>
        <w:t>in</w:t>
      </w:r>
      <w:r>
        <w:rPr>
          <w:spacing w:val="-5"/>
        </w:rPr>
        <w:t xml:space="preserve"> </w:t>
      </w:r>
      <w:r>
        <w:t>the</w:t>
      </w:r>
      <w:r>
        <w:rPr>
          <w:spacing w:val="-10"/>
        </w:rPr>
        <w:t xml:space="preserve"> </w:t>
      </w:r>
      <w:r>
        <w:t>ASD</w:t>
      </w:r>
      <w:r>
        <w:rPr>
          <w:spacing w:val="-10"/>
        </w:rPr>
        <w:t xml:space="preserve"> </w:t>
      </w:r>
      <w:r>
        <w:t>group</w:t>
      </w:r>
      <w:r>
        <w:rPr>
          <w:spacing w:val="-10"/>
        </w:rPr>
        <w:t xml:space="preserve"> </w:t>
      </w:r>
      <w:r>
        <w:t>when</w:t>
      </w:r>
      <w:r>
        <w:rPr>
          <w:spacing w:val="-9"/>
        </w:rPr>
        <w:t xml:space="preserve"> </w:t>
      </w:r>
      <w:r>
        <w:t>scoring</w:t>
      </w:r>
      <w:r>
        <w:rPr>
          <w:spacing w:val="-10"/>
        </w:rPr>
        <w:t xml:space="preserve"> </w:t>
      </w:r>
      <w:r>
        <w:t>a</w:t>
      </w:r>
      <w:r>
        <w:rPr>
          <w:spacing w:val="-5"/>
        </w:rPr>
        <w:t xml:space="preserve"> </w:t>
      </w:r>
      <w:r>
        <w:t>PM</w:t>
      </w:r>
      <w:r>
        <w:rPr>
          <w:spacing w:val="-12"/>
        </w:rPr>
        <w:t xml:space="preserve"> </w:t>
      </w:r>
      <w:r>
        <w:t>hit</w:t>
      </w:r>
      <w:r>
        <w:rPr>
          <w:spacing w:val="-13"/>
        </w:rPr>
        <w:t xml:space="preserve"> </w:t>
      </w:r>
      <w:r>
        <w:t xml:space="preserve">(see Table A 7). A Group × Interval mixed ANOVA was used to explore differences in the frequency of time checks. The main effect of group was non-significant indicating a similar </w:t>
      </w:r>
      <w:r>
        <w:rPr>
          <w:position w:val="2"/>
        </w:rPr>
        <w:t>p</w:t>
      </w:r>
      <w:r>
        <w:rPr>
          <w:spacing w:val="-1"/>
          <w:position w:val="2"/>
        </w:rPr>
        <w:t>a</w:t>
      </w:r>
      <w:r>
        <w:rPr>
          <w:position w:val="2"/>
        </w:rPr>
        <w:t>tt</w:t>
      </w:r>
      <w:r>
        <w:rPr>
          <w:spacing w:val="-1"/>
          <w:position w:val="2"/>
        </w:rPr>
        <w:t>e</w:t>
      </w:r>
      <w:r>
        <w:rPr>
          <w:spacing w:val="1"/>
          <w:position w:val="2"/>
        </w:rPr>
        <w:t>r</w:t>
      </w:r>
      <w:r>
        <w:rPr>
          <w:position w:val="2"/>
        </w:rPr>
        <w:t>n</w:t>
      </w:r>
      <w:r>
        <w:rPr>
          <w:spacing w:val="-8"/>
          <w:position w:val="2"/>
        </w:rPr>
        <w:t xml:space="preserve"> </w:t>
      </w:r>
      <w:r>
        <w:rPr>
          <w:position w:val="2"/>
        </w:rPr>
        <w:t>of</w:t>
      </w:r>
      <w:r>
        <w:rPr>
          <w:spacing w:val="-6"/>
          <w:position w:val="2"/>
        </w:rPr>
        <w:t xml:space="preserve"> </w:t>
      </w:r>
      <w:r>
        <w:rPr>
          <w:position w:val="2"/>
        </w:rPr>
        <w:t>t</w:t>
      </w:r>
      <w:r>
        <w:rPr>
          <w:spacing w:val="-5"/>
          <w:position w:val="2"/>
        </w:rPr>
        <w:t>i</w:t>
      </w:r>
      <w:r>
        <w:rPr>
          <w:position w:val="2"/>
        </w:rPr>
        <w:t>me</w:t>
      </w:r>
      <w:r>
        <w:rPr>
          <w:spacing w:val="-9"/>
          <w:position w:val="2"/>
        </w:rPr>
        <w:t xml:space="preserve"> </w:t>
      </w:r>
      <w:r>
        <w:rPr>
          <w:spacing w:val="-1"/>
          <w:position w:val="2"/>
        </w:rPr>
        <w:t>c</w:t>
      </w:r>
      <w:r>
        <w:rPr>
          <w:position w:val="2"/>
        </w:rPr>
        <w:t>h</w:t>
      </w:r>
      <w:r>
        <w:rPr>
          <w:spacing w:val="-1"/>
          <w:position w:val="2"/>
        </w:rPr>
        <w:t>ec</w:t>
      </w:r>
      <w:r>
        <w:rPr>
          <w:position w:val="2"/>
        </w:rPr>
        <w:t>ks</w:t>
      </w:r>
      <w:r>
        <w:rPr>
          <w:spacing w:val="-10"/>
          <w:position w:val="2"/>
        </w:rPr>
        <w:t xml:space="preserve"> </w:t>
      </w:r>
      <w:r>
        <w:rPr>
          <w:position w:val="2"/>
        </w:rPr>
        <w:t>b</w:t>
      </w:r>
      <w:r>
        <w:rPr>
          <w:spacing w:val="-1"/>
          <w:position w:val="2"/>
        </w:rPr>
        <w:t>e</w:t>
      </w:r>
      <w:r>
        <w:rPr>
          <w:position w:val="2"/>
        </w:rPr>
        <w:t>t</w:t>
      </w:r>
      <w:r>
        <w:rPr>
          <w:spacing w:val="-1"/>
          <w:position w:val="2"/>
        </w:rPr>
        <w:t>wee</w:t>
      </w:r>
      <w:r>
        <w:rPr>
          <w:position w:val="2"/>
        </w:rPr>
        <w:t>n</w:t>
      </w:r>
      <w:r>
        <w:rPr>
          <w:spacing w:val="-8"/>
          <w:position w:val="2"/>
        </w:rPr>
        <w:t xml:space="preserve"> </w:t>
      </w:r>
      <w:r>
        <w:rPr>
          <w:position w:val="2"/>
        </w:rPr>
        <w:t>g</w:t>
      </w:r>
      <w:r>
        <w:rPr>
          <w:spacing w:val="1"/>
          <w:position w:val="2"/>
        </w:rPr>
        <w:t>r</w:t>
      </w:r>
      <w:r>
        <w:rPr>
          <w:position w:val="2"/>
        </w:rPr>
        <w:t>oup</w:t>
      </w:r>
      <w:r>
        <w:rPr>
          <w:spacing w:val="-3"/>
          <w:position w:val="2"/>
        </w:rPr>
        <w:t>s</w:t>
      </w:r>
      <w:r>
        <w:rPr>
          <w:position w:val="2"/>
        </w:rPr>
        <w:t>,</w:t>
      </w:r>
      <w:r>
        <w:rPr>
          <w:spacing w:val="-5"/>
          <w:position w:val="2"/>
        </w:rPr>
        <w:t xml:space="preserve"> </w:t>
      </w:r>
      <w:r>
        <w:rPr>
          <w:i/>
          <w:spacing w:val="-3"/>
          <w:position w:val="2"/>
        </w:rPr>
        <w:t>F</w:t>
      </w:r>
      <w:r>
        <w:rPr>
          <w:spacing w:val="1"/>
          <w:position w:val="2"/>
        </w:rPr>
        <w:t>(</w:t>
      </w:r>
      <w:r>
        <w:rPr>
          <w:position w:val="2"/>
        </w:rPr>
        <w:t>1</w:t>
      </w:r>
      <w:r>
        <w:rPr>
          <w:spacing w:val="2"/>
          <w:position w:val="2"/>
        </w:rPr>
        <w:t>,</w:t>
      </w:r>
      <w:r>
        <w:rPr>
          <w:position w:val="2"/>
        </w:rPr>
        <w:t>25)</w:t>
      </w:r>
      <w:r>
        <w:rPr>
          <w:spacing w:val="-11"/>
          <w:position w:val="2"/>
        </w:rPr>
        <w:t xml:space="preserve"> </w:t>
      </w:r>
      <w:r>
        <w:rPr>
          <w:position w:val="2"/>
        </w:rPr>
        <w:t>=</w:t>
      </w:r>
      <w:r>
        <w:rPr>
          <w:spacing w:val="-9"/>
          <w:position w:val="2"/>
        </w:rPr>
        <w:t xml:space="preserve"> </w:t>
      </w:r>
      <w:r>
        <w:rPr>
          <w:position w:val="2"/>
        </w:rPr>
        <w:t>0</w:t>
      </w:r>
      <w:r>
        <w:rPr>
          <w:spacing w:val="-3"/>
          <w:position w:val="2"/>
        </w:rPr>
        <w:t>.</w:t>
      </w:r>
      <w:r>
        <w:rPr>
          <w:position w:val="2"/>
        </w:rPr>
        <w:t>14,</w:t>
      </w:r>
      <w:r>
        <w:rPr>
          <w:spacing w:val="-5"/>
          <w:position w:val="2"/>
        </w:rPr>
        <w:t xml:space="preserve"> </w:t>
      </w:r>
      <w:r>
        <w:rPr>
          <w:i/>
          <w:position w:val="2"/>
        </w:rPr>
        <w:t>p</w:t>
      </w:r>
      <w:r>
        <w:rPr>
          <w:i/>
          <w:spacing w:val="-8"/>
          <w:position w:val="2"/>
        </w:rPr>
        <w:t xml:space="preserve"> </w:t>
      </w:r>
      <w:r>
        <w:rPr>
          <w:position w:val="2"/>
        </w:rPr>
        <w:t>=</w:t>
      </w:r>
      <w:r>
        <w:rPr>
          <w:spacing w:val="-13"/>
          <w:position w:val="2"/>
        </w:rPr>
        <w:t xml:space="preserve"> </w:t>
      </w:r>
      <w:r>
        <w:rPr>
          <w:spacing w:val="2"/>
          <w:position w:val="2"/>
        </w:rPr>
        <w:t>.</w:t>
      </w:r>
      <w:r>
        <w:rPr>
          <w:position w:val="2"/>
        </w:rPr>
        <w:t>72,</w:t>
      </w:r>
      <w:r>
        <w:rPr>
          <w:spacing w:val="-15"/>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spacing w:val="17"/>
          <w:position w:val="2"/>
        </w:rPr>
        <w:t xml:space="preserve"> </w:t>
      </w:r>
      <w:r>
        <w:rPr>
          <w:position w:val="2"/>
        </w:rPr>
        <w:t>&lt;</w:t>
      </w:r>
      <w:r>
        <w:rPr>
          <w:spacing w:val="-9"/>
          <w:position w:val="2"/>
        </w:rPr>
        <w:t xml:space="preserve"> </w:t>
      </w:r>
      <w:r>
        <w:rPr>
          <w:spacing w:val="2"/>
          <w:position w:val="2"/>
        </w:rPr>
        <w:t>.</w:t>
      </w:r>
      <w:r>
        <w:rPr>
          <w:position w:val="2"/>
        </w:rPr>
        <w:t>01,</w:t>
      </w:r>
      <w:r>
        <w:rPr>
          <w:spacing w:val="-10"/>
          <w:position w:val="2"/>
        </w:rPr>
        <w:t xml:space="preserve"> </w:t>
      </w:r>
      <w:r>
        <w:rPr>
          <w:spacing w:val="-2"/>
          <w:position w:val="2"/>
        </w:rPr>
        <w:t>B</w:t>
      </w:r>
      <w:r>
        <w:rPr>
          <w:position w:val="2"/>
        </w:rPr>
        <w:t>F</w:t>
      </w:r>
      <w:r>
        <w:rPr>
          <w:spacing w:val="2"/>
          <w:w w:val="97"/>
          <w:position w:val="2"/>
          <w:vertAlign w:val="subscript"/>
        </w:rPr>
        <w:t>1</w:t>
      </w:r>
      <w:r>
        <w:rPr>
          <w:w w:val="97"/>
          <w:position w:val="2"/>
          <w:vertAlign w:val="subscript"/>
        </w:rPr>
        <w:t>0</w:t>
      </w:r>
      <w:r>
        <w:rPr>
          <w:spacing w:val="-10"/>
          <w:position w:val="2"/>
        </w:rPr>
        <w:t xml:space="preserve"> </w:t>
      </w:r>
      <w:r>
        <w:rPr>
          <w:position w:val="2"/>
        </w:rPr>
        <w:t>=</w:t>
      </w:r>
      <w:r>
        <w:rPr>
          <w:spacing w:val="-9"/>
          <w:position w:val="2"/>
        </w:rPr>
        <w:t xml:space="preserve"> </w:t>
      </w:r>
      <w:r>
        <w:rPr>
          <w:position w:val="2"/>
        </w:rPr>
        <w:t>0</w:t>
      </w:r>
      <w:r>
        <w:rPr>
          <w:spacing w:val="2"/>
          <w:position w:val="2"/>
        </w:rPr>
        <w:t>.</w:t>
      </w:r>
      <w:r>
        <w:rPr>
          <w:position w:val="2"/>
        </w:rPr>
        <w:t>3</w:t>
      </w:r>
      <w:r>
        <w:rPr>
          <w:spacing w:val="-5"/>
          <w:position w:val="2"/>
        </w:rPr>
        <w:t>1</w:t>
      </w:r>
      <w:r>
        <w:rPr>
          <w:position w:val="2"/>
        </w:rPr>
        <w:t xml:space="preserve">. </w:t>
      </w:r>
      <w:r>
        <w:rPr>
          <w:spacing w:val="-17"/>
          <w:position w:val="2"/>
        </w:rPr>
        <w:t xml:space="preserve"> </w:t>
      </w:r>
      <w:r>
        <w:rPr>
          <w:position w:val="2"/>
        </w:rPr>
        <w:t>the</w:t>
      </w:r>
      <w:r>
        <w:rPr>
          <w:spacing w:val="-9"/>
          <w:position w:val="2"/>
        </w:rPr>
        <w:t xml:space="preserve"> </w:t>
      </w:r>
      <w:r>
        <w:rPr>
          <w:position w:val="2"/>
        </w:rPr>
        <w:t>m</w:t>
      </w:r>
      <w:r>
        <w:rPr>
          <w:spacing w:val="-1"/>
          <w:position w:val="2"/>
        </w:rPr>
        <w:t>a</w:t>
      </w:r>
      <w:r>
        <w:rPr>
          <w:position w:val="2"/>
        </w:rPr>
        <w:t xml:space="preserve">in </w:t>
      </w:r>
      <w:r>
        <w:rPr>
          <w:spacing w:val="-1"/>
          <w:position w:val="2"/>
        </w:rPr>
        <w:t>e</w:t>
      </w:r>
      <w:r>
        <w:rPr>
          <w:spacing w:val="1"/>
          <w:position w:val="2"/>
        </w:rPr>
        <w:t>ff</w:t>
      </w:r>
      <w:r>
        <w:rPr>
          <w:spacing w:val="-1"/>
          <w:position w:val="2"/>
        </w:rPr>
        <w:t>ec</w:t>
      </w:r>
      <w:r>
        <w:rPr>
          <w:position w:val="2"/>
        </w:rPr>
        <w:t>t</w:t>
      </w:r>
      <w:r>
        <w:rPr>
          <w:spacing w:val="2"/>
          <w:position w:val="2"/>
        </w:rPr>
        <w:t xml:space="preserve"> </w:t>
      </w:r>
      <w:r>
        <w:rPr>
          <w:position w:val="2"/>
        </w:rPr>
        <w:t>of</w:t>
      </w:r>
      <w:r>
        <w:rPr>
          <w:spacing w:val="4"/>
          <w:position w:val="2"/>
        </w:rPr>
        <w:t xml:space="preserve"> </w:t>
      </w:r>
      <w:r>
        <w:rPr>
          <w:position w:val="2"/>
        </w:rPr>
        <w:t>i</w:t>
      </w:r>
      <w:r>
        <w:rPr>
          <w:spacing w:val="-5"/>
          <w:position w:val="2"/>
        </w:rPr>
        <w:t>n</w:t>
      </w:r>
      <w:r>
        <w:rPr>
          <w:position w:val="2"/>
        </w:rPr>
        <w:t>t</w:t>
      </w:r>
      <w:r>
        <w:rPr>
          <w:spacing w:val="-1"/>
          <w:position w:val="2"/>
        </w:rPr>
        <w:t>e</w:t>
      </w:r>
      <w:r>
        <w:rPr>
          <w:spacing w:val="1"/>
          <w:position w:val="2"/>
        </w:rPr>
        <w:t>r</w:t>
      </w:r>
      <w:r>
        <w:rPr>
          <w:position w:val="2"/>
        </w:rPr>
        <w:t>v</w:t>
      </w:r>
      <w:r>
        <w:rPr>
          <w:spacing w:val="-1"/>
          <w:position w:val="2"/>
        </w:rPr>
        <w:t>a</w:t>
      </w:r>
      <w:r>
        <w:rPr>
          <w:position w:val="2"/>
        </w:rPr>
        <w:t>l</w:t>
      </w:r>
      <w:r>
        <w:rPr>
          <w:spacing w:val="2"/>
          <w:position w:val="2"/>
        </w:rPr>
        <w:t xml:space="preserve"> </w:t>
      </w:r>
      <w:r>
        <w:rPr>
          <w:spacing w:val="-1"/>
          <w:position w:val="2"/>
        </w:rPr>
        <w:t>wa</w:t>
      </w:r>
      <w:r>
        <w:rPr>
          <w:position w:val="2"/>
        </w:rPr>
        <w:t xml:space="preserve">s </w:t>
      </w:r>
      <w:r>
        <w:rPr>
          <w:spacing w:val="-3"/>
          <w:position w:val="2"/>
        </w:rPr>
        <w:t>s</w:t>
      </w:r>
      <w:r>
        <w:rPr>
          <w:position w:val="2"/>
        </w:rPr>
        <w:t>igni</w:t>
      </w:r>
      <w:r>
        <w:rPr>
          <w:spacing w:val="1"/>
          <w:position w:val="2"/>
        </w:rPr>
        <w:t>f</w:t>
      </w:r>
      <w:r>
        <w:rPr>
          <w:position w:val="2"/>
        </w:rPr>
        <w:t>i</w:t>
      </w:r>
      <w:r>
        <w:rPr>
          <w:spacing w:val="-1"/>
          <w:position w:val="2"/>
        </w:rPr>
        <w:t>ca</w:t>
      </w:r>
      <w:r>
        <w:rPr>
          <w:position w:val="2"/>
        </w:rPr>
        <w:t xml:space="preserve">nt, </w:t>
      </w:r>
      <w:r>
        <w:rPr>
          <w:i/>
          <w:spacing w:val="2"/>
          <w:position w:val="2"/>
        </w:rPr>
        <w:t>F</w:t>
      </w:r>
      <w:r>
        <w:rPr>
          <w:spacing w:val="1"/>
          <w:position w:val="2"/>
        </w:rPr>
        <w:t>(</w:t>
      </w:r>
      <w:r>
        <w:rPr>
          <w:spacing w:val="-5"/>
          <w:position w:val="2"/>
        </w:rPr>
        <w:t>1</w:t>
      </w:r>
      <w:r>
        <w:rPr>
          <w:spacing w:val="2"/>
          <w:position w:val="2"/>
        </w:rPr>
        <w:t>.</w:t>
      </w:r>
      <w:r>
        <w:rPr>
          <w:position w:val="2"/>
        </w:rPr>
        <w:t>89, 47</w:t>
      </w:r>
      <w:r>
        <w:rPr>
          <w:spacing w:val="2"/>
          <w:position w:val="2"/>
        </w:rPr>
        <w:t>.</w:t>
      </w:r>
      <w:r>
        <w:rPr>
          <w:position w:val="2"/>
        </w:rPr>
        <w:t>29)</w:t>
      </w:r>
      <w:r>
        <w:rPr>
          <w:spacing w:val="-1"/>
          <w:position w:val="2"/>
        </w:rPr>
        <w:t xml:space="preserve"> </w:t>
      </w:r>
      <w:r>
        <w:rPr>
          <w:position w:val="2"/>
        </w:rPr>
        <w:t>=</w:t>
      </w:r>
      <w:r>
        <w:rPr>
          <w:spacing w:val="-4"/>
          <w:position w:val="2"/>
        </w:rPr>
        <w:t xml:space="preserve"> </w:t>
      </w:r>
      <w:r>
        <w:rPr>
          <w:position w:val="2"/>
        </w:rPr>
        <w:t>44</w:t>
      </w:r>
      <w:r>
        <w:rPr>
          <w:spacing w:val="2"/>
          <w:position w:val="2"/>
        </w:rPr>
        <w:t>.</w:t>
      </w:r>
      <w:r>
        <w:rPr>
          <w:position w:val="2"/>
        </w:rPr>
        <w:t>61</w:t>
      </w:r>
      <w:r>
        <w:rPr>
          <w:spacing w:val="2"/>
          <w:position w:val="2"/>
        </w:rPr>
        <w:t xml:space="preserve"> </w:t>
      </w:r>
      <w:r>
        <w:rPr>
          <w:i/>
          <w:position w:val="2"/>
        </w:rPr>
        <w:t>p</w:t>
      </w:r>
      <w:r>
        <w:rPr>
          <w:i/>
          <w:spacing w:val="2"/>
          <w:position w:val="2"/>
        </w:rPr>
        <w:t xml:space="preserve"> </w:t>
      </w:r>
      <w:r>
        <w:rPr>
          <w:position w:val="2"/>
        </w:rPr>
        <w:t>≤</w:t>
      </w:r>
      <w:r>
        <w:rPr>
          <w:spacing w:val="-5"/>
          <w:position w:val="2"/>
        </w:rPr>
        <w:t xml:space="preserve"> </w:t>
      </w:r>
      <w:r>
        <w:rPr>
          <w:spacing w:val="2"/>
          <w:position w:val="2"/>
        </w:rPr>
        <w:t>.</w:t>
      </w:r>
      <w:r>
        <w:rPr>
          <w:position w:val="2"/>
        </w:rPr>
        <w:t>001,</w:t>
      </w:r>
      <w:r>
        <w:rPr>
          <w:spacing w:val="-5"/>
          <w:position w:val="2"/>
        </w:rPr>
        <w:t xml:space="preserve"> </w:t>
      </w:r>
      <w:r>
        <w:rPr>
          <w:rFonts w:ascii="Cambria Math" w:hAnsi="Cambria Math"/>
          <w:spacing w:val="3"/>
          <w:w w:val="183"/>
          <w:position w:val="2"/>
        </w:rPr>
        <w:t>!</w:t>
      </w:r>
      <w:r>
        <w:rPr>
          <w:rFonts w:ascii="Cambria Math" w:hAnsi="Cambria Math"/>
          <w:w w:val="85"/>
          <w:position w:val="2"/>
          <w:vertAlign w:val="superscript"/>
        </w:rPr>
        <w:t>#</w:t>
      </w:r>
      <w:r>
        <w:rPr>
          <w:rFonts w:ascii="Cambria Math" w:hAnsi="Cambria Math"/>
          <w:position w:val="2"/>
        </w:rPr>
        <w:t xml:space="preserve"> </w:t>
      </w:r>
      <w:r>
        <w:rPr>
          <w:rFonts w:ascii="Cambria Math" w:hAnsi="Cambria Math"/>
          <w:spacing w:val="-26"/>
          <w:position w:val="2"/>
        </w:rPr>
        <w:t xml:space="preserve"> </w:t>
      </w:r>
      <w:r>
        <w:rPr>
          <w:position w:val="2"/>
        </w:rPr>
        <w:t>=</w:t>
      </w:r>
      <w:r>
        <w:rPr>
          <w:spacing w:val="1"/>
          <w:position w:val="2"/>
        </w:rPr>
        <w:t xml:space="preserve"> </w:t>
      </w:r>
      <w:r>
        <w:rPr>
          <w:spacing w:val="2"/>
          <w:position w:val="2"/>
        </w:rPr>
        <w:t>.</w:t>
      </w:r>
      <w:r>
        <w:rPr>
          <w:position w:val="2"/>
        </w:rPr>
        <w:t>64,</w:t>
      </w:r>
      <w:r>
        <w:rPr>
          <w:spacing w:val="4"/>
          <w:position w:val="2"/>
        </w:rPr>
        <w:t xml:space="preserve"> </w:t>
      </w:r>
      <w:r>
        <w:rPr>
          <w:spacing w:val="-2"/>
          <w:position w:val="2"/>
        </w:rPr>
        <w:t>B</w:t>
      </w:r>
      <w:r>
        <w:rPr>
          <w:spacing w:val="-4"/>
          <w:position w:val="2"/>
        </w:rPr>
        <w:t>F</w:t>
      </w:r>
      <w:r>
        <w:rPr>
          <w:spacing w:val="2"/>
          <w:w w:val="97"/>
          <w:position w:val="2"/>
          <w:vertAlign w:val="subscript"/>
        </w:rPr>
        <w:t>1</w:t>
      </w:r>
      <w:r>
        <w:rPr>
          <w:w w:val="97"/>
          <w:position w:val="2"/>
          <w:vertAlign w:val="subscript"/>
        </w:rPr>
        <w:t>0</w:t>
      </w:r>
      <w:r>
        <w:rPr>
          <w:spacing w:val="4"/>
          <w:position w:val="2"/>
        </w:rPr>
        <w:t xml:space="preserve"> </w:t>
      </w:r>
      <w:r>
        <w:rPr>
          <w:position w:val="2"/>
        </w:rPr>
        <w:t>=</w:t>
      </w:r>
      <w:r>
        <w:rPr>
          <w:spacing w:val="1"/>
          <w:position w:val="2"/>
        </w:rPr>
        <w:t xml:space="preserve"> </w:t>
      </w:r>
      <w:r>
        <w:rPr>
          <w:spacing w:val="-5"/>
          <w:position w:val="2"/>
        </w:rPr>
        <w:t>2</w:t>
      </w:r>
      <w:r>
        <w:rPr>
          <w:spacing w:val="2"/>
          <w:position w:val="2"/>
        </w:rPr>
        <w:t>.</w:t>
      </w:r>
      <w:r>
        <w:rPr>
          <w:position w:val="2"/>
        </w:rPr>
        <w:t>20*10</w:t>
      </w:r>
      <w:r>
        <w:rPr>
          <w:spacing w:val="-3"/>
          <w:w w:val="97"/>
          <w:position w:val="2"/>
          <w:vertAlign w:val="superscript"/>
        </w:rPr>
        <w:t>1</w:t>
      </w:r>
      <w:r>
        <w:rPr>
          <w:spacing w:val="2"/>
          <w:w w:val="97"/>
          <w:position w:val="2"/>
          <w:vertAlign w:val="superscript"/>
        </w:rPr>
        <w:t>0</w:t>
      </w:r>
      <w:r>
        <w:rPr>
          <w:position w:val="2"/>
        </w:rPr>
        <w:t xml:space="preserve">. </w:t>
      </w:r>
      <w:r>
        <w:t xml:space="preserve">The Group × Interval interaction was not significant, </w:t>
      </w:r>
      <w:r>
        <w:rPr>
          <w:i/>
        </w:rPr>
        <w:t>F</w:t>
      </w:r>
      <w:r>
        <w:t xml:space="preserve">(1.89, 47.29) = 0.76, </w:t>
      </w:r>
      <w:r>
        <w:rPr>
          <w:i/>
        </w:rPr>
        <w:t xml:space="preserve">p </w:t>
      </w:r>
      <w:r>
        <w:t xml:space="preserve">= .47, </w:t>
      </w:r>
      <w:r>
        <w:rPr>
          <w:rFonts w:ascii="Cambria Math" w:hAnsi="Cambria Math"/>
          <w:w w:val="110"/>
        </w:rPr>
        <w:t>!</w:t>
      </w:r>
      <w:r>
        <w:rPr>
          <w:rFonts w:ascii="Cambria Math" w:hAnsi="Cambria Math"/>
          <w:w w:val="110"/>
          <w:position w:val="9"/>
          <w:sz w:val="17"/>
        </w:rPr>
        <w:t xml:space="preserve"># </w:t>
      </w:r>
      <w:r>
        <w:t>=</w:t>
      </w:r>
      <w:r>
        <w:rPr>
          <w:spacing w:val="6"/>
        </w:rPr>
        <w:t xml:space="preserve"> </w:t>
      </w:r>
      <w:r>
        <w:t>.03,</w:t>
      </w:r>
    </w:p>
    <w:p w14:paraId="5AF25811" w14:textId="77777777" w:rsidR="00C75312" w:rsidRDefault="00BB293A">
      <w:pPr>
        <w:pStyle w:val="BodyText"/>
        <w:spacing w:before="29" w:line="470" w:lineRule="auto"/>
        <w:ind w:left="140" w:right="232"/>
        <w:jc w:val="both"/>
      </w:pPr>
      <w:r>
        <w:rPr>
          <w:position w:val="2"/>
        </w:rPr>
        <w:t>BF</w:t>
      </w:r>
      <w:r>
        <w:rPr>
          <w:position w:val="2"/>
          <w:vertAlign w:val="subscript"/>
        </w:rPr>
        <w:t>10</w:t>
      </w:r>
      <w:r>
        <w:rPr>
          <w:position w:val="2"/>
        </w:rPr>
        <w:t xml:space="preserve"> = 0.20. The BF</w:t>
      </w:r>
      <w:r>
        <w:rPr>
          <w:position w:val="2"/>
          <w:vertAlign w:val="subscript"/>
        </w:rPr>
        <w:t>10</w:t>
      </w:r>
      <w:r>
        <w:rPr>
          <w:position w:val="2"/>
        </w:rPr>
        <w:t xml:space="preserve"> for the additive model was 8.89*10</w:t>
      </w:r>
      <w:r>
        <w:rPr>
          <w:position w:val="2"/>
          <w:vertAlign w:val="superscript"/>
        </w:rPr>
        <w:t>13</w:t>
      </w:r>
      <w:r>
        <w:rPr>
          <w:position w:val="2"/>
        </w:rPr>
        <w:t xml:space="preserve"> and for the full model 1.84*10</w:t>
      </w:r>
      <w:r>
        <w:rPr>
          <w:position w:val="2"/>
          <w:vertAlign w:val="superscript"/>
        </w:rPr>
        <w:t>13</w:t>
      </w:r>
      <w:r>
        <w:rPr>
          <w:position w:val="2"/>
        </w:rPr>
        <w:t xml:space="preserve">. </w:t>
      </w:r>
      <w:r>
        <w:t>Post-hoc</w:t>
      </w:r>
      <w:r>
        <w:rPr>
          <w:spacing w:val="-12"/>
        </w:rPr>
        <w:t xml:space="preserve"> </w:t>
      </w:r>
      <w:r>
        <w:t>contrasts</w:t>
      </w:r>
      <w:r>
        <w:rPr>
          <w:spacing w:val="-13"/>
        </w:rPr>
        <w:t xml:space="preserve"> </w:t>
      </w:r>
      <w:r>
        <w:t>(Bonferroni</w:t>
      </w:r>
      <w:r>
        <w:rPr>
          <w:spacing w:val="-10"/>
        </w:rPr>
        <w:t xml:space="preserve"> </w:t>
      </w:r>
      <w:r>
        <w:t>corrected</w:t>
      </w:r>
      <w:r>
        <w:rPr>
          <w:spacing w:val="-15"/>
        </w:rPr>
        <w:t xml:space="preserve"> </w:t>
      </w:r>
      <w:r>
        <w:t>for</w:t>
      </w:r>
      <w:r>
        <w:rPr>
          <w:spacing w:val="-13"/>
        </w:rPr>
        <w:t xml:space="preserve"> </w:t>
      </w:r>
      <w:r>
        <w:t>multiple</w:t>
      </w:r>
      <w:r>
        <w:rPr>
          <w:spacing w:val="-12"/>
        </w:rPr>
        <w:t xml:space="preserve"> </w:t>
      </w:r>
      <w:r>
        <w:t>comparisons)</w:t>
      </w:r>
      <w:r>
        <w:rPr>
          <w:spacing w:val="-9"/>
        </w:rPr>
        <w:t xml:space="preserve"> </w:t>
      </w:r>
      <w:r>
        <w:t>revealed</w:t>
      </w:r>
      <w:r>
        <w:rPr>
          <w:spacing w:val="-11"/>
        </w:rPr>
        <w:t xml:space="preserve"> </w:t>
      </w:r>
      <w:r>
        <w:t>that</w:t>
      </w:r>
      <w:r>
        <w:rPr>
          <w:spacing w:val="-10"/>
        </w:rPr>
        <w:t xml:space="preserve"> </w:t>
      </w:r>
      <w:r>
        <w:t>across</w:t>
      </w:r>
      <w:r>
        <w:rPr>
          <w:spacing w:val="-13"/>
        </w:rPr>
        <w:t xml:space="preserve"> </w:t>
      </w:r>
      <w:r>
        <w:t xml:space="preserve">groups participants checked the time significantly more frequently in the fourth critical interval </w:t>
      </w:r>
      <w:r>
        <w:rPr>
          <w:position w:val="2"/>
        </w:rPr>
        <w:t>compared</w:t>
      </w:r>
      <w:r>
        <w:rPr>
          <w:spacing w:val="-5"/>
          <w:position w:val="2"/>
        </w:rPr>
        <w:t xml:space="preserve"> </w:t>
      </w:r>
      <w:r>
        <w:rPr>
          <w:position w:val="2"/>
        </w:rPr>
        <w:t>to</w:t>
      </w:r>
      <w:r>
        <w:rPr>
          <w:spacing w:val="-4"/>
          <w:position w:val="2"/>
        </w:rPr>
        <w:t xml:space="preserve"> </w:t>
      </w:r>
      <w:r>
        <w:rPr>
          <w:position w:val="2"/>
        </w:rPr>
        <w:t>all</w:t>
      </w:r>
      <w:r>
        <w:rPr>
          <w:spacing w:val="-4"/>
          <w:position w:val="2"/>
        </w:rPr>
        <w:t xml:space="preserve"> </w:t>
      </w:r>
      <w:r>
        <w:rPr>
          <w:position w:val="2"/>
        </w:rPr>
        <w:t>other</w:t>
      </w:r>
      <w:r>
        <w:rPr>
          <w:spacing w:val="-7"/>
          <w:position w:val="2"/>
        </w:rPr>
        <w:t xml:space="preserve"> </w:t>
      </w:r>
      <w:r>
        <w:rPr>
          <w:position w:val="2"/>
        </w:rPr>
        <w:t>intervals</w:t>
      </w:r>
      <w:r>
        <w:rPr>
          <w:spacing w:val="-6"/>
          <w:position w:val="2"/>
        </w:rPr>
        <w:t xml:space="preserve"> </w:t>
      </w:r>
      <w:r>
        <w:rPr>
          <w:position w:val="2"/>
        </w:rPr>
        <w:t>(all</w:t>
      </w:r>
      <w:r>
        <w:rPr>
          <w:spacing w:val="-9"/>
          <w:position w:val="2"/>
        </w:rPr>
        <w:t xml:space="preserve"> </w:t>
      </w:r>
      <w:proofErr w:type="spellStart"/>
      <w:r>
        <w:rPr>
          <w:i/>
          <w:position w:val="2"/>
        </w:rPr>
        <w:t>p</w:t>
      </w:r>
      <w:r>
        <w:rPr>
          <w:position w:val="2"/>
        </w:rPr>
        <w:t>s</w:t>
      </w:r>
      <w:proofErr w:type="spellEnd"/>
      <w:r>
        <w:rPr>
          <w:spacing w:val="-6"/>
          <w:position w:val="2"/>
        </w:rPr>
        <w:t xml:space="preserve"> </w:t>
      </w:r>
      <w:r>
        <w:rPr>
          <w:position w:val="2"/>
        </w:rPr>
        <w:t>≤</w:t>
      </w:r>
      <w:r>
        <w:rPr>
          <w:spacing w:val="-6"/>
          <w:position w:val="2"/>
        </w:rPr>
        <w:t xml:space="preserve"> </w:t>
      </w:r>
      <w:r>
        <w:rPr>
          <w:position w:val="2"/>
        </w:rPr>
        <w:t>.001,</w:t>
      </w:r>
      <w:r>
        <w:rPr>
          <w:spacing w:val="-7"/>
          <w:position w:val="2"/>
        </w:rPr>
        <w:t xml:space="preserve"> </w:t>
      </w:r>
      <w:r>
        <w:rPr>
          <w:position w:val="2"/>
        </w:rPr>
        <w:t>all</w:t>
      </w:r>
      <w:r>
        <w:rPr>
          <w:spacing w:val="-3"/>
          <w:position w:val="2"/>
        </w:rPr>
        <w:t xml:space="preserve"> </w:t>
      </w:r>
      <w:r>
        <w:rPr>
          <w:position w:val="2"/>
        </w:rPr>
        <w:t>BF</w:t>
      </w:r>
      <w:r>
        <w:rPr>
          <w:position w:val="2"/>
          <w:vertAlign w:val="subscript"/>
        </w:rPr>
        <w:t>10</w:t>
      </w:r>
      <w:r>
        <w:rPr>
          <w:spacing w:val="-2"/>
          <w:position w:val="2"/>
        </w:rPr>
        <w:t xml:space="preserve"> </w:t>
      </w:r>
      <w:r>
        <w:rPr>
          <w:position w:val="2"/>
        </w:rPr>
        <w:t>&gt;</w:t>
      </w:r>
      <w:r>
        <w:rPr>
          <w:spacing w:val="-5"/>
          <w:position w:val="2"/>
        </w:rPr>
        <w:t xml:space="preserve"> </w:t>
      </w:r>
      <w:r>
        <w:rPr>
          <w:position w:val="2"/>
        </w:rPr>
        <w:t>100)</w:t>
      </w:r>
      <w:r>
        <w:rPr>
          <w:spacing w:val="-3"/>
          <w:position w:val="2"/>
        </w:rPr>
        <w:t xml:space="preserve"> </w:t>
      </w:r>
      <w:r>
        <w:rPr>
          <w:position w:val="2"/>
        </w:rPr>
        <w:t>and</w:t>
      </w:r>
      <w:r>
        <w:rPr>
          <w:spacing w:val="-4"/>
          <w:position w:val="2"/>
        </w:rPr>
        <w:t xml:space="preserve"> </w:t>
      </w:r>
      <w:r>
        <w:rPr>
          <w:position w:val="2"/>
        </w:rPr>
        <w:t>also</w:t>
      </w:r>
      <w:r>
        <w:rPr>
          <w:spacing w:val="-4"/>
          <w:position w:val="2"/>
        </w:rPr>
        <w:t xml:space="preserve"> </w:t>
      </w:r>
      <w:r>
        <w:rPr>
          <w:position w:val="2"/>
        </w:rPr>
        <w:t>significantly</w:t>
      </w:r>
      <w:r>
        <w:rPr>
          <w:spacing w:val="-10"/>
          <w:position w:val="2"/>
        </w:rPr>
        <w:t xml:space="preserve"> </w:t>
      </w:r>
      <w:r>
        <w:rPr>
          <w:position w:val="2"/>
        </w:rPr>
        <w:t>more</w:t>
      </w:r>
      <w:r>
        <w:rPr>
          <w:spacing w:val="-5"/>
          <w:position w:val="2"/>
        </w:rPr>
        <w:t xml:space="preserve"> </w:t>
      </w:r>
      <w:r>
        <w:rPr>
          <w:position w:val="2"/>
        </w:rPr>
        <w:t>in</w:t>
      </w:r>
      <w:r>
        <w:rPr>
          <w:spacing w:val="-9"/>
          <w:position w:val="2"/>
        </w:rPr>
        <w:t xml:space="preserve"> </w:t>
      </w:r>
      <w:r>
        <w:rPr>
          <w:position w:val="2"/>
        </w:rPr>
        <w:t>the third interval compared to the first interval (p = .005, BF</w:t>
      </w:r>
      <w:r>
        <w:rPr>
          <w:position w:val="2"/>
          <w:vertAlign w:val="subscript"/>
        </w:rPr>
        <w:t>10</w:t>
      </w:r>
      <w:r>
        <w:rPr>
          <w:position w:val="2"/>
        </w:rPr>
        <w:t xml:space="preserve"> =</w:t>
      </w:r>
      <w:r>
        <w:rPr>
          <w:spacing w:val="-24"/>
          <w:position w:val="2"/>
        </w:rPr>
        <w:t xml:space="preserve"> </w:t>
      </w:r>
      <w:r>
        <w:rPr>
          <w:position w:val="2"/>
        </w:rPr>
        <w:t>40.48).</w:t>
      </w:r>
    </w:p>
    <w:p w14:paraId="1E297B64" w14:textId="77777777" w:rsidR="00C75312" w:rsidRDefault="00BB293A">
      <w:pPr>
        <w:spacing w:before="115"/>
        <w:ind w:left="140"/>
        <w:rPr>
          <w:i/>
          <w:sz w:val="20"/>
        </w:rPr>
      </w:pPr>
      <w:r>
        <w:rPr>
          <w:i/>
          <w:sz w:val="20"/>
        </w:rPr>
        <w:t>Table A 7. Results of independent sample t-tests of time-based PM performance for the subsample groups</w:t>
      </w:r>
    </w:p>
    <w:p w14:paraId="386F5E6E" w14:textId="77777777" w:rsidR="00C75312" w:rsidRDefault="00BB293A">
      <w:pPr>
        <w:pStyle w:val="BodyText"/>
        <w:spacing w:before="7"/>
        <w:rPr>
          <w:i/>
          <w:sz w:val="13"/>
        </w:rPr>
      </w:pPr>
      <w:r>
        <w:pict w14:anchorId="65AD6DB7">
          <v:group id="_x0000_s2050" style="position:absolute;margin-left:1in;margin-top:9.85pt;width:451.2pt;height:.75pt;z-index:-251462656;mso-wrap-distance-left:0;mso-wrap-distance-right:0;mso-position-horizontal-relative:page" coordorigin="1440,197" coordsize="9024,15">
            <v:line id="_x0000_s2063" style="position:absolute" from="1440,204" to="3581,204" strokeweight=".72pt"/>
            <v:rect id="_x0000_s2062" style="position:absolute;left:3580;top:197;width:15;height:15" fillcolor="black" stroked="f"/>
            <v:line id="_x0000_s2061" style="position:absolute" from="3595,204" to="6307,204" strokeweight=".72pt"/>
            <v:rect id="_x0000_s2060" style="position:absolute;left:6307;top:197;width:15;height:15" fillcolor="black" stroked="f"/>
            <v:line id="_x0000_s2059" style="position:absolute" from="6322,204" to="7080,204" strokeweight=".72pt"/>
            <v:rect id="_x0000_s2058" style="position:absolute;left:7080;top:197;width:15;height:15" fillcolor="black" stroked="f"/>
            <v:line id="_x0000_s2057" style="position:absolute" from="7094,204" to="7862,204" strokeweight=".72pt"/>
            <v:rect id="_x0000_s2056" style="position:absolute;left:7862;top:197;width:15;height:15" fillcolor="black" stroked="f"/>
            <v:line id="_x0000_s2055" style="position:absolute" from="7877,204" to="8626,204" strokeweight=".72pt"/>
            <v:rect id="_x0000_s2054" style="position:absolute;left:8625;top:197;width:15;height:15" fillcolor="black" stroked="f"/>
            <v:line id="_x0000_s2053" style="position:absolute" from="8640,204" to="9605,204" strokeweight=".72pt"/>
            <v:rect id="_x0000_s2052" style="position:absolute;left:9604;top:197;width:15;height:15" fillcolor="black" stroked="f"/>
            <v:line id="_x0000_s2051" style="position:absolute" from="9619,204" to="10464,204" strokeweight=".72pt"/>
            <w10:wrap type="topAndBottom" anchorx="page"/>
          </v:group>
        </w:pict>
      </w:r>
    </w:p>
    <w:p w14:paraId="23867728" w14:textId="77777777" w:rsidR="00C75312" w:rsidRDefault="00BB293A">
      <w:pPr>
        <w:spacing w:before="23"/>
        <w:ind w:left="2847"/>
        <w:rPr>
          <w:b/>
          <w:sz w:val="20"/>
        </w:rPr>
      </w:pPr>
      <w:r>
        <w:rPr>
          <w:b/>
          <w:sz w:val="20"/>
        </w:rPr>
        <w:t>Group means (SD)</w:t>
      </w:r>
    </w:p>
    <w:p w14:paraId="78960129" w14:textId="77777777" w:rsidR="00C75312" w:rsidRDefault="00C75312">
      <w:pPr>
        <w:pStyle w:val="BodyText"/>
        <w:spacing w:before="2"/>
        <w:rPr>
          <w:b/>
          <w:sz w:val="14"/>
        </w:rPr>
      </w:pPr>
    </w:p>
    <w:tbl>
      <w:tblPr>
        <w:tblW w:w="0" w:type="auto"/>
        <w:tblInd w:w="140" w:type="dxa"/>
        <w:tblLayout w:type="fixed"/>
        <w:tblCellMar>
          <w:left w:w="0" w:type="dxa"/>
          <w:right w:w="0" w:type="dxa"/>
        </w:tblCellMar>
        <w:tblLook w:val="01E0" w:firstRow="1" w:lastRow="1" w:firstColumn="1" w:lastColumn="1" w:noHBand="0" w:noVBand="0"/>
      </w:tblPr>
      <w:tblGrid>
        <w:gridCol w:w="2148"/>
        <w:gridCol w:w="1387"/>
        <w:gridCol w:w="1339"/>
        <w:gridCol w:w="770"/>
        <w:gridCol w:w="832"/>
        <w:gridCol w:w="621"/>
        <w:gridCol w:w="1156"/>
        <w:gridCol w:w="774"/>
      </w:tblGrid>
      <w:tr w:rsidR="00C75312" w14:paraId="00744D47" w14:textId="77777777">
        <w:trPr>
          <w:trHeight w:val="436"/>
        </w:trPr>
        <w:tc>
          <w:tcPr>
            <w:tcW w:w="2148" w:type="dxa"/>
            <w:tcBorders>
              <w:bottom w:val="single" w:sz="4" w:space="0" w:color="000000"/>
            </w:tcBorders>
          </w:tcPr>
          <w:p w14:paraId="2DB7749C" w14:textId="77777777" w:rsidR="00C75312" w:rsidRDefault="00C75312">
            <w:pPr>
              <w:pStyle w:val="TableParagraph"/>
            </w:pPr>
          </w:p>
        </w:tc>
        <w:tc>
          <w:tcPr>
            <w:tcW w:w="1387" w:type="dxa"/>
            <w:tcBorders>
              <w:top w:val="single" w:sz="4" w:space="0" w:color="000000"/>
              <w:bottom w:val="single" w:sz="6" w:space="0" w:color="000000"/>
            </w:tcBorders>
          </w:tcPr>
          <w:p w14:paraId="7201621B" w14:textId="77777777" w:rsidR="00C75312" w:rsidRDefault="00BB293A">
            <w:pPr>
              <w:pStyle w:val="TableParagraph"/>
              <w:spacing w:before="53"/>
              <w:ind w:left="237" w:right="217"/>
              <w:jc w:val="center"/>
              <w:rPr>
                <w:b/>
                <w:sz w:val="20"/>
              </w:rPr>
            </w:pPr>
            <w:r>
              <w:rPr>
                <w:b/>
                <w:sz w:val="20"/>
              </w:rPr>
              <w:t>ASD</w:t>
            </w:r>
          </w:p>
        </w:tc>
        <w:tc>
          <w:tcPr>
            <w:tcW w:w="1339" w:type="dxa"/>
            <w:tcBorders>
              <w:top w:val="single" w:sz="4" w:space="0" w:color="000000"/>
              <w:bottom w:val="single" w:sz="6" w:space="0" w:color="000000"/>
            </w:tcBorders>
          </w:tcPr>
          <w:p w14:paraId="3A1D930E" w14:textId="77777777" w:rsidR="00C75312" w:rsidRDefault="00BB293A">
            <w:pPr>
              <w:pStyle w:val="TableParagraph"/>
              <w:spacing w:before="53"/>
              <w:ind w:left="211" w:right="198"/>
              <w:jc w:val="center"/>
              <w:rPr>
                <w:b/>
                <w:sz w:val="20"/>
              </w:rPr>
            </w:pPr>
            <w:r>
              <w:rPr>
                <w:b/>
                <w:sz w:val="20"/>
              </w:rPr>
              <w:t>NT</w:t>
            </w:r>
          </w:p>
        </w:tc>
        <w:tc>
          <w:tcPr>
            <w:tcW w:w="770" w:type="dxa"/>
            <w:tcBorders>
              <w:bottom w:val="single" w:sz="6" w:space="0" w:color="000000"/>
            </w:tcBorders>
          </w:tcPr>
          <w:p w14:paraId="1B9F53A2" w14:textId="77777777" w:rsidR="00C75312" w:rsidRDefault="00BB293A">
            <w:pPr>
              <w:pStyle w:val="TableParagraph"/>
              <w:spacing w:before="53"/>
              <w:ind w:left="6"/>
              <w:jc w:val="center"/>
              <w:rPr>
                <w:b/>
                <w:i/>
                <w:sz w:val="20"/>
              </w:rPr>
            </w:pPr>
            <w:r>
              <w:rPr>
                <w:b/>
                <w:i/>
                <w:sz w:val="20"/>
              </w:rPr>
              <w:t>t</w:t>
            </w:r>
          </w:p>
        </w:tc>
        <w:tc>
          <w:tcPr>
            <w:tcW w:w="832" w:type="dxa"/>
            <w:tcBorders>
              <w:bottom w:val="single" w:sz="6" w:space="0" w:color="000000"/>
            </w:tcBorders>
          </w:tcPr>
          <w:p w14:paraId="4A5835A2" w14:textId="77777777" w:rsidR="00C75312" w:rsidRDefault="00BB293A">
            <w:pPr>
              <w:pStyle w:val="TableParagraph"/>
              <w:spacing w:before="53"/>
              <w:ind w:left="145" w:right="186"/>
              <w:jc w:val="center"/>
              <w:rPr>
                <w:b/>
                <w:i/>
                <w:sz w:val="20"/>
              </w:rPr>
            </w:pPr>
            <w:proofErr w:type="spellStart"/>
            <w:r>
              <w:rPr>
                <w:b/>
                <w:i/>
                <w:sz w:val="20"/>
              </w:rPr>
              <w:t>df</w:t>
            </w:r>
            <w:proofErr w:type="spellEnd"/>
          </w:p>
        </w:tc>
        <w:tc>
          <w:tcPr>
            <w:tcW w:w="621" w:type="dxa"/>
            <w:tcBorders>
              <w:bottom w:val="single" w:sz="6" w:space="0" w:color="000000"/>
            </w:tcBorders>
          </w:tcPr>
          <w:p w14:paraId="350E6224" w14:textId="77777777" w:rsidR="00C75312" w:rsidRDefault="00BB293A">
            <w:pPr>
              <w:pStyle w:val="TableParagraph"/>
              <w:spacing w:before="53"/>
              <w:ind w:left="49"/>
              <w:jc w:val="center"/>
              <w:rPr>
                <w:b/>
                <w:i/>
                <w:sz w:val="20"/>
              </w:rPr>
            </w:pPr>
            <w:r>
              <w:rPr>
                <w:b/>
                <w:i/>
                <w:sz w:val="20"/>
              </w:rPr>
              <w:t>p</w:t>
            </w:r>
          </w:p>
        </w:tc>
        <w:tc>
          <w:tcPr>
            <w:tcW w:w="1156" w:type="dxa"/>
            <w:tcBorders>
              <w:bottom w:val="single" w:sz="6" w:space="0" w:color="000000"/>
            </w:tcBorders>
          </w:tcPr>
          <w:p w14:paraId="03D7D433" w14:textId="77777777" w:rsidR="00C75312" w:rsidRDefault="00BB293A">
            <w:pPr>
              <w:pStyle w:val="TableParagraph"/>
              <w:spacing w:before="53"/>
              <w:ind w:left="145" w:right="131"/>
              <w:jc w:val="center"/>
              <w:rPr>
                <w:b/>
                <w:i/>
                <w:sz w:val="20"/>
              </w:rPr>
            </w:pPr>
            <w:r>
              <w:rPr>
                <w:b/>
                <w:sz w:val="20"/>
              </w:rPr>
              <w:t xml:space="preserve">Cohen's </w:t>
            </w:r>
            <w:r>
              <w:rPr>
                <w:b/>
                <w:i/>
                <w:sz w:val="20"/>
              </w:rPr>
              <w:t>d</w:t>
            </w:r>
          </w:p>
        </w:tc>
        <w:tc>
          <w:tcPr>
            <w:tcW w:w="774" w:type="dxa"/>
            <w:tcBorders>
              <w:bottom w:val="single" w:sz="6" w:space="0" w:color="000000"/>
            </w:tcBorders>
          </w:tcPr>
          <w:p w14:paraId="09F46932" w14:textId="77777777" w:rsidR="00C75312" w:rsidRDefault="00BB293A">
            <w:pPr>
              <w:pStyle w:val="TableParagraph"/>
              <w:spacing w:before="52"/>
              <w:ind w:left="154"/>
              <w:rPr>
                <w:b/>
                <w:sz w:val="20"/>
              </w:rPr>
            </w:pPr>
            <w:r>
              <w:rPr>
                <w:b/>
                <w:position w:val="1"/>
                <w:sz w:val="20"/>
              </w:rPr>
              <w:t>BF</w:t>
            </w:r>
            <w:r>
              <w:rPr>
                <w:b/>
                <w:position w:val="1"/>
                <w:sz w:val="20"/>
                <w:vertAlign w:val="subscript"/>
              </w:rPr>
              <w:t>10</w:t>
            </w:r>
          </w:p>
        </w:tc>
      </w:tr>
      <w:tr w:rsidR="00C75312" w14:paraId="79B7F76D" w14:textId="77777777">
        <w:trPr>
          <w:trHeight w:val="634"/>
        </w:trPr>
        <w:tc>
          <w:tcPr>
            <w:tcW w:w="2148" w:type="dxa"/>
            <w:tcBorders>
              <w:top w:val="single" w:sz="4" w:space="0" w:color="000000"/>
            </w:tcBorders>
          </w:tcPr>
          <w:p w14:paraId="08C5536B" w14:textId="77777777" w:rsidR="00C75312" w:rsidRDefault="00BB293A">
            <w:pPr>
              <w:pStyle w:val="TableParagraph"/>
              <w:spacing w:before="48" w:line="261" w:lineRule="auto"/>
              <w:ind w:left="21" w:right="512"/>
              <w:rPr>
                <w:sz w:val="20"/>
              </w:rPr>
            </w:pPr>
            <w:r>
              <w:rPr>
                <w:sz w:val="20"/>
              </w:rPr>
              <w:t>Ongoing proportion accuracy</w:t>
            </w:r>
          </w:p>
        </w:tc>
        <w:tc>
          <w:tcPr>
            <w:tcW w:w="1387" w:type="dxa"/>
            <w:tcBorders>
              <w:top w:val="single" w:sz="6" w:space="0" w:color="000000"/>
            </w:tcBorders>
          </w:tcPr>
          <w:p w14:paraId="151DF350" w14:textId="77777777" w:rsidR="00C75312" w:rsidRDefault="00BB293A">
            <w:pPr>
              <w:pStyle w:val="TableParagraph"/>
              <w:spacing w:before="48"/>
              <w:ind w:left="245" w:right="217"/>
              <w:jc w:val="center"/>
              <w:rPr>
                <w:sz w:val="20"/>
              </w:rPr>
            </w:pPr>
            <w:r>
              <w:rPr>
                <w:sz w:val="20"/>
              </w:rPr>
              <w:t>0.71 (0.16)</w:t>
            </w:r>
          </w:p>
        </w:tc>
        <w:tc>
          <w:tcPr>
            <w:tcW w:w="1339" w:type="dxa"/>
            <w:tcBorders>
              <w:top w:val="single" w:sz="6" w:space="0" w:color="000000"/>
            </w:tcBorders>
          </w:tcPr>
          <w:p w14:paraId="390BEEF6" w14:textId="77777777" w:rsidR="00C75312" w:rsidRDefault="00BB293A">
            <w:pPr>
              <w:pStyle w:val="TableParagraph"/>
              <w:spacing w:before="48"/>
              <w:ind w:left="217" w:right="198"/>
              <w:jc w:val="center"/>
              <w:rPr>
                <w:sz w:val="20"/>
              </w:rPr>
            </w:pPr>
            <w:r>
              <w:rPr>
                <w:sz w:val="20"/>
              </w:rPr>
              <w:t>0.77 (0.11)</w:t>
            </w:r>
          </w:p>
        </w:tc>
        <w:tc>
          <w:tcPr>
            <w:tcW w:w="770" w:type="dxa"/>
            <w:tcBorders>
              <w:top w:val="single" w:sz="6" w:space="0" w:color="000000"/>
            </w:tcBorders>
          </w:tcPr>
          <w:p w14:paraId="19DB199D" w14:textId="77777777" w:rsidR="00C75312" w:rsidRDefault="00BB293A">
            <w:pPr>
              <w:pStyle w:val="TableParagraph"/>
              <w:spacing w:before="48"/>
              <w:ind w:left="160" w:right="152"/>
              <w:jc w:val="center"/>
              <w:rPr>
                <w:sz w:val="20"/>
              </w:rPr>
            </w:pPr>
            <w:r>
              <w:rPr>
                <w:sz w:val="20"/>
              </w:rPr>
              <w:t>-1.00</w:t>
            </w:r>
          </w:p>
        </w:tc>
        <w:tc>
          <w:tcPr>
            <w:tcW w:w="832" w:type="dxa"/>
            <w:tcBorders>
              <w:top w:val="single" w:sz="6" w:space="0" w:color="000000"/>
            </w:tcBorders>
          </w:tcPr>
          <w:p w14:paraId="05726DB6" w14:textId="77777777" w:rsidR="00C75312" w:rsidRDefault="00BB293A">
            <w:pPr>
              <w:pStyle w:val="TableParagraph"/>
              <w:spacing w:before="48"/>
              <w:ind w:left="150" w:right="186"/>
              <w:jc w:val="center"/>
              <w:rPr>
                <w:sz w:val="20"/>
              </w:rPr>
            </w:pPr>
            <w:r>
              <w:rPr>
                <w:sz w:val="20"/>
              </w:rPr>
              <w:t>25</w:t>
            </w:r>
          </w:p>
        </w:tc>
        <w:tc>
          <w:tcPr>
            <w:tcW w:w="621" w:type="dxa"/>
            <w:tcBorders>
              <w:top w:val="single" w:sz="6" w:space="0" w:color="000000"/>
            </w:tcBorders>
          </w:tcPr>
          <w:p w14:paraId="11E79226" w14:textId="77777777" w:rsidR="00C75312" w:rsidRDefault="00BB293A">
            <w:pPr>
              <w:pStyle w:val="TableParagraph"/>
              <w:spacing w:before="48"/>
              <w:ind w:left="190" w:right="141"/>
              <w:jc w:val="center"/>
              <w:rPr>
                <w:sz w:val="20"/>
              </w:rPr>
            </w:pPr>
            <w:r>
              <w:rPr>
                <w:sz w:val="20"/>
              </w:rPr>
              <w:t>.33</w:t>
            </w:r>
          </w:p>
        </w:tc>
        <w:tc>
          <w:tcPr>
            <w:tcW w:w="1156" w:type="dxa"/>
            <w:tcBorders>
              <w:top w:val="single" w:sz="6" w:space="0" w:color="000000"/>
            </w:tcBorders>
          </w:tcPr>
          <w:p w14:paraId="7BDE63AA" w14:textId="77777777" w:rsidR="00C75312" w:rsidRDefault="00BB293A">
            <w:pPr>
              <w:pStyle w:val="TableParagraph"/>
              <w:spacing w:before="48"/>
              <w:ind w:left="145" w:right="131"/>
              <w:jc w:val="center"/>
              <w:rPr>
                <w:sz w:val="20"/>
              </w:rPr>
            </w:pPr>
            <w:r>
              <w:rPr>
                <w:sz w:val="20"/>
              </w:rPr>
              <w:t>0.38</w:t>
            </w:r>
          </w:p>
        </w:tc>
        <w:tc>
          <w:tcPr>
            <w:tcW w:w="774" w:type="dxa"/>
            <w:tcBorders>
              <w:top w:val="single" w:sz="6" w:space="0" w:color="000000"/>
            </w:tcBorders>
          </w:tcPr>
          <w:p w14:paraId="1DA262E0" w14:textId="77777777" w:rsidR="00C75312" w:rsidRDefault="00BB293A">
            <w:pPr>
              <w:pStyle w:val="TableParagraph"/>
              <w:spacing w:before="48"/>
              <w:ind w:left="173"/>
              <w:rPr>
                <w:sz w:val="20"/>
              </w:rPr>
            </w:pPr>
            <w:r>
              <w:rPr>
                <w:sz w:val="20"/>
              </w:rPr>
              <w:t>0.52</w:t>
            </w:r>
          </w:p>
        </w:tc>
      </w:tr>
      <w:tr w:rsidR="00C75312" w14:paraId="29404816" w14:textId="77777777">
        <w:trPr>
          <w:trHeight w:val="436"/>
        </w:trPr>
        <w:tc>
          <w:tcPr>
            <w:tcW w:w="2148" w:type="dxa"/>
          </w:tcPr>
          <w:p w14:paraId="219BF873" w14:textId="77777777" w:rsidR="00C75312" w:rsidRDefault="00BB293A">
            <w:pPr>
              <w:pStyle w:val="TableParagraph"/>
              <w:spacing w:before="99"/>
              <w:ind w:left="21"/>
              <w:rPr>
                <w:sz w:val="20"/>
              </w:rPr>
            </w:pPr>
            <w:r>
              <w:rPr>
                <w:sz w:val="20"/>
              </w:rPr>
              <w:t>PM proportion hits</w:t>
            </w:r>
          </w:p>
        </w:tc>
        <w:tc>
          <w:tcPr>
            <w:tcW w:w="1387" w:type="dxa"/>
          </w:tcPr>
          <w:p w14:paraId="77972452" w14:textId="77777777" w:rsidR="00C75312" w:rsidRDefault="00BB293A">
            <w:pPr>
              <w:pStyle w:val="TableParagraph"/>
              <w:spacing w:before="99"/>
              <w:ind w:left="245" w:right="217"/>
              <w:jc w:val="center"/>
              <w:rPr>
                <w:sz w:val="20"/>
              </w:rPr>
            </w:pPr>
            <w:r>
              <w:rPr>
                <w:sz w:val="20"/>
              </w:rPr>
              <w:t>0.68 (0.32)</w:t>
            </w:r>
          </w:p>
        </w:tc>
        <w:tc>
          <w:tcPr>
            <w:tcW w:w="1339" w:type="dxa"/>
          </w:tcPr>
          <w:p w14:paraId="7C59681A" w14:textId="77777777" w:rsidR="00C75312" w:rsidRDefault="00BB293A">
            <w:pPr>
              <w:pStyle w:val="TableParagraph"/>
              <w:spacing w:before="99"/>
              <w:ind w:left="217" w:right="198"/>
              <w:jc w:val="center"/>
              <w:rPr>
                <w:sz w:val="20"/>
              </w:rPr>
            </w:pPr>
            <w:r>
              <w:rPr>
                <w:sz w:val="20"/>
              </w:rPr>
              <w:t>0.93 (0.10)</w:t>
            </w:r>
          </w:p>
        </w:tc>
        <w:tc>
          <w:tcPr>
            <w:tcW w:w="770" w:type="dxa"/>
          </w:tcPr>
          <w:p w14:paraId="0CFBB9A4" w14:textId="77777777" w:rsidR="00C75312" w:rsidRDefault="00BB293A">
            <w:pPr>
              <w:pStyle w:val="TableParagraph"/>
              <w:spacing w:before="99"/>
              <w:ind w:left="160" w:right="152"/>
              <w:jc w:val="center"/>
              <w:rPr>
                <w:sz w:val="20"/>
              </w:rPr>
            </w:pPr>
            <w:r>
              <w:rPr>
                <w:sz w:val="20"/>
              </w:rPr>
              <w:t>-2.70</w:t>
            </w:r>
          </w:p>
        </w:tc>
        <w:tc>
          <w:tcPr>
            <w:tcW w:w="832" w:type="dxa"/>
          </w:tcPr>
          <w:p w14:paraId="300D765C" w14:textId="77777777" w:rsidR="00C75312" w:rsidRDefault="00BB293A">
            <w:pPr>
              <w:pStyle w:val="TableParagraph"/>
              <w:spacing w:before="99"/>
              <w:ind w:left="155" w:right="186"/>
              <w:jc w:val="center"/>
              <w:rPr>
                <w:sz w:val="20"/>
              </w:rPr>
            </w:pPr>
            <w:r>
              <w:rPr>
                <w:sz w:val="20"/>
              </w:rPr>
              <w:t>14.12</w:t>
            </w:r>
          </w:p>
        </w:tc>
        <w:tc>
          <w:tcPr>
            <w:tcW w:w="621" w:type="dxa"/>
          </w:tcPr>
          <w:p w14:paraId="0F828097" w14:textId="77777777" w:rsidR="00C75312" w:rsidRDefault="00BB293A">
            <w:pPr>
              <w:pStyle w:val="TableParagraph"/>
              <w:spacing w:before="99"/>
              <w:ind w:left="190" w:right="141"/>
              <w:jc w:val="center"/>
              <w:rPr>
                <w:sz w:val="20"/>
              </w:rPr>
            </w:pPr>
            <w:r>
              <w:rPr>
                <w:sz w:val="20"/>
              </w:rPr>
              <w:t>.02</w:t>
            </w:r>
          </w:p>
        </w:tc>
        <w:tc>
          <w:tcPr>
            <w:tcW w:w="1156" w:type="dxa"/>
          </w:tcPr>
          <w:p w14:paraId="1C8BDA2E" w14:textId="77777777" w:rsidR="00C75312" w:rsidRDefault="00BB293A">
            <w:pPr>
              <w:pStyle w:val="TableParagraph"/>
              <w:spacing w:before="99"/>
              <w:ind w:left="145" w:right="131"/>
              <w:jc w:val="center"/>
              <w:rPr>
                <w:sz w:val="20"/>
              </w:rPr>
            </w:pPr>
            <w:r>
              <w:rPr>
                <w:sz w:val="20"/>
              </w:rPr>
              <w:t>1.06</w:t>
            </w:r>
          </w:p>
        </w:tc>
        <w:tc>
          <w:tcPr>
            <w:tcW w:w="774" w:type="dxa"/>
          </w:tcPr>
          <w:p w14:paraId="3C3DC877" w14:textId="77777777" w:rsidR="00C75312" w:rsidRDefault="00BB293A">
            <w:pPr>
              <w:pStyle w:val="TableParagraph"/>
              <w:spacing w:before="99"/>
              <w:ind w:left="173"/>
              <w:rPr>
                <w:sz w:val="20"/>
              </w:rPr>
            </w:pPr>
            <w:r>
              <w:rPr>
                <w:sz w:val="20"/>
              </w:rPr>
              <w:t>5.14</w:t>
            </w:r>
          </w:p>
        </w:tc>
      </w:tr>
      <w:tr w:rsidR="00C75312" w14:paraId="72F77488" w14:textId="77777777">
        <w:trPr>
          <w:trHeight w:val="487"/>
        </w:trPr>
        <w:tc>
          <w:tcPr>
            <w:tcW w:w="2148" w:type="dxa"/>
            <w:tcBorders>
              <w:bottom w:val="single" w:sz="4" w:space="0" w:color="000000"/>
            </w:tcBorders>
          </w:tcPr>
          <w:p w14:paraId="221A3914" w14:textId="77777777" w:rsidR="00C75312" w:rsidRDefault="00BB293A">
            <w:pPr>
              <w:pStyle w:val="TableParagraph"/>
              <w:spacing w:before="99"/>
              <w:ind w:left="21"/>
              <w:rPr>
                <w:sz w:val="20"/>
              </w:rPr>
            </w:pPr>
            <w:r>
              <w:rPr>
                <w:sz w:val="20"/>
              </w:rPr>
              <w:t>PM target accuracy</w:t>
            </w:r>
          </w:p>
        </w:tc>
        <w:tc>
          <w:tcPr>
            <w:tcW w:w="1387" w:type="dxa"/>
            <w:tcBorders>
              <w:bottom w:val="single" w:sz="4" w:space="0" w:color="000000"/>
            </w:tcBorders>
          </w:tcPr>
          <w:p w14:paraId="630C79DF" w14:textId="77777777" w:rsidR="00C75312" w:rsidRDefault="00BB293A">
            <w:pPr>
              <w:pStyle w:val="TableParagraph"/>
              <w:spacing w:before="99"/>
              <w:ind w:left="245" w:right="217"/>
              <w:jc w:val="center"/>
              <w:rPr>
                <w:sz w:val="20"/>
              </w:rPr>
            </w:pPr>
            <w:r>
              <w:rPr>
                <w:sz w:val="20"/>
              </w:rPr>
              <w:t>2.62 (1.79)</w:t>
            </w:r>
          </w:p>
        </w:tc>
        <w:tc>
          <w:tcPr>
            <w:tcW w:w="1339" w:type="dxa"/>
            <w:tcBorders>
              <w:bottom w:val="single" w:sz="4" w:space="0" w:color="000000"/>
            </w:tcBorders>
          </w:tcPr>
          <w:p w14:paraId="70AC5665" w14:textId="77777777" w:rsidR="00C75312" w:rsidRDefault="00BB293A">
            <w:pPr>
              <w:pStyle w:val="TableParagraph"/>
              <w:spacing w:before="99"/>
              <w:ind w:left="217" w:right="198"/>
              <w:jc w:val="center"/>
              <w:rPr>
                <w:sz w:val="20"/>
              </w:rPr>
            </w:pPr>
            <w:r>
              <w:rPr>
                <w:sz w:val="20"/>
              </w:rPr>
              <w:t>1.58 (1.17)</w:t>
            </w:r>
          </w:p>
        </w:tc>
        <w:tc>
          <w:tcPr>
            <w:tcW w:w="770" w:type="dxa"/>
            <w:tcBorders>
              <w:bottom w:val="single" w:sz="4" w:space="0" w:color="000000"/>
            </w:tcBorders>
          </w:tcPr>
          <w:p w14:paraId="1E7B6099" w14:textId="77777777" w:rsidR="00C75312" w:rsidRDefault="00BB293A">
            <w:pPr>
              <w:pStyle w:val="TableParagraph"/>
              <w:spacing w:before="99"/>
              <w:ind w:left="160" w:right="152"/>
              <w:jc w:val="center"/>
              <w:rPr>
                <w:sz w:val="20"/>
              </w:rPr>
            </w:pPr>
            <w:r>
              <w:rPr>
                <w:sz w:val="20"/>
              </w:rPr>
              <w:t>1.79</w:t>
            </w:r>
          </w:p>
        </w:tc>
        <w:tc>
          <w:tcPr>
            <w:tcW w:w="832" w:type="dxa"/>
            <w:tcBorders>
              <w:bottom w:val="single" w:sz="4" w:space="0" w:color="000000"/>
            </w:tcBorders>
          </w:tcPr>
          <w:p w14:paraId="7E358374" w14:textId="77777777" w:rsidR="00C75312" w:rsidRDefault="00BB293A">
            <w:pPr>
              <w:pStyle w:val="TableParagraph"/>
              <w:spacing w:before="99"/>
              <w:ind w:left="150" w:right="186"/>
              <w:jc w:val="center"/>
              <w:rPr>
                <w:sz w:val="20"/>
              </w:rPr>
            </w:pPr>
            <w:r>
              <w:rPr>
                <w:sz w:val="20"/>
              </w:rPr>
              <w:t>25</w:t>
            </w:r>
          </w:p>
        </w:tc>
        <w:tc>
          <w:tcPr>
            <w:tcW w:w="621" w:type="dxa"/>
            <w:tcBorders>
              <w:bottom w:val="single" w:sz="4" w:space="0" w:color="000000"/>
            </w:tcBorders>
          </w:tcPr>
          <w:p w14:paraId="6600E9FB" w14:textId="77777777" w:rsidR="00C75312" w:rsidRDefault="00BB293A">
            <w:pPr>
              <w:pStyle w:val="TableParagraph"/>
              <w:spacing w:before="99"/>
              <w:ind w:left="190" w:right="141"/>
              <w:jc w:val="center"/>
              <w:rPr>
                <w:sz w:val="20"/>
              </w:rPr>
            </w:pPr>
            <w:r>
              <w:rPr>
                <w:sz w:val="20"/>
              </w:rPr>
              <w:t>.09</w:t>
            </w:r>
          </w:p>
        </w:tc>
        <w:tc>
          <w:tcPr>
            <w:tcW w:w="1156" w:type="dxa"/>
            <w:tcBorders>
              <w:bottom w:val="single" w:sz="4" w:space="0" w:color="000000"/>
            </w:tcBorders>
          </w:tcPr>
          <w:p w14:paraId="4C1D314D" w14:textId="77777777" w:rsidR="00C75312" w:rsidRDefault="00BB293A">
            <w:pPr>
              <w:pStyle w:val="TableParagraph"/>
              <w:spacing w:before="99"/>
              <w:ind w:left="145" w:right="131"/>
              <w:jc w:val="center"/>
              <w:rPr>
                <w:sz w:val="20"/>
              </w:rPr>
            </w:pPr>
            <w:r>
              <w:rPr>
                <w:sz w:val="20"/>
              </w:rPr>
              <w:t>-0.68</w:t>
            </w:r>
          </w:p>
        </w:tc>
        <w:tc>
          <w:tcPr>
            <w:tcW w:w="774" w:type="dxa"/>
            <w:tcBorders>
              <w:bottom w:val="single" w:sz="4" w:space="0" w:color="000000"/>
            </w:tcBorders>
          </w:tcPr>
          <w:p w14:paraId="16F93F20" w14:textId="77777777" w:rsidR="00C75312" w:rsidRDefault="00BB293A">
            <w:pPr>
              <w:pStyle w:val="TableParagraph"/>
              <w:spacing w:before="99"/>
              <w:ind w:left="173"/>
              <w:rPr>
                <w:sz w:val="20"/>
              </w:rPr>
            </w:pPr>
            <w:r>
              <w:rPr>
                <w:sz w:val="20"/>
              </w:rPr>
              <w:t>1.13</w:t>
            </w:r>
          </w:p>
        </w:tc>
      </w:tr>
    </w:tbl>
    <w:p w14:paraId="1A3E714E" w14:textId="77777777" w:rsidR="00C75312" w:rsidRDefault="00C75312">
      <w:pPr>
        <w:rPr>
          <w:sz w:val="20"/>
        </w:rPr>
        <w:sectPr w:rsidR="00C75312">
          <w:pgSz w:w="11900" w:h="16840"/>
          <w:pgMar w:top="1160" w:right="1200" w:bottom="280" w:left="1300" w:header="720" w:footer="0" w:gutter="0"/>
          <w:cols w:space="720"/>
        </w:sectPr>
      </w:pPr>
    </w:p>
    <w:p w14:paraId="688D8664" w14:textId="77777777" w:rsidR="00C75312" w:rsidRDefault="00C75312">
      <w:pPr>
        <w:pStyle w:val="BodyText"/>
        <w:spacing w:before="9"/>
        <w:rPr>
          <w:b/>
          <w:sz w:val="15"/>
        </w:rPr>
      </w:pPr>
    </w:p>
    <w:p w14:paraId="186987FE" w14:textId="77777777" w:rsidR="00C75312" w:rsidRDefault="00BB293A">
      <w:pPr>
        <w:pStyle w:val="BodyText"/>
        <w:spacing w:before="90" w:line="470" w:lineRule="auto"/>
        <w:ind w:left="140" w:right="233" w:firstLine="720"/>
        <w:jc w:val="both"/>
      </w:pPr>
      <w:r>
        <w:rPr>
          <w:b/>
        </w:rPr>
        <w:t xml:space="preserve">Correlates of PM performance. </w:t>
      </w:r>
      <w:r>
        <w:t xml:space="preserve">In both groups, interoceptive accuracy did not significantly correlated with any </w:t>
      </w:r>
      <w:r>
        <w:rPr>
          <w:spacing w:val="-3"/>
        </w:rPr>
        <w:t xml:space="preserve">of </w:t>
      </w:r>
      <w:r>
        <w:t xml:space="preserve">the other measures (PM proportion hits, PM target </w:t>
      </w:r>
      <w:r>
        <w:rPr>
          <w:position w:val="2"/>
        </w:rPr>
        <w:t xml:space="preserve">accuracy, OT accuracy, AQ, TAS, or WCST; ASD group all </w:t>
      </w:r>
      <w:proofErr w:type="spellStart"/>
      <w:r>
        <w:rPr>
          <w:i/>
          <w:position w:val="2"/>
        </w:rPr>
        <w:t>p</w:t>
      </w:r>
      <w:r>
        <w:rPr>
          <w:position w:val="2"/>
        </w:rPr>
        <w:t>s</w:t>
      </w:r>
      <w:proofErr w:type="spellEnd"/>
      <w:r>
        <w:rPr>
          <w:position w:val="2"/>
        </w:rPr>
        <w:t xml:space="preserve"> &gt; .22, all BF</w:t>
      </w:r>
      <w:r>
        <w:rPr>
          <w:position w:val="2"/>
          <w:vertAlign w:val="subscript"/>
        </w:rPr>
        <w:t>10</w:t>
      </w:r>
      <w:r>
        <w:rPr>
          <w:position w:val="2"/>
        </w:rPr>
        <w:t xml:space="preserve"> &lt; 0.67, </w:t>
      </w:r>
      <w:r>
        <w:rPr>
          <w:spacing w:val="-3"/>
          <w:position w:val="2"/>
        </w:rPr>
        <w:t>NT</w:t>
      </w:r>
      <w:r>
        <w:rPr>
          <w:spacing w:val="54"/>
          <w:position w:val="2"/>
        </w:rPr>
        <w:t xml:space="preserve"> </w:t>
      </w:r>
      <w:r>
        <w:rPr>
          <w:position w:val="2"/>
        </w:rPr>
        <w:t>group</w:t>
      </w:r>
      <w:r>
        <w:rPr>
          <w:spacing w:val="-10"/>
          <w:position w:val="2"/>
        </w:rPr>
        <w:t xml:space="preserve"> </w:t>
      </w:r>
      <w:r>
        <w:rPr>
          <w:position w:val="2"/>
        </w:rPr>
        <w:t>all</w:t>
      </w:r>
      <w:r>
        <w:rPr>
          <w:spacing w:val="-13"/>
          <w:position w:val="2"/>
        </w:rPr>
        <w:t xml:space="preserve"> </w:t>
      </w:r>
      <w:proofErr w:type="spellStart"/>
      <w:r>
        <w:rPr>
          <w:i/>
          <w:position w:val="2"/>
        </w:rPr>
        <w:t>p</w:t>
      </w:r>
      <w:r>
        <w:rPr>
          <w:position w:val="2"/>
        </w:rPr>
        <w:t>s</w:t>
      </w:r>
      <w:proofErr w:type="spellEnd"/>
      <w:r>
        <w:rPr>
          <w:spacing w:val="-11"/>
          <w:position w:val="2"/>
        </w:rPr>
        <w:t xml:space="preserve"> </w:t>
      </w:r>
      <w:r>
        <w:rPr>
          <w:position w:val="2"/>
        </w:rPr>
        <w:t>&gt;</w:t>
      </w:r>
      <w:r>
        <w:rPr>
          <w:spacing w:val="-14"/>
          <w:position w:val="2"/>
        </w:rPr>
        <w:t xml:space="preserve"> </w:t>
      </w:r>
      <w:r>
        <w:rPr>
          <w:position w:val="2"/>
        </w:rPr>
        <w:t>.14,</w:t>
      </w:r>
      <w:r>
        <w:rPr>
          <w:spacing w:val="-11"/>
          <w:position w:val="2"/>
        </w:rPr>
        <w:t xml:space="preserve"> </w:t>
      </w:r>
      <w:r>
        <w:rPr>
          <w:position w:val="2"/>
        </w:rPr>
        <w:t>all</w:t>
      </w:r>
      <w:r>
        <w:rPr>
          <w:spacing w:val="-14"/>
          <w:position w:val="2"/>
        </w:rPr>
        <w:t xml:space="preserve"> </w:t>
      </w:r>
      <w:r>
        <w:rPr>
          <w:position w:val="2"/>
        </w:rPr>
        <w:t>BF</w:t>
      </w:r>
      <w:r>
        <w:rPr>
          <w:position w:val="2"/>
          <w:vertAlign w:val="subscript"/>
        </w:rPr>
        <w:t>10</w:t>
      </w:r>
      <w:r>
        <w:rPr>
          <w:spacing w:val="-24"/>
          <w:position w:val="2"/>
        </w:rPr>
        <w:t xml:space="preserve"> </w:t>
      </w:r>
      <w:r>
        <w:rPr>
          <w:position w:val="2"/>
        </w:rPr>
        <w:t>&lt;</w:t>
      </w:r>
      <w:r>
        <w:rPr>
          <w:spacing w:val="-15"/>
          <w:position w:val="2"/>
        </w:rPr>
        <w:t xml:space="preserve"> </w:t>
      </w:r>
      <w:r>
        <w:rPr>
          <w:position w:val="2"/>
        </w:rPr>
        <w:t>0.52).</w:t>
      </w:r>
      <w:r>
        <w:rPr>
          <w:spacing w:val="36"/>
          <w:position w:val="2"/>
        </w:rPr>
        <w:t xml:space="preserve"> </w:t>
      </w:r>
      <w:r>
        <w:rPr>
          <w:position w:val="2"/>
        </w:rPr>
        <w:t>In</w:t>
      </w:r>
      <w:r>
        <w:rPr>
          <w:spacing w:val="-13"/>
          <w:position w:val="2"/>
        </w:rPr>
        <w:t xml:space="preserve"> </w:t>
      </w:r>
      <w:r>
        <w:rPr>
          <w:position w:val="2"/>
        </w:rPr>
        <w:t>both</w:t>
      </w:r>
      <w:r>
        <w:rPr>
          <w:spacing w:val="-9"/>
          <w:position w:val="2"/>
        </w:rPr>
        <w:t xml:space="preserve"> </w:t>
      </w:r>
      <w:r>
        <w:rPr>
          <w:position w:val="2"/>
        </w:rPr>
        <w:t>groups,</w:t>
      </w:r>
      <w:r>
        <w:rPr>
          <w:spacing w:val="-12"/>
          <w:position w:val="2"/>
        </w:rPr>
        <w:t xml:space="preserve"> </w:t>
      </w:r>
      <w:r>
        <w:rPr>
          <w:position w:val="2"/>
        </w:rPr>
        <w:t>AQ</w:t>
      </w:r>
      <w:r>
        <w:rPr>
          <w:spacing w:val="-9"/>
          <w:position w:val="2"/>
        </w:rPr>
        <w:t xml:space="preserve"> </w:t>
      </w:r>
      <w:r>
        <w:rPr>
          <w:position w:val="2"/>
        </w:rPr>
        <w:t>and</w:t>
      </w:r>
      <w:r>
        <w:rPr>
          <w:spacing w:val="-9"/>
          <w:position w:val="2"/>
        </w:rPr>
        <w:t xml:space="preserve"> </w:t>
      </w:r>
      <w:r>
        <w:rPr>
          <w:position w:val="2"/>
        </w:rPr>
        <w:t>TAS</w:t>
      </w:r>
      <w:r>
        <w:rPr>
          <w:spacing w:val="-13"/>
          <w:position w:val="2"/>
        </w:rPr>
        <w:t xml:space="preserve"> </w:t>
      </w:r>
      <w:r>
        <w:rPr>
          <w:position w:val="2"/>
        </w:rPr>
        <w:t>scores</w:t>
      </w:r>
      <w:r>
        <w:rPr>
          <w:spacing w:val="-11"/>
          <w:position w:val="2"/>
        </w:rPr>
        <w:t xml:space="preserve"> </w:t>
      </w:r>
      <w:r>
        <w:rPr>
          <w:position w:val="2"/>
        </w:rPr>
        <w:t>correlated</w:t>
      </w:r>
      <w:r>
        <w:rPr>
          <w:spacing w:val="-14"/>
          <w:position w:val="2"/>
        </w:rPr>
        <w:t xml:space="preserve"> </w:t>
      </w:r>
      <w:r>
        <w:rPr>
          <w:position w:val="2"/>
        </w:rPr>
        <w:t>significantly (ASD:</w:t>
      </w:r>
      <w:r>
        <w:rPr>
          <w:spacing w:val="6"/>
          <w:position w:val="2"/>
        </w:rPr>
        <w:t xml:space="preserve"> </w:t>
      </w:r>
      <w:r>
        <w:rPr>
          <w:i/>
          <w:position w:val="2"/>
        </w:rPr>
        <w:t>r</w:t>
      </w:r>
      <w:r>
        <w:rPr>
          <w:i/>
          <w:spacing w:val="4"/>
          <w:position w:val="2"/>
        </w:rPr>
        <w:t xml:space="preserve"> </w:t>
      </w:r>
      <w:r>
        <w:rPr>
          <w:position w:val="2"/>
        </w:rPr>
        <w:t>=</w:t>
      </w:r>
      <w:r>
        <w:rPr>
          <w:spacing w:val="1"/>
          <w:position w:val="2"/>
        </w:rPr>
        <w:t xml:space="preserve"> </w:t>
      </w:r>
      <w:r>
        <w:rPr>
          <w:position w:val="2"/>
        </w:rPr>
        <w:t>.62,</w:t>
      </w:r>
      <w:r>
        <w:rPr>
          <w:spacing w:val="8"/>
          <w:position w:val="2"/>
        </w:rPr>
        <w:t xml:space="preserve"> </w:t>
      </w:r>
      <w:r>
        <w:rPr>
          <w:i/>
          <w:position w:val="2"/>
        </w:rPr>
        <w:t>p</w:t>
      </w:r>
      <w:r>
        <w:rPr>
          <w:i/>
          <w:spacing w:val="2"/>
          <w:position w:val="2"/>
        </w:rPr>
        <w:t xml:space="preserve"> </w:t>
      </w:r>
      <w:r>
        <w:rPr>
          <w:position w:val="2"/>
        </w:rPr>
        <w:t>= .03,</w:t>
      </w:r>
      <w:r>
        <w:rPr>
          <w:spacing w:val="4"/>
          <w:position w:val="2"/>
        </w:rPr>
        <w:t xml:space="preserve"> </w:t>
      </w:r>
      <w:r>
        <w:rPr>
          <w:position w:val="2"/>
        </w:rPr>
        <w:t>BF</w:t>
      </w:r>
      <w:r>
        <w:rPr>
          <w:position w:val="2"/>
          <w:vertAlign w:val="subscript"/>
        </w:rPr>
        <w:t>10</w:t>
      </w:r>
      <w:r>
        <w:rPr>
          <w:spacing w:val="3"/>
          <w:position w:val="2"/>
        </w:rPr>
        <w:t xml:space="preserve"> </w:t>
      </w:r>
      <w:r>
        <w:rPr>
          <w:position w:val="2"/>
        </w:rPr>
        <w:t>=</w:t>
      </w:r>
      <w:r>
        <w:rPr>
          <w:spacing w:val="6"/>
          <w:position w:val="2"/>
        </w:rPr>
        <w:t xml:space="preserve"> </w:t>
      </w:r>
      <w:r>
        <w:rPr>
          <w:position w:val="2"/>
        </w:rPr>
        <w:t>3.28)</w:t>
      </w:r>
      <w:r>
        <w:rPr>
          <w:spacing w:val="7"/>
          <w:position w:val="2"/>
        </w:rPr>
        <w:t xml:space="preserve"> </w:t>
      </w:r>
      <w:r>
        <w:rPr>
          <w:spacing w:val="-3"/>
          <w:position w:val="2"/>
        </w:rPr>
        <w:t>or</w:t>
      </w:r>
      <w:r>
        <w:rPr>
          <w:spacing w:val="4"/>
          <w:position w:val="2"/>
        </w:rPr>
        <w:t xml:space="preserve"> </w:t>
      </w:r>
      <w:r>
        <w:rPr>
          <w:position w:val="2"/>
        </w:rPr>
        <w:t>marginally</w:t>
      </w:r>
      <w:r>
        <w:rPr>
          <w:spacing w:val="1"/>
          <w:position w:val="2"/>
        </w:rPr>
        <w:t xml:space="preserve"> </w:t>
      </w:r>
      <w:r>
        <w:rPr>
          <w:position w:val="2"/>
        </w:rPr>
        <w:t>(NT:</w:t>
      </w:r>
      <w:r>
        <w:rPr>
          <w:spacing w:val="3"/>
          <w:position w:val="2"/>
        </w:rPr>
        <w:t xml:space="preserve"> </w:t>
      </w:r>
      <w:r>
        <w:rPr>
          <w:i/>
          <w:position w:val="2"/>
        </w:rPr>
        <w:t>r</w:t>
      </w:r>
      <w:r>
        <w:rPr>
          <w:i/>
          <w:spacing w:val="4"/>
          <w:position w:val="2"/>
        </w:rPr>
        <w:t xml:space="preserve"> </w:t>
      </w:r>
      <w:r>
        <w:rPr>
          <w:position w:val="2"/>
        </w:rPr>
        <w:t>= .49,</w:t>
      </w:r>
      <w:r>
        <w:rPr>
          <w:spacing w:val="4"/>
          <w:position w:val="2"/>
        </w:rPr>
        <w:t xml:space="preserve"> </w:t>
      </w:r>
      <w:r>
        <w:rPr>
          <w:i/>
          <w:position w:val="2"/>
        </w:rPr>
        <w:t>p</w:t>
      </w:r>
      <w:r>
        <w:rPr>
          <w:i/>
          <w:spacing w:val="1"/>
          <w:position w:val="2"/>
        </w:rPr>
        <w:t xml:space="preserve"> </w:t>
      </w:r>
      <w:r>
        <w:rPr>
          <w:position w:val="2"/>
        </w:rPr>
        <w:t>=</w:t>
      </w:r>
      <w:r>
        <w:rPr>
          <w:spacing w:val="6"/>
          <w:position w:val="2"/>
        </w:rPr>
        <w:t xml:space="preserve"> </w:t>
      </w:r>
      <w:r>
        <w:rPr>
          <w:position w:val="2"/>
        </w:rPr>
        <w:t>.08,</w:t>
      </w:r>
      <w:r>
        <w:rPr>
          <w:spacing w:val="3"/>
          <w:position w:val="2"/>
        </w:rPr>
        <w:t xml:space="preserve"> </w:t>
      </w:r>
      <w:r>
        <w:rPr>
          <w:position w:val="2"/>
        </w:rPr>
        <w:t>BF</w:t>
      </w:r>
      <w:r>
        <w:rPr>
          <w:position w:val="2"/>
          <w:vertAlign w:val="subscript"/>
        </w:rPr>
        <w:t>10</w:t>
      </w:r>
      <w:r>
        <w:rPr>
          <w:spacing w:val="4"/>
          <w:position w:val="2"/>
        </w:rPr>
        <w:t xml:space="preserve"> </w:t>
      </w:r>
      <w:r>
        <w:rPr>
          <w:position w:val="2"/>
        </w:rPr>
        <w:t>=</w:t>
      </w:r>
      <w:r>
        <w:rPr>
          <w:spacing w:val="5"/>
          <w:position w:val="2"/>
        </w:rPr>
        <w:t xml:space="preserve"> </w:t>
      </w:r>
      <w:r>
        <w:rPr>
          <w:position w:val="2"/>
        </w:rPr>
        <w:t xml:space="preserve">1.35). </w:t>
      </w:r>
      <w:r>
        <w:rPr>
          <w:spacing w:val="6"/>
          <w:position w:val="2"/>
        </w:rPr>
        <w:t xml:space="preserve"> </w:t>
      </w:r>
      <w:r>
        <w:rPr>
          <w:position w:val="2"/>
        </w:rPr>
        <w:t>In</w:t>
      </w:r>
      <w:r>
        <w:rPr>
          <w:spacing w:val="7"/>
          <w:position w:val="2"/>
        </w:rPr>
        <w:t xml:space="preserve"> </w:t>
      </w:r>
      <w:r>
        <w:rPr>
          <w:position w:val="2"/>
        </w:rPr>
        <w:t>the</w:t>
      </w:r>
    </w:p>
    <w:p w14:paraId="2392D0B3" w14:textId="77777777" w:rsidR="00C75312" w:rsidRDefault="00BB293A">
      <w:pPr>
        <w:pStyle w:val="BodyText"/>
        <w:spacing w:line="480" w:lineRule="auto"/>
        <w:ind w:left="140" w:right="233"/>
        <w:jc w:val="both"/>
      </w:pPr>
      <w:r>
        <w:t>ASD</w:t>
      </w:r>
      <w:r>
        <w:rPr>
          <w:spacing w:val="-6"/>
        </w:rPr>
        <w:t xml:space="preserve"> </w:t>
      </w:r>
      <w:r>
        <w:t>group,</w:t>
      </w:r>
      <w:r>
        <w:rPr>
          <w:spacing w:val="-8"/>
        </w:rPr>
        <w:t xml:space="preserve"> </w:t>
      </w:r>
      <w:r>
        <w:t>both</w:t>
      </w:r>
      <w:r>
        <w:rPr>
          <w:spacing w:val="-6"/>
        </w:rPr>
        <w:t xml:space="preserve"> </w:t>
      </w:r>
      <w:r>
        <w:t>measures</w:t>
      </w:r>
      <w:r>
        <w:rPr>
          <w:spacing w:val="-8"/>
        </w:rPr>
        <w:t xml:space="preserve"> </w:t>
      </w:r>
      <w:r>
        <w:t>of</w:t>
      </w:r>
      <w:r>
        <w:rPr>
          <w:spacing w:val="-4"/>
        </w:rPr>
        <w:t xml:space="preserve"> </w:t>
      </w:r>
      <w:r>
        <w:t>PM</w:t>
      </w:r>
      <w:r>
        <w:rPr>
          <w:spacing w:val="-8"/>
        </w:rPr>
        <w:t xml:space="preserve"> </w:t>
      </w:r>
      <w:r>
        <w:t>performance</w:t>
      </w:r>
      <w:r>
        <w:rPr>
          <w:spacing w:val="-7"/>
        </w:rPr>
        <w:t xml:space="preserve"> </w:t>
      </w:r>
      <w:r>
        <w:t>were</w:t>
      </w:r>
      <w:r>
        <w:rPr>
          <w:spacing w:val="-7"/>
        </w:rPr>
        <w:t xml:space="preserve"> </w:t>
      </w:r>
      <w:r>
        <w:t>significantly</w:t>
      </w:r>
      <w:r>
        <w:rPr>
          <w:spacing w:val="-6"/>
        </w:rPr>
        <w:t xml:space="preserve"> </w:t>
      </w:r>
      <w:r>
        <w:t>correlated</w:t>
      </w:r>
      <w:r>
        <w:rPr>
          <w:spacing w:val="-6"/>
        </w:rPr>
        <w:t xml:space="preserve"> </w:t>
      </w:r>
      <w:r>
        <w:t>with</w:t>
      </w:r>
      <w:r>
        <w:rPr>
          <w:spacing w:val="-6"/>
        </w:rPr>
        <w:t xml:space="preserve"> </w:t>
      </w:r>
      <w:r>
        <w:t>autism</w:t>
      </w:r>
      <w:r>
        <w:rPr>
          <w:spacing w:val="-5"/>
        </w:rPr>
        <w:t xml:space="preserve"> </w:t>
      </w:r>
      <w:r>
        <w:t xml:space="preserve">traits </w:t>
      </w:r>
      <w:r>
        <w:rPr>
          <w:position w:val="2"/>
        </w:rPr>
        <w:t>as measured by the AQ (r = -.59, p = .04, BF</w:t>
      </w:r>
      <w:r>
        <w:rPr>
          <w:position w:val="2"/>
          <w:vertAlign w:val="subscript"/>
        </w:rPr>
        <w:t>10</w:t>
      </w:r>
      <w:r>
        <w:rPr>
          <w:position w:val="2"/>
        </w:rPr>
        <w:t xml:space="preserve"> = 2.55 for PM proportion hits, and r = .74, p</w:t>
      </w:r>
      <w:r>
        <w:rPr>
          <w:spacing w:val="35"/>
          <w:position w:val="2"/>
        </w:rPr>
        <w:t xml:space="preserve"> </w:t>
      </w:r>
      <w:r>
        <w:rPr>
          <w:position w:val="2"/>
        </w:rPr>
        <w:t>=</w:t>
      </w:r>
    </w:p>
    <w:p w14:paraId="525D2A0F" w14:textId="77777777" w:rsidR="00C75312" w:rsidRDefault="00BB293A">
      <w:pPr>
        <w:pStyle w:val="BodyText"/>
        <w:spacing w:line="275" w:lineRule="exact"/>
        <w:ind w:left="140"/>
        <w:jc w:val="both"/>
      </w:pPr>
      <w:r>
        <w:rPr>
          <w:position w:val="2"/>
        </w:rPr>
        <w:t>.004, BF</w:t>
      </w:r>
      <w:r>
        <w:rPr>
          <w:position w:val="2"/>
          <w:vertAlign w:val="subscript"/>
        </w:rPr>
        <w:t>10</w:t>
      </w:r>
      <w:r>
        <w:rPr>
          <w:position w:val="2"/>
        </w:rPr>
        <w:t xml:space="preserve"> = 14.55 for PM target accuracy) as well as marginally significantly correlated</w:t>
      </w:r>
      <w:r>
        <w:rPr>
          <w:spacing w:val="3"/>
          <w:position w:val="2"/>
        </w:rPr>
        <w:t xml:space="preserve"> </w:t>
      </w:r>
      <w:r>
        <w:rPr>
          <w:position w:val="2"/>
        </w:rPr>
        <w:t>with</w:t>
      </w:r>
    </w:p>
    <w:p w14:paraId="5B2362C8" w14:textId="77777777" w:rsidR="00C75312" w:rsidRDefault="00C75312">
      <w:pPr>
        <w:pStyle w:val="BodyText"/>
        <w:spacing w:before="10"/>
        <w:rPr>
          <w:sz w:val="21"/>
        </w:rPr>
      </w:pPr>
    </w:p>
    <w:p w14:paraId="77916A9E" w14:textId="77777777" w:rsidR="00C75312" w:rsidRDefault="00BB293A">
      <w:pPr>
        <w:pStyle w:val="BodyText"/>
        <w:spacing w:line="465" w:lineRule="auto"/>
        <w:ind w:left="140" w:right="231"/>
        <w:jc w:val="both"/>
      </w:pPr>
      <w:proofErr w:type="spellStart"/>
      <w:r>
        <w:rPr>
          <w:position w:val="2"/>
        </w:rPr>
        <w:t>alexithymic</w:t>
      </w:r>
      <w:proofErr w:type="spellEnd"/>
      <w:r>
        <w:rPr>
          <w:position w:val="2"/>
        </w:rPr>
        <w:t xml:space="preserve"> traits (</w:t>
      </w:r>
      <w:r>
        <w:rPr>
          <w:i/>
          <w:position w:val="2"/>
        </w:rPr>
        <w:t xml:space="preserve">r </w:t>
      </w:r>
      <w:r>
        <w:rPr>
          <w:position w:val="2"/>
        </w:rPr>
        <w:t xml:space="preserve">= -.54, </w:t>
      </w:r>
      <w:r>
        <w:rPr>
          <w:i/>
          <w:position w:val="2"/>
        </w:rPr>
        <w:t xml:space="preserve">p </w:t>
      </w:r>
      <w:r>
        <w:rPr>
          <w:position w:val="2"/>
        </w:rPr>
        <w:t>= .06, BF</w:t>
      </w:r>
      <w:r>
        <w:rPr>
          <w:position w:val="2"/>
          <w:vertAlign w:val="subscript"/>
        </w:rPr>
        <w:t>10</w:t>
      </w:r>
      <w:r>
        <w:rPr>
          <w:position w:val="2"/>
        </w:rPr>
        <w:t xml:space="preserve"> = 1.79 for PM proportion hits, and </w:t>
      </w:r>
      <w:r>
        <w:rPr>
          <w:i/>
          <w:position w:val="2"/>
        </w:rPr>
        <w:t xml:space="preserve">r </w:t>
      </w:r>
      <w:r>
        <w:rPr>
          <w:position w:val="2"/>
        </w:rPr>
        <w:t xml:space="preserve">= .55, </w:t>
      </w:r>
      <w:r>
        <w:rPr>
          <w:i/>
          <w:position w:val="2"/>
        </w:rPr>
        <w:t xml:space="preserve">p </w:t>
      </w:r>
      <w:r>
        <w:rPr>
          <w:position w:val="2"/>
        </w:rPr>
        <w:t>= .05, BF</w:t>
      </w:r>
      <w:r>
        <w:rPr>
          <w:position w:val="2"/>
          <w:vertAlign w:val="subscript"/>
        </w:rPr>
        <w:t>10</w:t>
      </w:r>
      <w:r>
        <w:rPr>
          <w:position w:val="2"/>
        </w:rPr>
        <w:t xml:space="preserve"> = 1.85 for PM target accuracy). In the NT group, the correlation between autism traits and PM proportion hits just </w:t>
      </w:r>
      <w:r>
        <w:rPr>
          <w:spacing w:val="-2"/>
          <w:position w:val="2"/>
        </w:rPr>
        <w:t xml:space="preserve">missed </w:t>
      </w:r>
      <w:r>
        <w:rPr>
          <w:position w:val="2"/>
        </w:rPr>
        <w:t>significance (</w:t>
      </w:r>
      <w:r>
        <w:rPr>
          <w:i/>
          <w:position w:val="2"/>
        </w:rPr>
        <w:t xml:space="preserve">r </w:t>
      </w:r>
      <w:r>
        <w:rPr>
          <w:position w:val="2"/>
        </w:rPr>
        <w:t xml:space="preserve">= .54, </w:t>
      </w:r>
      <w:r>
        <w:rPr>
          <w:i/>
          <w:position w:val="2"/>
        </w:rPr>
        <w:t xml:space="preserve">p </w:t>
      </w:r>
      <w:r>
        <w:rPr>
          <w:position w:val="2"/>
        </w:rPr>
        <w:t>= .05, BF</w:t>
      </w:r>
      <w:r>
        <w:rPr>
          <w:position w:val="2"/>
          <w:vertAlign w:val="subscript"/>
        </w:rPr>
        <w:t>10</w:t>
      </w:r>
      <w:r>
        <w:rPr>
          <w:position w:val="2"/>
        </w:rPr>
        <w:t xml:space="preserve"> = 1.97) and similarly a trend</w:t>
      </w:r>
      <w:r>
        <w:rPr>
          <w:spacing w:val="-1"/>
          <w:position w:val="2"/>
        </w:rPr>
        <w:t xml:space="preserve"> </w:t>
      </w:r>
      <w:r>
        <w:rPr>
          <w:position w:val="2"/>
        </w:rPr>
        <w:t>was</w:t>
      </w:r>
      <w:r>
        <w:rPr>
          <w:spacing w:val="-2"/>
          <w:position w:val="2"/>
        </w:rPr>
        <w:t xml:space="preserve"> </w:t>
      </w:r>
      <w:r>
        <w:rPr>
          <w:position w:val="2"/>
        </w:rPr>
        <w:t>observed for</w:t>
      </w:r>
      <w:r>
        <w:rPr>
          <w:spacing w:val="1"/>
          <w:position w:val="2"/>
        </w:rPr>
        <w:t xml:space="preserve"> </w:t>
      </w:r>
      <w:r>
        <w:rPr>
          <w:position w:val="2"/>
        </w:rPr>
        <w:t>the</w:t>
      </w:r>
      <w:r>
        <w:rPr>
          <w:spacing w:val="-6"/>
          <w:position w:val="2"/>
        </w:rPr>
        <w:t xml:space="preserve"> </w:t>
      </w:r>
      <w:r>
        <w:rPr>
          <w:position w:val="2"/>
        </w:rPr>
        <w:t>correlation</w:t>
      </w:r>
      <w:r>
        <w:rPr>
          <w:spacing w:val="-5"/>
          <w:position w:val="2"/>
        </w:rPr>
        <w:t xml:space="preserve"> </w:t>
      </w:r>
      <w:r>
        <w:rPr>
          <w:position w:val="2"/>
        </w:rPr>
        <w:t>with</w:t>
      </w:r>
      <w:r>
        <w:rPr>
          <w:spacing w:val="-5"/>
          <w:position w:val="2"/>
        </w:rPr>
        <w:t xml:space="preserve"> </w:t>
      </w:r>
      <w:r>
        <w:rPr>
          <w:position w:val="2"/>
        </w:rPr>
        <w:t>PM</w:t>
      </w:r>
      <w:r>
        <w:rPr>
          <w:spacing w:val="-2"/>
          <w:position w:val="2"/>
        </w:rPr>
        <w:t xml:space="preserve"> </w:t>
      </w:r>
      <w:r>
        <w:rPr>
          <w:position w:val="2"/>
        </w:rPr>
        <w:t>target accuracy (</w:t>
      </w:r>
      <w:r>
        <w:rPr>
          <w:i/>
          <w:position w:val="2"/>
        </w:rPr>
        <w:t>r</w:t>
      </w:r>
      <w:r>
        <w:rPr>
          <w:i/>
          <w:spacing w:val="-3"/>
          <w:position w:val="2"/>
        </w:rPr>
        <w:t xml:space="preserve"> </w:t>
      </w:r>
      <w:r>
        <w:rPr>
          <w:position w:val="2"/>
        </w:rPr>
        <w:t>=</w:t>
      </w:r>
      <w:r>
        <w:rPr>
          <w:spacing w:val="-6"/>
          <w:position w:val="2"/>
        </w:rPr>
        <w:t xml:space="preserve"> </w:t>
      </w:r>
      <w:r>
        <w:rPr>
          <w:position w:val="2"/>
        </w:rPr>
        <w:t>-.43,</w:t>
      </w:r>
      <w:r>
        <w:rPr>
          <w:spacing w:val="-2"/>
          <w:position w:val="2"/>
        </w:rPr>
        <w:t xml:space="preserve"> </w:t>
      </w:r>
      <w:r>
        <w:rPr>
          <w:i/>
          <w:position w:val="2"/>
        </w:rPr>
        <w:t xml:space="preserve">p </w:t>
      </w:r>
      <w:r>
        <w:rPr>
          <w:position w:val="2"/>
        </w:rPr>
        <w:t>=.13,</w:t>
      </w:r>
      <w:r>
        <w:rPr>
          <w:spacing w:val="-2"/>
          <w:position w:val="2"/>
        </w:rPr>
        <w:t xml:space="preserve"> </w:t>
      </w:r>
      <w:r>
        <w:rPr>
          <w:position w:val="2"/>
        </w:rPr>
        <w:t>BF</w:t>
      </w:r>
      <w:r>
        <w:rPr>
          <w:position w:val="2"/>
          <w:vertAlign w:val="subscript"/>
        </w:rPr>
        <w:t>10</w:t>
      </w:r>
      <w:r>
        <w:rPr>
          <w:spacing w:val="-22"/>
          <w:position w:val="2"/>
        </w:rPr>
        <w:t xml:space="preserve"> </w:t>
      </w:r>
      <w:r>
        <w:rPr>
          <w:position w:val="2"/>
        </w:rPr>
        <w:t>=</w:t>
      </w:r>
      <w:r>
        <w:rPr>
          <w:spacing w:val="-1"/>
          <w:position w:val="2"/>
        </w:rPr>
        <w:t xml:space="preserve"> </w:t>
      </w:r>
      <w:r>
        <w:rPr>
          <w:position w:val="2"/>
        </w:rPr>
        <w:t xml:space="preserve">0.94). </w:t>
      </w:r>
      <w:r>
        <w:t xml:space="preserve">In line with the finding in Chapter 4, a correlation between perseverative errors on the WCST </w:t>
      </w:r>
      <w:r>
        <w:rPr>
          <w:position w:val="2"/>
        </w:rPr>
        <w:t>and</w:t>
      </w:r>
      <w:r>
        <w:rPr>
          <w:spacing w:val="-5"/>
          <w:position w:val="2"/>
        </w:rPr>
        <w:t xml:space="preserve"> </w:t>
      </w:r>
      <w:r>
        <w:rPr>
          <w:position w:val="2"/>
        </w:rPr>
        <w:t>PM</w:t>
      </w:r>
      <w:r>
        <w:rPr>
          <w:spacing w:val="-6"/>
          <w:position w:val="2"/>
        </w:rPr>
        <w:t xml:space="preserve"> </w:t>
      </w:r>
      <w:r>
        <w:rPr>
          <w:position w:val="2"/>
        </w:rPr>
        <w:t>proportion</w:t>
      </w:r>
      <w:r>
        <w:rPr>
          <w:spacing w:val="-4"/>
          <w:position w:val="2"/>
        </w:rPr>
        <w:t xml:space="preserve"> </w:t>
      </w:r>
      <w:r>
        <w:rPr>
          <w:position w:val="2"/>
        </w:rPr>
        <w:t>hits</w:t>
      </w:r>
      <w:r>
        <w:rPr>
          <w:spacing w:val="-11"/>
          <w:position w:val="2"/>
        </w:rPr>
        <w:t xml:space="preserve"> </w:t>
      </w:r>
      <w:r>
        <w:rPr>
          <w:position w:val="2"/>
        </w:rPr>
        <w:t>was</w:t>
      </w:r>
      <w:r>
        <w:rPr>
          <w:spacing w:val="-6"/>
          <w:position w:val="2"/>
        </w:rPr>
        <w:t xml:space="preserve"> </w:t>
      </w:r>
      <w:r>
        <w:rPr>
          <w:position w:val="2"/>
        </w:rPr>
        <w:t>found</w:t>
      </w:r>
      <w:r>
        <w:rPr>
          <w:spacing w:val="-5"/>
          <w:position w:val="2"/>
        </w:rPr>
        <w:t xml:space="preserve"> </w:t>
      </w:r>
      <w:r>
        <w:rPr>
          <w:position w:val="2"/>
        </w:rPr>
        <w:t>in</w:t>
      </w:r>
      <w:r>
        <w:rPr>
          <w:spacing w:val="-9"/>
          <w:position w:val="2"/>
        </w:rPr>
        <w:t xml:space="preserve"> </w:t>
      </w:r>
      <w:r>
        <w:rPr>
          <w:position w:val="2"/>
        </w:rPr>
        <w:t>the</w:t>
      </w:r>
      <w:r>
        <w:rPr>
          <w:spacing w:val="-5"/>
          <w:position w:val="2"/>
        </w:rPr>
        <w:t xml:space="preserve"> </w:t>
      </w:r>
      <w:r>
        <w:rPr>
          <w:position w:val="2"/>
        </w:rPr>
        <w:t>ASD</w:t>
      </w:r>
      <w:r>
        <w:rPr>
          <w:spacing w:val="-4"/>
          <w:position w:val="2"/>
        </w:rPr>
        <w:t xml:space="preserve"> </w:t>
      </w:r>
      <w:r>
        <w:rPr>
          <w:position w:val="2"/>
        </w:rPr>
        <w:t>(</w:t>
      </w:r>
      <w:r>
        <w:rPr>
          <w:i/>
          <w:position w:val="2"/>
        </w:rPr>
        <w:t>r</w:t>
      </w:r>
      <w:r>
        <w:rPr>
          <w:i/>
          <w:spacing w:val="-11"/>
          <w:position w:val="2"/>
        </w:rPr>
        <w:t xml:space="preserve"> </w:t>
      </w:r>
      <w:r>
        <w:rPr>
          <w:position w:val="2"/>
        </w:rPr>
        <w:t>=</w:t>
      </w:r>
      <w:r>
        <w:rPr>
          <w:spacing w:val="-10"/>
          <w:position w:val="2"/>
        </w:rPr>
        <w:t xml:space="preserve"> </w:t>
      </w:r>
      <w:r>
        <w:rPr>
          <w:position w:val="2"/>
        </w:rPr>
        <w:t>-.77,</w:t>
      </w:r>
      <w:r>
        <w:rPr>
          <w:spacing w:val="-2"/>
          <w:position w:val="2"/>
        </w:rPr>
        <w:t xml:space="preserve"> </w:t>
      </w:r>
      <w:r>
        <w:rPr>
          <w:i/>
          <w:position w:val="2"/>
        </w:rPr>
        <w:t>p</w:t>
      </w:r>
      <w:r>
        <w:rPr>
          <w:i/>
          <w:spacing w:val="-9"/>
          <w:position w:val="2"/>
        </w:rPr>
        <w:t xml:space="preserve"> </w:t>
      </w:r>
      <w:r>
        <w:rPr>
          <w:position w:val="2"/>
        </w:rPr>
        <w:t>=</w:t>
      </w:r>
      <w:r>
        <w:rPr>
          <w:spacing w:val="-5"/>
          <w:position w:val="2"/>
        </w:rPr>
        <w:t xml:space="preserve"> </w:t>
      </w:r>
      <w:r>
        <w:rPr>
          <w:position w:val="2"/>
        </w:rPr>
        <w:t>.01,</w:t>
      </w:r>
      <w:r>
        <w:rPr>
          <w:spacing w:val="-1"/>
          <w:position w:val="2"/>
        </w:rPr>
        <w:t xml:space="preserve"> </w:t>
      </w:r>
      <w:r>
        <w:rPr>
          <w:position w:val="2"/>
        </w:rPr>
        <w:t>BF</w:t>
      </w:r>
      <w:r>
        <w:rPr>
          <w:position w:val="2"/>
          <w:vertAlign w:val="subscript"/>
        </w:rPr>
        <w:t>10</w:t>
      </w:r>
      <w:r>
        <w:rPr>
          <w:spacing w:val="-6"/>
          <w:position w:val="2"/>
        </w:rPr>
        <w:t xml:space="preserve"> </w:t>
      </w:r>
      <w:r>
        <w:rPr>
          <w:position w:val="2"/>
        </w:rPr>
        <w:t>=</w:t>
      </w:r>
      <w:r>
        <w:rPr>
          <w:spacing w:val="-6"/>
          <w:position w:val="2"/>
        </w:rPr>
        <w:t xml:space="preserve"> </w:t>
      </w:r>
      <w:r>
        <w:rPr>
          <w:position w:val="2"/>
        </w:rPr>
        <w:t>7.04)</w:t>
      </w:r>
      <w:r>
        <w:rPr>
          <w:spacing w:val="-2"/>
          <w:position w:val="2"/>
        </w:rPr>
        <w:t xml:space="preserve"> </w:t>
      </w:r>
      <w:r>
        <w:rPr>
          <w:position w:val="2"/>
        </w:rPr>
        <w:t>but</w:t>
      </w:r>
      <w:r>
        <w:rPr>
          <w:spacing w:val="-8"/>
          <w:position w:val="2"/>
        </w:rPr>
        <w:t xml:space="preserve"> </w:t>
      </w:r>
      <w:r>
        <w:rPr>
          <w:position w:val="2"/>
        </w:rPr>
        <w:t>not</w:t>
      </w:r>
      <w:r>
        <w:rPr>
          <w:spacing w:val="-8"/>
          <w:position w:val="2"/>
        </w:rPr>
        <w:t xml:space="preserve"> </w:t>
      </w:r>
      <w:r>
        <w:rPr>
          <w:position w:val="2"/>
        </w:rPr>
        <w:t>in</w:t>
      </w:r>
      <w:r>
        <w:rPr>
          <w:spacing w:val="-9"/>
          <w:position w:val="2"/>
        </w:rPr>
        <w:t xml:space="preserve"> </w:t>
      </w:r>
      <w:r>
        <w:rPr>
          <w:position w:val="2"/>
        </w:rPr>
        <w:t>the</w:t>
      </w:r>
      <w:r>
        <w:rPr>
          <w:spacing w:val="-6"/>
          <w:position w:val="2"/>
        </w:rPr>
        <w:t xml:space="preserve"> </w:t>
      </w:r>
      <w:r>
        <w:rPr>
          <w:position w:val="2"/>
        </w:rPr>
        <w:t>NT group (</w:t>
      </w:r>
      <w:r>
        <w:rPr>
          <w:i/>
          <w:position w:val="2"/>
        </w:rPr>
        <w:t xml:space="preserve">r </w:t>
      </w:r>
      <w:r>
        <w:rPr>
          <w:position w:val="2"/>
        </w:rPr>
        <w:t xml:space="preserve">= .16, </w:t>
      </w:r>
      <w:r>
        <w:rPr>
          <w:i/>
          <w:position w:val="2"/>
        </w:rPr>
        <w:t xml:space="preserve">p </w:t>
      </w:r>
      <w:r>
        <w:rPr>
          <w:position w:val="2"/>
        </w:rPr>
        <w:t>= .60, BF</w:t>
      </w:r>
      <w:r>
        <w:rPr>
          <w:position w:val="2"/>
          <w:vertAlign w:val="subscript"/>
        </w:rPr>
        <w:t>10</w:t>
      </w:r>
      <w:r>
        <w:rPr>
          <w:position w:val="2"/>
        </w:rPr>
        <w:t xml:space="preserve"> =</w:t>
      </w:r>
      <w:r>
        <w:rPr>
          <w:spacing w:val="-17"/>
          <w:position w:val="2"/>
        </w:rPr>
        <w:t xml:space="preserve"> </w:t>
      </w:r>
      <w:r>
        <w:rPr>
          <w:position w:val="2"/>
        </w:rPr>
        <w:t>0.44).</w:t>
      </w:r>
    </w:p>
    <w:p w14:paraId="20B4390B" w14:textId="77777777" w:rsidR="00C75312" w:rsidRDefault="00BB293A">
      <w:pPr>
        <w:pStyle w:val="BodyText"/>
        <w:spacing w:before="117" w:line="477" w:lineRule="auto"/>
        <w:ind w:left="140" w:right="232" w:firstLine="720"/>
        <w:jc w:val="both"/>
      </w:pPr>
      <w:r>
        <w:t xml:space="preserve">Controlling for either AQ scores, TAS scores, or WCST perseverative errors, did not result in significant associations between interoceptive accuracy and PM target accuracy in </w:t>
      </w:r>
      <w:r>
        <w:rPr>
          <w:position w:val="2"/>
        </w:rPr>
        <w:t xml:space="preserve">either group (all </w:t>
      </w:r>
      <w:proofErr w:type="spellStart"/>
      <w:r>
        <w:rPr>
          <w:i/>
          <w:position w:val="2"/>
        </w:rPr>
        <w:t>p</w:t>
      </w:r>
      <w:r>
        <w:rPr>
          <w:position w:val="2"/>
        </w:rPr>
        <w:t>s</w:t>
      </w:r>
      <w:proofErr w:type="spellEnd"/>
      <w:r>
        <w:rPr>
          <w:position w:val="2"/>
        </w:rPr>
        <w:t xml:space="preserve"> &gt; 0.19, all BF</w:t>
      </w:r>
      <w:r>
        <w:rPr>
          <w:position w:val="2"/>
          <w:vertAlign w:val="subscript"/>
        </w:rPr>
        <w:t>10</w:t>
      </w:r>
      <w:r>
        <w:rPr>
          <w:position w:val="2"/>
        </w:rPr>
        <w:t xml:space="preserve"> &lt; 0.93). In the ASD group, partial correlation analyses </w:t>
      </w:r>
      <w:r>
        <w:t xml:space="preserve">revealed PM target accuracy was specifically associated with autism traits when controlling for </w:t>
      </w:r>
      <w:proofErr w:type="spellStart"/>
      <w:r>
        <w:t>alexithymic</w:t>
      </w:r>
      <w:proofErr w:type="spellEnd"/>
      <w:r>
        <w:t xml:space="preserve"> traits (r = .61, p = .04, BF10 = 3.16) but not vice versa associated with alexithymia when controlling for autism traits (r = .17, p = .59, BF10 = 0.39), however this was not the case in the NT group where both correlations were insignificant when controlling for the respective variables.</w:t>
      </w:r>
    </w:p>
    <w:p w14:paraId="3CFD2866" w14:textId="77777777" w:rsidR="00C75312" w:rsidRDefault="00C75312">
      <w:pPr>
        <w:spacing w:line="477" w:lineRule="auto"/>
        <w:jc w:val="both"/>
        <w:sectPr w:rsidR="00C75312">
          <w:pgSz w:w="11900" w:h="16840"/>
          <w:pgMar w:top="1160" w:right="1200" w:bottom="280" w:left="1300" w:header="720" w:footer="0" w:gutter="0"/>
          <w:cols w:space="720"/>
        </w:sectPr>
      </w:pPr>
    </w:p>
    <w:p w14:paraId="57039CE2" w14:textId="77777777" w:rsidR="00C75312" w:rsidRDefault="00C75312">
      <w:pPr>
        <w:pStyle w:val="BodyText"/>
        <w:spacing w:before="3"/>
        <w:rPr>
          <w:sz w:val="26"/>
        </w:rPr>
      </w:pPr>
    </w:p>
    <w:p w14:paraId="40A65D0C" w14:textId="77777777" w:rsidR="00C75312" w:rsidRDefault="00BB293A">
      <w:pPr>
        <w:pStyle w:val="Heading1"/>
        <w:spacing w:before="90"/>
        <w:ind w:left="1796" w:right="1905"/>
        <w:jc w:val="center"/>
      </w:pPr>
      <w:bookmarkStart w:id="33" w:name="_TOC_250000"/>
      <w:bookmarkEnd w:id="33"/>
      <w:r>
        <w:t>REFERENCES</w:t>
      </w:r>
    </w:p>
    <w:p w14:paraId="494C721F" w14:textId="77777777" w:rsidR="00C75312" w:rsidRDefault="00C75312">
      <w:pPr>
        <w:pStyle w:val="BodyText"/>
        <w:spacing w:before="11"/>
        <w:rPr>
          <w:b/>
          <w:sz w:val="23"/>
        </w:rPr>
      </w:pPr>
    </w:p>
    <w:p w14:paraId="14C2E429" w14:textId="77777777" w:rsidR="00C75312" w:rsidRDefault="00BB293A">
      <w:pPr>
        <w:pStyle w:val="BodyText"/>
        <w:spacing w:line="480" w:lineRule="auto"/>
        <w:ind w:left="860" w:right="236" w:hanging="720"/>
        <w:jc w:val="both"/>
      </w:pPr>
      <w:r>
        <w:t xml:space="preserve">Abell, F., </w:t>
      </w:r>
      <w:proofErr w:type="spellStart"/>
      <w:r>
        <w:t>Happé</w:t>
      </w:r>
      <w:proofErr w:type="spellEnd"/>
      <w:r>
        <w:t xml:space="preserve">, F., &amp; Frith, U. (2000). Do triangles play tricks? Attribution of mental states to animated shapes in normal and abnormal development. </w:t>
      </w:r>
      <w:r>
        <w:rPr>
          <w:i/>
        </w:rPr>
        <w:t>Cognitive Development, 15</w:t>
      </w:r>
      <w:r>
        <w:t>(1), 1-16. doi:10.1016/s0885-2014(00)00014-9</w:t>
      </w:r>
    </w:p>
    <w:p w14:paraId="13B7A4A8" w14:textId="77777777" w:rsidR="00C75312" w:rsidRDefault="00BB293A">
      <w:pPr>
        <w:spacing w:line="480" w:lineRule="auto"/>
        <w:ind w:left="860" w:right="239" w:hanging="720"/>
        <w:jc w:val="both"/>
        <w:rPr>
          <w:sz w:val="24"/>
        </w:rPr>
      </w:pPr>
      <w:proofErr w:type="spellStart"/>
      <w:r>
        <w:rPr>
          <w:sz w:val="24"/>
        </w:rPr>
        <w:t>Adolfsdottir</w:t>
      </w:r>
      <w:proofErr w:type="spellEnd"/>
      <w:r>
        <w:rPr>
          <w:sz w:val="24"/>
        </w:rPr>
        <w:t xml:space="preserve">, S., </w:t>
      </w:r>
      <w:proofErr w:type="spellStart"/>
      <w:r>
        <w:rPr>
          <w:sz w:val="24"/>
        </w:rPr>
        <w:t>Wollschlaeger</w:t>
      </w:r>
      <w:proofErr w:type="spellEnd"/>
      <w:r>
        <w:rPr>
          <w:sz w:val="24"/>
        </w:rPr>
        <w:t xml:space="preserve">, D., Wehling, E., &amp; </w:t>
      </w:r>
      <w:proofErr w:type="spellStart"/>
      <w:r>
        <w:rPr>
          <w:sz w:val="24"/>
        </w:rPr>
        <w:t>Lundervold</w:t>
      </w:r>
      <w:proofErr w:type="spellEnd"/>
      <w:r>
        <w:rPr>
          <w:sz w:val="24"/>
        </w:rPr>
        <w:t xml:space="preserve">, A. J. (2016). Inhibition and Switching in Healthy Aging: A Longitudinal Study. </w:t>
      </w:r>
      <w:r>
        <w:rPr>
          <w:i/>
          <w:sz w:val="24"/>
        </w:rPr>
        <w:t>Journal of the International Neuropsychological Society, 23</w:t>
      </w:r>
      <w:r>
        <w:rPr>
          <w:sz w:val="24"/>
        </w:rPr>
        <w:t>(01), 90-97. doi:10.1017/S1355617716000898</w:t>
      </w:r>
    </w:p>
    <w:p w14:paraId="07347782" w14:textId="77777777" w:rsidR="00C75312" w:rsidRDefault="00BB293A">
      <w:pPr>
        <w:spacing w:line="480" w:lineRule="auto"/>
        <w:ind w:left="860" w:right="234" w:hanging="720"/>
        <w:jc w:val="both"/>
        <w:rPr>
          <w:sz w:val="24"/>
        </w:rPr>
      </w:pPr>
      <w:r w:rsidRPr="002C3022">
        <w:rPr>
          <w:sz w:val="24"/>
          <w:lang w:val="de-DE"/>
        </w:rPr>
        <w:t xml:space="preserve">Allman, M. J., DeLeon, I. G., &amp; Wearden, J. H. (2011). </w:t>
      </w:r>
      <w:r>
        <w:rPr>
          <w:sz w:val="24"/>
        </w:rPr>
        <w:t xml:space="preserve">Psychophysical assessment of timing in individuals with autism. </w:t>
      </w:r>
      <w:r>
        <w:rPr>
          <w:i/>
          <w:sz w:val="24"/>
        </w:rPr>
        <w:t>American Journal on Intellectual and Developmental Disabilities, 116</w:t>
      </w:r>
      <w:r>
        <w:rPr>
          <w:sz w:val="24"/>
        </w:rPr>
        <w:t>(2), 165-178. doi:10.1352/1944-7558-116.2.165</w:t>
      </w:r>
    </w:p>
    <w:p w14:paraId="02D96BBB" w14:textId="77777777" w:rsidR="00C75312" w:rsidRDefault="00BB293A">
      <w:pPr>
        <w:pStyle w:val="BodyText"/>
        <w:spacing w:line="480" w:lineRule="auto"/>
        <w:ind w:left="860" w:right="236" w:hanging="720"/>
        <w:jc w:val="both"/>
      </w:pPr>
      <w:proofErr w:type="spellStart"/>
      <w:r>
        <w:t>Altgassen</w:t>
      </w:r>
      <w:proofErr w:type="spellEnd"/>
      <w:r>
        <w:t xml:space="preserve">, M., </w:t>
      </w:r>
      <w:proofErr w:type="spellStart"/>
      <w:r>
        <w:t>Kliegel</w:t>
      </w:r>
      <w:proofErr w:type="spellEnd"/>
      <w:r>
        <w:t xml:space="preserve">, M., </w:t>
      </w:r>
      <w:proofErr w:type="spellStart"/>
      <w:r>
        <w:t>Brandimonte</w:t>
      </w:r>
      <w:proofErr w:type="spellEnd"/>
      <w:r>
        <w:t xml:space="preserve">, M., &amp; Filippello, P. (2010). Are older adults more social than younger adults? Social importance increases older adults' prospective memory performance. </w:t>
      </w:r>
      <w:r>
        <w:rPr>
          <w:i/>
        </w:rPr>
        <w:t>Aging Neuropsychology and Cognition, 17</w:t>
      </w:r>
      <w:r>
        <w:t>(3), 312-328. doi:10.1080/13825580903281308</w:t>
      </w:r>
    </w:p>
    <w:p w14:paraId="6A068C92" w14:textId="77777777" w:rsidR="00C75312" w:rsidRDefault="00BB293A">
      <w:pPr>
        <w:spacing w:before="1" w:line="480" w:lineRule="auto"/>
        <w:ind w:left="860" w:right="236" w:hanging="720"/>
        <w:jc w:val="both"/>
        <w:rPr>
          <w:sz w:val="24"/>
        </w:rPr>
      </w:pPr>
      <w:r w:rsidRPr="002C3022">
        <w:rPr>
          <w:sz w:val="24"/>
          <w:lang w:val="de-DE"/>
        </w:rPr>
        <w:t xml:space="preserve">Altgassen, M., Koban, N., &amp; Kliegel, M. (2012). </w:t>
      </w:r>
      <w:r>
        <w:rPr>
          <w:sz w:val="24"/>
        </w:rPr>
        <w:t xml:space="preserve">Do adults with autism spectrum disorders compensate in naturalistic prospective memory tasks? </w:t>
      </w:r>
      <w:r>
        <w:rPr>
          <w:i/>
          <w:sz w:val="24"/>
        </w:rPr>
        <w:t>Journal of Autism and Developmental Disorders, 42</w:t>
      </w:r>
      <w:r>
        <w:rPr>
          <w:sz w:val="24"/>
        </w:rPr>
        <w:t>(10), 2141-2151. doi:10.1007/s10803-012-1466-3</w:t>
      </w:r>
    </w:p>
    <w:p w14:paraId="184B9A41" w14:textId="77777777" w:rsidR="00C75312" w:rsidRDefault="00BB293A">
      <w:pPr>
        <w:spacing w:line="480" w:lineRule="auto"/>
        <w:ind w:left="860" w:right="230" w:hanging="720"/>
        <w:jc w:val="both"/>
        <w:rPr>
          <w:sz w:val="24"/>
        </w:rPr>
      </w:pPr>
      <w:proofErr w:type="spellStart"/>
      <w:r>
        <w:rPr>
          <w:sz w:val="24"/>
        </w:rPr>
        <w:t>Altgassen</w:t>
      </w:r>
      <w:proofErr w:type="spellEnd"/>
      <w:r>
        <w:rPr>
          <w:sz w:val="24"/>
        </w:rPr>
        <w:t xml:space="preserve">, M., &amp; Koch, A. (2014). Impact of inhibitory load on remembering delayed intentions in autism. </w:t>
      </w:r>
      <w:r>
        <w:rPr>
          <w:i/>
          <w:sz w:val="24"/>
        </w:rPr>
        <w:t>International Journal of Developmental Disabilities, 60</w:t>
      </w:r>
      <w:r>
        <w:rPr>
          <w:sz w:val="24"/>
        </w:rPr>
        <w:t>(3), 198- 204. doi:10.1179/2047387714Y.0000000042</w:t>
      </w:r>
    </w:p>
    <w:p w14:paraId="27697898" w14:textId="77777777" w:rsidR="00C75312" w:rsidRDefault="00BB293A">
      <w:pPr>
        <w:pStyle w:val="BodyText"/>
        <w:spacing w:line="480" w:lineRule="auto"/>
        <w:ind w:left="860" w:right="235" w:hanging="720"/>
        <w:jc w:val="both"/>
      </w:pPr>
      <w:proofErr w:type="spellStart"/>
      <w:r>
        <w:t>Altgassen</w:t>
      </w:r>
      <w:proofErr w:type="spellEnd"/>
      <w:r>
        <w:t>,</w:t>
      </w:r>
      <w:r>
        <w:rPr>
          <w:spacing w:val="-14"/>
        </w:rPr>
        <w:t xml:space="preserve"> </w:t>
      </w:r>
      <w:r>
        <w:t>M.,</w:t>
      </w:r>
      <w:r>
        <w:rPr>
          <w:spacing w:val="-13"/>
        </w:rPr>
        <w:t xml:space="preserve"> </w:t>
      </w:r>
      <w:r>
        <w:t>Kretschmer,</w:t>
      </w:r>
      <w:r>
        <w:rPr>
          <w:spacing w:val="-14"/>
        </w:rPr>
        <w:t xml:space="preserve"> </w:t>
      </w:r>
      <w:r>
        <w:t>A.,</w:t>
      </w:r>
      <w:r>
        <w:rPr>
          <w:spacing w:val="-13"/>
        </w:rPr>
        <w:t xml:space="preserve"> </w:t>
      </w:r>
      <w:r>
        <w:t>&amp;</w:t>
      </w:r>
      <w:r>
        <w:rPr>
          <w:spacing w:val="-15"/>
        </w:rPr>
        <w:t xml:space="preserve"> </w:t>
      </w:r>
      <w:proofErr w:type="spellStart"/>
      <w:r>
        <w:t>Kliegel</w:t>
      </w:r>
      <w:proofErr w:type="spellEnd"/>
      <w:r>
        <w:t>,</w:t>
      </w:r>
      <w:r>
        <w:rPr>
          <w:spacing w:val="-14"/>
        </w:rPr>
        <w:t xml:space="preserve"> </w:t>
      </w:r>
      <w:r>
        <w:t>M.</w:t>
      </w:r>
      <w:r>
        <w:rPr>
          <w:spacing w:val="-13"/>
        </w:rPr>
        <w:t xml:space="preserve"> </w:t>
      </w:r>
      <w:r>
        <w:t>(2014).</w:t>
      </w:r>
      <w:r>
        <w:rPr>
          <w:spacing w:val="-13"/>
        </w:rPr>
        <w:t xml:space="preserve"> </w:t>
      </w:r>
      <w:r>
        <w:t>Task</w:t>
      </w:r>
      <w:r>
        <w:rPr>
          <w:spacing w:val="-16"/>
        </w:rPr>
        <w:t xml:space="preserve"> </w:t>
      </w:r>
      <w:r>
        <w:t>dissociation</w:t>
      </w:r>
      <w:r>
        <w:rPr>
          <w:spacing w:val="-15"/>
        </w:rPr>
        <w:t xml:space="preserve"> </w:t>
      </w:r>
      <w:r>
        <w:t>in</w:t>
      </w:r>
      <w:r>
        <w:rPr>
          <w:spacing w:val="-15"/>
        </w:rPr>
        <w:t xml:space="preserve"> </w:t>
      </w:r>
      <w:r>
        <w:t>prospective</w:t>
      </w:r>
      <w:r>
        <w:rPr>
          <w:spacing w:val="-16"/>
        </w:rPr>
        <w:t xml:space="preserve"> </w:t>
      </w:r>
      <w:r>
        <w:t xml:space="preserve">memory performance in individuals with ADHD. </w:t>
      </w:r>
      <w:r>
        <w:rPr>
          <w:i/>
        </w:rPr>
        <w:t>Journal of Attention Disorders, 18</w:t>
      </w:r>
      <w:r>
        <w:t>(7), 617- 624.</w:t>
      </w:r>
      <w:r>
        <w:rPr>
          <w:spacing w:val="3"/>
        </w:rPr>
        <w:t xml:space="preserve"> </w:t>
      </w:r>
      <w:r>
        <w:t>doi:10.1177/1087054712445484</w:t>
      </w:r>
    </w:p>
    <w:p w14:paraId="144435EA" w14:textId="77777777" w:rsidR="00C75312" w:rsidRDefault="00BB293A">
      <w:pPr>
        <w:pStyle w:val="BodyText"/>
        <w:spacing w:line="480" w:lineRule="auto"/>
        <w:ind w:left="860" w:right="234" w:hanging="720"/>
        <w:jc w:val="both"/>
      </w:pPr>
      <w:proofErr w:type="spellStart"/>
      <w:r>
        <w:t>Altgassen</w:t>
      </w:r>
      <w:proofErr w:type="spellEnd"/>
      <w:r>
        <w:t xml:space="preserve">, M., Rendell, P. G., Bernhard, A., Henry, J. D., Bailey, P. E., Phillips, L. H., &amp; </w:t>
      </w:r>
      <w:proofErr w:type="spellStart"/>
      <w:r>
        <w:t>Kliegel</w:t>
      </w:r>
      <w:proofErr w:type="spellEnd"/>
      <w:r>
        <w:t>, M. (2015). Future thinking improves prospective memory performance and</w:t>
      </w:r>
    </w:p>
    <w:p w14:paraId="17D50B8E" w14:textId="77777777" w:rsidR="00C75312" w:rsidRDefault="00C75312">
      <w:pPr>
        <w:spacing w:line="480" w:lineRule="auto"/>
        <w:jc w:val="both"/>
        <w:sectPr w:rsidR="00C75312">
          <w:headerReference w:type="default" r:id="rId55"/>
          <w:pgSz w:w="11900" w:h="16840"/>
          <w:pgMar w:top="1160" w:right="1200" w:bottom="280" w:left="1300" w:header="720" w:footer="0" w:gutter="0"/>
          <w:pgNumType w:start="176"/>
          <w:cols w:space="720"/>
        </w:sectPr>
      </w:pPr>
    </w:p>
    <w:p w14:paraId="63290D3E" w14:textId="77777777" w:rsidR="00C75312" w:rsidRDefault="00C75312">
      <w:pPr>
        <w:pStyle w:val="BodyText"/>
        <w:spacing w:before="9"/>
        <w:rPr>
          <w:sz w:val="15"/>
        </w:rPr>
      </w:pPr>
    </w:p>
    <w:p w14:paraId="38EDE861" w14:textId="77777777" w:rsidR="00C75312" w:rsidRDefault="00BB293A">
      <w:pPr>
        <w:spacing w:before="90" w:line="480" w:lineRule="auto"/>
        <w:ind w:left="860" w:right="236"/>
        <w:jc w:val="both"/>
        <w:rPr>
          <w:sz w:val="24"/>
        </w:rPr>
      </w:pPr>
      <w:r>
        <w:rPr>
          <w:sz w:val="24"/>
        </w:rPr>
        <w:t xml:space="preserve">plan enactment in older adults. </w:t>
      </w:r>
      <w:r>
        <w:rPr>
          <w:i/>
          <w:sz w:val="24"/>
        </w:rPr>
        <w:t>The Quarterly Journal of Experimental Psychology, 68</w:t>
      </w:r>
      <w:r>
        <w:rPr>
          <w:sz w:val="24"/>
        </w:rPr>
        <w:t>(1), 192-204. doi:10.1080/17470218.2014.956127</w:t>
      </w:r>
    </w:p>
    <w:p w14:paraId="19F89773" w14:textId="77777777" w:rsidR="00C75312" w:rsidRDefault="00BB293A">
      <w:pPr>
        <w:pStyle w:val="BodyText"/>
        <w:spacing w:line="480" w:lineRule="auto"/>
        <w:ind w:left="860" w:right="238" w:hanging="720"/>
        <w:jc w:val="both"/>
      </w:pPr>
      <w:r w:rsidRPr="002C3022">
        <w:rPr>
          <w:lang w:val="de-DE"/>
        </w:rPr>
        <w:t xml:space="preserve">Altgassen, M., Schmitz-Hübsch, M., &amp; Kliegel, M. (2010). </w:t>
      </w:r>
      <w:r>
        <w:t xml:space="preserve">Event-based prospective memory performance in autism spectrum disorder. </w:t>
      </w:r>
      <w:r>
        <w:rPr>
          <w:i/>
        </w:rPr>
        <w:t>Journal of Neurodevelopmental Disorders, 2</w:t>
      </w:r>
      <w:r>
        <w:t>(1), 2-8. doi:10.1007/s11689-009-9030-y</w:t>
      </w:r>
    </w:p>
    <w:p w14:paraId="70D6D1D1" w14:textId="77777777" w:rsidR="00C75312" w:rsidRDefault="00BB293A">
      <w:pPr>
        <w:pStyle w:val="BodyText"/>
        <w:spacing w:line="480" w:lineRule="auto"/>
        <w:ind w:left="860" w:right="238" w:hanging="720"/>
        <w:jc w:val="both"/>
      </w:pPr>
      <w:proofErr w:type="spellStart"/>
      <w:r>
        <w:t>Altgassen</w:t>
      </w:r>
      <w:proofErr w:type="spellEnd"/>
      <w:r>
        <w:t>,</w:t>
      </w:r>
      <w:r>
        <w:rPr>
          <w:spacing w:val="-3"/>
        </w:rPr>
        <w:t xml:space="preserve"> </w:t>
      </w:r>
      <w:r>
        <w:t>M.,</w:t>
      </w:r>
      <w:r>
        <w:rPr>
          <w:spacing w:val="-2"/>
        </w:rPr>
        <w:t xml:space="preserve"> </w:t>
      </w:r>
      <w:r>
        <w:t>Vetter,</w:t>
      </w:r>
      <w:r>
        <w:rPr>
          <w:spacing w:val="-2"/>
        </w:rPr>
        <w:t xml:space="preserve"> </w:t>
      </w:r>
      <w:r>
        <w:t>N.</w:t>
      </w:r>
      <w:r>
        <w:rPr>
          <w:spacing w:val="-7"/>
        </w:rPr>
        <w:t xml:space="preserve"> </w:t>
      </w:r>
      <w:r>
        <w:t>C.,</w:t>
      </w:r>
      <w:r>
        <w:rPr>
          <w:spacing w:val="-8"/>
        </w:rPr>
        <w:t xml:space="preserve"> </w:t>
      </w:r>
      <w:r>
        <w:t>Phillips,</w:t>
      </w:r>
      <w:r>
        <w:rPr>
          <w:spacing w:val="-2"/>
        </w:rPr>
        <w:t xml:space="preserve"> </w:t>
      </w:r>
      <w:r>
        <w:t>L.</w:t>
      </w:r>
      <w:r>
        <w:rPr>
          <w:spacing w:val="-7"/>
        </w:rPr>
        <w:t xml:space="preserve"> </w:t>
      </w:r>
      <w:r>
        <w:t>H.,</w:t>
      </w:r>
      <w:r>
        <w:rPr>
          <w:spacing w:val="-7"/>
        </w:rPr>
        <w:t xml:space="preserve"> </w:t>
      </w:r>
      <w:r>
        <w:t>Akgün,</w:t>
      </w:r>
      <w:r>
        <w:rPr>
          <w:spacing w:val="-2"/>
        </w:rPr>
        <w:t xml:space="preserve"> </w:t>
      </w:r>
      <w:r>
        <w:t>C.,</w:t>
      </w:r>
      <w:r>
        <w:rPr>
          <w:spacing w:val="-7"/>
        </w:rPr>
        <w:t xml:space="preserve"> </w:t>
      </w:r>
      <w:r>
        <w:t>&amp;</w:t>
      </w:r>
      <w:r>
        <w:rPr>
          <w:spacing w:val="-5"/>
        </w:rPr>
        <w:t xml:space="preserve"> </w:t>
      </w:r>
      <w:proofErr w:type="spellStart"/>
      <w:r>
        <w:t>Kliegel</w:t>
      </w:r>
      <w:proofErr w:type="spellEnd"/>
      <w:r>
        <w:t>,</w:t>
      </w:r>
      <w:r>
        <w:rPr>
          <w:spacing w:val="-2"/>
        </w:rPr>
        <w:t xml:space="preserve"> </w:t>
      </w:r>
      <w:r>
        <w:t>M.</w:t>
      </w:r>
      <w:r>
        <w:rPr>
          <w:spacing w:val="-7"/>
        </w:rPr>
        <w:t xml:space="preserve"> </w:t>
      </w:r>
      <w:r>
        <w:t>(2014).</w:t>
      </w:r>
      <w:r>
        <w:rPr>
          <w:spacing w:val="-2"/>
        </w:rPr>
        <w:t xml:space="preserve"> </w:t>
      </w:r>
      <w:r>
        <w:t>Theory</w:t>
      </w:r>
      <w:r>
        <w:rPr>
          <w:spacing w:val="-5"/>
        </w:rPr>
        <w:t xml:space="preserve"> </w:t>
      </w:r>
      <w:r>
        <w:t>of</w:t>
      </w:r>
      <w:r>
        <w:rPr>
          <w:spacing w:val="-8"/>
        </w:rPr>
        <w:t xml:space="preserve"> </w:t>
      </w:r>
      <w:r>
        <w:t xml:space="preserve">mind and switching predict prospective memory performance in adolescents. </w:t>
      </w:r>
      <w:r>
        <w:rPr>
          <w:i/>
        </w:rPr>
        <w:t>Journal of Experimental Child Psychology, 127</w:t>
      </w:r>
      <w:r>
        <w:t>, 163-175.</w:t>
      </w:r>
      <w:r>
        <w:rPr>
          <w:spacing w:val="3"/>
        </w:rPr>
        <w:t xml:space="preserve"> </w:t>
      </w:r>
      <w:r>
        <w:t>doi:10.1016/j.jecp.2014.03.009</w:t>
      </w:r>
    </w:p>
    <w:p w14:paraId="7C3C4438" w14:textId="77777777" w:rsidR="00C75312" w:rsidRDefault="00BB293A">
      <w:pPr>
        <w:pStyle w:val="BodyText"/>
        <w:spacing w:line="480" w:lineRule="auto"/>
        <w:ind w:left="860" w:right="236" w:hanging="720"/>
        <w:jc w:val="both"/>
      </w:pPr>
      <w:proofErr w:type="spellStart"/>
      <w:r>
        <w:t>Altgassen</w:t>
      </w:r>
      <w:proofErr w:type="spellEnd"/>
      <w:r>
        <w:t xml:space="preserve">, M., Williams, T. I., </w:t>
      </w:r>
      <w:proofErr w:type="spellStart"/>
      <w:r>
        <w:t>Bölte</w:t>
      </w:r>
      <w:proofErr w:type="spellEnd"/>
      <w:r>
        <w:t xml:space="preserve">, S., &amp; </w:t>
      </w:r>
      <w:proofErr w:type="spellStart"/>
      <w:r>
        <w:t>Kliegel</w:t>
      </w:r>
      <w:proofErr w:type="spellEnd"/>
      <w:r>
        <w:t xml:space="preserve">, M. (2009). Time-based prospective memory in children with autism spectrum disorder. </w:t>
      </w:r>
      <w:r>
        <w:rPr>
          <w:i/>
        </w:rPr>
        <w:t>Brain Impairment, 10</w:t>
      </w:r>
      <w:r>
        <w:t>(1), 52-58. doi:10.1375/brim.10.1.52</w:t>
      </w:r>
    </w:p>
    <w:p w14:paraId="2F121DF1" w14:textId="77777777" w:rsidR="00C75312" w:rsidRDefault="00BB293A">
      <w:pPr>
        <w:spacing w:before="1" w:line="480" w:lineRule="auto"/>
        <w:ind w:left="860" w:right="244" w:hanging="720"/>
        <w:jc w:val="both"/>
        <w:rPr>
          <w:sz w:val="24"/>
        </w:rPr>
      </w:pPr>
      <w:r>
        <w:rPr>
          <w:sz w:val="24"/>
        </w:rPr>
        <w:t xml:space="preserve">American Psychiatric Association. (2000). </w:t>
      </w:r>
      <w:r>
        <w:rPr>
          <w:i/>
          <w:sz w:val="24"/>
        </w:rPr>
        <w:t xml:space="preserve">Diagnostic and statistical manual of mental disorders: DSM-IV </w:t>
      </w:r>
      <w:r>
        <w:rPr>
          <w:sz w:val="24"/>
        </w:rPr>
        <w:t>(4th ed.). Washington, DC: American Psychiatric Publishing.</w:t>
      </w:r>
    </w:p>
    <w:p w14:paraId="65137B4B" w14:textId="77777777" w:rsidR="00C75312" w:rsidRDefault="00BB293A">
      <w:pPr>
        <w:spacing w:line="480" w:lineRule="auto"/>
        <w:ind w:left="860" w:right="244" w:hanging="720"/>
        <w:jc w:val="both"/>
        <w:rPr>
          <w:sz w:val="24"/>
        </w:rPr>
      </w:pPr>
      <w:r>
        <w:rPr>
          <w:sz w:val="24"/>
        </w:rPr>
        <w:t xml:space="preserve">American Psychiatric Association. (2013). </w:t>
      </w:r>
      <w:r>
        <w:rPr>
          <w:i/>
          <w:sz w:val="24"/>
        </w:rPr>
        <w:t xml:space="preserve">Diagnostic and statistical manual of mental disorders: DSM-5 </w:t>
      </w:r>
      <w:r>
        <w:rPr>
          <w:sz w:val="24"/>
        </w:rPr>
        <w:t>(5th ed.). Washington, DC: American Psychiatric Publishing.</w:t>
      </w:r>
    </w:p>
    <w:p w14:paraId="376DD6CC" w14:textId="77777777" w:rsidR="00C75312" w:rsidRDefault="00BB293A">
      <w:pPr>
        <w:pStyle w:val="BodyText"/>
        <w:spacing w:line="480" w:lineRule="auto"/>
        <w:ind w:left="860" w:right="235" w:hanging="720"/>
        <w:jc w:val="both"/>
      </w:pPr>
      <w:r>
        <w:t xml:space="preserve">Ashwood, K. L., Gillan, N., </w:t>
      </w:r>
      <w:proofErr w:type="spellStart"/>
      <w:r>
        <w:t>Horder</w:t>
      </w:r>
      <w:proofErr w:type="spellEnd"/>
      <w:r>
        <w:t xml:space="preserve">, J., Hayward, H., Woodhouse, E., McEwen, F. S., . . . Murphy, D. G. (2016). Predicting the diagnosis of autism in adults using the Autism- Spectrum Quotient (AQ) questionnaire. </w:t>
      </w:r>
      <w:r>
        <w:rPr>
          <w:i/>
        </w:rPr>
        <w:t>Psychological Medicine, 46</w:t>
      </w:r>
      <w:r>
        <w:t>(12), 2595-2604. doi:10.1017/S0033291716001082</w:t>
      </w:r>
    </w:p>
    <w:p w14:paraId="0BD60ED4" w14:textId="77777777" w:rsidR="00C75312" w:rsidRDefault="00BB293A">
      <w:pPr>
        <w:spacing w:line="480" w:lineRule="auto"/>
        <w:ind w:left="860" w:right="236" w:hanging="720"/>
        <w:jc w:val="both"/>
        <w:rPr>
          <w:sz w:val="24"/>
        </w:rPr>
      </w:pPr>
      <w:proofErr w:type="spellStart"/>
      <w:r>
        <w:rPr>
          <w:sz w:val="24"/>
        </w:rPr>
        <w:t>Atance</w:t>
      </w:r>
      <w:proofErr w:type="spellEnd"/>
      <w:r>
        <w:rPr>
          <w:sz w:val="24"/>
        </w:rPr>
        <w:t xml:space="preserve">, C. M., &amp; Jackson, L. K. (2009). The development and coherence of future-oriented behaviors during the preschool years. </w:t>
      </w:r>
      <w:r>
        <w:rPr>
          <w:i/>
          <w:sz w:val="24"/>
        </w:rPr>
        <w:t>Journal of Experimental Child Psychology, 102</w:t>
      </w:r>
      <w:r>
        <w:rPr>
          <w:sz w:val="24"/>
        </w:rPr>
        <w:t>(4), 379-391. doi:10.1016/j.jecp.2009.01.001</w:t>
      </w:r>
    </w:p>
    <w:p w14:paraId="2E038FC4" w14:textId="77777777" w:rsidR="00C75312" w:rsidRDefault="00BB293A">
      <w:pPr>
        <w:spacing w:line="480" w:lineRule="auto"/>
        <w:ind w:left="860" w:right="236" w:hanging="720"/>
        <w:jc w:val="both"/>
        <w:rPr>
          <w:sz w:val="24"/>
        </w:rPr>
      </w:pPr>
      <w:proofErr w:type="spellStart"/>
      <w:r>
        <w:rPr>
          <w:sz w:val="24"/>
        </w:rPr>
        <w:t>Atance</w:t>
      </w:r>
      <w:proofErr w:type="spellEnd"/>
      <w:r>
        <w:rPr>
          <w:sz w:val="24"/>
        </w:rPr>
        <w:t>,</w:t>
      </w:r>
      <w:r>
        <w:rPr>
          <w:spacing w:val="-4"/>
          <w:sz w:val="24"/>
        </w:rPr>
        <w:t xml:space="preserve"> </w:t>
      </w:r>
      <w:r>
        <w:rPr>
          <w:sz w:val="24"/>
        </w:rPr>
        <w:t>C.</w:t>
      </w:r>
      <w:r>
        <w:rPr>
          <w:spacing w:val="-3"/>
          <w:sz w:val="24"/>
        </w:rPr>
        <w:t xml:space="preserve"> </w:t>
      </w:r>
      <w:r>
        <w:rPr>
          <w:sz w:val="24"/>
        </w:rPr>
        <w:t>M.,</w:t>
      </w:r>
      <w:r>
        <w:rPr>
          <w:spacing w:val="-8"/>
          <w:sz w:val="24"/>
        </w:rPr>
        <w:t xml:space="preserve"> </w:t>
      </w:r>
      <w:r>
        <w:rPr>
          <w:sz w:val="24"/>
        </w:rPr>
        <w:t>&amp;</w:t>
      </w:r>
      <w:r>
        <w:rPr>
          <w:spacing w:val="-5"/>
          <w:sz w:val="24"/>
        </w:rPr>
        <w:t xml:space="preserve"> </w:t>
      </w:r>
      <w:r>
        <w:rPr>
          <w:sz w:val="24"/>
        </w:rPr>
        <w:t>O'Neill,</w:t>
      </w:r>
      <w:r>
        <w:rPr>
          <w:spacing w:val="-3"/>
          <w:sz w:val="24"/>
        </w:rPr>
        <w:t xml:space="preserve"> D. K.</w:t>
      </w:r>
      <w:r>
        <w:rPr>
          <w:spacing w:val="-8"/>
          <w:sz w:val="24"/>
        </w:rPr>
        <w:t xml:space="preserve"> </w:t>
      </w:r>
      <w:r>
        <w:rPr>
          <w:sz w:val="24"/>
        </w:rPr>
        <w:t>(2001).</w:t>
      </w:r>
      <w:r>
        <w:rPr>
          <w:spacing w:val="-8"/>
          <w:sz w:val="24"/>
        </w:rPr>
        <w:t xml:space="preserve"> </w:t>
      </w:r>
      <w:r>
        <w:rPr>
          <w:sz w:val="24"/>
        </w:rPr>
        <w:t>Episodic</w:t>
      </w:r>
      <w:r>
        <w:rPr>
          <w:spacing w:val="-7"/>
          <w:sz w:val="24"/>
        </w:rPr>
        <w:t xml:space="preserve"> </w:t>
      </w:r>
      <w:r>
        <w:rPr>
          <w:sz w:val="24"/>
        </w:rPr>
        <w:t>future</w:t>
      </w:r>
      <w:r>
        <w:rPr>
          <w:spacing w:val="-7"/>
          <w:sz w:val="24"/>
        </w:rPr>
        <w:t xml:space="preserve"> </w:t>
      </w:r>
      <w:r>
        <w:rPr>
          <w:sz w:val="24"/>
        </w:rPr>
        <w:t>thinking.</w:t>
      </w:r>
      <w:r>
        <w:rPr>
          <w:spacing w:val="-8"/>
          <w:sz w:val="24"/>
        </w:rPr>
        <w:t xml:space="preserve"> </w:t>
      </w:r>
      <w:r>
        <w:rPr>
          <w:i/>
          <w:sz w:val="24"/>
        </w:rPr>
        <w:t>Trends</w:t>
      </w:r>
      <w:r>
        <w:rPr>
          <w:i/>
          <w:spacing w:val="-8"/>
          <w:sz w:val="24"/>
        </w:rPr>
        <w:t xml:space="preserve"> </w:t>
      </w:r>
      <w:r>
        <w:rPr>
          <w:i/>
          <w:sz w:val="24"/>
        </w:rPr>
        <w:t>in</w:t>
      </w:r>
      <w:r>
        <w:rPr>
          <w:i/>
          <w:spacing w:val="-6"/>
          <w:sz w:val="24"/>
        </w:rPr>
        <w:t xml:space="preserve"> </w:t>
      </w:r>
      <w:r>
        <w:rPr>
          <w:i/>
          <w:sz w:val="24"/>
        </w:rPr>
        <w:t>Cognitive</w:t>
      </w:r>
      <w:r>
        <w:rPr>
          <w:i/>
          <w:spacing w:val="-7"/>
          <w:sz w:val="24"/>
        </w:rPr>
        <w:t xml:space="preserve"> </w:t>
      </w:r>
      <w:r>
        <w:rPr>
          <w:i/>
          <w:sz w:val="24"/>
        </w:rPr>
        <w:t>Science, 5</w:t>
      </w:r>
      <w:r>
        <w:rPr>
          <w:sz w:val="24"/>
        </w:rPr>
        <w:t>(12), 533-539.</w:t>
      </w:r>
      <w:r>
        <w:rPr>
          <w:spacing w:val="3"/>
          <w:sz w:val="24"/>
        </w:rPr>
        <w:t xml:space="preserve"> </w:t>
      </w:r>
      <w:r>
        <w:rPr>
          <w:sz w:val="24"/>
        </w:rPr>
        <w:t>doi:10.1016/S1364-6613(00)01804-0</w:t>
      </w:r>
    </w:p>
    <w:p w14:paraId="59AF273F"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2F817BF2" w14:textId="77777777" w:rsidR="00C75312" w:rsidRDefault="00C75312">
      <w:pPr>
        <w:pStyle w:val="BodyText"/>
        <w:spacing w:before="9"/>
        <w:rPr>
          <w:sz w:val="15"/>
        </w:rPr>
      </w:pPr>
    </w:p>
    <w:p w14:paraId="157CC783" w14:textId="77777777" w:rsidR="00C75312" w:rsidRDefault="00BB293A">
      <w:pPr>
        <w:pStyle w:val="BodyText"/>
        <w:spacing w:before="90" w:line="480" w:lineRule="auto"/>
        <w:ind w:left="860" w:right="234" w:hanging="720"/>
        <w:jc w:val="both"/>
      </w:pPr>
      <w:proofErr w:type="spellStart"/>
      <w:r>
        <w:t>Awh</w:t>
      </w:r>
      <w:proofErr w:type="spellEnd"/>
      <w:r>
        <w:t xml:space="preserve">, E., </w:t>
      </w:r>
      <w:proofErr w:type="spellStart"/>
      <w:r>
        <w:t>Jonides</w:t>
      </w:r>
      <w:proofErr w:type="spellEnd"/>
      <w:r>
        <w:t xml:space="preserve">, J., Smith, E. E., Schumacher, E. H., Koeppe, R. A., &amp; Katz, S. (1996). Dissociation of storage and rehearsal in verbal working memory: Evidence from positron emission tomography. </w:t>
      </w:r>
      <w:r>
        <w:rPr>
          <w:i/>
        </w:rPr>
        <w:t>Psychological Science, 7</w:t>
      </w:r>
      <w:r>
        <w:t>(1), 25-31. doi:10.1111/j.1467-9280.1996.tb00662.x</w:t>
      </w:r>
    </w:p>
    <w:p w14:paraId="6EFEA2D6" w14:textId="77777777" w:rsidR="00C75312" w:rsidRDefault="00BB293A">
      <w:pPr>
        <w:pStyle w:val="BodyText"/>
        <w:spacing w:line="480" w:lineRule="auto"/>
        <w:ind w:left="860" w:right="234" w:hanging="720"/>
        <w:jc w:val="both"/>
      </w:pPr>
      <w:r>
        <w:t xml:space="preserve">Bagby, R. M., Parker, J. D. A., &amp; Taylor, G. J. (1994). The twenty-item Toronto Alexithymia scale-I. Item selection and cross-validation of the factor structure. </w:t>
      </w:r>
      <w:r>
        <w:rPr>
          <w:i/>
        </w:rPr>
        <w:t>Journal of Psychosomatic Research, 38</w:t>
      </w:r>
      <w:r>
        <w:t>(1), 23-32. doi:10.1016/0022-3999(94)90005-1</w:t>
      </w:r>
    </w:p>
    <w:p w14:paraId="39B9D910" w14:textId="77777777" w:rsidR="00C75312" w:rsidRDefault="00BB293A">
      <w:pPr>
        <w:pStyle w:val="BodyText"/>
        <w:spacing w:line="480" w:lineRule="auto"/>
        <w:ind w:left="860" w:right="236" w:hanging="720"/>
        <w:jc w:val="both"/>
      </w:pPr>
      <w:r>
        <w:t xml:space="preserve">Baird, G., Simonoff, E., Pickles, A., Chandler, S., Loucas, T., Meldrum, D., &amp; Charman, T. (2006). Prevalence of disorders of the autism spectrum in a population cohort of children in South Thames: the Special Needs and Autism Project (SNAP). </w:t>
      </w:r>
      <w:r>
        <w:rPr>
          <w:i/>
        </w:rPr>
        <w:t>The</w:t>
      </w:r>
      <w:r>
        <w:rPr>
          <w:i/>
          <w:spacing w:val="-43"/>
        </w:rPr>
        <w:t xml:space="preserve"> </w:t>
      </w:r>
      <w:r>
        <w:rPr>
          <w:i/>
        </w:rPr>
        <w:t>Lancet, 368</w:t>
      </w:r>
      <w:r>
        <w:t>,</w:t>
      </w:r>
      <w:r>
        <w:rPr>
          <w:spacing w:val="3"/>
        </w:rPr>
        <w:t xml:space="preserve"> </w:t>
      </w:r>
      <w:r>
        <w:t>210-215.</w:t>
      </w:r>
    </w:p>
    <w:p w14:paraId="29C91541" w14:textId="77777777" w:rsidR="00C75312" w:rsidRDefault="00BB293A">
      <w:pPr>
        <w:spacing w:before="1" w:line="480" w:lineRule="auto"/>
        <w:ind w:left="860" w:right="234" w:hanging="720"/>
        <w:jc w:val="both"/>
        <w:rPr>
          <w:sz w:val="24"/>
        </w:rPr>
      </w:pPr>
      <w:proofErr w:type="spellStart"/>
      <w:r>
        <w:rPr>
          <w:sz w:val="24"/>
        </w:rPr>
        <w:t>Bakroon</w:t>
      </w:r>
      <w:proofErr w:type="spellEnd"/>
      <w:r>
        <w:rPr>
          <w:sz w:val="24"/>
        </w:rPr>
        <w:t xml:space="preserve">, A., &amp; Lakshminarayanan, </w:t>
      </w:r>
      <w:r>
        <w:rPr>
          <w:spacing w:val="-3"/>
          <w:sz w:val="24"/>
        </w:rPr>
        <w:t xml:space="preserve">V. </w:t>
      </w:r>
      <w:r>
        <w:rPr>
          <w:sz w:val="24"/>
        </w:rPr>
        <w:t xml:space="preserve">(2016). Visual function in autism spectrum disorders: a critical review. </w:t>
      </w:r>
      <w:r>
        <w:rPr>
          <w:i/>
          <w:sz w:val="24"/>
        </w:rPr>
        <w:t>Clinical and Experimental Optometry, 99</w:t>
      </w:r>
      <w:r>
        <w:rPr>
          <w:sz w:val="24"/>
        </w:rPr>
        <w:t>(4), 297-308. doi:10.1111/cxo.12383</w:t>
      </w:r>
    </w:p>
    <w:p w14:paraId="22411B4F" w14:textId="77777777" w:rsidR="00C75312" w:rsidRDefault="00BB293A">
      <w:pPr>
        <w:pStyle w:val="BodyText"/>
        <w:spacing w:line="480" w:lineRule="auto"/>
        <w:ind w:left="860" w:right="235" w:hanging="720"/>
        <w:jc w:val="both"/>
      </w:pPr>
      <w:r>
        <w:t xml:space="preserve">Ballhausen, N., </w:t>
      </w:r>
      <w:proofErr w:type="spellStart"/>
      <w:r>
        <w:t>Schnitzspahn</w:t>
      </w:r>
      <w:proofErr w:type="spellEnd"/>
      <w:r>
        <w:t xml:space="preserve">, K. M., Horn, S. S., &amp; </w:t>
      </w:r>
      <w:proofErr w:type="spellStart"/>
      <w:r>
        <w:t>Kliegel</w:t>
      </w:r>
      <w:proofErr w:type="spellEnd"/>
      <w:r>
        <w:t xml:space="preserve">, M. (2017). The interplay of intention maintenance and cue monitoring in younger and older adults' prospective memory. </w:t>
      </w:r>
      <w:r>
        <w:rPr>
          <w:i/>
        </w:rPr>
        <w:t>Memory &amp; Cognition</w:t>
      </w:r>
      <w:r>
        <w:t>. doi:10.3758/s13421-017-0720-5</w:t>
      </w:r>
    </w:p>
    <w:p w14:paraId="36C15E1F" w14:textId="77777777" w:rsidR="00C75312" w:rsidRDefault="00BB293A">
      <w:pPr>
        <w:pStyle w:val="BodyText"/>
        <w:tabs>
          <w:tab w:val="left" w:pos="1839"/>
          <w:tab w:val="left" w:pos="3235"/>
          <w:tab w:val="left" w:pos="4277"/>
          <w:tab w:val="left" w:pos="6687"/>
          <w:tab w:val="left" w:pos="7584"/>
        </w:tabs>
        <w:spacing w:line="480" w:lineRule="auto"/>
        <w:ind w:left="140" w:right="358"/>
      </w:pPr>
      <w:r>
        <w:t xml:space="preserve">Barban, F., Carlesimo, G. A., Macaluso, E., Caltagirone, C., &amp; Costa, </w:t>
      </w:r>
      <w:r>
        <w:rPr>
          <w:spacing w:val="-3"/>
        </w:rPr>
        <w:t xml:space="preserve">A. </w:t>
      </w:r>
      <w:r>
        <w:t xml:space="preserve">(2013). Functional brain activity within the medial  and  lateral  portion  of  BA10  during  a  prospective memory task. </w:t>
      </w:r>
      <w:r w:rsidRPr="002C3022">
        <w:rPr>
          <w:i/>
          <w:lang w:val="it-IT"/>
        </w:rPr>
        <w:t>Behavioural Neurology, 26</w:t>
      </w:r>
      <w:r w:rsidRPr="002C3022">
        <w:rPr>
          <w:lang w:val="it-IT"/>
        </w:rPr>
        <w:t xml:space="preserve">(3), 207-209. doi:10.3233/BEN-2012-129012 Barban, F., Carlesimo, G. A., Macaluso, E., Caltagirone, C., &amp; Costa, </w:t>
      </w:r>
      <w:r w:rsidRPr="002C3022">
        <w:rPr>
          <w:spacing w:val="-3"/>
          <w:lang w:val="it-IT"/>
        </w:rPr>
        <w:t xml:space="preserve">A. </w:t>
      </w:r>
      <w:r w:rsidRPr="002C3022">
        <w:rPr>
          <w:lang w:val="it-IT"/>
        </w:rPr>
        <w:t xml:space="preserve">(2014). </w:t>
      </w:r>
      <w:r>
        <w:t>Functional interplay between stimulus-oriented and stimulus-independent attending during  a  prospective</w:t>
      </w:r>
      <w:r>
        <w:tab/>
        <w:t>memory</w:t>
      </w:r>
      <w:r>
        <w:tab/>
        <w:t>task.</w:t>
      </w:r>
      <w:r>
        <w:tab/>
      </w:r>
      <w:proofErr w:type="spellStart"/>
      <w:r>
        <w:rPr>
          <w:i/>
        </w:rPr>
        <w:t>Neuropsychologia</w:t>
      </w:r>
      <w:proofErr w:type="spellEnd"/>
      <w:r>
        <w:rPr>
          <w:i/>
        </w:rPr>
        <w:t>,</w:t>
      </w:r>
      <w:r>
        <w:rPr>
          <w:i/>
        </w:rPr>
        <w:tab/>
        <w:t>53</w:t>
      </w:r>
      <w:r>
        <w:t>,</w:t>
      </w:r>
      <w:r>
        <w:tab/>
        <w:t>203-212.</w:t>
      </w:r>
    </w:p>
    <w:p w14:paraId="33449C7C" w14:textId="77777777" w:rsidR="00C75312" w:rsidRDefault="00BB293A">
      <w:pPr>
        <w:pStyle w:val="BodyText"/>
        <w:ind w:left="860"/>
      </w:pPr>
      <w:r>
        <w:t>doi:10.1016/j.neuropsychologia.2013.12.001</w:t>
      </w:r>
    </w:p>
    <w:p w14:paraId="6A3416FD" w14:textId="77777777" w:rsidR="00C75312" w:rsidRDefault="00C75312">
      <w:pPr>
        <w:sectPr w:rsidR="00C75312">
          <w:pgSz w:w="11900" w:h="16840"/>
          <w:pgMar w:top="1160" w:right="1200" w:bottom="280" w:left="1300" w:header="720" w:footer="0" w:gutter="0"/>
          <w:cols w:space="720"/>
        </w:sectPr>
      </w:pPr>
    </w:p>
    <w:p w14:paraId="6B62CEDC" w14:textId="77777777" w:rsidR="00C75312" w:rsidRDefault="00C75312">
      <w:pPr>
        <w:pStyle w:val="BodyText"/>
        <w:spacing w:before="9"/>
        <w:rPr>
          <w:sz w:val="15"/>
        </w:rPr>
      </w:pPr>
    </w:p>
    <w:p w14:paraId="48A6BDCA" w14:textId="77777777" w:rsidR="00C75312" w:rsidRDefault="00BB293A">
      <w:pPr>
        <w:pStyle w:val="BodyText"/>
        <w:spacing w:before="90" w:line="480" w:lineRule="auto"/>
        <w:ind w:left="860" w:right="234" w:hanging="720"/>
        <w:jc w:val="both"/>
      </w:pPr>
      <w:r>
        <w:t xml:space="preserve">Baron-Cohen, S., Wheelwright, S., Skinner, R., Martin, J., &amp; </w:t>
      </w:r>
      <w:proofErr w:type="spellStart"/>
      <w:r>
        <w:t>Clubley</w:t>
      </w:r>
      <w:proofErr w:type="spellEnd"/>
      <w:r>
        <w:t>, E. (2001). The Autism Spectrum</w:t>
      </w:r>
      <w:r>
        <w:rPr>
          <w:spacing w:val="-7"/>
        </w:rPr>
        <w:t xml:space="preserve"> </w:t>
      </w:r>
      <w:r>
        <w:t>Quotient:</w:t>
      </w:r>
      <w:r>
        <w:rPr>
          <w:spacing w:val="-15"/>
        </w:rPr>
        <w:t xml:space="preserve"> </w:t>
      </w:r>
      <w:r>
        <w:t>Evidence</w:t>
      </w:r>
      <w:r>
        <w:rPr>
          <w:spacing w:val="-9"/>
        </w:rPr>
        <w:t xml:space="preserve"> </w:t>
      </w:r>
      <w:r>
        <w:t>from</w:t>
      </w:r>
      <w:r>
        <w:rPr>
          <w:spacing w:val="-11"/>
        </w:rPr>
        <w:t xml:space="preserve"> </w:t>
      </w:r>
      <w:r>
        <w:t>Asperger</w:t>
      </w:r>
      <w:r>
        <w:rPr>
          <w:spacing w:val="-5"/>
        </w:rPr>
        <w:t xml:space="preserve"> </w:t>
      </w:r>
      <w:r>
        <w:t>syndrome/high</w:t>
      </w:r>
      <w:r>
        <w:rPr>
          <w:spacing w:val="-7"/>
        </w:rPr>
        <w:t xml:space="preserve"> </w:t>
      </w:r>
      <w:r>
        <w:t>functioning</w:t>
      </w:r>
      <w:r>
        <w:rPr>
          <w:spacing w:val="-7"/>
        </w:rPr>
        <w:t xml:space="preserve"> </w:t>
      </w:r>
      <w:r>
        <w:t>autism,</w:t>
      </w:r>
      <w:r>
        <w:rPr>
          <w:spacing w:val="-10"/>
        </w:rPr>
        <w:t xml:space="preserve"> </w:t>
      </w:r>
      <w:r>
        <w:t xml:space="preserve">males and females, scientists and mathematicians. </w:t>
      </w:r>
      <w:r>
        <w:rPr>
          <w:i/>
        </w:rPr>
        <w:t>Journal of Autism and Developmental Disorders, 31</w:t>
      </w:r>
      <w:r>
        <w:t>(1), 5-17.</w:t>
      </w:r>
      <w:r>
        <w:rPr>
          <w:spacing w:val="6"/>
        </w:rPr>
        <w:t xml:space="preserve"> </w:t>
      </w:r>
      <w:r>
        <w:t>doi:10.1023/A:1005653411471</w:t>
      </w:r>
    </w:p>
    <w:p w14:paraId="3FCBCF91" w14:textId="77777777" w:rsidR="00C75312" w:rsidRDefault="00BB293A">
      <w:pPr>
        <w:pStyle w:val="BodyText"/>
        <w:spacing w:line="480" w:lineRule="auto"/>
        <w:ind w:left="860" w:right="239" w:hanging="720"/>
        <w:jc w:val="both"/>
      </w:pPr>
      <w:r>
        <w:t>Baum, S. H., Stevenson, R. A., &amp; Wallace, M. T. (2015). Behavioral, perceptual, and neural alterations</w:t>
      </w:r>
      <w:r>
        <w:rPr>
          <w:spacing w:val="-8"/>
        </w:rPr>
        <w:t xml:space="preserve"> </w:t>
      </w:r>
      <w:r>
        <w:t>in</w:t>
      </w:r>
      <w:r>
        <w:rPr>
          <w:spacing w:val="-6"/>
        </w:rPr>
        <w:t xml:space="preserve"> </w:t>
      </w:r>
      <w:r>
        <w:t>sensory</w:t>
      </w:r>
      <w:r>
        <w:rPr>
          <w:spacing w:val="-6"/>
        </w:rPr>
        <w:t xml:space="preserve"> </w:t>
      </w:r>
      <w:r>
        <w:t>and</w:t>
      </w:r>
      <w:r>
        <w:rPr>
          <w:spacing w:val="-5"/>
        </w:rPr>
        <w:t xml:space="preserve"> </w:t>
      </w:r>
      <w:r>
        <w:t>multisensory</w:t>
      </w:r>
      <w:r>
        <w:rPr>
          <w:spacing w:val="-6"/>
        </w:rPr>
        <w:t xml:space="preserve"> </w:t>
      </w:r>
      <w:r>
        <w:t>function</w:t>
      </w:r>
      <w:r>
        <w:rPr>
          <w:spacing w:val="-6"/>
        </w:rPr>
        <w:t xml:space="preserve"> </w:t>
      </w:r>
      <w:r>
        <w:t>in</w:t>
      </w:r>
      <w:r>
        <w:rPr>
          <w:spacing w:val="-6"/>
        </w:rPr>
        <w:t xml:space="preserve"> </w:t>
      </w:r>
      <w:r>
        <w:t>autism</w:t>
      </w:r>
      <w:r>
        <w:rPr>
          <w:spacing w:val="-4"/>
        </w:rPr>
        <w:t xml:space="preserve"> </w:t>
      </w:r>
      <w:r>
        <w:t>spectrum</w:t>
      </w:r>
      <w:r>
        <w:rPr>
          <w:spacing w:val="-5"/>
        </w:rPr>
        <w:t xml:space="preserve"> </w:t>
      </w:r>
      <w:r>
        <w:t>disorder.</w:t>
      </w:r>
      <w:r>
        <w:rPr>
          <w:spacing w:val="-3"/>
        </w:rPr>
        <w:t xml:space="preserve"> </w:t>
      </w:r>
      <w:r>
        <w:rPr>
          <w:i/>
        </w:rPr>
        <w:t xml:space="preserve">Progress </w:t>
      </w:r>
      <w:r>
        <w:rPr>
          <w:i/>
        </w:rPr>
        <w:t>in Neurobiology, 134</w:t>
      </w:r>
      <w:r>
        <w:t>, 140-160.</w:t>
      </w:r>
      <w:r>
        <w:rPr>
          <w:spacing w:val="7"/>
        </w:rPr>
        <w:t xml:space="preserve"> </w:t>
      </w:r>
      <w:r>
        <w:t>doi:10.1016/j.pneurobio.2015.09.007</w:t>
      </w:r>
    </w:p>
    <w:p w14:paraId="08E6B7B5" w14:textId="77777777" w:rsidR="00C75312" w:rsidRDefault="00BB293A">
      <w:pPr>
        <w:pStyle w:val="BodyText"/>
        <w:spacing w:line="480" w:lineRule="auto"/>
        <w:ind w:left="860" w:right="241" w:hanging="720"/>
        <w:jc w:val="both"/>
      </w:pPr>
      <w:r>
        <w:t>Ben</w:t>
      </w:r>
      <w:r>
        <w:rPr>
          <w:spacing w:val="-16"/>
        </w:rPr>
        <w:t xml:space="preserve"> </w:t>
      </w:r>
      <w:r>
        <w:t>Shalom,</w:t>
      </w:r>
      <w:r>
        <w:rPr>
          <w:spacing w:val="-13"/>
        </w:rPr>
        <w:t xml:space="preserve"> </w:t>
      </w:r>
      <w:r>
        <w:t>D.</w:t>
      </w:r>
      <w:r>
        <w:rPr>
          <w:spacing w:val="-13"/>
        </w:rPr>
        <w:t xml:space="preserve"> </w:t>
      </w:r>
      <w:r>
        <w:t>(2003).</w:t>
      </w:r>
      <w:r>
        <w:rPr>
          <w:spacing w:val="-13"/>
        </w:rPr>
        <w:t xml:space="preserve"> </w:t>
      </w:r>
      <w:r>
        <w:t>Memory</w:t>
      </w:r>
      <w:r>
        <w:rPr>
          <w:spacing w:val="-15"/>
        </w:rPr>
        <w:t xml:space="preserve"> </w:t>
      </w:r>
      <w:r>
        <w:t>in</w:t>
      </w:r>
      <w:r>
        <w:rPr>
          <w:spacing w:val="-15"/>
        </w:rPr>
        <w:t xml:space="preserve"> </w:t>
      </w:r>
      <w:r>
        <w:t>autism:</w:t>
      </w:r>
      <w:r>
        <w:rPr>
          <w:spacing w:val="-15"/>
        </w:rPr>
        <w:t xml:space="preserve"> </w:t>
      </w:r>
      <w:r>
        <w:t>Review</w:t>
      </w:r>
      <w:r>
        <w:rPr>
          <w:spacing w:val="-16"/>
        </w:rPr>
        <w:t xml:space="preserve"> </w:t>
      </w:r>
      <w:r>
        <w:t>and</w:t>
      </w:r>
      <w:r>
        <w:rPr>
          <w:spacing w:val="-15"/>
        </w:rPr>
        <w:t xml:space="preserve"> </w:t>
      </w:r>
      <w:r>
        <w:t>synthesis.</w:t>
      </w:r>
      <w:r>
        <w:rPr>
          <w:spacing w:val="-14"/>
        </w:rPr>
        <w:t xml:space="preserve"> </w:t>
      </w:r>
      <w:r>
        <w:rPr>
          <w:i/>
        </w:rPr>
        <w:t>Cortex,</w:t>
      </w:r>
      <w:r>
        <w:rPr>
          <w:i/>
          <w:spacing w:val="-13"/>
        </w:rPr>
        <w:t xml:space="preserve"> </w:t>
      </w:r>
      <w:r>
        <w:rPr>
          <w:i/>
        </w:rPr>
        <w:t>39</w:t>
      </w:r>
      <w:r>
        <w:t>(4-5),</w:t>
      </w:r>
      <w:r>
        <w:rPr>
          <w:spacing w:val="-13"/>
        </w:rPr>
        <w:t xml:space="preserve"> </w:t>
      </w:r>
      <w:r>
        <w:t>1129-1138. doi:10.1016/S0010-9452(08)70881-5</w:t>
      </w:r>
    </w:p>
    <w:p w14:paraId="16225FEA" w14:textId="77777777" w:rsidR="00C75312" w:rsidRDefault="00BB293A">
      <w:pPr>
        <w:spacing w:line="480" w:lineRule="auto"/>
        <w:ind w:left="860" w:right="233" w:hanging="720"/>
        <w:jc w:val="both"/>
        <w:rPr>
          <w:sz w:val="24"/>
        </w:rPr>
      </w:pPr>
      <w:r>
        <w:rPr>
          <w:sz w:val="24"/>
        </w:rPr>
        <w:t>Berg, E. A. (1948). A Simple Objective Technique for Measuring Flexibility in Thinking.</w:t>
      </w:r>
      <w:r>
        <w:rPr>
          <w:spacing w:val="-36"/>
          <w:sz w:val="24"/>
        </w:rPr>
        <w:t xml:space="preserve"> </w:t>
      </w:r>
      <w:r>
        <w:rPr>
          <w:i/>
          <w:sz w:val="24"/>
        </w:rPr>
        <w:t>The Journal of General Psychology, 39</w:t>
      </w:r>
      <w:r>
        <w:rPr>
          <w:sz w:val="24"/>
        </w:rPr>
        <w:t>(1), 15-22.</w:t>
      </w:r>
      <w:r>
        <w:rPr>
          <w:spacing w:val="-1"/>
          <w:sz w:val="24"/>
        </w:rPr>
        <w:t xml:space="preserve"> </w:t>
      </w:r>
      <w:r>
        <w:rPr>
          <w:sz w:val="24"/>
        </w:rPr>
        <w:t>doi:10.1080/00221309.1948.9918159</w:t>
      </w:r>
    </w:p>
    <w:p w14:paraId="3FC66096" w14:textId="77777777" w:rsidR="00C75312" w:rsidRDefault="00BB293A">
      <w:pPr>
        <w:pStyle w:val="BodyText"/>
        <w:spacing w:before="1" w:line="480" w:lineRule="auto"/>
        <w:ind w:left="860" w:right="236" w:hanging="720"/>
        <w:jc w:val="both"/>
      </w:pPr>
      <w:proofErr w:type="spellStart"/>
      <w:r>
        <w:t>Berthoz</w:t>
      </w:r>
      <w:proofErr w:type="spellEnd"/>
      <w:r>
        <w:t>,</w:t>
      </w:r>
      <w:r>
        <w:rPr>
          <w:spacing w:val="-8"/>
        </w:rPr>
        <w:t xml:space="preserve"> </w:t>
      </w:r>
      <w:r>
        <w:t>S.,</w:t>
      </w:r>
      <w:r>
        <w:rPr>
          <w:spacing w:val="-8"/>
        </w:rPr>
        <w:t xml:space="preserve"> </w:t>
      </w:r>
      <w:r>
        <w:t>&amp;</w:t>
      </w:r>
      <w:r>
        <w:rPr>
          <w:spacing w:val="-15"/>
        </w:rPr>
        <w:t xml:space="preserve"> </w:t>
      </w:r>
      <w:r>
        <w:t>Hill,</w:t>
      </w:r>
      <w:r>
        <w:rPr>
          <w:spacing w:val="-8"/>
        </w:rPr>
        <w:t xml:space="preserve"> </w:t>
      </w:r>
      <w:r>
        <w:t>E.</w:t>
      </w:r>
      <w:r>
        <w:rPr>
          <w:spacing w:val="-7"/>
        </w:rPr>
        <w:t xml:space="preserve"> </w:t>
      </w:r>
      <w:r>
        <w:t>L.</w:t>
      </w:r>
      <w:r>
        <w:rPr>
          <w:spacing w:val="-13"/>
        </w:rPr>
        <w:t xml:space="preserve"> </w:t>
      </w:r>
      <w:r>
        <w:t>(2005).</w:t>
      </w:r>
      <w:r>
        <w:rPr>
          <w:spacing w:val="-13"/>
        </w:rPr>
        <w:t xml:space="preserve"> </w:t>
      </w:r>
      <w:r>
        <w:t>The</w:t>
      </w:r>
      <w:r>
        <w:rPr>
          <w:spacing w:val="-11"/>
        </w:rPr>
        <w:t xml:space="preserve"> </w:t>
      </w:r>
      <w:r>
        <w:t>validity</w:t>
      </w:r>
      <w:r>
        <w:rPr>
          <w:spacing w:val="-15"/>
        </w:rPr>
        <w:t xml:space="preserve"> </w:t>
      </w:r>
      <w:r>
        <w:t>of</w:t>
      </w:r>
      <w:r>
        <w:rPr>
          <w:spacing w:val="-13"/>
        </w:rPr>
        <w:t xml:space="preserve"> </w:t>
      </w:r>
      <w:r>
        <w:t>using</w:t>
      </w:r>
      <w:r>
        <w:rPr>
          <w:spacing w:val="-11"/>
        </w:rPr>
        <w:t xml:space="preserve"> </w:t>
      </w:r>
      <w:r>
        <w:t>self-reports</w:t>
      </w:r>
      <w:r>
        <w:rPr>
          <w:spacing w:val="-13"/>
        </w:rPr>
        <w:t xml:space="preserve"> </w:t>
      </w:r>
      <w:r>
        <w:t>to</w:t>
      </w:r>
      <w:r>
        <w:rPr>
          <w:spacing w:val="-10"/>
        </w:rPr>
        <w:t xml:space="preserve"> </w:t>
      </w:r>
      <w:r>
        <w:t>assess</w:t>
      </w:r>
      <w:r>
        <w:rPr>
          <w:spacing w:val="-13"/>
        </w:rPr>
        <w:t xml:space="preserve"> </w:t>
      </w:r>
      <w:r>
        <w:t>emotion</w:t>
      </w:r>
      <w:r>
        <w:rPr>
          <w:spacing w:val="-11"/>
        </w:rPr>
        <w:t xml:space="preserve"> </w:t>
      </w:r>
      <w:r>
        <w:t>regulation abilities</w:t>
      </w:r>
      <w:r>
        <w:rPr>
          <w:spacing w:val="-13"/>
        </w:rPr>
        <w:t xml:space="preserve"> </w:t>
      </w:r>
      <w:r>
        <w:t>in</w:t>
      </w:r>
      <w:r>
        <w:rPr>
          <w:spacing w:val="-11"/>
        </w:rPr>
        <w:t xml:space="preserve"> </w:t>
      </w:r>
      <w:r>
        <w:t>adults</w:t>
      </w:r>
      <w:r>
        <w:rPr>
          <w:spacing w:val="-13"/>
        </w:rPr>
        <w:t xml:space="preserve"> </w:t>
      </w:r>
      <w:r>
        <w:t>with</w:t>
      </w:r>
      <w:r>
        <w:rPr>
          <w:spacing w:val="-11"/>
        </w:rPr>
        <w:t xml:space="preserve"> </w:t>
      </w:r>
      <w:r>
        <w:t>autism</w:t>
      </w:r>
      <w:r>
        <w:rPr>
          <w:spacing w:val="-10"/>
        </w:rPr>
        <w:t xml:space="preserve"> </w:t>
      </w:r>
      <w:r>
        <w:t>spectrum</w:t>
      </w:r>
      <w:r>
        <w:rPr>
          <w:spacing w:val="-9"/>
        </w:rPr>
        <w:t xml:space="preserve"> </w:t>
      </w:r>
      <w:r>
        <w:t>disorder.</w:t>
      </w:r>
      <w:r>
        <w:rPr>
          <w:spacing w:val="-13"/>
        </w:rPr>
        <w:t xml:space="preserve"> </w:t>
      </w:r>
      <w:r>
        <w:rPr>
          <w:i/>
        </w:rPr>
        <w:t>European</w:t>
      </w:r>
      <w:r>
        <w:rPr>
          <w:i/>
          <w:spacing w:val="-11"/>
        </w:rPr>
        <w:t xml:space="preserve"> </w:t>
      </w:r>
      <w:r>
        <w:rPr>
          <w:i/>
        </w:rPr>
        <w:t>Psychiatry,</w:t>
      </w:r>
      <w:r>
        <w:rPr>
          <w:i/>
          <w:spacing w:val="-8"/>
        </w:rPr>
        <w:t xml:space="preserve"> </w:t>
      </w:r>
      <w:r>
        <w:rPr>
          <w:i/>
        </w:rPr>
        <w:t>20</w:t>
      </w:r>
      <w:r>
        <w:t>(3),</w:t>
      </w:r>
      <w:r>
        <w:rPr>
          <w:spacing w:val="-8"/>
        </w:rPr>
        <w:t xml:space="preserve"> </w:t>
      </w:r>
      <w:r>
        <w:t>291-298. doi:10.1016/j.eurpsy.2004.06.013</w:t>
      </w:r>
    </w:p>
    <w:p w14:paraId="38742665" w14:textId="77777777" w:rsidR="00C75312" w:rsidRDefault="00BB293A">
      <w:pPr>
        <w:pStyle w:val="BodyText"/>
        <w:spacing w:line="480" w:lineRule="auto"/>
        <w:ind w:left="860" w:right="234" w:hanging="720"/>
        <w:jc w:val="both"/>
      </w:pPr>
      <w:r>
        <w:t>Bird,</w:t>
      </w:r>
      <w:r>
        <w:rPr>
          <w:spacing w:val="-8"/>
        </w:rPr>
        <w:t xml:space="preserve"> </w:t>
      </w:r>
      <w:r>
        <w:t>G.,</w:t>
      </w:r>
      <w:r>
        <w:rPr>
          <w:spacing w:val="-11"/>
        </w:rPr>
        <w:t xml:space="preserve"> </w:t>
      </w:r>
      <w:r>
        <w:t>&amp;</w:t>
      </w:r>
      <w:r>
        <w:rPr>
          <w:spacing w:val="-9"/>
        </w:rPr>
        <w:t xml:space="preserve"> </w:t>
      </w:r>
      <w:r>
        <w:t>Cook,</w:t>
      </w:r>
      <w:r>
        <w:rPr>
          <w:spacing w:val="-7"/>
        </w:rPr>
        <w:t xml:space="preserve"> </w:t>
      </w:r>
      <w:r>
        <w:t>R.</w:t>
      </w:r>
      <w:r>
        <w:rPr>
          <w:spacing w:val="-8"/>
        </w:rPr>
        <w:t xml:space="preserve"> </w:t>
      </w:r>
      <w:r>
        <w:t>(2013).</w:t>
      </w:r>
      <w:r>
        <w:rPr>
          <w:spacing w:val="-7"/>
        </w:rPr>
        <w:t xml:space="preserve"> </w:t>
      </w:r>
      <w:r>
        <w:t>Mixed</w:t>
      </w:r>
      <w:r>
        <w:rPr>
          <w:spacing w:val="-5"/>
        </w:rPr>
        <w:t xml:space="preserve"> </w:t>
      </w:r>
      <w:r>
        <w:t>emotions:</w:t>
      </w:r>
      <w:r>
        <w:rPr>
          <w:spacing w:val="-4"/>
        </w:rPr>
        <w:t xml:space="preserve"> </w:t>
      </w:r>
      <w:r>
        <w:t>the</w:t>
      </w:r>
      <w:r>
        <w:rPr>
          <w:spacing w:val="-15"/>
        </w:rPr>
        <w:t xml:space="preserve"> </w:t>
      </w:r>
      <w:r>
        <w:t>contribution</w:t>
      </w:r>
      <w:r>
        <w:rPr>
          <w:spacing w:val="-10"/>
        </w:rPr>
        <w:t xml:space="preserve"> </w:t>
      </w:r>
      <w:r>
        <w:t>of</w:t>
      </w:r>
      <w:r>
        <w:rPr>
          <w:spacing w:val="-8"/>
        </w:rPr>
        <w:t xml:space="preserve"> </w:t>
      </w:r>
      <w:r>
        <w:t>alexithymia</w:t>
      </w:r>
      <w:r>
        <w:rPr>
          <w:spacing w:val="-6"/>
        </w:rPr>
        <w:t xml:space="preserve"> </w:t>
      </w:r>
      <w:r>
        <w:t>to</w:t>
      </w:r>
      <w:r>
        <w:rPr>
          <w:spacing w:val="-10"/>
        </w:rPr>
        <w:t xml:space="preserve"> </w:t>
      </w:r>
      <w:r>
        <w:t>the</w:t>
      </w:r>
      <w:r>
        <w:rPr>
          <w:spacing w:val="-11"/>
        </w:rPr>
        <w:t xml:space="preserve"> </w:t>
      </w:r>
      <w:r>
        <w:t xml:space="preserve">emotional symptoms of autism. </w:t>
      </w:r>
      <w:r>
        <w:rPr>
          <w:i/>
        </w:rPr>
        <w:t>Translational Psychiatry, 3</w:t>
      </w:r>
      <w:r>
        <w:t>(7), e285-e285. doi:10.1038/tp.2013.61</w:t>
      </w:r>
    </w:p>
    <w:p w14:paraId="5AF1CA9B" w14:textId="77777777" w:rsidR="00C75312" w:rsidRDefault="00BB293A">
      <w:pPr>
        <w:pStyle w:val="BodyText"/>
        <w:spacing w:line="480" w:lineRule="auto"/>
        <w:ind w:left="860" w:right="234" w:hanging="720"/>
        <w:jc w:val="both"/>
      </w:pPr>
      <w:r>
        <w:t xml:space="preserve">Bird, G., Silani, G., Brindley, R., White, S., Frith, U., &amp; Singer, T. (2010). Empathic brain responses in insula are modulated by levels of alexithymia but not autism. </w:t>
      </w:r>
      <w:r>
        <w:rPr>
          <w:i/>
        </w:rPr>
        <w:t>Brain, 133</w:t>
      </w:r>
      <w:r>
        <w:t>(5), 1515-1525. doi:10.1093/brain/awq060</w:t>
      </w:r>
    </w:p>
    <w:p w14:paraId="08F674F4" w14:textId="77777777" w:rsidR="00C75312" w:rsidRDefault="00BB293A">
      <w:pPr>
        <w:spacing w:line="480" w:lineRule="auto"/>
        <w:ind w:left="860" w:right="234" w:hanging="720"/>
        <w:jc w:val="both"/>
        <w:rPr>
          <w:sz w:val="24"/>
        </w:rPr>
      </w:pPr>
      <w:r>
        <w:rPr>
          <w:sz w:val="24"/>
        </w:rPr>
        <w:t xml:space="preserve">Block, R. A., &amp; Zakay, D. (2006). Prospective remembering involves time estimation and memory processes. In J. </w:t>
      </w:r>
      <w:proofErr w:type="spellStart"/>
      <w:r>
        <w:rPr>
          <w:sz w:val="24"/>
        </w:rPr>
        <w:t>Glicksohn</w:t>
      </w:r>
      <w:proofErr w:type="spellEnd"/>
      <w:r>
        <w:rPr>
          <w:sz w:val="24"/>
        </w:rPr>
        <w:t xml:space="preserve"> &amp; M. S. </w:t>
      </w:r>
      <w:proofErr w:type="spellStart"/>
      <w:r>
        <w:rPr>
          <w:sz w:val="24"/>
        </w:rPr>
        <w:t>Myslobodsky</w:t>
      </w:r>
      <w:proofErr w:type="spellEnd"/>
      <w:r>
        <w:rPr>
          <w:sz w:val="24"/>
        </w:rPr>
        <w:t xml:space="preserve"> (Eds.), </w:t>
      </w:r>
      <w:r>
        <w:rPr>
          <w:i/>
          <w:sz w:val="24"/>
        </w:rPr>
        <w:t xml:space="preserve">Timing the Future: The Case for a Time-Based Prospective Memory </w:t>
      </w:r>
      <w:r>
        <w:rPr>
          <w:sz w:val="24"/>
        </w:rPr>
        <w:t xml:space="preserve">(pp. 25-49). River Edge, NJ, US: World </w:t>
      </w:r>
      <w:proofErr w:type="spellStart"/>
      <w:r>
        <w:rPr>
          <w:sz w:val="24"/>
        </w:rPr>
        <w:t>Scientif</w:t>
      </w:r>
      <w:proofErr w:type="spellEnd"/>
      <w:r>
        <w:rPr>
          <w:sz w:val="24"/>
        </w:rPr>
        <w:t xml:space="preserve"> Publishing.</w:t>
      </w:r>
    </w:p>
    <w:p w14:paraId="71F1638B"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5484C075" w14:textId="77777777" w:rsidR="00C75312" w:rsidRDefault="00C75312">
      <w:pPr>
        <w:pStyle w:val="BodyText"/>
        <w:spacing w:before="9"/>
        <w:rPr>
          <w:sz w:val="15"/>
        </w:rPr>
      </w:pPr>
    </w:p>
    <w:p w14:paraId="03D8372D" w14:textId="77777777" w:rsidR="00C75312" w:rsidRDefault="00BB293A">
      <w:pPr>
        <w:pStyle w:val="BodyText"/>
        <w:spacing w:before="90" w:line="480" w:lineRule="auto"/>
        <w:ind w:left="860" w:right="238" w:hanging="720"/>
        <w:jc w:val="both"/>
      </w:pPr>
      <w:r>
        <w:t xml:space="preserve">Blomqvist, M., </w:t>
      </w:r>
      <w:proofErr w:type="spellStart"/>
      <w:r>
        <w:t>Bejerot</w:t>
      </w:r>
      <w:proofErr w:type="spellEnd"/>
      <w:r>
        <w:t xml:space="preserve">, S., &amp; </w:t>
      </w:r>
      <w:proofErr w:type="spellStart"/>
      <w:r>
        <w:t>Dahllöf</w:t>
      </w:r>
      <w:proofErr w:type="spellEnd"/>
      <w:r>
        <w:t xml:space="preserve">, G. (2015). A cross-sectional study on oral health and dental care in intellectually able adults with autism spectrum disorder. </w:t>
      </w:r>
      <w:r>
        <w:rPr>
          <w:i/>
        </w:rPr>
        <w:t>BMC Oral Health, 15</w:t>
      </w:r>
      <w:r>
        <w:t>(1), 81. doi:10.1186/s12903-015-0065-z</w:t>
      </w:r>
    </w:p>
    <w:p w14:paraId="18C977B1" w14:textId="77777777" w:rsidR="00C75312" w:rsidRDefault="00BB293A">
      <w:pPr>
        <w:spacing w:line="480" w:lineRule="auto"/>
        <w:ind w:left="860" w:right="233" w:hanging="720"/>
        <w:jc w:val="both"/>
        <w:rPr>
          <w:sz w:val="24"/>
        </w:rPr>
      </w:pPr>
      <w:proofErr w:type="spellStart"/>
      <w:r>
        <w:rPr>
          <w:sz w:val="24"/>
        </w:rPr>
        <w:t>Bölte</w:t>
      </w:r>
      <w:proofErr w:type="spellEnd"/>
      <w:r>
        <w:rPr>
          <w:sz w:val="24"/>
        </w:rPr>
        <w:t xml:space="preserve">, S., </w:t>
      </w:r>
      <w:proofErr w:type="spellStart"/>
      <w:r>
        <w:rPr>
          <w:sz w:val="24"/>
        </w:rPr>
        <w:t>Dziobek</w:t>
      </w:r>
      <w:proofErr w:type="spellEnd"/>
      <w:r>
        <w:rPr>
          <w:sz w:val="24"/>
        </w:rPr>
        <w:t xml:space="preserve">, I., &amp; </w:t>
      </w:r>
      <w:proofErr w:type="spellStart"/>
      <w:r>
        <w:rPr>
          <w:sz w:val="24"/>
        </w:rPr>
        <w:t>Poustka</w:t>
      </w:r>
      <w:proofErr w:type="spellEnd"/>
      <w:r>
        <w:rPr>
          <w:sz w:val="24"/>
        </w:rPr>
        <w:t>, F. (2009). Brief report: The level and nature of autistic intelligence</w:t>
      </w:r>
      <w:r>
        <w:rPr>
          <w:spacing w:val="-17"/>
          <w:sz w:val="24"/>
        </w:rPr>
        <w:t xml:space="preserve"> </w:t>
      </w:r>
      <w:r>
        <w:rPr>
          <w:sz w:val="24"/>
        </w:rPr>
        <w:t>revisited.</w:t>
      </w:r>
      <w:r>
        <w:rPr>
          <w:spacing w:val="-14"/>
          <w:sz w:val="24"/>
        </w:rPr>
        <w:t xml:space="preserve"> </w:t>
      </w:r>
      <w:r>
        <w:rPr>
          <w:i/>
          <w:sz w:val="24"/>
        </w:rPr>
        <w:t>Journal</w:t>
      </w:r>
      <w:r>
        <w:rPr>
          <w:i/>
          <w:spacing w:val="-15"/>
          <w:sz w:val="24"/>
        </w:rPr>
        <w:t xml:space="preserve"> </w:t>
      </w:r>
      <w:r>
        <w:rPr>
          <w:i/>
          <w:sz w:val="24"/>
        </w:rPr>
        <w:t>of</w:t>
      </w:r>
      <w:r>
        <w:rPr>
          <w:i/>
          <w:spacing w:val="-16"/>
          <w:sz w:val="24"/>
        </w:rPr>
        <w:t xml:space="preserve"> </w:t>
      </w:r>
      <w:r>
        <w:rPr>
          <w:i/>
          <w:sz w:val="24"/>
        </w:rPr>
        <w:t>Autism</w:t>
      </w:r>
      <w:r>
        <w:rPr>
          <w:i/>
          <w:spacing w:val="-16"/>
          <w:sz w:val="24"/>
        </w:rPr>
        <w:t xml:space="preserve"> </w:t>
      </w:r>
      <w:r>
        <w:rPr>
          <w:i/>
          <w:sz w:val="24"/>
        </w:rPr>
        <w:t>and</w:t>
      </w:r>
      <w:r>
        <w:rPr>
          <w:i/>
          <w:spacing w:val="-16"/>
          <w:sz w:val="24"/>
        </w:rPr>
        <w:t xml:space="preserve"> </w:t>
      </w:r>
      <w:r>
        <w:rPr>
          <w:i/>
          <w:sz w:val="24"/>
        </w:rPr>
        <w:t>Developmental</w:t>
      </w:r>
      <w:r>
        <w:rPr>
          <w:i/>
          <w:spacing w:val="-15"/>
          <w:sz w:val="24"/>
        </w:rPr>
        <w:t xml:space="preserve"> </w:t>
      </w:r>
      <w:r>
        <w:rPr>
          <w:i/>
          <w:sz w:val="24"/>
        </w:rPr>
        <w:t>Disorders,</w:t>
      </w:r>
      <w:r>
        <w:rPr>
          <w:i/>
          <w:spacing w:val="-14"/>
          <w:sz w:val="24"/>
        </w:rPr>
        <w:t xml:space="preserve"> </w:t>
      </w:r>
      <w:r>
        <w:rPr>
          <w:i/>
          <w:sz w:val="24"/>
        </w:rPr>
        <w:t>39</w:t>
      </w:r>
      <w:r>
        <w:rPr>
          <w:sz w:val="24"/>
        </w:rPr>
        <w:t>(4),</w:t>
      </w:r>
      <w:r>
        <w:rPr>
          <w:spacing w:val="-14"/>
          <w:sz w:val="24"/>
        </w:rPr>
        <w:t xml:space="preserve"> </w:t>
      </w:r>
      <w:r>
        <w:rPr>
          <w:sz w:val="24"/>
        </w:rPr>
        <w:t>678-682. doi:10.1007/s10803-008-0667-2</w:t>
      </w:r>
    </w:p>
    <w:p w14:paraId="04017993" w14:textId="77777777" w:rsidR="00C75312" w:rsidRDefault="00BB293A">
      <w:pPr>
        <w:spacing w:line="480" w:lineRule="auto"/>
        <w:ind w:left="860" w:right="234" w:hanging="720"/>
        <w:jc w:val="both"/>
        <w:rPr>
          <w:sz w:val="24"/>
        </w:rPr>
      </w:pPr>
      <w:r>
        <w:rPr>
          <w:sz w:val="24"/>
        </w:rPr>
        <w:t xml:space="preserve">Boucher, J., &amp; Bowler, D. M. (2008). </w:t>
      </w:r>
      <w:r>
        <w:rPr>
          <w:i/>
          <w:sz w:val="24"/>
        </w:rPr>
        <w:t>Memory in autism: Theories and evidence</w:t>
      </w:r>
      <w:r>
        <w:rPr>
          <w:sz w:val="24"/>
        </w:rPr>
        <w:t>. Cambridge: Cambridge University Press.</w:t>
      </w:r>
    </w:p>
    <w:p w14:paraId="47A1BFB0" w14:textId="77777777" w:rsidR="00C75312" w:rsidRDefault="00BB293A">
      <w:pPr>
        <w:pStyle w:val="BodyText"/>
        <w:ind w:left="140"/>
        <w:jc w:val="both"/>
      </w:pPr>
      <w:r>
        <w:t>Boucher, J., Mayes, A., &amp; Bigham, S. (2012). Memory in autistic spectrum disorder.</w:t>
      </w:r>
    </w:p>
    <w:p w14:paraId="2343A120" w14:textId="77777777" w:rsidR="00C75312" w:rsidRDefault="00C75312">
      <w:pPr>
        <w:pStyle w:val="BodyText"/>
      </w:pPr>
    </w:p>
    <w:p w14:paraId="74890876" w14:textId="77777777" w:rsidR="00C75312" w:rsidRDefault="00BB293A">
      <w:pPr>
        <w:ind w:left="860"/>
        <w:rPr>
          <w:sz w:val="24"/>
        </w:rPr>
      </w:pPr>
      <w:r>
        <w:rPr>
          <w:i/>
          <w:sz w:val="24"/>
        </w:rPr>
        <w:t>Psychological Bulletin, 138</w:t>
      </w:r>
      <w:r>
        <w:rPr>
          <w:sz w:val="24"/>
        </w:rPr>
        <w:t>(3), 458-496. doi:10.1037/a0026869</w:t>
      </w:r>
    </w:p>
    <w:p w14:paraId="48168DC7" w14:textId="77777777" w:rsidR="00C75312" w:rsidRDefault="00C75312">
      <w:pPr>
        <w:pStyle w:val="BodyText"/>
      </w:pPr>
    </w:p>
    <w:p w14:paraId="2449EF53" w14:textId="77777777" w:rsidR="00C75312" w:rsidRDefault="00BB293A">
      <w:pPr>
        <w:pStyle w:val="BodyText"/>
        <w:spacing w:line="480" w:lineRule="auto"/>
        <w:ind w:left="860" w:right="236" w:hanging="720"/>
        <w:jc w:val="both"/>
      </w:pPr>
      <w:r>
        <w:t>Bowler,</w:t>
      </w:r>
      <w:r>
        <w:rPr>
          <w:spacing w:val="-4"/>
        </w:rPr>
        <w:t xml:space="preserve"> </w:t>
      </w:r>
      <w:r>
        <w:rPr>
          <w:spacing w:val="-3"/>
        </w:rPr>
        <w:t xml:space="preserve">D. </w:t>
      </w:r>
      <w:r>
        <w:t>M.,</w:t>
      </w:r>
      <w:r>
        <w:rPr>
          <w:spacing w:val="-8"/>
        </w:rPr>
        <w:t xml:space="preserve"> </w:t>
      </w:r>
      <w:proofErr w:type="spellStart"/>
      <w:r>
        <w:t>Gaigg</w:t>
      </w:r>
      <w:proofErr w:type="spellEnd"/>
      <w:r>
        <w:t>,</w:t>
      </w:r>
      <w:r>
        <w:rPr>
          <w:spacing w:val="-8"/>
        </w:rPr>
        <w:t xml:space="preserve"> </w:t>
      </w:r>
      <w:r>
        <w:t>S.</w:t>
      </w:r>
      <w:r>
        <w:rPr>
          <w:spacing w:val="-8"/>
        </w:rPr>
        <w:t xml:space="preserve"> </w:t>
      </w:r>
      <w:r>
        <w:t>B.,</w:t>
      </w:r>
      <w:r>
        <w:rPr>
          <w:spacing w:val="-8"/>
        </w:rPr>
        <w:t xml:space="preserve"> </w:t>
      </w:r>
      <w:r>
        <w:t>&amp;</w:t>
      </w:r>
      <w:r>
        <w:rPr>
          <w:spacing w:val="-5"/>
        </w:rPr>
        <w:t xml:space="preserve"> </w:t>
      </w:r>
      <w:r>
        <w:t>Gardiner,</w:t>
      </w:r>
      <w:r>
        <w:rPr>
          <w:spacing w:val="-9"/>
        </w:rPr>
        <w:t xml:space="preserve"> </w:t>
      </w:r>
      <w:r>
        <w:t>J.</w:t>
      </w:r>
      <w:r>
        <w:rPr>
          <w:spacing w:val="-8"/>
        </w:rPr>
        <w:t xml:space="preserve"> </w:t>
      </w:r>
      <w:r>
        <w:t>M.</w:t>
      </w:r>
      <w:r>
        <w:rPr>
          <w:spacing w:val="-8"/>
        </w:rPr>
        <w:t xml:space="preserve"> </w:t>
      </w:r>
      <w:r>
        <w:t>(2008).</w:t>
      </w:r>
      <w:r>
        <w:rPr>
          <w:spacing w:val="-8"/>
        </w:rPr>
        <w:t xml:space="preserve"> </w:t>
      </w:r>
      <w:r>
        <w:t>Effects</w:t>
      </w:r>
      <w:r>
        <w:rPr>
          <w:spacing w:val="-8"/>
        </w:rPr>
        <w:t xml:space="preserve"> </w:t>
      </w:r>
      <w:r>
        <w:t>of</w:t>
      </w:r>
      <w:r>
        <w:rPr>
          <w:spacing w:val="-9"/>
        </w:rPr>
        <w:t xml:space="preserve"> </w:t>
      </w:r>
      <w:r>
        <w:t>related</w:t>
      </w:r>
      <w:r>
        <w:rPr>
          <w:spacing w:val="-11"/>
        </w:rPr>
        <w:t xml:space="preserve"> </w:t>
      </w:r>
      <w:r>
        <w:t>and</w:t>
      </w:r>
      <w:r>
        <w:rPr>
          <w:spacing w:val="-6"/>
        </w:rPr>
        <w:t xml:space="preserve"> </w:t>
      </w:r>
      <w:r>
        <w:t>unrelated</w:t>
      </w:r>
      <w:r>
        <w:rPr>
          <w:spacing w:val="-6"/>
        </w:rPr>
        <w:t xml:space="preserve"> </w:t>
      </w:r>
      <w:r>
        <w:t xml:space="preserve">context on recall and recognition by adults with high-functioning autism spectrum disorder. </w:t>
      </w:r>
      <w:proofErr w:type="spellStart"/>
      <w:r>
        <w:rPr>
          <w:i/>
        </w:rPr>
        <w:t>Neuropsychologia</w:t>
      </w:r>
      <w:proofErr w:type="spellEnd"/>
      <w:r>
        <w:rPr>
          <w:i/>
        </w:rPr>
        <w:t>, 46</w:t>
      </w:r>
      <w:r>
        <w:t>(4), 993-999.</w:t>
      </w:r>
      <w:r>
        <w:rPr>
          <w:spacing w:val="3"/>
        </w:rPr>
        <w:t xml:space="preserve"> </w:t>
      </w:r>
      <w:r>
        <w:t>doi:10.1016/j.neuropsychologia.2007.12.004</w:t>
      </w:r>
    </w:p>
    <w:p w14:paraId="436F096F" w14:textId="77777777" w:rsidR="00C75312" w:rsidRDefault="00BB293A">
      <w:pPr>
        <w:spacing w:before="1" w:line="480" w:lineRule="auto"/>
        <w:ind w:left="860" w:right="236" w:hanging="720"/>
        <w:jc w:val="both"/>
        <w:rPr>
          <w:sz w:val="24"/>
        </w:rPr>
      </w:pPr>
      <w:r>
        <w:rPr>
          <w:sz w:val="24"/>
        </w:rPr>
        <w:t>Bowler,</w:t>
      </w:r>
      <w:r>
        <w:rPr>
          <w:spacing w:val="-3"/>
          <w:sz w:val="24"/>
        </w:rPr>
        <w:t xml:space="preserve"> </w:t>
      </w:r>
      <w:r>
        <w:rPr>
          <w:sz w:val="24"/>
        </w:rPr>
        <w:t>D.</w:t>
      </w:r>
      <w:r>
        <w:rPr>
          <w:spacing w:val="-2"/>
          <w:sz w:val="24"/>
        </w:rPr>
        <w:t xml:space="preserve"> </w:t>
      </w:r>
      <w:r>
        <w:rPr>
          <w:sz w:val="24"/>
        </w:rPr>
        <w:t>M.,</w:t>
      </w:r>
      <w:r>
        <w:rPr>
          <w:spacing w:val="-2"/>
          <w:sz w:val="24"/>
        </w:rPr>
        <w:t xml:space="preserve"> </w:t>
      </w:r>
      <w:proofErr w:type="spellStart"/>
      <w:r>
        <w:rPr>
          <w:sz w:val="24"/>
        </w:rPr>
        <w:t>Gaigg</w:t>
      </w:r>
      <w:proofErr w:type="spellEnd"/>
      <w:r>
        <w:rPr>
          <w:sz w:val="24"/>
        </w:rPr>
        <w:t>,</w:t>
      </w:r>
      <w:r>
        <w:rPr>
          <w:spacing w:val="-3"/>
          <w:sz w:val="24"/>
        </w:rPr>
        <w:t xml:space="preserve"> </w:t>
      </w:r>
      <w:r>
        <w:rPr>
          <w:sz w:val="24"/>
        </w:rPr>
        <w:t>S.</w:t>
      </w:r>
      <w:r>
        <w:rPr>
          <w:spacing w:val="-2"/>
          <w:sz w:val="24"/>
        </w:rPr>
        <w:t xml:space="preserve"> </w:t>
      </w:r>
      <w:r>
        <w:rPr>
          <w:sz w:val="24"/>
        </w:rPr>
        <w:t>B.,</w:t>
      </w:r>
      <w:r>
        <w:rPr>
          <w:spacing w:val="-2"/>
          <w:sz w:val="24"/>
        </w:rPr>
        <w:t xml:space="preserve"> </w:t>
      </w:r>
      <w:r>
        <w:rPr>
          <w:sz w:val="24"/>
        </w:rPr>
        <w:t>&amp;</w:t>
      </w:r>
      <w:r>
        <w:rPr>
          <w:spacing w:val="-5"/>
          <w:sz w:val="24"/>
        </w:rPr>
        <w:t xml:space="preserve"> </w:t>
      </w:r>
      <w:r>
        <w:rPr>
          <w:sz w:val="24"/>
        </w:rPr>
        <w:t>Lind,</w:t>
      </w:r>
      <w:r>
        <w:rPr>
          <w:spacing w:val="-7"/>
          <w:sz w:val="24"/>
        </w:rPr>
        <w:t xml:space="preserve"> </w:t>
      </w:r>
      <w:r>
        <w:rPr>
          <w:sz w:val="24"/>
        </w:rPr>
        <w:t>S.</w:t>
      </w:r>
      <w:r>
        <w:rPr>
          <w:spacing w:val="-7"/>
          <w:sz w:val="24"/>
        </w:rPr>
        <w:t xml:space="preserve"> </w:t>
      </w:r>
      <w:r>
        <w:rPr>
          <w:sz w:val="24"/>
        </w:rPr>
        <w:t>E.</w:t>
      </w:r>
      <w:r>
        <w:rPr>
          <w:spacing w:val="-7"/>
          <w:sz w:val="24"/>
        </w:rPr>
        <w:t xml:space="preserve"> </w:t>
      </w:r>
      <w:r>
        <w:rPr>
          <w:sz w:val="24"/>
        </w:rPr>
        <w:t>(2011).</w:t>
      </w:r>
      <w:r>
        <w:rPr>
          <w:spacing w:val="-7"/>
          <w:sz w:val="24"/>
        </w:rPr>
        <w:t xml:space="preserve"> </w:t>
      </w:r>
      <w:r>
        <w:rPr>
          <w:sz w:val="24"/>
        </w:rPr>
        <w:t>Memory</w:t>
      </w:r>
      <w:r>
        <w:rPr>
          <w:spacing w:val="-5"/>
          <w:sz w:val="24"/>
        </w:rPr>
        <w:t xml:space="preserve"> </w:t>
      </w:r>
      <w:r>
        <w:rPr>
          <w:sz w:val="24"/>
        </w:rPr>
        <w:t>in</w:t>
      </w:r>
      <w:r>
        <w:rPr>
          <w:spacing w:val="-6"/>
          <w:sz w:val="24"/>
        </w:rPr>
        <w:t xml:space="preserve"> </w:t>
      </w:r>
      <w:r>
        <w:rPr>
          <w:sz w:val="24"/>
        </w:rPr>
        <w:t>autism:</w:t>
      </w:r>
      <w:r>
        <w:rPr>
          <w:spacing w:val="-4"/>
          <w:sz w:val="24"/>
        </w:rPr>
        <w:t xml:space="preserve"> </w:t>
      </w:r>
      <w:r>
        <w:rPr>
          <w:sz w:val="24"/>
        </w:rPr>
        <w:t>Binding,</w:t>
      </w:r>
      <w:r>
        <w:rPr>
          <w:spacing w:val="-2"/>
          <w:sz w:val="24"/>
        </w:rPr>
        <w:t xml:space="preserve"> </w:t>
      </w:r>
      <w:r>
        <w:rPr>
          <w:sz w:val="24"/>
        </w:rPr>
        <w:t>self</w:t>
      </w:r>
      <w:r>
        <w:rPr>
          <w:spacing w:val="-3"/>
          <w:sz w:val="24"/>
        </w:rPr>
        <w:t xml:space="preserve"> </w:t>
      </w:r>
      <w:r>
        <w:rPr>
          <w:sz w:val="24"/>
        </w:rPr>
        <w:t>and</w:t>
      </w:r>
      <w:r>
        <w:rPr>
          <w:spacing w:val="-6"/>
          <w:sz w:val="24"/>
        </w:rPr>
        <w:t xml:space="preserve"> </w:t>
      </w:r>
      <w:r>
        <w:rPr>
          <w:sz w:val="24"/>
        </w:rPr>
        <w:t xml:space="preserve">brain. In I. Roth &amp; P. Rezaie (Eds.), </w:t>
      </w:r>
      <w:r>
        <w:rPr>
          <w:i/>
          <w:sz w:val="24"/>
        </w:rPr>
        <w:t xml:space="preserve">Researching the autism spectrum: contemporary perspectives </w:t>
      </w:r>
      <w:r>
        <w:rPr>
          <w:sz w:val="24"/>
        </w:rPr>
        <w:t>(pp. 316-346). Cambridge: Cambridge University</w:t>
      </w:r>
      <w:r>
        <w:rPr>
          <w:spacing w:val="3"/>
          <w:sz w:val="24"/>
        </w:rPr>
        <w:t xml:space="preserve"> </w:t>
      </w:r>
      <w:r>
        <w:rPr>
          <w:sz w:val="24"/>
        </w:rPr>
        <w:t>Press.</w:t>
      </w:r>
    </w:p>
    <w:p w14:paraId="15C9CFB4" w14:textId="77777777" w:rsidR="00C75312" w:rsidRDefault="00BB293A">
      <w:pPr>
        <w:spacing w:line="480" w:lineRule="auto"/>
        <w:ind w:left="860" w:right="238" w:hanging="720"/>
        <w:jc w:val="both"/>
        <w:rPr>
          <w:sz w:val="24"/>
        </w:rPr>
      </w:pPr>
      <w:r>
        <w:rPr>
          <w:sz w:val="24"/>
        </w:rPr>
        <w:t xml:space="preserve">Bowler, D. M., Gardiner, J. M., &amp; </w:t>
      </w:r>
      <w:proofErr w:type="spellStart"/>
      <w:r>
        <w:rPr>
          <w:sz w:val="24"/>
        </w:rPr>
        <w:t>Berthollier</w:t>
      </w:r>
      <w:proofErr w:type="spellEnd"/>
      <w:r>
        <w:rPr>
          <w:sz w:val="24"/>
        </w:rPr>
        <w:t xml:space="preserve">, N. (2004). Source memory in adolescents and adults with Asperger's syndrome. </w:t>
      </w:r>
      <w:r>
        <w:rPr>
          <w:i/>
          <w:sz w:val="24"/>
        </w:rPr>
        <w:t>Journal of Autism and Developmental Disorders, 34</w:t>
      </w:r>
      <w:r>
        <w:rPr>
          <w:sz w:val="24"/>
        </w:rPr>
        <w:t>(5), 533-542. doi:10.1007/s10803-004-2548-7</w:t>
      </w:r>
    </w:p>
    <w:p w14:paraId="7A31E0D6" w14:textId="77777777" w:rsidR="00C75312" w:rsidRDefault="00BB293A">
      <w:pPr>
        <w:spacing w:line="480" w:lineRule="auto"/>
        <w:ind w:left="860" w:right="234" w:hanging="720"/>
        <w:jc w:val="both"/>
        <w:rPr>
          <w:sz w:val="24"/>
        </w:rPr>
      </w:pPr>
      <w:r>
        <w:rPr>
          <w:sz w:val="24"/>
        </w:rPr>
        <w:t xml:space="preserve">Bowler, D. M., Gardiner, J. M., &amp; Grice, S. J. (2000). Episodic memory and remembering in adults with Asperger syndrome. </w:t>
      </w:r>
      <w:r>
        <w:rPr>
          <w:i/>
          <w:sz w:val="24"/>
        </w:rPr>
        <w:t>Journal of Autism and Developmental Disorders, 30</w:t>
      </w:r>
      <w:r>
        <w:rPr>
          <w:sz w:val="24"/>
        </w:rPr>
        <w:t>(4), 295-304.</w:t>
      </w:r>
    </w:p>
    <w:p w14:paraId="668B77A3" w14:textId="77777777" w:rsidR="00C75312" w:rsidRPr="002C3022" w:rsidRDefault="00BB293A">
      <w:pPr>
        <w:pStyle w:val="BodyText"/>
        <w:spacing w:line="480" w:lineRule="auto"/>
        <w:ind w:left="860" w:right="236" w:hanging="720"/>
        <w:jc w:val="both"/>
        <w:rPr>
          <w:lang w:val="it-IT"/>
        </w:rPr>
      </w:pPr>
      <w:r>
        <w:t xml:space="preserve">Brainard, D. H. (1997). The Psychophysics Toolbox. </w:t>
      </w:r>
      <w:r w:rsidRPr="002C3022">
        <w:rPr>
          <w:i/>
          <w:lang w:val="it-IT"/>
        </w:rPr>
        <w:t>Spatial Vision, 10</w:t>
      </w:r>
      <w:r w:rsidRPr="002C3022">
        <w:rPr>
          <w:lang w:val="it-IT"/>
        </w:rPr>
        <w:t>(4), 433-436. doi:10.1163/156856897x00357</w:t>
      </w:r>
    </w:p>
    <w:p w14:paraId="0F7998D6" w14:textId="77777777" w:rsidR="00C75312" w:rsidRPr="002C3022" w:rsidRDefault="00C75312">
      <w:pPr>
        <w:spacing w:line="480" w:lineRule="auto"/>
        <w:jc w:val="both"/>
        <w:rPr>
          <w:lang w:val="it-IT"/>
        </w:rPr>
        <w:sectPr w:rsidR="00C75312" w:rsidRPr="002C3022">
          <w:pgSz w:w="11900" w:h="16840"/>
          <w:pgMar w:top="1160" w:right="1200" w:bottom="280" w:left="1300" w:header="720" w:footer="0" w:gutter="0"/>
          <w:cols w:space="720"/>
        </w:sectPr>
      </w:pPr>
    </w:p>
    <w:p w14:paraId="46E8FD71" w14:textId="77777777" w:rsidR="00C75312" w:rsidRPr="002C3022" w:rsidRDefault="00C75312">
      <w:pPr>
        <w:pStyle w:val="BodyText"/>
        <w:spacing w:before="9"/>
        <w:rPr>
          <w:sz w:val="15"/>
          <w:lang w:val="it-IT"/>
        </w:rPr>
      </w:pPr>
    </w:p>
    <w:p w14:paraId="734FBEA0" w14:textId="77777777" w:rsidR="00C75312" w:rsidRDefault="00BB293A">
      <w:pPr>
        <w:pStyle w:val="BodyText"/>
        <w:spacing w:before="90" w:line="480" w:lineRule="auto"/>
        <w:ind w:left="860" w:right="234" w:hanging="720"/>
        <w:jc w:val="both"/>
      </w:pPr>
      <w:r w:rsidRPr="002C3022">
        <w:rPr>
          <w:lang w:val="it-IT"/>
        </w:rPr>
        <w:t xml:space="preserve">Brandimonte, M. A., Filippello, P., Coluccia, E., Altgassen, M., &amp; Kliegel, M. (2011). </w:t>
      </w:r>
      <w:r>
        <w:t xml:space="preserve">To do or not to do? Prospective memory versus response inhibition in autism spectrum disorder and attention-deficit/hyperactivity disorder. </w:t>
      </w:r>
      <w:r>
        <w:rPr>
          <w:i/>
        </w:rPr>
        <w:t>Memory, 19</w:t>
      </w:r>
      <w:r>
        <w:t>(1), 56-66. doi:10.1080/09658211.2010.535657.</w:t>
      </w:r>
    </w:p>
    <w:p w14:paraId="5550F383" w14:textId="77777777" w:rsidR="00C75312" w:rsidRDefault="00BB293A">
      <w:pPr>
        <w:pStyle w:val="BodyText"/>
        <w:spacing w:line="480" w:lineRule="auto"/>
        <w:ind w:left="860" w:right="235" w:hanging="720"/>
        <w:jc w:val="both"/>
      </w:pPr>
      <w:r>
        <w:t>Brewer,</w:t>
      </w:r>
      <w:r>
        <w:rPr>
          <w:spacing w:val="-8"/>
        </w:rPr>
        <w:t xml:space="preserve"> </w:t>
      </w:r>
      <w:r>
        <w:t>G.</w:t>
      </w:r>
      <w:r>
        <w:rPr>
          <w:spacing w:val="-12"/>
        </w:rPr>
        <w:t xml:space="preserve"> </w:t>
      </w:r>
      <w:r>
        <w:t>A.,</w:t>
      </w:r>
      <w:r>
        <w:rPr>
          <w:spacing w:val="-8"/>
        </w:rPr>
        <w:t xml:space="preserve"> </w:t>
      </w:r>
      <w:r>
        <w:t>Knight,</w:t>
      </w:r>
      <w:r>
        <w:rPr>
          <w:spacing w:val="-12"/>
        </w:rPr>
        <w:t xml:space="preserve"> </w:t>
      </w:r>
      <w:r>
        <w:t>J.,</w:t>
      </w:r>
      <w:r>
        <w:rPr>
          <w:spacing w:val="-12"/>
        </w:rPr>
        <w:t xml:space="preserve"> </w:t>
      </w:r>
      <w:r>
        <w:t>Meeks,</w:t>
      </w:r>
      <w:r>
        <w:rPr>
          <w:spacing w:val="-7"/>
        </w:rPr>
        <w:t xml:space="preserve"> </w:t>
      </w:r>
      <w:r>
        <w:t>J.</w:t>
      </w:r>
      <w:r>
        <w:rPr>
          <w:spacing w:val="-13"/>
        </w:rPr>
        <w:t xml:space="preserve"> </w:t>
      </w:r>
      <w:r>
        <w:t>T.,</w:t>
      </w:r>
      <w:r>
        <w:rPr>
          <w:spacing w:val="-12"/>
        </w:rPr>
        <w:t xml:space="preserve"> </w:t>
      </w:r>
      <w:r>
        <w:t>&amp;</w:t>
      </w:r>
      <w:r>
        <w:rPr>
          <w:spacing w:val="-9"/>
        </w:rPr>
        <w:t xml:space="preserve"> </w:t>
      </w:r>
      <w:r>
        <w:t>Marsh,</w:t>
      </w:r>
      <w:r>
        <w:rPr>
          <w:spacing w:val="-8"/>
        </w:rPr>
        <w:t xml:space="preserve"> </w:t>
      </w:r>
      <w:r>
        <w:rPr>
          <w:spacing w:val="-4"/>
        </w:rPr>
        <w:t>R.</w:t>
      </w:r>
      <w:r>
        <w:rPr>
          <w:spacing w:val="-7"/>
        </w:rPr>
        <w:t xml:space="preserve"> </w:t>
      </w:r>
      <w:r>
        <w:t>L.</w:t>
      </w:r>
      <w:r>
        <w:rPr>
          <w:spacing w:val="-12"/>
        </w:rPr>
        <w:t xml:space="preserve"> </w:t>
      </w:r>
      <w:r>
        <w:t>(2011).</w:t>
      </w:r>
      <w:r>
        <w:rPr>
          <w:spacing w:val="-8"/>
        </w:rPr>
        <w:t xml:space="preserve"> </w:t>
      </w:r>
      <w:r>
        <w:t>On</w:t>
      </w:r>
      <w:r>
        <w:rPr>
          <w:spacing w:val="-14"/>
        </w:rPr>
        <w:t xml:space="preserve"> </w:t>
      </w:r>
      <w:r>
        <w:t>the</w:t>
      </w:r>
      <w:r>
        <w:rPr>
          <w:spacing w:val="-15"/>
        </w:rPr>
        <w:t xml:space="preserve"> </w:t>
      </w:r>
      <w:r>
        <w:t>role</w:t>
      </w:r>
      <w:r>
        <w:rPr>
          <w:spacing w:val="-11"/>
        </w:rPr>
        <w:t xml:space="preserve"> </w:t>
      </w:r>
      <w:r>
        <w:rPr>
          <w:spacing w:val="-3"/>
        </w:rPr>
        <w:t>of</w:t>
      </w:r>
      <w:r>
        <w:rPr>
          <w:spacing w:val="-9"/>
        </w:rPr>
        <w:t xml:space="preserve"> </w:t>
      </w:r>
      <w:r>
        <w:t>imagery</w:t>
      </w:r>
      <w:r>
        <w:rPr>
          <w:spacing w:val="-10"/>
        </w:rPr>
        <w:t xml:space="preserve"> </w:t>
      </w:r>
      <w:r>
        <w:t>in</w:t>
      </w:r>
      <w:r>
        <w:rPr>
          <w:spacing w:val="-14"/>
        </w:rPr>
        <w:t xml:space="preserve"> </w:t>
      </w:r>
      <w:r>
        <w:t xml:space="preserve">event- based prospective memory. </w:t>
      </w:r>
      <w:r>
        <w:rPr>
          <w:i/>
        </w:rPr>
        <w:t>Consciousness and Cognition, 20</w:t>
      </w:r>
      <w:r>
        <w:t>(3), 901-907. doi:10.1016/j.concog.2011.02.015</w:t>
      </w:r>
    </w:p>
    <w:p w14:paraId="1D9ADE4E" w14:textId="77777777" w:rsidR="00C75312" w:rsidRDefault="00BB293A">
      <w:pPr>
        <w:pStyle w:val="BodyText"/>
        <w:spacing w:line="480" w:lineRule="auto"/>
        <w:ind w:left="860" w:right="234" w:hanging="720"/>
        <w:jc w:val="both"/>
      </w:pPr>
      <w:r>
        <w:t xml:space="preserve">Brewer, G. A., &amp; Marsh, R. L. (2010). On the role of episodic future simulation in encoding of prospective memories. </w:t>
      </w:r>
      <w:r>
        <w:rPr>
          <w:i/>
        </w:rPr>
        <w:t>Cognitive Neuroscience, 1</w:t>
      </w:r>
      <w:r>
        <w:t>(2), 81-88. doi:10.1080/17588920903373960</w:t>
      </w:r>
    </w:p>
    <w:p w14:paraId="594F1786" w14:textId="77777777" w:rsidR="00C75312" w:rsidRDefault="00BB293A">
      <w:pPr>
        <w:pStyle w:val="BodyText"/>
        <w:spacing w:line="480" w:lineRule="auto"/>
        <w:ind w:left="860" w:right="239" w:hanging="720"/>
        <w:jc w:val="both"/>
      </w:pPr>
      <w:r>
        <w:t>Brewer,</w:t>
      </w:r>
      <w:r>
        <w:rPr>
          <w:spacing w:val="-8"/>
        </w:rPr>
        <w:t xml:space="preserve"> </w:t>
      </w:r>
      <w:r>
        <w:t>R.,</w:t>
      </w:r>
      <w:r>
        <w:rPr>
          <w:spacing w:val="-8"/>
        </w:rPr>
        <w:t xml:space="preserve"> </w:t>
      </w:r>
      <w:r>
        <w:t>Cook,</w:t>
      </w:r>
      <w:r>
        <w:rPr>
          <w:spacing w:val="-7"/>
        </w:rPr>
        <w:t xml:space="preserve"> </w:t>
      </w:r>
      <w:r>
        <w:t>R.,</w:t>
      </w:r>
      <w:r>
        <w:rPr>
          <w:spacing w:val="-13"/>
        </w:rPr>
        <w:t xml:space="preserve"> </w:t>
      </w:r>
      <w:r>
        <w:t>&amp;</w:t>
      </w:r>
      <w:r>
        <w:rPr>
          <w:spacing w:val="-9"/>
        </w:rPr>
        <w:t xml:space="preserve"> </w:t>
      </w:r>
      <w:r>
        <w:t>Bird,</w:t>
      </w:r>
      <w:r>
        <w:rPr>
          <w:spacing w:val="-13"/>
        </w:rPr>
        <w:t xml:space="preserve"> </w:t>
      </w:r>
      <w:r>
        <w:t>G.</w:t>
      </w:r>
      <w:r>
        <w:rPr>
          <w:spacing w:val="-7"/>
        </w:rPr>
        <w:t xml:space="preserve"> </w:t>
      </w:r>
      <w:r>
        <w:t>(2016).</w:t>
      </w:r>
      <w:r>
        <w:rPr>
          <w:spacing w:val="-8"/>
        </w:rPr>
        <w:t xml:space="preserve"> </w:t>
      </w:r>
      <w:r>
        <w:t>Alexithymia:</w:t>
      </w:r>
      <w:r>
        <w:rPr>
          <w:spacing w:val="-10"/>
        </w:rPr>
        <w:t xml:space="preserve"> </w:t>
      </w:r>
      <w:r>
        <w:t>a</w:t>
      </w:r>
      <w:r>
        <w:rPr>
          <w:spacing w:val="-11"/>
        </w:rPr>
        <w:t xml:space="preserve"> </w:t>
      </w:r>
      <w:r>
        <w:t>general</w:t>
      </w:r>
      <w:r>
        <w:rPr>
          <w:spacing w:val="-10"/>
        </w:rPr>
        <w:t xml:space="preserve"> </w:t>
      </w:r>
      <w:r>
        <w:t>deficit</w:t>
      </w:r>
      <w:r>
        <w:rPr>
          <w:spacing w:val="-9"/>
        </w:rPr>
        <w:t xml:space="preserve"> </w:t>
      </w:r>
      <w:r>
        <w:t>of</w:t>
      </w:r>
      <w:r>
        <w:rPr>
          <w:spacing w:val="-9"/>
        </w:rPr>
        <w:t xml:space="preserve"> </w:t>
      </w:r>
      <w:r>
        <w:t>interoception.</w:t>
      </w:r>
      <w:r>
        <w:rPr>
          <w:spacing w:val="-12"/>
        </w:rPr>
        <w:t xml:space="preserve"> </w:t>
      </w:r>
      <w:r>
        <w:rPr>
          <w:i/>
        </w:rPr>
        <w:t>Royal Society Open Science, 3</w:t>
      </w:r>
      <w:r>
        <w:t>(10), 150664-150664.</w:t>
      </w:r>
      <w:r>
        <w:rPr>
          <w:spacing w:val="7"/>
        </w:rPr>
        <w:t xml:space="preserve"> </w:t>
      </w:r>
      <w:r>
        <w:t>doi:10.1098/rsos.150664</w:t>
      </w:r>
    </w:p>
    <w:p w14:paraId="4A464A91" w14:textId="77777777" w:rsidR="00C75312" w:rsidRDefault="00BB293A">
      <w:pPr>
        <w:spacing w:before="1" w:line="480" w:lineRule="auto"/>
        <w:ind w:left="860" w:right="238" w:hanging="720"/>
        <w:jc w:val="both"/>
        <w:rPr>
          <w:sz w:val="24"/>
        </w:rPr>
      </w:pPr>
      <w:proofErr w:type="spellStart"/>
      <w:r>
        <w:rPr>
          <w:sz w:val="24"/>
        </w:rPr>
        <w:t>Brockmole</w:t>
      </w:r>
      <w:proofErr w:type="spellEnd"/>
      <w:r>
        <w:rPr>
          <w:sz w:val="24"/>
        </w:rPr>
        <w:t xml:space="preserve">, J. R., Wang, R. F., &amp; Irwin, D. E. (2002). Temporal integration between visual images and visual percepts. </w:t>
      </w:r>
      <w:r>
        <w:rPr>
          <w:i/>
          <w:sz w:val="24"/>
        </w:rPr>
        <w:t>Journal of Experimental Psychology-Human Perception and Performance, 28</w:t>
      </w:r>
      <w:r>
        <w:rPr>
          <w:sz w:val="24"/>
        </w:rPr>
        <w:t>(2), 315-334. doi:10.1037/0096-1523.28.2.315</w:t>
      </w:r>
    </w:p>
    <w:p w14:paraId="05A7832E" w14:textId="77777777" w:rsidR="00C75312" w:rsidRPr="002C3022" w:rsidRDefault="00BB293A">
      <w:pPr>
        <w:pStyle w:val="BodyText"/>
        <w:spacing w:line="480" w:lineRule="auto"/>
        <w:ind w:left="860" w:right="234" w:hanging="720"/>
        <w:jc w:val="both"/>
        <w:rPr>
          <w:lang w:val="fr-FR"/>
        </w:rPr>
      </w:pPr>
      <w:r>
        <w:t>Brown, S. W. (1997). Attentional resources in timing: Interference effects in concurrent temporal</w:t>
      </w:r>
      <w:r>
        <w:rPr>
          <w:spacing w:val="-10"/>
        </w:rPr>
        <w:t xml:space="preserve"> </w:t>
      </w:r>
      <w:r>
        <w:t>and</w:t>
      </w:r>
      <w:r>
        <w:rPr>
          <w:spacing w:val="-10"/>
        </w:rPr>
        <w:t xml:space="preserve"> </w:t>
      </w:r>
      <w:r>
        <w:t>nontemporal</w:t>
      </w:r>
      <w:r>
        <w:rPr>
          <w:spacing w:val="-10"/>
        </w:rPr>
        <w:t xml:space="preserve"> </w:t>
      </w:r>
      <w:r>
        <w:t>working</w:t>
      </w:r>
      <w:r>
        <w:rPr>
          <w:spacing w:val="-14"/>
        </w:rPr>
        <w:t xml:space="preserve"> </w:t>
      </w:r>
      <w:r>
        <w:t>memory</w:t>
      </w:r>
      <w:r>
        <w:rPr>
          <w:spacing w:val="-10"/>
        </w:rPr>
        <w:t xml:space="preserve"> </w:t>
      </w:r>
      <w:r>
        <w:t>tasks.</w:t>
      </w:r>
      <w:r>
        <w:rPr>
          <w:spacing w:val="-13"/>
        </w:rPr>
        <w:t xml:space="preserve"> </w:t>
      </w:r>
      <w:r w:rsidRPr="002C3022">
        <w:rPr>
          <w:i/>
          <w:lang w:val="fr-FR"/>
        </w:rPr>
        <w:t>Perception</w:t>
      </w:r>
      <w:r w:rsidRPr="002C3022">
        <w:rPr>
          <w:i/>
          <w:spacing w:val="-10"/>
          <w:lang w:val="fr-FR"/>
        </w:rPr>
        <w:t xml:space="preserve"> </w:t>
      </w:r>
      <w:r w:rsidRPr="002C3022">
        <w:rPr>
          <w:i/>
          <w:lang w:val="fr-FR"/>
        </w:rPr>
        <w:t>&amp;</w:t>
      </w:r>
      <w:r w:rsidRPr="002C3022">
        <w:rPr>
          <w:i/>
          <w:spacing w:val="-10"/>
          <w:lang w:val="fr-FR"/>
        </w:rPr>
        <w:t xml:space="preserve"> </w:t>
      </w:r>
      <w:r w:rsidRPr="002C3022">
        <w:rPr>
          <w:i/>
          <w:lang w:val="fr-FR"/>
        </w:rPr>
        <w:t>Psychophysics,</w:t>
      </w:r>
      <w:r w:rsidRPr="002C3022">
        <w:rPr>
          <w:i/>
          <w:spacing w:val="-7"/>
          <w:lang w:val="fr-FR"/>
        </w:rPr>
        <w:t xml:space="preserve"> </w:t>
      </w:r>
      <w:r w:rsidRPr="002C3022">
        <w:rPr>
          <w:i/>
          <w:lang w:val="fr-FR"/>
        </w:rPr>
        <w:t>59</w:t>
      </w:r>
      <w:r w:rsidRPr="002C3022">
        <w:rPr>
          <w:lang w:val="fr-FR"/>
        </w:rPr>
        <w:t>(7), 1118-1140.</w:t>
      </w:r>
      <w:r w:rsidRPr="002C3022">
        <w:rPr>
          <w:spacing w:val="3"/>
          <w:lang w:val="fr-FR"/>
        </w:rPr>
        <w:t xml:space="preserve"> </w:t>
      </w:r>
      <w:r w:rsidRPr="002C3022">
        <w:rPr>
          <w:lang w:val="fr-FR"/>
        </w:rPr>
        <w:t>doi:10.3758/BF03205526</w:t>
      </w:r>
    </w:p>
    <w:p w14:paraId="066041C6" w14:textId="77777777" w:rsidR="00C75312" w:rsidRDefault="00BB293A">
      <w:pPr>
        <w:pStyle w:val="BodyText"/>
        <w:spacing w:line="480" w:lineRule="auto"/>
        <w:ind w:left="860" w:right="234" w:hanging="720"/>
        <w:jc w:val="both"/>
      </w:pPr>
      <w:r w:rsidRPr="002C3022">
        <w:rPr>
          <w:lang w:val="fr-FR"/>
        </w:rPr>
        <w:t xml:space="preserve">Brugha, T. S., McManus, S., Bankart, J., &amp; et al. </w:t>
      </w:r>
      <w:r>
        <w:t>(2011). Epidemiology of autism spectrum disorders</w:t>
      </w:r>
      <w:r>
        <w:rPr>
          <w:spacing w:val="-13"/>
        </w:rPr>
        <w:t xml:space="preserve"> </w:t>
      </w:r>
      <w:r>
        <w:t>in</w:t>
      </w:r>
      <w:r>
        <w:rPr>
          <w:spacing w:val="-11"/>
        </w:rPr>
        <w:t xml:space="preserve"> </w:t>
      </w:r>
      <w:r>
        <w:t>adults</w:t>
      </w:r>
      <w:r>
        <w:rPr>
          <w:spacing w:val="-13"/>
        </w:rPr>
        <w:t xml:space="preserve"> </w:t>
      </w:r>
      <w:r>
        <w:t>in</w:t>
      </w:r>
      <w:r>
        <w:rPr>
          <w:spacing w:val="-14"/>
        </w:rPr>
        <w:t xml:space="preserve"> </w:t>
      </w:r>
      <w:r>
        <w:t>the</w:t>
      </w:r>
      <w:r>
        <w:rPr>
          <w:spacing w:val="-12"/>
        </w:rPr>
        <w:t xml:space="preserve"> </w:t>
      </w:r>
      <w:r>
        <w:t>community</w:t>
      </w:r>
      <w:r>
        <w:rPr>
          <w:spacing w:val="-11"/>
        </w:rPr>
        <w:t xml:space="preserve"> </w:t>
      </w:r>
      <w:r>
        <w:t>in</w:t>
      </w:r>
      <w:r>
        <w:rPr>
          <w:spacing w:val="-15"/>
        </w:rPr>
        <w:t xml:space="preserve"> </w:t>
      </w:r>
      <w:proofErr w:type="spellStart"/>
      <w:r>
        <w:t>england</w:t>
      </w:r>
      <w:proofErr w:type="spellEnd"/>
      <w:r>
        <w:t>.</w:t>
      </w:r>
      <w:r>
        <w:rPr>
          <w:spacing w:val="-12"/>
        </w:rPr>
        <w:t xml:space="preserve"> </w:t>
      </w:r>
      <w:r>
        <w:rPr>
          <w:i/>
        </w:rPr>
        <w:t>Archives</w:t>
      </w:r>
      <w:r>
        <w:rPr>
          <w:i/>
          <w:spacing w:val="-13"/>
        </w:rPr>
        <w:t xml:space="preserve"> </w:t>
      </w:r>
      <w:r>
        <w:rPr>
          <w:i/>
        </w:rPr>
        <w:t>of</w:t>
      </w:r>
      <w:r>
        <w:rPr>
          <w:i/>
          <w:spacing w:val="-10"/>
        </w:rPr>
        <w:t xml:space="preserve"> </w:t>
      </w:r>
      <w:r>
        <w:rPr>
          <w:i/>
        </w:rPr>
        <w:t>General</w:t>
      </w:r>
      <w:r>
        <w:rPr>
          <w:i/>
          <w:spacing w:val="-10"/>
        </w:rPr>
        <w:t xml:space="preserve"> </w:t>
      </w:r>
      <w:r>
        <w:rPr>
          <w:i/>
        </w:rPr>
        <w:t>Psychiatry,</w:t>
      </w:r>
      <w:r>
        <w:rPr>
          <w:i/>
          <w:spacing w:val="-8"/>
        </w:rPr>
        <w:t xml:space="preserve"> </w:t>
      </w:r>
      <w:r>
        <w:rPr>
          <w:i/>
        </w:rPr>
        <w:t>68</w:t>
      </w:r>
      <w:r>
        <w:t>(5), 459-465.</w:t>
      </w:r>
      <w:r>
        <w:rPr>
          <w:spacing w:val="3"/>
        </w:rPr>
        <w:t xml:space="preserve"> </w:t>
      </w:r>
      <w:r>
        <w:t>doi:10.1001/archgenpsychiatry.2011.38</w:t>
      </w:r>
    </w:p>
    <w:p w14:paraId="35C7F60A" w14:textId="77777777" w:rsidR="00C75312" w:rsidRDefault="00BB293A">
      <w:pPr>
        <w:spacing w:line="480" w:lineRule="auto"/>
        <w:ind w:left="860" w:right="233" w:hanging="720"/>
        <w:jc w:val="both"/>
        <w:rPr>
          <w:sz w:val="24"/>
        </w:rPr>
      </w:pPr>
      <w:r>
        <w:rPr>
          <w:sz w:val="24"/>
        </w:rPr>
        <w:t xml:space="preserve">Buckner, R. L., &amp; Carroll, D. C. (2007). Self-projection and the brain. </w:t>
      </w:r>
      <w:r>
        <w:rPr>
          <w:i/>
          <w:sz w:val="24"/>
        </w:rPr>
        <w:t>Trends in Cognitive Sciences, 11</w:t>
      </w:r>
      <w:r>
        <w:rPr>
          <w:sz w:val="24"/>
        </w:rPr>
        <w:t>(2), 49-57. doi:10.1016/j.tics.2006.11.004</w:t>
      </w:r>
    </w:p>
    <w:p w14:paraId="53369E72"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716959D2" w14:textId="77777777" w:rsidR="00C75312" w:rsidRDefault="00C75312">
      <w:pPr>
        <w:pStyle w:val="BodyText"/>
        <w:spacing w:before="9"/>
        <w:rPr>
          <w:sz w:val="15"/>
        </w:rPr>
      </w:pPr>
    </w:p>
    <w:p w14:paraId="71A7C865" w14:textId="77777777" w:rsidR="00C75312" w:rsidRDefault="00BB293A">
      <w:pPr>
        <w:pStyle w:val="BodyText"/>
        <w:spacing w:before="90" w:line="480" w:lineRule="auto"/>
        <w:ind w:left="860" w:right="234" w:hanging="720"/>
        <w:jc w:val="both"/>
      </w:pPr>
      <w:r>
        <w:t xml:space="preserve">Burgess, P. W., </w:t>
      </w:r>
      <w:proofErr w:type="spellStart"/>
      <w:r>
        <w:t>Dumontheil</w:t>
      </w:r>
      <w:proofErr w:type="spellEnd"/>
      <w:r>
        <w:t xml:space="preserve">, I., &amp; Gilbert, S. J. (2007). The gateway hypothesis of rostral prefrontal cortex (area 10) function. </w:t>
      </w:r>
      <w:r>
        <w:rPr>
          <w:i/>
        </w:rPr>
        <w:t>Trends in Cognitive Sciences, 11</w:t>
      </w:r>
      <w:r>
        <w:t>(7), 290-298. doi:10.1016/j.tics.2007.05.004</w:t>
      </w:r>
    </w:p>
    <w:p w14:paraId="4CBFB550" w14:textId="77777777" w:rsidR="00C75312" w:rsidRDefault="00BB293A">
      <w:pPr>
        <w:pStyle w:val="BodyText"/>
        <w:spacing w:line="480" w:lineRule="auto"/>
        <w:ind w:left="860" w:right="235" w:hanging="720"/>
        <w:jc w:val="both"/>
      </w:pPr>
      <w:r>
        <w:t>Burgess, P. W., Gonen-</w:t>
      </w:r>
      <w:proofErr w:type="spellStart"/>
      <w:r>
        <w:t>Yaacovi</w:t>
      </w:r>
      <w:proofErr w:type="spellEnd"/>
      <w:r>
        <w:t xml:space="preserve">, G., &amp; Volle, E. (2011). Functional neuroimaging studies of prospective memory: What have we learnt so far? </w:t>
      </w:r>
      <w:proofErr w:type="spellStart"/>
      <w:r>
        <w:rPr>
          <w:i/>
        </w:rPr>
        <w:t>Neuropsychologia</w:t>
      </w:r>
      <w:proofErr w:type="spellEnd"/>
      <w:r>
        <w:rPr>
          <w:i/>
        </w:rPr>
        <w:t>, 49</w:t>
      </w:r>
      <w:r>
        <w:t>(8), 2246- 2257. doi:10.1016/j.neuropsychologia.2011.02.014</w:t>
      </w:r>
    </w:p>
    <w:p w14:paraId="719BAA2E" w14:textId="77777777" w:rsidR="00C75312" w:rsidRDefault="00BB293A">
      <w:pPr>
        <w:pStyle w:val="BodyText"/>
        <w:spacing w:line="480" w:lineRule="auto"/>
        <w:ind w:left="860" w:right="236" w:hanging="720"/>
        <w:jc w:val="both"/>
      </w:pPr>
      <w:r>
        <w:t xml:space="preserve">Burgess, P. W., Quayle, A., &amp; Frith, C. D. (2001). Brain regions involved in prospective memory as determined by positron emission tomography. </w:t>
      </w:r>
      <w:proofErr w:type="spellStart"/>
      <w:r>
        <w:rPr>
          <w:i/>
        </w:rPr>
        <w:t>Neuropsychologia</w:t>
      </w:r>
      <w:proofErr w:type="spellEnd"/>
      <w:r>
        <w:rPr>
          <w:i/>
        </w:rPr>
        <w:t>, 39</w:t>
      </w:r>
      <w:r>
        <w:t>(6), 545-555. doi:10.1016/S0028-3932(00)00149-4</w:t>
      </w:r>
    </w:p>
    <w:p w14:paraId="7BDCAB08" w14:textId="77777777" w:rsidR="00C75312" w:rsidRDefault="00BB293A">
      <w:pPr>
        <w:pStyle w:val="BodyText"/>
        <w:ind w:left="140"/>
        <w:jc w:val="both"/>
      </w:pPr>
      <w:r>
        <w:t>Burgess, P. W., Scott, S. K., &amp; Frith, C. D. (2003). The role of the rostral frontal cortex (area</w:t>
      </w:r>
    </w:p>
    <w:p w14:paraId="5B9A49B7" w14:textId="77777777" w:rsidR="00C75312" w:rsidRDefault="00C75312">
      <w:pPr>
        <w:pStyle w:val="BodyText"/>
      </w:pPr>
    </w:p>
    <w:p w14:paraId="490ADC67" w14:textId="77777777" w:rsidR="00C75312" w:rsidRDefault="00BB293A">
      <w:pPr>
        <w:pStyle w:val="BodyText"/>
        <w:spacing w:line="480" w:lineRule="auto"/>
        <w:ind w:left="860" w:right="241"/>
        <w:jc w:val="both"/>
      </w:pPr>
      <w:r>
        <w:t xml:space="preserve">10) in prospective memory: A lateral versus medial dissociation. </w:t>
      </w:r>
      <w:proofErr w:type="spellStart"/>
      <w:r>
        <w:rPr>
          <w:i/>
        </w:rPr>
        <w:t>Neuropsychologia</w:t>
      </w:r>
      <w:proofErr w:type="spellEnd"/>
      <w:r>
        <w:rPr>
          <w:i/>
        </w:rPr>
        <w:t>, 41</w:t>
      </w:r>
      <w:r>
        <w:t>(8), 906-918. doi:10.1016/S0028-3932(02)00327-5</w:t>
      </w:r>
    </w:p>
    <w:p w14:paraId="40B63CFA" w14:textId="77777777" w:rsidR="00C75312" w:rsidRDefault="00BB293A">
      <w:pPr>
        <w:pStyle w:val="BodyText"/>
        <w:spacing w:before="1" w:line="480" w:lineRule="auto"/>
        <w:ind w:left="860" w:right="236" w:hanging="720"/>
        <w:jc w:val="both"/>
      </w:pPr>
      <w:r w:rsidRPr="002C3022">
        <w:rPr>
          <w:lang w:val="it-IT"/>
        </w:rPr>
        <w:t xml:space="preserve">Cellini, N., Mioni, G., Levorato, I., Grondin, S., Stablum, F., &amp; Sarlo, M. (2015). </w:t>
      </w:r>
      <w:r>
        <w:t xml:space="preserve">Heart rate variability helps tracking time more accurately. </w:t>
      </w:r>
      <w:r>
        <w:rPr>
          <w:i/>
        </w:rPr>
        <w:t>Brain and Cognition, 101</w:t>
      </w:r>
      <w:r>
        <w:t>, 57-63. doi:10.1016/j.bandc.2015.10.003</w:t>
      </w:r>
    </w:p>
    <w:p w14:paraId="2A4E0954" w14:textId="77777777" w:rsidR="00C75312" w:rsidRDefault="00BB293A">
      <w:pPr>
        <w:spacing w:line="480" w:lineRule="auto"/>
        <w:ind w:left="860" w:right="234" w:hanging="720"/>
        <w:jc w:val="both"/>
        <w:rPr>
          <w:sz w:val="24"/>
        </w:rPr>
      </w:pPr>
      <w:r w:rsidRPr="002C3022">
        <w:rPr>
          <w:sz w:val="24"/>
          <w:lang w:val="nl-NL"/>
        </w:rPr>
        <w:t xml:space="preserve">Chatterjee, S., &amp; Hadi, A. S. (2012). </w:t>
      </w:r>
      <w:r>
        <w:rPr>
          <w:i/>
          <w:sz w:val="24"/>
        </w:rPr>
        <w:t xml:space="preserve">Regression Analysis by Example </w:t>
      </w:r>
      <w:r>
        <w:rPr>
          <w:sz w:val="24"/>
        </w:rPr>
        <w:t>(5th ed.). New York: Wiley.</w:t>
      </w:r>
    </w:p>
    <w:p w14:paraId="0EC8B270" w14:textId="77777777" w:rsidR="00C75312" w:rsidRDefault="00BB293A">
      <w:pPr>
        <w:pStyle w:val="BodyText"/>
        <w:spacing w:line="480" w:lineRule="auto"/>
        <w:ind w:left="860" w:right="236" w:hanging="720"/>
        <w:jc w:val="both"/>
      </w:pPr>
      <w:r>
        <w:t xml:space="preserve">Chen, X.-j., Wang, Y., Liu, L.-l., Cui, J.-f., Gan, M.-y., Shum, D. H. K., &amp; Chan, R. C. K. (2015). The effect of implementation intention on prospective memory: A systematic and meta-analytic review. </w:t>
      </w:r>
      <w:r>
        <w:rPr>
          <w:i/>
        </w:rPr>
        <w:t>Psychiatry Research, 226</w:t>
      </w:r>
      <w:r>
        <w:t>(1), 14-22. doi:10.1016/j.psychres.2015.01.011</w:t>
      </w:r>
    </w:p>
    <w:p w14:paraId="44721AC6" w14:textId="77777777" w:rsidR="00C75312" w:rsidRPr="002C3022" w:rsidRDefault="00BB293A">
      <w:pPr>
        <w:pStyle w:val="BodyText"/>
        <w:tabs>
          <w:tab w:val="left" w:pos="3399"/>
          <w:tab w:val="left" w:pos="6610"/>
          <w:tab w:val="left" w:pos="8304"/>
        </w:tabs>
        <w:spacing w:line="480" w:lineRule="auto"/>
        <w:ind w:left="860" w:right="234" w:hanging="720"/>
        <w:jc w:val="both"/>
        <w:rPr>
          <w:lang w:val="it-IT"/>
        </w:rPr>
      </w:pPr>
      <w:r>
        <w:t xml:space="preserve">Cherkaoui, M., &amp; Gilbert, S. J. (2017). Strategic </w:t>
      </w:r>
      <w:r>
        <w:rPr>
          <w:spacing w:val="-3"/>
        </w:rPr>
        <w:t xml:space="preserve">use </w:t>
      </w:r>
      <w:r>
        <w:t>of reminders in an ‘intention offloading’ task: Do individuals with autism spectrum conditions compensate for memory difficulties?</w:t>
      </w:r>
      <w:r>
        <w:tab/>
      </w:r>
      <w:r w:rsidRPr="002C3022">
        <w:rPr>
          <w:i/>
          <w:lang w:val="it-IT"/>
        </w:rPr>
        <w:t>Neuropsychologia,</w:t>
      </w:r>
      <w:r w:rsidRPr="002C3022">
        <w:rPr>
          <w:i/>
          <w:lang w:val="it-IT"/>
        </w:rPr>
        <w:tab/>
        <w:t>97</w:t>
      </w:r>
      <w:r w:rsidRPr="002C3022">
        <w:rPr>
          <w:lang w:val="it-IT"/>
        </w:rPr>
        <w:t>,</w:t>
      </w:r>
      <w:r w:rsidRPr="002C3022">
        <w:rPr>
          <w:lang w:val="it-IT"/>
        </w:rPr>
        <w:tab/>
      </w:r>
      <w:r w:rsidRPr="002C3022">
        <w:rPr>
          <w:spacing w:val="-3"/>
          <w:lang w:val="it-IT"/>
        </w:rPr>
        <w:t>140-151.</w:t>
      </w:r>
    </w:p>
    <w:p w14:paraId="6879FE96" w14:textId="77777777" w:rsidR="00C75312" w:rsidRPr="002C3022" w:rsidRDefault="00BB293A">
      <w:pPr>
        <w:pStyle w:val="BodyText"/>
        <w:ind w:left="860"/>
        <w:rPr>
          <w:lang w:val="it-IT"/>
        </w:rPr>
      </w:pPr>
      <w:r w:rsidRPr="002C3022">
        <w:rPr>
          <w:lang w:val="it-IT"/>
        </w:rPr>
        <w:t>doi:10.1016/j.neuropsychologia.2017.02.008</w:t>
      </w:r>
    </w:p>
    <w:p w14:paraId="2B28A679" w14:textId="77777777" w:rsidR="00C75312" w:rsidRPr="002C3022" w:rsidRDefault="00C75312">
      <w:pPr>
        <w:rPr>
          <w:lang w:val="it-IT"/>
        </w:rPr>
        <w:sectPr w:rsidR="00C75312" w:rsidRPr="002C3022">
          <w:pgSz w:w="11900" w:h="16840"/>
          <w:pgMar w:top="1160" w:right="1200" w:bottom="280" w:left="1300" w:header="720" w:footer="0" w:gutter="0"/>
          <w:cols w:space="720"/>
        </w:sectPr>
      </w:pPr>
    </w:p>
    <w:p w14:paraId="51872B99" w14:textId="77777777" w:rsidR="00C75312" w:rsidRPr="002C3022" w:rsidRDefault="00C75312">
      <w:pPr>
        <w:pStyle w:val="BodyText"/>
        <w:spacing w:before="9"/>
        <w:rPr>
          <w:sz w:val="15"/>
          <w:lang w:val="it-IT"/>
        </w:rPr>
      </w:pPr>
    </w:p>
    <w:p w14:paraId="49A07CE6" w14:textId="77777777" w:rsidR="00C75312" w:rsidRDefault="00BB293A">
      <w:pPr>
        <w:pStyle w:val="BodyText"/>
        <w:spacing w:before="90" w:line="480" w:lineRule="auto"/>
        <w:ind w:left="860" w:right="234" w:hanging="720"/>
        <w:jc w:val="both"/>
      </w:pPr>
      <w:r w:rsidRPr="002C3022">
        <w:rPr>
          <w:lang w:val="it-IT"/>
        </w:rPr>
        <w:t>Cianchetti,</w:t>
      </w:r>
      <w:r w:rsidRPr="002C3022">
        <w:rPr>
          <w:spacing w:val="-4"/>
          <w:lang w:val="it-IT"/>
        </w:rPr>
        <w:t xml:space="preserve"> </w:t>
      </w:r>
      <w:r w:rsidRPr="002C3022">
        <w:rPr>
          <w:lang w:val="it-IT"/>
        </w:rPr>
        <w:t>C.,</w:t>
      </w:r>
      <w:r w:rsidRPr="002C3022">
        <w:rPr>
          <w:spacing w:val="-4"/>
          <w:lang w:val="it-IT"/>
        </w:rPr>
        <w:t xml:space="preserve"> </w:t>
      </w:r>
      <w:r w:rsidRPr="002C3022">
        <w:rPr>
          <w:lang w:val="it-IT"/>
        </w:rPr>
        <w:t>Corona,</w:t>
      </w:r>
      <w:r w:rsidRPr="002C3022">
        <w:rPr>
          <w:spacing w:val="-8"/>
          <w:lang w:val="it-IT"/>
        </w:rPr>
        <w:t xml:space="preserve"> </w:t>
      </w:r>
      <w:r w:rsidRPr="002C3022">
        <w:rPr>
          <w:lang w:val="it-IT"/>
        </w:rPr>
        <w:t>S.,</w:t>
      </w:r>
      <w:r w:rsidRPr="002C3022">
        <w:rPr>
          <w:spacing w:val="-8"/>
          <w:lang w:val="it-IT"/>
        </w:rPr>
        <w:t xml:space="preserve"> </w:t>
      </w:r>
      <w:r w:rsidRPr="002C3022">
        <w:rPr>
          <w:lang w:val="it-IT"/>
        </w:rPr>
        <w:t>Foscoliano,</w:t>
      </w:r>
      <w:r w:rsidRPr="002C3022">
        <w:rPr>
          <w:spacing w:val="-8"/>
          <w:lang w:val="it-IT"/>
        </w:rPr>
        <w:t xml:space="preserve"> </w:t>
      </w:r>
      <w:r w:rsidRPr="002C3022">
        <w:rPr>
          <w:lang w:val="it-IT"/>
        </w:rPr>
        <w:t>M.,</w:t>
      </w:r>
      <w:r w:rsidRPr="002C3022">
        <w:rPr>
          <w:spacing w:val="-9"/>
          <w:lang w:val="it-IT"/>
        </w:rPr>
        <w:t xml:space="preserve"> </w:t>
      </w:r>
      <w:r w:rsidRPr="002C3022">
        <w:rPr>
          <w:lang w:val="it-IT"/>
        </w:rPr>
        <w:t>Contu,</w:t>
      </w:r>
      <w:r w:rsidRPr="002C3022">
        <w:rPr>
          <w:spacing w:val="-13"/>
          <w:lang w:val="it-IT"/>
        </w:rPr>
        <w:t xml:space="preserve"> </w:t>
      </w:r>
      <w:r w:rsidRPr="002C3022">
        <w:rPr>
          <w:lang w:val="it-IT"/>
        </w:rPr>
        <w:t>D.,</w:t>
      </w:r>
      <w:r w:rsidRPr="002C3022">
        <w:rPr>
          <w:spacing w:val="-8"/>
          <w:lang w:val="it-IT"/>
        </w:rPr>
        <w:t xml:space="preserve"> </w:t>
      </w:r>
      <w:r w:rsidRPr="002C3022">
        <w:rPr>
          <w:lang w:val="it-IT"/>
        </w:rPr>
        <w:t>&amp;</w:t>
      </w:r>
      <w:r w:rsidRPr="002C3022">
        <w:rPr>
          <w:spacing w:val="-10"/>
          <w:lang w:val="it-IT"/>
        </w:rPr>
        <w:t xml:space="preserve"> </w:t>
      </w:r>
      <w:r w:rsidRPr="002C3022">
        <w:rPr>
          <w:lang w:val="it-IT"/>
        </w:rPr>
        <w:t>Sannio-Fancello,</w:t>
      </w:r>
      <w:r w:rsidRPr="002C3022">
        <w:rPr>
          <w:spacing w:val="-3"/>
          <w:lang w:val="it-IT"/>
        </w:rPr>
        <w:t xml:space="preserve"> G.</w:t>
      </w:r>
      <w:r w:rsidRPr="002C3022">
        <w:rPr>
          <w:spacing w:val="-9"/>
          <w:lang w:val="it-IT"/>
        </w:rPr>
        <w:t xml:space="preserve"> </w:t>
      </w:r>
      <w:r w:rsidRPr="002C3022">
        <w:rPr>
          <w:lang w:val="it-IT"/>
        </w:rPr>
        <w:t>(2007).</w:t>
      </w:r>
      <w:r w:rsidRPr="002C3022">
        <w:rPr>
          <w:spacing w:val="-8"/>
          <w:lang w:val="it-IT"/>
        </w:rPr>
        <w:t xml:space="preserve"> </w:t>
      </w:r>
      <w:r>
        <w:t>Modified Wisconsin</w:t>
      </w:r>
      <w:r>
        <w:rPr>
          <w:spacing w:val="-6"/>
        </w:rPr>
        <w:t xml:space="preserve"> </w:t>
      </w:r>
      <w:r>
        <w:t>Card</w:t>
      </w:r>
      <w:r>
        <w:rPr>
          <w:spacing w:val="-6"/>
        </w:rPr>
        <w:t xml:space="preserve"> </w:t>
      </w:r>
      <w:r>
        <w:t>Sorting</w:t>
      </w:r>
      <w:r>
        <w:rPr>
          <w:spacing w:val="-15"/>
        </w:rPr>
        <w:t xml:space="preserve"> </w:t>
      </w:r>
      <w:r>
        <w:t>Test</w:t>
      </w:r>
      <w:r>
        <w:rPr>
          <w:spacing w:val="-5"/>
        </w:rPr>
        <w:t xml:space="preserve"> </w:t>
      </w:r>
      <w:r>
        <w:t>(MCST,</w:t>
      </w:r>
      <w:r>
        <w:rPr>
          <w:spacing w:val="-8"/>
        </w:rPr>
        <w:t xml:space="preserve"> </w:t>
      </w:r>
      <w:r>
        <w:t>MWCST):</w:t>
      </w:r>
      <w:r>
        <w:rPr>
          <w:spacing w:val="-10"/>
        </w:rPr>
        <w:t xml:space="preserve"> </w:t>
      </w:r>
      <w:r>
        <w:t>normative</w:t>
      </w:r>
      <w:r>
        <w:rPr>
          <w:spacing w:val="-7"/>
        </w:rPr>
        <w:t xml:space="preserve"> </w:t>
      </w:r>
      <w:r>
        <w:t>data</w:t>
      </w:r>
      <w:r>
        <w:rPr>
          <w:spacing w:val="-11"/>
        </w:rPr>
        <w:t xml:space="preserve"> </w:t>
      </w:r>
      <w:r>
        <w:t>in</w:t>
      </w:r>
      <w:r>
        <w:rPr>
          <w:spacing w:val="-11"/>
        </w:rPr>
        <w:t xml:space="preserve"> </w:t>
      </w:r>
      <w:r>
        <w:t>children</w:t>
      </w:r>
      <w:r>
        <w:rPr>
          <w:spacing w:val="-11"/>
        </w:rPr>
        <w:t xml:space="preserve"> </w:t>
      </w:r>
      <w:r>
        <w:t>4-13</w:t>
      </w:r>
      <w:r>
        <w:rPr>
          <w:spacing w:val="-6"/>
        </w:rPr>
        <w:t xml:space="preserve"> </w:t>
      </w:r>
      <w:r>
        <w:t xml:space="preserve">years old, according to classical and new types of scoring. </w:t>
      </w:r>
      <w:r>
        <w:rPr>
          <w:i/>
        </w:rPr>
        <w:t>The Clinical Neuropsychologist, 21</w:t>
      </w:r>
      <w:r>
        <w:t>(3), 456-478.</w:t>
      </w:r>
      <w:r>
        <w:rPr>
          <w:spacing w:val="3"/>
        </w:rPr>
        <w:t xml:space="preserve"> </w:t>
      </w:r>
      <w:r>
        <w:t>doi:10.1080/13854040600629766</w:t>
      </w:r>
    </w:p>
    <w:p w14:paraId="2CE4681C" w14:textId="77777777" w:rsidR="00C75312" w:rsidRDefault="00BB293A">
      <w:pPr>
        <w:pStyle w:val="BodyText"/>
        <w:spacing w:line="480" w:lineRule="auto"/>
        <w:ind w:left="860" w:right="234" w:hanging="720"/>
        <w:jc w:val="both"/>
      </w:pPr>
      <w:r>
        <w:t>Cicchetti, D. V., Koenig, K., Klin, A., Volkmar, F. R., Paul, R., &amp; Sparrow, S. (2011). From Bayes</w:t>
      </w:r>
      <w:r>
        <w:rPr>
          <w:spacing w:val="-7"/>
        </w:rPr>
        <w:t xml:space="preserve"> </w:t>
      </w:r>
      <w:r>
        <w:t>through</w:t>
      </w:r>
      <w:r>
        <w:rPr>
          <w:spacing w:val="-5"/>
        </w:rPr>
        <w:t xml:space="preserve"> </w:t>
      </w:r>
      <w:r>
        <w:t>marginal</w:t>
      </w:r>
      <w:r>
        <w:rPr>
          <w:spacing w:val="-4"/>
        </w:rPr>
        <w:t xml:space="preserve"> </w:t>
      </w:r>
      <w:r>
        <w:t>utility</w:t>
      </w:r>
      <w:r>
        <w:rPr>
          <w:spacing w:val="-4"/>
        </w:rPr>
        <w:t xml:space="preserve"> </w:t>
      </w:r>
      <w:r>
        <w:t>to</w:t>
      </w:r>
      <w:r>
        <w:rPr>
          <w:spacing w:val="-10"/>
        </w:rPr>
        <w:t xml:space="preserve"> </w:t>
      </w:r>
      <w:proofErr w:type="spellStart"/>
      <w:r>
        <w:t>effectsizes</w:t>
      </w:r>
      <w:proofErr w:type="spellEnd"/>
      <w:r>
        <w:t>:</w:t>
      </w:r>
      <w:r>
        <w:rPr>
          <w:spacing w:val="-4"/>
        </w:rPr>
        <w:t xml:space="preserve"> </w:t>
      </w:r>
      <w:r>
        <w:t>A</w:t>
      </w:r>
      <w:r>
        <w:rPr>
          <w:spacing w:val="-4"/>
        </w:rPr>
        <w:t xml:space="preserve"> </w:t>
      </w:r>
      <w:r>
        <w:t>guide</w:t>
      </w:r>
      <w:r>
        <w:rPr>
          <w:spacing w:val="-6"/>
        </w:rPr>
        <w:t xml:space="preserve"> </w:t>
      </w:r>
      <w:r>
        <w:t>to</w:t>
      </w:r>
      <w:r>
        <w:rPr>
          <w:spacing w:val="-5"/>
        </w:rPr>
        <w:t xml:space="preserve"> </w:t>
      </w:r>
      <w:r>
        <w:t>understanding</w:t>
      </w:r>
      <w:r>
        <w:rPr>
          <w:spacing w:val="-4"/>
        </w:rPr>
        <w:t xml:space="preserve"> </w:t>
      </w:r>
      <w:r>
        <w:t>the</w:t>
      </w:r>
      <w:r>
        <w:rPr>
          <w:spacing w:val="-6"/>
        </w:rPr>
        <w:t xml:space="preserve"> </w:t>
      </w:r>
      <w:r>
        <w:t>clinical</w:t>
      </w:r>
      <w:r>
        <w:rPr>
          <w:spacing w:val="-4"/>
        </w:rPr>
        <w:t xml:space="preserve"> </w:t>
      </w:r>
      <w:r>
        <w:t>and statistical</w:t>
      </w:r>
      <w:r>
        <w:rPr>
          <w:spacing w:val="-6"/>
        </w:rPr>
        <w:t xml:space="preserve"> </w:t>
      </w:r>
      <w:r>
        <w:t>significance</w:t>
      </w:r>
      <w:r>
        <w:rPr>
          <w:spacing w:val="-7"/>
        </w:rPr>
        <w:t xml:space="preserve"> </w:t>
      </w:r>
      <w:r>
        <w:t>of</w:t>
      </w:r>
      <w:r>
        <w:rPr>
          <w:spacing w:val="-4"/>
        </w:rPr>
        <w:t xml:space="preserve"> </w:t>
      </w:r>
      <w:r>
        <w:t>the</w:t>
      </w:r>
      <w:r>
        <w:rPr>
          <w:spacing w:val="-7"/>
        </w:rPr>
        <w:t xml:space="preserve"> </w:t>
      </w:r>
      <w:r>
        <w:t>results</w:t>
      </w:r>
      <w:r>
        <w:rPr>
          <w:spacing w:val="-8"/>
        </w:rPr>
        <w:t xml:space="preserve"> </w:t>
      </w:r>
      <w:r>
        <w:t>of</w:t>
      </w:r>
      <w:r>
        <w:rPr>
          <w:spacing w:val="-4"/>
        </w:rPr>
        <w:t xml:space="preserve"> </w:t>
      </w:r>
      <w:r>
        <w:t>autism</w:t>
      </w:r>
      <w:r>
        <w:rPr>
          <w:spacing w:val="-10"/>
        </w:rPr>
        <w:t xml:space="preserve"> </w:t>
      </w:r>
      <w:r>
        <w:t>research</w:t>
      </w:r>
      <w:r>
        <w:rPr>
          <w:spacing w:val="-6"/>
        </w:rPr>
        <w:t xml:space="preserve"> </w:t>
      </w:r>
      <w:r>
        <w:t>findings.</w:t>
      </w:r>
      <w:r>
        <w:rPr>
          <w:spacing w:val="-8"/>
        </w:rPr>
        <w:t xml:space="preserve"> </w:t>
      </w:r>
      <w:r>
        <w:rPr>
          <w:i/>
        </w:rPr>
        <w:t>Journal</w:t>
      </w:r>
      <w:r>
        <w:rPr>
          <w:i/>
          <w:spacing w:val="-5"/>
        </w:rPr>
        <w:t xml:space="preserve"> </w:t>
      </w:r>
      <w:r>
        <w:rPr>
          <w:i/>
        </w:rPr>
        <w:t>of</w:t>
      </w:r>
      <w:r>
        <w:rPr>
          <w:i/>
          <w:spacing w:val="-5"/>
        </w:rPr>
        <w:t xml:space="preserve"> </w:t>
      </w:r>
      <w:r>
        <w:rPr>
          <w:i/>
        </w:rPr>
        <w:t>Autism</w:t>
      </w:r>
      <w:r>
        <w:rPr>
          <w:i/>
          <w:spacing w:val="-6"/>
        </w:rPr>
        <w:t xml:space="preserve"> </w:t>
      </w:r>
      <w:r>
        <w:rPr>
          <w:i/>
        </w:rPr>
        <w:t>and Developmental Disorders, 41</w:t>
      </w:r>
      <w:r>
        <w:t>(2), 168-174.</w:t>
      </w:r>
      <w:r>
        <w:rPr>
          <w:spacing w:val="2"/>
        </w:rPr>
        <w:t xml:space="preserve"> </w:t>
      </w:r>
      <w:r>
        <w:t>doi:10.1007/s10803-010-1035-6</w:t>
      </w:r>
    </w:p>
    <w:p w14:paraId="517ACADE" w14:textId="77777777" w:rsidR="00C75312" w:rsidRDefault="00BB293A">
      <w:pPr>
        <w:pStyle w:val="BodyText"/>
        <w:spacing w:line="480" w:lineRule="auto"/>
        <w:ind w:left="860" w:right="237" w:hanging="720"/>
        <w:jc w:val="both"/>
      </w:pPr>
      <w:r>
        <w:t xml:space="preserve">Cicogna, P. C., &amp; Nigro, G. (1998). Influence of importance of intention on prospective memory performance. </w:t>
      </w:r>
      <w:r>
        <w:rPr>
          <w:i/>
        </w:rPr>
        <w:t>Perceptual and Motor Skills, 87</w:t>
      </w:r>
      <w:r>
        <w:t>(3), 1387-1392. doi:10.2466/pms.1998.87.3f.1387</w:t>
      </w:r>
    </w:p>
    <w:p w14:paraId="6EC59889" w14:textId="77777777" w:rsidR="00C75312" w:rsidRDefault="00BB293A">
      <w:pPr>
        <w:pStyle w:val="BodyText"/>
        <w:spacing w:before="1" w:line="480" w:lineRule="auto"/>
        <w:ind w:left="860" w:right="237" w:hanging="720"/>
        <w:jc w:val="both"/>
      </w:pPr>
      <w:r>
        <w:t xml:space="preserve">Clark-Foos, A., Brewer, G. A., Marsh, </w:t>
      </w:r>
      <w:r>
        <w:rPr>
          <w:spacing w:val="-4"/>
        </w:rPr>
        <w:t xml:space="preserve">R. </w:t>
      </w:r>
      <w:r>
        <w:t xml:space="preserve">L., Meeks, J. T., &amp; Cook, </w:t>
      </w:r>
      <w:r>
        <w:rPr>
          <w:spacing w:val="-3"/>
        </w:rPr>
        <w:t xml:space="preserve">G. </w:t>
      </w:r>
      <w:r>
        <w:t>I. (2009). The valence of</w:t>
      </w:r>
      <w:r>
        <w:rPr>
          <w:spacing w:val="-13"/>
        </w:rPr>
        <w:t xml:space="preserve"> </w:t>
      </w:r>
      <w:r>
        <w:t>event-based</w:t>
      </w:r>
      <w:r>
        <w:rPr>
          <w:spacing w:val="-14"/>
        </w:rPr>
        <w:t xml:space="preserve"> </w:t>
      </w:r>
      <w:r>
        <w:t>prospective</w:t>
      </w:r>
      <w:r>
        <w:rPr>
          <w:spacing w:val="-15"/>
        </w:rPr>
        <w:t xml:space="preserve"> </w:t>
      </w:r>
      <w:r>
        <w:t>memory</w:t>
      </w:r>
      <w:r>
        <w:rPr>
          <w:spacing w:val="-13"/>
        </w:rPr>
        <w:t xml:space="preserve"> </w:t>
      </w:r>
      <w:r>
        <w:t>cues</w:t>
      </w:r>
      <w:r>
        <w:rPr>
          <w:spacing w:val="-17"/>
        </w:rPr>
        <w:t xml:space="preserve"> </w:t>
      </w:r>
      <w:r>
        <w:t>or</w:t>
      </w:r>
      <w:r>
        <w:rPr>
          <w:spacing w:val="-13"/>
        </w:rPr>
        <w:t xml:space="preserve"> </w:t>
      </w:r>
      <w:r>
        <w:t>the</w:t>
      </w:r>
      <w:r>
        <w:rPr>
          <w:spacing w:val="-14"/>
        </w:rPr>
        <w:t xml:space="preserve"> </w:t>
      </w:r>
      <w:r>
        <w:t>context</w:t>
      </w:r>
      <w:r>
        <w:rPr>
          <w:spacing w:val="-14"/>
        </w:rPr>
        <w:t xml:space="preserve"> </w:t>
      </w:r>
      <w:r>
        <w:t>in</w:t>
      </w:r>
      <w:r>
        <w:rPr>
          <w:spacing w:val="-14"/>
        </w:rPr>
        <w:t xml:space="preserve"> </w:t>
      </w:r>
      <w:r>
        <w:t>which</w:t>
      </w:r>
      <w:r>
        <w:rPr>
          <w:spacing w:val="-13"/>
        </w:rPr>
        <w:t xml:space="preserve"> </w:t>
      </w:r>
      <w:r>
        <w:t>they</w:t>
      </w:r>
      <w:r>
        <w:rPr>
          <w:spacing w:val="-14"/>
        </w:rPr>
        <w:t xml:space="preserve"> </w:t>
      </w:r>
      <w:r>
        <w:t>occur</w:t>
      </w:r>
      <w:r>
        <w:rPr>
          <w:spacing w:val="-13"/>
        </w:rPr>
        <w:t xml:space="preserve"> </w:t>
      </w:r>
      <w:r>
        <w:t>affects</w:t>
      </w:r>
      <w:r>
        <w:rPr>
          <w:spacing w:val="-16"/>
        </w:rPr>
        <w:t xml:space="preserve"> </w:t>
      </w:r>
      <w:r>
        <w:t xml:space="preserve">their detection. </w:t>
      </w:r>
      <w:r>
        <w:rPr>
          <w:i/>
        </w:rPr>
        <w:t>American Journal of Psychology, 122</w:t>
      </w:r>
      <w:r>
        <w:t>(1), 89-97.</w:t>
      </w:r>
      <w:r>
        <w:rPr>
          <w:spacing w:val="2"/>
        </w:rPr>
        <w:t xml:space="preserve"> </w:t>
      </w:r>
      <w:r>
        <w:t>doi:10.2307/27784377</w:t>
      </w:r>
    </w:p>
    <w:p w14:paraId="2D79C392" w14:textId="77777777" w:rsidR="00C75312" w:rsidRDefault="00BB293A">
      <w:pPr>
        <w:pStyle w:val="BodyText"/>
        <w:spacing w:line="480" w:lineRule="auto"/>
        <w:ind w:left="860" w:right="234" w:hanging="720"/>
        <w:jc w:val="both"/>
      </w:pPr>
      <w:r>
        <w:t>Cockburn,</w:t>
      </w:r>
      <w:r>
        <w:rPr>
          <w:spacing w:val="-8"/>
        </w:rPr>
        <w:t xml:space="preserve"> </w:t>
      </w:r>
      <w:r>
        <w:t>J.,</w:t>
      </w:r>
      <w:r>
        <w:rPr>
          <w:spacing w:val="-7"/>
        </w:rPr>
        <w:t xml:space="preserve"> </w:t>
      </w:r>
      <w:r>
        <w:t>&amp;</w:t>
      </w:r>
      <w:r>
        <w:rPr>
          <w:spacing w:val="-13"/>
        </w:rPr>
        <w:t xml:space="preserve"> </w:t>
      </w:r>
      <w:r>
        <w:t>Smith,</w:t>
      </w:r>
      <w:r>
        <w:rPr>
          <w:spacing w:val="-7"/>
        </w:rPr>
        <w:t xml:space="preserve"> </w:t>
      </w:r>
      <w:r>
        <w:t>P.</w:t>
      </w:r>
      <w:r>
        <w:rPr>
          <w:spacing w:val="-7"/>
        </w:rPr>
        <w:t xml:space="preserve"> </w:t>
      </w:r>
      <w:r>
        <w:t>T.</w:t>
      </w:r>
      <w:r>
        <w:rPr>
          <w:spacing w:val="-7"/>
        </w:rPr>
        <w:t xml:space="preserve"> </w:t>
      </w:r>
      <w:r>
        <w:t>(1991).</w:t>
      </w:r>
      <w:r>
        <w:rPr>
          <w:spacing w:val="-12"/>
        </w:rPr>
        <w:t xml:space="preserve"> </w:t>
      </w:r>
      <w:r>
        <w:t>The</w:t>
      </w:r>
      <w:r>
        <w:rPr>
          <w:spacing w:val="-11"/>
        </w:rPr>
        <w:t xml:space="preserve"> </w:t>
      </w:r>
      <w:r>
        <w:t>relative</w:t>
      </w:r>
      <w:r>
        <w:rPr>
          <w:spacing w:val="-11"/>
        </w:rPr>
        <w:t xml:space="preserve"> </w:t>
      </w:r>
      <w:r>
        <w:t>influence</w:t>
      </w:r>
      <w:r>
        <w:rPr>
          <w:spacing w:val="-11"/>
        </w:rPr>
        <w:t xml:space="preserve"> </w:t>
      </w:r>
      <w:r>
        <w:t>of</w:t>
      </w:r>
      <w:r>
        <w:rPr>
          <w:spacing w:val="-8"/>
        </w:rPr>
        <w:t xml:space="preserve"> </w:t>
      </w:r>
      <w:r>
        <w:t>intelligence</w:t>
      </w:r>
      <w:r>
        <w:rPr>
          <w:spacing w:val="-11"/>
        </w:rPr>
        <w:t xml:space="preserve"> </w:t>
      </w:r>
      <w:r>
        <w:t>and</w:t>
      </w:r>
      <w:r>
        <w:rPr>
          <w:spacing w:val="-10"/>
        </w:rPr>
        <w:t xml:space="preserve"> </w:t>
      </w:r>
      <w:r>
        <w:t>age</w:t>
      </w:r>
      <w:r>
        <w:rPr>
          <w:spacing w:val="-11"/>
        </w:rPr>
        <w:t xml:space="preserve"> </w:t>
      </w:r>
      <w:r>
        <w:t>on</w:t>
      </w:r>
      <w:r>
        <w:rPr>
          <w:spacing w:val="-10"/>
        </w:rPr>
        <w:t xml:space="preserve"> </w:t>
      </w:r>
      <w:r>
        <w:t xml:space="preserve">everyday memory. </w:t>
      </w:r>
      <w:r>
        <w:rPr>
          <w:i/>
        </w:rPr>
        <w:t xml:space="preserve">Journal </w:t>
      </w:r>
      <w:r>
        <w:rPr>
          <w:i/>
          <w:spacing w:val="-3"/>
        </w:rPr>
        <w:t xml:space="preserve">of </w:t>
      </w:r>
      <w:r>
        <w:rPr>
          <w:i/>
        </w:rPr>
        <w:t>Gerontology, 46</w:t>
      </w:r>
      <w:r>
        <w:t>(1), P31-36.</w:t>
      </w:r>
      <w:r>
        <w:rPr>
          <w:spacing w:val="11"/>
        </w:rPr>
        <w:t xml:space="preserve"> </w:t>
      </w:r>
      <w:r>
        <w:t>doi:10.1093/</w:t>
      </w:r>
      <w:proofErr w:type="spellStart"/>
      <w:r>
        <w:t>geronj</w:t>
      </w:r>
      <w:proofErr w:type="spellEnd"/>
      <w:r>
        <w:t>/46.1.P31</w:t>
      </w:r>
    </w:p>
    <w:p w14:paraId="33507EFF" w14:textId="77777777" w:rsidR="00C75312" w:rsidRDefault="00BB293A">
      <w:pPr>
        <w:spacing w:line="480" w:lineRule="auto"/>
        <w:ind w:left="860" w:right="236" w:hanging="720"/>
        <w:jc w:val="both"/>
        <w:rPr>
          <w:sz w:val="24"/>
        </w:rPr>
      </w:pPr>
      <w:r>
        <w:rPr>
          <w:sz w:val="24"/>
        </w:rPr>
        <w:t xml:space="preserve">Cohen, J. (1988). </w:t>
      </w:r>
      <w:r>
        <w:rPr>
          <w:i/>
          <w:sz w:val="24"/>
        </w:rPr>
        <w:t xml:space="preserve">Statistical power analysis for the behavioral sciences </w:t>
      </w:r>
      <w:r>
        <w:rPr>
          <w:sz w:val="24"/>
        </w:rPr>
        <w:t>(2nd ed.). Hillsdale, NJ: Lawrence Erlbaum Associates.</w:t>
      </w:r>
    </w:p>
    <w:p w14:paraId="3224D700" w14:textId="77777777" w:rsidR="00C75312" w:rsidRPr="002C3022" w:rsidRDefault="00BB293A">
      <w:pPr>
        <w:pStyle w:val="BodyText"/>
        <w:spacing w:line="480" w:lineRule="auto"/>
        <w:ind w:left="860" w:right="236" w:hanging="720"/>
        <w:jc w:val="both"/>
        <w:rPr>
          <w:lang w:val="fr-FR"/>
        </w:rPr>
      </w:pPr>
      <w:r>
        <w:t>Cohen,</w:t>
      </w:r>
      <w:r>
        <w:rPr>
          <w:spacing w:val="-8"/>
        </w:rPr>
        <w:t xml:space="preserve"> </w:t>
      </w:r>
      <w:r>
        <w:t>J.</w:t>
      </w:r>
      <w:r>
        <w:rPr>
          <w:spacing w:val="-7"/>
        </w:rPr>
        <w:t xml:space="preserve"> </w:t>
      </w:r>
      <w:r>
        <w:t>(1990).</w:t>
      </w:r>
      <w:r>
        <w:rPr>
          <w:spacing w:val="-11"/>
        </w:rPr>
        <w:t xml:space="preserve"> </w:t>
      </w:r>
      <w:r>
        <w:t>Things</w:t>
      </w:r>
      <w:r>
        <w:rPr>
          <w:spacing w:val="-12"/>
        </w:rPr>
        <w:t xml:space="preserve"> </w:t>
      </w:r>
      <w:r>
        <w:t>I</w:t>
      </w:r>
      <w:r>
        <w:rPr>
          <w:spacing w:val="-8"/>
        </w:rPr>
        <w:t xml:space="preserve"> </w:t>
      </w:r>
      <w:r>
        <w:t>Have</w:t>
      </w:r>
      <w:r>
        <w:rPr>
          <w:spacing w:val="-11"/>
        </w:rPr>
        <w:t xml:space="preserve"> </w:t>
      </w:r>
      <w:r>
        <w:t>Learned</w:t>
      </w:r>
      <w:r>
        <w:rPr>
          <w:spacing w:val="-10"/>
        </w:rPr>
        <w:t xml:space="preserve"> </w:t>
      </w:r>
      <w:r>
        <w:t>(So</w:t>
      </w:r>
      <w:r>
        <w:rPr>
          <w:spacing w:val="-10"/>
        </w:rPr>
        <w:t xml:space="preserve"> </w:t>
      </w:r>
      <w:r>
        <w:t>Far).</w:t>
      </w:r>
      <w:r>
        <w:rPr>
          <w:spacing w:val="-12"/>
        </w:rPr>
        <w:t xml:space="preserve"> </w:t>
      </w:r>
      <w:r w:rsidRPr="002C3022">
        <w:rPr>
          <w:i/>
          <w:lang w:val="fr-FR"/>
        </w:rPr>
        <w:t>American</w:t>
      </w:r>
      <w:r w:rsidRPr="002C3022">
        <w:rPr>
          <w:i/>
          <w:spacing w:val="-10"/>
          <w:lang w:val="fr-FR"/>
        </w:rPr>
        <w:t xml:space="preserve"> </w:t>
      </w:r>
      <w:r w:rsidRPr="002C3022">
        <w:rPr>
          <w:i/>
          <w:lang w:val="fr-FR"/>
        </w:rPr>
        <w:t>Psychologist,</w:t>
      </w:r>
      <w:r w:rsidRPr="002C3022">
        <w:rPr>
          <w:i/>
          <w:spacing w:val="-7"/>
          <w:lang w:val="fr-FR"/>
        </w:rPr>
        <w:t xml:space="preserve"> </w:t>
      </w:r>
      <w:r w:rsidRPr="002C3022">
        <w:rPr>
          <w:i/>
          <w:lang w:val="fr-FR"/>
        </w:rPr>
        <w:t>45</w:t>
      </w:r>
      <w:r w:rsidRPr="002C3022">
        <w:rPr>
          <w:lang w:val="fr-FR"/>
        </w:rPr>
        <w:t>(12),</w:t>
      </w:r>
      <w:r w:rsidRPr="002C3022">
        <w:rPr>
          <w:spacing w:val="-7"/>
          <w:lang w:val="fr-FR"/>
        </w:rPr>
        <w:t xml:space="preserve"> </w:t>
      </w:r>
      <w:r w:rsidRPr="002C3022">
        <w:rPr>
          <w:lang w:val="fr-FR"/>
        </w:rPr>
        <w:t>1304-1312. doi:Doi</w:t>
      </w:r>
      <w:r w:rsidRPr="002C3022">
        <w:rPr>
          <w:spacing w:val="1"/>
          <w:lang w:val="fr-FR"/>
        </w:rPr>
        <w:t xml:space="preserve"> </w:t>
      </w:r>
      <w:r w:rsidRPr="002C3022">
        <w:rPr>
          <w:lang w:val="fr-FR"/>
        </w:rPr>
        <w:t>10.1037//0003-066x.45.12.1304</w:t>
      </w:r>
    </w:p>
    <w:p w14:paraId="4A58F716" w14:textId="77777777" w:rsidR="00C75312" w:rsidRDefault="00BB293A">
      <w:pPr>
        <w:ind w:left="140"/>
        <w:jc w:val="both"/>
        <w:rPr>
          <w:sz w:val="24"/>
        </w:rPr>
      </w:pPr>
      <w:r>
        <w:rPr>
          <w:sz w:val="24"/>
        </w:rPr>
        <w:t xml:space="preserve">Cohen, J. (1992). A power primer. </w:t>
      </w:r>
      <w:r>
        <w:rPr>
          <w:i/>
          <w:sz w:val="24"/>
        </w:rPr>
        <w:t>Psychological Bulletin, 112</w:t>
      </w:r>
      <w:r>
        <w:rPr>
          <w:sz w:val="24"/>
        </w:rPr>
        <w:t>(1), 155-159.</w:t>
      </w:r>
    </w:p>
    <w:p w14:paraId="520BE9E6" w14:textId="77777777" w:rsidR="00C75312" w:rsidRDefault="00C75312">
      <w:pPr>
        <w:pStyle w:val="BodyText"/>
      </w:pPr>
    </w:p>
    <w:p w14:paraId="2E18ED67" w14:textId="77777777" w:rsidR="00C75312" w:rsidRDefault="00BB293A">
      <w:pPr>
        <w:spacing w:line="480" w:lineRule="auto"/>
        <w:ind w:left="860" w:right="234" w:hanging="720"/>
        <w:jc w:val="both"/>
        <w:rPr>
          <w:sz w:val="24"/>
        </w:rPr>
      </w:pPr>
      <w:r>
        <w:rPr>
          <w:sz w:val="24"/>
        </w:rPr>
        <w:t xml:space="preserve">Coltheart, M. (1981). The MRC psycholinguistic database. </w:t>
      </w:r>
      <w:r>
        <w:rPr>
          <w:i/>
          <w:sz w:val="24"/>
        </w:rPr>
        <w:t>The Quarterly Journal of Experimental</w:t>
      </w:r>
      <w:r>
        <w:rPr>
          <w:i/>
          <w:spacing w:val="-11"/>
          <w:sz w:val="24"/>
        </w:rPr>
        <w:t xml:space="preserve"> </w:t>
      </w:r>
      <w:r>
        <w:rPr>
          <w:i/>
          <w:sz w:val="24"/>
        </w:rPr>
        <w:t>Psychology</w:t>
      </w:r>
      <w:r>
        <w:rPr>
          <w:i/>
          <w:spacing w:val="-11"/>
          <w:sz w:val="24"/>
        </w:rPr>
        <w:t xml:space="preserve"> </w:t>
      </w:r>
      <w:r>
        <w:rPr>
          <w:i/>
          <w:sz w:val="24"/>
        </w:rPr>
        <w:t>Section</w:t>
      </w:r>
      <w:r>
        <w:rPr>
          <w:i/>
          <w:spacing w:val="-20"/>
          <w:sz w:val="24"/>
        </w:rPr>
        <w:t xml:space="preserve"> </w:t>
      </w:r>
      <w:r>
        <w:rPr>
          <w:i/>
          <w:sz w:val="24"/>
        </w:rPr>
        <w:t>A,</w:t>
      </w:r>
      <w:r>
        <w:rPr>
          <w:i/>
          <w:spacing w:val="-13"/>
          <w:sz w:val="24"/>
        </w:rPr>
        <w:t xml:space="preserve"> </w:t>
      </w:r>
      <w:r>
        <w:rPr>
          <w:i/>
          <w:sz w:val="24"/>
        </w:rPr>
        <w:t>33</w:t>
      </w:r>
      <w:r>
        <w:rPr>
          <w:sz w:val="24"/>
        </w:rPr>
        <w:t>(4),</w:t>
      </w:r>
      <w:r>
        <w:rPr>
          <w:spacing w:val="-13"/>
          <w:sz w:val="24"/>
        </w:rPr>
        <w:t xml:space="preserve"> </w:t>
      </w:r>
      <w:r>
        <w:rPr>
          <w:sz w:val="24"/>
        </w:rPr>
        <w:t>497-505.</w:t>
      </w:r>
      <w:r>
        <w:rPr>
          <w:spacing w:val="-13"/>
          <w:sz w:val="24"/>
        </w:rPr>
        <w:t xml:space="preserve"> </w:t>
      </w:r>
      <w:r>
        <w:rPr>
          <w:sz w:val="24"/>
        </w:rPr>
        <w:t>doi:10.1080/14640748108400805</w:t>
      </w:r>
    </w:p>
    <w:p w14:paraId="0D5861E3"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12AFF04C" w14:textId="77777777" w:rsidR="00C75312" w:rsidRDefault="00C75312">
      <w:pPr>
        <w:pStyle w:val="BodyText"/>
        <w:spacing w:before="9"/>
        <w:rPr>
          <w:sz w:val="15"/>
        </w:rPr>
      </w:pPr>
    </w:p>
    <w:p w14:paraId="02A25B3F" w14:textId="77777777" w:rsidR="00C75312" w:rsidRPr="002C3022" w:rsidRDefault="00BB293A">
      <w:pPr>
        <w:pStyle w:val="BodyText"/>
        <w:spacing w:before="90" w:line="480" w:lineRule="auto"/>
        <w:ind w:left="860" w:right="234" w:hanging="720"/>
        <w:jc w:val="both"/>
        <w:rPr>
          <w:lang w:val="it-IT"/>
        </w:rPr>
      </w:pPr>
      <w:r w:rsidRPr="002C3022">
        <w:rPr>
          <w:lang w:val="it-IT"/>
        </w:rPr>
        <w:t>Cona,</w:t>
      </w:r>
      <w:r w:rsidRPr="002C3022">
        <w:rPr>
          <w:spacing w:val="-3"/>
          <w:lang w:val="it-IT"/>
        </w:rPr>
        <w:t xml:space="preserve"> </w:t>
      </w:r>
      <w:r w:rsidRPr="002C3022">
        <w:rPr>
          <w:lang w:val="it-IT"/>
        </w:rPr>
        <w:t>G.,</w:t>
      </w:r>
      <w:r w:rsidRPr="002C3022">
        <w:rPr>
          <w:spacing w:val="-2"/>
          <w:lang w:val="it-IT"/>
        </w:rPr>
        <w:t xml:space="preserve"> </w:t>
      </w:r>
      <w:r w:rsidRPr="002C3022">
        <w:rPr>
          <w:lang w:val="it-IT"/>
        </w:rPr>
        <w:t>Bisiacchi,</w:t>
      </w:r>
      <w:r w:rsidRPr="002C3022">
        <w:rPr>
          <w:spacing w:val="-7"/>
          <w:lang w:val="it-IT"/>
        </w:rPr>
        <w:t xml:space="preserve"> </w:t>
      </w:r>
      <w:r w:rsidRPr="002C3022">
        <w:rPr>
          <w:lang w:val="it-IT"/>
        </w:rPr>
        <w:t>P.</w:t>
      </w:r>
      <w:r w:rsidRPr="002C3022">
        <w:rPr>
          <w:spacing w:val="-7"/>
          <w:lang w:val="it-IT"/>
        </w:rPr>
        <w:t xml:space="preserve"> </w:t>
      </w:r>
      <w:r w:rsidRPr="002C3022">
        <w:rPr>
          <w:lang w:val="it-IT"/>
        </w:rPr>
        <w:t>S.,</w:t>
      </w:r>
      <w:r w:rsidRPr="002C3022">
        <w:rPr>
          <w:spacing w:val="-7"/>
          <w:lang w:val="it-IT"/>
        </w:rPr>
        <w:t xml:space="preserve"> </w:t>
      </w:r>
      <w:r w:rsidRPr="002C3022">
        <w:rPr>
          <w:lang w:val="it-IT"/>
        </w:rPr>
        <w:t>&amp;</w:t>
      </w:r>
      <w:r w:rsidRPr="002C3022">
        <w:rPr>
          <w:spacing w:val="-9"/>
          <w:lang w:val="it-IT"/>
        </w:rPr>
        <w:t xml:space="preserve"> </w:t>
      </w:r>
      <w:r w:rsidRPr="002C3022">
        <w:rPr>
          <w:lang w:val="it-IT"/>
        </w:rPr>
        <w:t>Moscovitch,</w:t>
      </w:r>
      <w:r w:rsidRPr="002C3022">
        <w:rPr>
          <w:spacing w:val="-2"/>
          <w:lang w:val="it-IT"/>
        </w:rPr>
        <w:t xml:space="preserve"> </w:t>
      </w:r>
      <w:r w:rsidRPr="002C3022">
        <w:rPr>
          <w:lang w:val="it-IT"/>
        </w:rPr>
        <w:t>M.</w:t>
      </w:r>
      <w:r w:rsidRPr="002C3022">
        <w:rPr>
          <w:spacing w:val="-7"/>
          <w:lang w:val="it-IT"/>
        </w:rPr>
        <w:t xml:space="preserve"> </w:t>
      </w:r>
      <w:r w:rsidRPr="002C3022">
        <w:rPr>
          <w:lang w:val="it-IT"/>
        </w:rPr>
        <w:t>(2014).</w:t>
      </w:r>
      <w:r w:rsidRPr="002C3022">
        <w:rPr>
          <w:spacing w:val="-8"/>
          <w:lang w:val="it-IT"/>
        </w:rPr>
        <w:t xml:space="preserve"> </w:t>
      </w:r>
      <w:r>
        <w:t>The</w:t>
      </w:r>
      <w:r>
        <w:rPr>
          <w:spacing w:val="-10"/>
        </w:rPr>
        <w:t xml:space="preserve"> </w:t>
      </w:r>
      <w:r>
        <w:t>effects</w:t>
      </w:r>
      <w:r>
        <w:rPr>
          <w:spacing w:val="-7"/>
        </w:rPr>
        <w:t xml:space="preserve"> </w:t>
      </w:r>
      <w:r>
        <w:rPr>
          <w:spacing w:val="-3"/>
        </w:rPr>
        <w:t>of</w:t>
      </w:r>
      <w:r>
        <w:rPr>
          <w:spacing w:val="-9"/>
        </w:rPr>
        <w:t xml:space="preserve"> </w:t>
      </w:r>
      <w:r>
        <w:t>focal</w:t>
      </w:r>
      <w:r>
        <w:rPr>
          <w:spacing w:val="-4"/>
        </w:rPr>
        <w:t xml:space="preserve"> </w:t>
      </w:r>
      <w:r>
        <w:t>and</w:t>
      </w:r>
      <w:r>
        <w:rPr>
          <w:spacing w:val="-10"/>
        </w:rPr>
        <w:t xml:space="preserve"> </w:t>
      </w:r>
      <w:proofErr w:type="spellStart"/>
      <w:r>
        <w:t>nonfocal</w:t>
      </w:r>
      <w:proofErr w:type="spellEnd"/>
      <w:r>
        <w:rPr>
          <w:spacing w:val="-9"/>
        </w:rPr>
        <w:t xml:space="preserve"> </w:t>
      </w:r>
      <w:r>
        <w:t>cues</w:t>
      </w:r>
      <w:r>
        <w:rPr>
          <w:spacing w:val="-7"/>
        </w:rPr>
        <w:t xml:space="preserve"> </w:t>
      </w:r>
      <w:r>
        <w:t xml:space="preserve">on the neural correlates of prospective memory: Insights from ERPs. </w:t>
      </w:r>
      <w:r w:rsidRPr="002C3022">
        <w:rPr>
          <w:i/>
          <w:lang w:val="it-IT"/>
        </w:rPr>
        <w:t>Cerebral Cortex, 24</w:t>
      </w:r>
      <w:r w:rsidRPr="002C3022">
        <w:rPr>
          <w:lang w:val="it-IT"/>
        </w:rPr>
        <w:t>(10), 2630-2646.</w:t>
      </w:r>
      <w:r w:rsidRPr="002C3022">
        <w:rPr>
          <w:spacing w:val="3"/>
          <w:lang w:val="it-IT"/>
        </w:rPr>
        <w:t xml:space="preserve"> </w:t>
      </w:r>
      <w:r w:rsidRPr="002C3022">
        <w:rPr>
          <w:lang w:val="it-IT"/>
        </w:rPr>
        <w:t>doi:10.1093/cercor/bht116</w:t>
      </w:r>
    </w:p>
    <w:p w14:paraId="299325E1" w14:textId="77777777" w:rsidR="00C75312" w:rsidRDefault="00BB293A">
      <w:pPr>
        <w:pStyle w:val="BodyText"/>
        <w:spacing w:line="480" w:lineRule="auto"/>
        <w:ind w:left="860" w:right="236" w:hanging="720"/>
        <w:jc w:val="both"/>
      </w:pPr>
      <w:r w:rsidRPr="002C3022">
        <w:rPr>
          <w:lang w:val="it-IT"/>
        </w:rPr>
        <w:t xml:space="preserve">Cona, G., Scarpazza, C., Sartori, G., Moscovitch, M., &amp; Bisiacchi, P. S. (2015). </w:t>
      </w:r>
      <w:r>
        <w:t>Neural bases of prospective memory: A meta-analysis and the “Attention to Delayed Intention” (</w:t>
      </w:r>
      <w:proofErr w:type="spellStart"/>
      <w:r>
        <w:t>AtoDI</w:t>
      </w:r>
      <w:proofErr w:type="spellEnd"/>
      <w:r>
        <w:t xml:space="preserve">) model. </w:t>
      </w:r>
      <w:r>
        <w:rPr>
          <w:i/>
        </w:rPr>
        <w:t>Neuroscience &amp; Biobehavioral Reviews, 52</w:t>
      </w:r>
      <w:r>
        <w:t>, 21-37. doi:10.1016/j.neubiorev.2015.02.007</w:t>
      </w:r>
    </w:p>
    <w:p w14:paraId="0D20DFBE" w14:textId="77777777" w:rsidR="00C75312" w:rsidRDefault="00BB293A">
      <w:pPr>
        <w:spacing w:line="480" w:lineRule="auto"/>
        <w:ind w:left="860" w:right="241" w:hanging="720"/>
        <w:jc w:val="both"/>
        <w:rPr>
          <w:sz w:val="24"/>
        </w:rPr>
      </w:pPr>
      <w:r>
        <w:rPr>
          <w:sz w:val="24"/>
        </w:rPr>
        <w:t xml:space="preserve">Constantino, J. N., &amp; Gruber, P. C. (2005). </w:t>
      </w:r>
      <w:r>
        <w:rPr>
          <w:i/>
          <w:sz w:val="24"/>
        </w:rPr>
        <w:t>Social Responsiveness Scale (SRS)</w:t>
      </w:r>
      <w:r>
        <w:rPr>
          <w:sz w:val="24"/>
        </w:rPr>
        <w:t>. Los Angeles, CA: Western Psychological</w:t>
      </w:r>
      <w:r>
        <w:rPr>
          <w:spacing w:val="5"/>
          <w:sz w:val="24"/>
        </w:rPr>
        <w:t xml:space="preserve"> </w:t>
      </w:r>
      <w:r>
        <w:rPr>
          <w:sz w:val="24"/>
        </w:rPr>
        <w:t>Services.</w:t>
      </w:r>
    </w:p>
    <w:p w14:paraId="41342C94" w14:textId="77777777" w:rsidR="00C75312" w:rsidRDefault="00BB293A">
      <w:pPr>
        <w:pStyle w:val="BodyText"/>
        <w:spacing w:line="480" w:lineRule="auto"/>
        <w:ind w:left="860" w:right="235" w:hanging="720"/>
        <w:jc w:val="both"/>
      </w:pPr>
      <w:r>
        <w:t xml:space="preserve">Cook, R., Brewer, R., Shah, P., &amp; Bird, G. (2013). Alexithymia, Not Autism, Predicts Poor Recognition of Emotional Facial Expressions. </w:t>
      </w:r>
      <w:r>
        <w:rPr>
          <w:i/>
        </w:rPr>
        <w:t>Psychological Science, 24</w:t>
      </w:r>
      <w:r>
        <w:t>(5), 723-732. doi:10.1177/0956797612463582</w:t>
      </w:r>
    </w:p>
    <w:p w14:paraId="099EF838" w14:textId="77777777" w:rsidR="00C75312" w:rsidRDefault="00BB293A">
      <w:pPr>
        <w:spacing w:before="1" w:line="480" w:lineRule="auto"/>
        <w:ind w:left="860" w:right="235" w:hanging="720"/>
        <w:jc w:val="both"/>
        <w:rPr>
          <w:sz w:val="24"/>
        </w:rPr>
      </w:pPr>
      <w:r>
        <w:rPr>
          <w:sz w:val="24"/>
        </w:rPr>
        <w:t xml:space="preserve">Craig, A. </w:t>
      </w:r>
      <w:r>
        <w:rPr>
          <w:spacing w:val="-3"/>
          <w:sz w:val="24"/>
        </w:rPr>
        <w:t xml:space="preserve">D. </w:t>
      </w:r>
      <w:r>
        <w:rPr>
          <w:sz w:val="24"/>
        </w:rPr>
        <w:t xml:space="preserve">(2003). Interoception: The sense of the physiological condition of the body. </w:t>
      </w:r>
      <w:r>
        <w:rPr>
          <w:i/>
          <w:sz w:val="24"/>
        </w:rPr>
        <w:t>Current</w:t>
      </w:r>
      <w:r>
        <w:rPr>
          <w:i/>
          <w:spacing w:val="-16"/>
          <w:sz w:val="24"/>
        </w:rPr>
        <w:t xml:space="preserve"> </w:t>
      </w:r>
      <w:r>
        <w:rPr>
          <w:i/>
          <w:sz w:val="24"/>
        </w:rPr>
        <w:t>Opinion</w:t>
      </w:r>
      <w:r>
        <w:rPr>
          <w:i/>
          <w:spacing w:val="-16"/>
          <w:sz w:val="24"/>
        </w:rPr>
        <w:t xml:space="preserve"> </w:t>
      </w:r>
      <w:r>
        <w:rPr>
          <w:i/>
          <w:sz w:val="24"/>
        </w:rPr>
        <w:t>in</w:t>
      </w:r>
      <w:r>
        <w:rPr>
          <w:i/>
          <w:spacing w:val="-16"/>
          <w:sz w:val="24"/>
        </w:rPr>
        <w:t xml:space="preserve"> </w:t>
      </w:r>
      <w:r>
        <w:rPr>
          <w:i/>
          <w:sz w:val="24"/>
        </w:rPr>
        <w:t>Neurobiology,</w:t>
      </w:r>
      <w:r>
        <w:rPr>
          <w:i/>
          <w:spacing w:val="-14"/>
          <w:sz w:val="24"/>
        </w:rPr>
        <w:t xml:space="preserve"> </w:t>
      </w:r>
      <w:r>
        <w:rPr>
          <w:i/>
          <w:sz w:val="24"/>
        </w:rPr>
        <w:t>13</w:t>
      </w:r>
      <w:r>
        <w:rPr>
          <w:sz w:val="24"/>
        </w:rPr>
        <w:t>(4),</w:t>
      </w:r>
      <w:r>
        <w:rPr>
          <w:spacing w:val="-14"/>
          <w:sz w:val="24"/>
        </w:rPr>
        <w:t xml:space="preserve"> </w:t>
      </w:r>
      <w:r>
        <w:rPr>
          <w:sz w:val="24"/>
        </w:rPr>
        <w:t>500-505.</w:t>
      </w:r>
      <w:r>
        <w:rPr>
          <w:spacing w:val="-23"/>
          <w:sz w:val="24"/>
        </w:rPr>
        <w:t xml:space="preserve"> </w:t>
      </w:r>
      <w:r>
        <w:rPr>
          <w:sz w:val="24"/>
        </w:rPr>
        <w:t>doi:10.1016/S0959-4388(03)00090- 4</w:t>
      </w:r>
    </w:p>
    <w:p w14:paraId="32A536A4" w14:textId="77777777" w:rsidR="00C75312" w:rsidRDefault="00BB293A">
      <w:pPr>
        <w:pStyle w:val="BodyText"/>
        <w:ind w:left="140"/>
        <w:jc w:val="both"/>
      </w:pPr>
      <w:r>
        <w:t>Craig, A. D. (2009). How do you feel — now? The anterior insula and human awareness.</w:t>
      </w:r>
    </w:p>
    <w:p w14:paraId="072DF132" w14:textId="77777777" w:rsidR="00C75312" w:rsidRDefault="00C75312">
      <w:pPr>
        <w:pStyle w:val="BodyText"/>
      </w:pPr>
    </w:p>
    <w:p w14:paraId="088AC6D0" w14:textId="77777777" w:rsidR="00C75312" w:rsidRDefault="00BB293A">
      <w:pPr>
        <w:ind w:left="860"/>
        <w:rPr>
          <w:sz w:val="24"/>
        </w:rPr>
      </w:pPr>
      <w:r>
        <w:rPr>
          <w:i/>
          <w:sz w:val="24"/>
        </w:rPr>
        <w:t>Nature Reviews Neuroscience, 10</w:t>
      </w:r>
      <w:r>
        <w:rPr>
          <w:sz w:val="24"/>
        </w:rPr>
        <w:t>(1), 59-70. doi:10.1038/nrn2555</w:t>
      </w:r>
    </w:p>
    <w:p w14:paraId="4EF9BD27" w14:textId="77777777" w:rsidR="00C75312" w:rsidRDefault="00C75312">
      <w:pPr>
        <w:pStyle w:val="BodyText"/>
      </w:pPr>
    </w:p>
    <w:p w14:paraId="5DDA65B8" w14:textId="77777777" w:rsidR="00C75312" w:rsidRDefault="00BB293A">
      <w:pPr>
        <w:spacing w:line="480" w:lineRule="auto"/>
        <w:ind w:left="860" w:right="230" w:hanging="720"/>
        <w:jc w:val="both"/>
        <w:rPr>
          <w:sz w:val="24"/>
        </w:rPr>
      </w:pPr>
      <w:r>
        <w:rPr>
          <w:sz w:val="24"/>
        </w:rPr>
        <w:t xml:space="preserve">Craik, F. I. M., &amp; Anderson, N. D. (1999). Applying cognitive research to problems of aging. In D. Gopher &amp; A. </w:t>
      </w:r>
      <w:proofErr w:type="spellStart"/>
      <w:r>
        <w:rPr>
          <w:sz w:val="24"/>
        </w:rPr>
        <w:t>Koriat</w:t>
      </w:r>
      <w:proofErr w:type="spellEnd"/>
      <w:r>
        <w:rPr>
          <w:sz w:val="24"/>
        </w:rPr>
        <w:t xml:space="preserve"> (Eds.), </w:t>
      </w:r>
      <w:r>
        <w:rPr>
          <w:i/>
          <w:sz w:val="24"/>
        </w:rPr>
        <w:t xml:space="preserve">Attention and Performance XVII: Cognitive regulation of performance: Interaction of theory and application </w:t>
      </w:r>
      <w:r>
        <w:rPr>
          <w:sz w:val="24"/>
        </w:rPr>
        <w:t>(Vol. 17, pp. 583- 615). Cambridge, MA, US: The MIT Press.</w:t>
      </w:r>
    </w:p>
    <w:p w14:paraId="1E7D3AE8" w14:textId="77777777" w:rsidR="00C75312" w:rsidRDefault="00BB293A">
      <w:pPr>
        <w:pStyle w:val="BodyText"/>
        <w:spacing w:line="480" w:lineRule="auto"/>
        <w:ind w:left="860" w:right="234" w:hanging="720"/>
        <w:jc w:val="both"/>
      </w:pPr>
      <w:r>
        <w:t xml:space="preserve">Crawford, J. R., Smith, G., Maylor, E. A., Della Sala, S., &amp; </w:t>
      </w:r>
      <w:proofErr w:type="spellStart"/>
      <w:r>
        <w:t>Logie</w:t>
      </w:r>
      <w:proofErr w:type="spellEnd"/>
      <w:r>
        <w:t xml:space="preserve">, R. H. (2003). The Prospective and Retrospective Memory Questionnaire (PRMQ): Normative data and latent structure in a large non-clinical sample. </w:t>
      </w:r>
      <w:r>
        <w:rPr>
          <w:i/>
        </w:rPr>
        <w:t>Memory, 11</w:t>
      </w:r>
      <w:r>
        <w:t>(3), 261-275. doi:10.1080/09658210244000027</w:t>
      </w:r>
    </w:p>
    <w:p w14:paraId="4549A1CF" w14:textId="77777777" w:rsidR="00C75312" w:rsidRDefault="00C75312">
      <w:pPr>
        <w:spacing w:line="480" w:lineRule="auto"/>
        <w:jc w:val="both"/>
        <w:sectPr w:rsidR="00C75312">
          <w:pgSz w:w="11900" w:h="16840"/>
          <w:pgMar w:top="1160" w:right="1200" w:bottom="280" w:left="1300" w:header="720" w:footer="0" w:gutter="0"/>
          <w:cols w:space="720"/>
        </w:sectPr>
      </w:pPr>
    </w:p>
    <w:p w14:paraId="34D15FA3" w14:textId="77777777" w:rsidR="00C75312" w:rsidRDefault="00C75312">
      <w:pPr>
        <w:pStyle w:val="BodyText"/>
        <w:spacing w:before="9"/>
        <w:rPr>
          <w:sz w:val="15"/>
        </w:rPr>
      </w:pPr>
    </w:p>
    <w:p w14:paraId="5F4EB718" w14:textId="77777777" w:rsidR="00C75312" w:rsidRPr="002C3022" w:rsidRDefault="00BB293A">
      <w:pPr>
        <w:pStyle w:val="BodyText"/>
        <w:spacing w:before="90" w:line="480" w:lineRule="auto"/>
        <w:ind w:left="860" w:right="241" w:hanging="720"/>
        <w:jc w:val="both"/>
        <w:rPr>
          <w:lang w:val="de-DE"/>
        </w:rPr>
      </w:pPr>
      <w:r w:rsidRPr="002C3022">
        <w:rPr>
          <w:lang w:val="de-DE"/>
        </w:rPr>
        <w:t xml:space="preserve">Critchley, H. D., &amp; Garfinkel, S. N. (2017). Interoception and emotion. </w:t>
      </w:r>
      <w:r w:rsidRPr="002C3022">
        <w:rPr>
          <w:i/>
          <w:lang w:val="de-DE"/>
        </w:rPr>
        <w:t>Curr Opin Psychol, 17</w:t>
      </w:r>
      <w:r w:rsidRPr="002C3022">
        <w:rPr>
          <w:lang w:val="de-DE"/>
        </w:rPr>
        <w:t>, 7-14. doi:10.1016/j.copsyc.2017.04.020</w:t>
      </w:r>
    </w:p>
    <w:p w14:paraId="69D30D7A" w14:textId="77777777" w:rsidR="00C75312" w:rsidRDefault="00BB293A">
      <w:pPr>
        <w:spacing w:line="480" w:lineRule="auto"/>
        <w:ind w:left="860" w:right="234" w:hanging="720"/>
        <w:jc w:val="both"/>
        <w:rPr>
          <w:sz w:val="24"/>
        </w:rPr>
      </w:pPr>
      <w:r w:rsidRPr="002C3022">
        <w:rPr>
          <w:sz w:val="24"/>
          <w:lang w:val="de-DE"/>
        </w:rPr>
        <w:t xml:space="preserve">Critchley, H. D., &amp; Garfinkel, S. N. (2018). </w:t>
      </w:r>
      <w:r>
        <w:rPr>
          <w:sz w:val="24"/>
        </w:rPr>
        <w:t xml:space="preserve">The influence of physiological signals on cognition. </w:t>
      </w:r>
      <w:r>
        <w:rPr>
          <w:i/>
          <w:sz w:val="24"/>
        </w:rPr>
        <w:t>Current Opinion in Behavioral Sciences, 19</w:t>
      </w:r>
      <w:r>
        <w:rPr>
          <w:sz w:val="24"/>
        </w:rPr>
        <w:t>, 13-18. doi:10.1016/j.cobeha.2017.08.014</w:t>
      </w:r>
    </w:p>
    <w:p w14:paraId="60B8E187" w14:textId="77777777" w:rsidR="00C75312" w:rsidRDefault="00BB293A">
      <w:pPr>
        <w:pStyle w:val="BodyText"/>
        <w:spacing w:line="480" w:lineRule="auto"/>
        <w:ind w:left="860" w:right="236" w:hanging="720"/>
        <w:jc w:val="both"/>
      </w:pPr>
      <w:r>
        <w:t>Critchley,</w:t>
      </w:r>
      <w:r>
        <w:rPr>
          <w:spacing w:val="-3"/>
        </w:rPr>
        <w:t xml:space="preserve"> H.</w:t>
      </w:r>
      <w:r>
        <w:rPr>
          <w:spacing w:val="-8"/>
        </w:rPr>
        <w:t xml:space="preserve"> </w:t>
      </w:r>
      <w:r>
        <w:t>D.,</w:t>
      </w:r>
      <w:r>
        <w:rPr>
          <w:spacing w:val="-7"/>
        </w:rPr>
        <w:t xml:space="preserve"> </w:t>
      </w:r>
      <w:r>
        <w:t>&amp;</w:t>
      </w:r>
      <w:r>
        <w:rPr>
          <w:spacing w:val="-9"/>
        </w:rPr>
        <w:t xml:space="preserve"> </w:t>
      </w:r>
      <w:r>
        <w:t>Harrison,</w:t>
      </w:r>
      <w:r>
        <w:rPr>
          <w:spacing w:val="-8"/>
        </w:rPr>
        <w:t xml:space="preserve"> </w:t>
      </w:r>
      <w:r>
        <w:rPr>
          <w:spacing w:val="-3"/>
        </w:rPr>
        <w:t>N.</w:t>
      </w:r>
      <w:r>
        <w:rPr>
          <w:spacing w:val="-7"/>
        </w:rPr>
        <w:t xml:space="preserve"> </w:t>
      </w:r>
      <w:r>
        <w:t>A.</w:t>
      </w:r>
      <w:r>
        <w:rPr>
          <w:spacing w:val="-8"/>
        </w:rPr>
        <w:t xml:space="preserve"> </w:t>
      </w:r>
      <w:r>
        <w:t>(2013).</w:t>
      </w:r>
      <w:r>
        <w:rPr>
          <w:spacing w:val="-7"/>
        </w:rPr>
        <w:t xml:space="preserve"> </w:t>
      </w:r>
      <w:r>
        <w:t>Visceral</w:t>
      </w:r>
      <w:r>
        <w:rPr>
          <w:spacing w:val="-5"/>
        </w:rPr>
        <w:t xml:space="preserve"> </w:t>
      </w:r>
      <w:r>
        <w:t>influences</w:t>
      </w:r>
      <w:r>
        <w:rPr>
          <w:spacing w:val="-7"/>
        </w:rPr>
        <w:t xml:space="preserve"> </w:t>
      </w:r>
      <w:r>
        <w:t>on</w:t>
      </w:r>
      <w:r>
        <w:rPr>
          <w:spacing w:val="-10"/>
        </w:rPr>
        <w:t xml:space="preserve"> </w:t>
      </w:r>
      <w:r>
        <w:t>brain</w:t>
      </w:r>
      <w:r>
        <w:rPr>
          <w:spacing w:val="-11"/>
        </w:rPr>
        <w:t xml:space="preserve"> </w:t>
      </w:r>
      <w:r>
        <w:t>and</w:t>
      </w:r>
      <w:r>
        <w:rPr>
          <w:spacing w:val="-10"/>
        </w:rPr>
        <w:t xml:space="preserve"> </w:t>
      </w:r>
      <w:r>
        <w:t>behavior.</w:t>
      </w:r>
      <w:r>
        <w:rPr>
          <w:spacing w:val="-7"/>
        </w:rPr>
        <w:t xml:space="preserve"> </w:t>
      </w:r>
      <w:r>
        <w:rPr>
          <w:i/>
        </w:rPr>
        <w:t>Neuron, 77</w:t>
      </w:r>
      <w:r>
        <w:t>(4), 624-638.</w:t>
      </w:r>
      <w:r>
        <w:rPr>
          <w:spacing w:val="3"/>
        </w:rPr>
        <w:t xml:space="preserve"> </w:t>
      </w:r>
      <w:r>
        <w:t>doi:10.1016/j.neuron.2013.02.008</w:t>
      </w:r>
    </w:p>
    <w:p w14:paraId="2FB0DA93" w14:textId="77777777" w:rsidR="00C75312" w:rsidRDefault="00BB293A">
      <w:pPr>
        <w:pStyle w:val="BodyText"/>
        <w:spacing w:line="480" w:lineRule="auto"/>
        <w:ind w:left="860" w:right="241" w:hanging="720"/>
        <w:jc w:val="both"/>
      </w:pPr>
      <w:r>
        <w:t xml:space="preserve">Critchley, H. D., Wiens, S., </w:t>
      </w:r>
      <w:proofErr w:type="spellStart"/>
      <w:r>
        <w:t>Rotshtein</w:t>
      </w:r>
      <w:proofErr w:type="spellEnd"/>
      <w:r>
        <w:t xml:space="preserve">, P., Öhman, A., &amp; Dolan, R. J. (2004). Neural systems supporting interoceptive awareness. </w:t>
      </w:r>
      <w:r>
        <w:rPr>
          <w:i/>
        </w:rPr>
        <w:t>Nature Neuroscience, 7</w:t>
      </w:r>
      <w:r>
        <w:t>(2), 189-195. doi:10.1038/nn1176</w:t>
      </w:r>
    </w:p>
    <w:p w14:paraId="2EBE0DC6" w14:textId="77777777" w:rsidR="00C75312" w:rsidRDefault="00BB293A">
      <w:pPr>
        <w:pStyle w:val="BodyText"/>
        <w:spacing w:line="480" w:lineRule="auto"/>
        <w:ind w:left="860" w:right="235" w:hanging="720"/>
        <w:jc w:val="both"/>
      </w:pPr>
      <w:r>
        <w:t xml:space="preserve">Dajani, D. R., &amp; Uddin, L. Q. (2015). Demystifying cognitive flexibility: Implications for clinical and developmental neuroscience. </w:t>
      </w:r>
      <w:r>
        <w:rPr>
          <w:i/>
        </w:rPr>
        <w:t>Trends in Neurosciences, 38</w:t>
      </w:r>
      <w:r>
        <w:t>(9), 571-578. doi:10.1016/j.tins.2015.07.003</w:t>
      </w:r>
    </w:p>
    <w:p w14:paraId="4C232CA3" w14:textId="77777777" w:rsidR="00C75312" w:rsidRDefault="00BB293A">
      <w:pPr>
        <w:pStyle w:val="BodyText"/>
        <w:tabs>
          <w:tab w:val="left" w:pos="2410"/>
          <w:tab w:val="left" w:pos="3739"/>
          <w:tab w:val="left" w:pos="5357"/>
          <w:tab w:val="left" w:pos="6965"/>
          <w:tab w:val="left" w:pos="8304"/>
        </w:tabs>
        <w:spacing w:before="1" w:line="480" w:lineRule="auto"/>
        <w:ind w:left="860" w:right="234" w:hanging="720"/>
        <w:jc w:val="both"/>
      </w:pPr>
      <w:r>
        <w:t xml:space="preserve">de Vito, S., Buonocore, A., </w:t>
      </w:r>
      <w:proofErr w:type="spellStart"/>
      <w:r>
        <w:t>Bonnefon</w:t>
      </w:r>
      <w:proofErr w:type="spellEnd"/>
      <w:r>
        <w:t>, J.-F., &amp; Della Sala, S. (2015). Eye movements disrupt episodic</w:t>
      </w:r>
      <w:r>
        <w:tab/>
        <w:t>future</w:t>
      </w:r>
      <w:r>
        <w:tab/>
        <w:t>thinking.</w:t>
      </w:r>
      <w:r>
        <w:tab/>
      </w:r>
      <w:r>
        <w:rPr>
          <w:i/>
        </w:rPr>
        <w:t>Memory,</w:t>
      </w:r>
      <w:r>
        <w:rPr>
          <w:i/>
        </w:rPr>
        <w:tab/>
        <w:t>23</w:t>
      </w:r>
      <w:r>
        <w:t>(6),</w:t>
      </w:r>
      <w:r>
        <w:tab/>
      </w:r>
      <w:r>
        <w:rPr>
          <w:spacing w:val="-3"/>
        </w:rPr>
        <w:t>796-805.</w:t>
      </w:r>
    </w:p>
    <w:p w14:paraId="7C743C88" w14:textId="77777777" w:rsidR="00C75312" w:rsidRDefault="00BB293A">
      <w:pPr>
        <w:pStyle w:val="BodyText"/>
        <w:ind w:left="860"/>
      </w:pPr>
      <w:r>
        <w:t>doi:10.1080/09658211.2014.927888</w:t>
      </w:r>
    </w:p>
    <w:p w14:paraId="12432D03" w14:textId="77777777" w:rsidR="00C75312" w:rsidRDefault="00C75312">
      <w:pPr>
        <w:pStyle w:val="BodyText"/>
      </w:pPr>
    </w:p>
    <w:p w14:paraId="36228C74" w14:textId="77777777" w:rsidR="00C75312" w:rsidRDefault="00BB293A">
      <w:pPr>
        <w:pStyle w:val="BodyText"/>
        <w:spacing w:line="480" w:lineRule="auto"/>
        <w:ind w:left="860" w:right="234" w:hanging="720"/>
        <w:jc w:val="both"/>
      </w:pPr>
      <w:r>
        <w:t xml:space="preserve">de Vries, M., &amp; Geurts, H. (2015). Influence of autism traits and executive functioning on quality of life in children with an autism spectrum disorder. </w:t>
      </w:r>
      <w:r>
        <w:rPr>
          <w:i/>
        </w:rPr>
        <w:t>Journal of Autism and Developmental Disorders, 45</w:t>
      </w:r>
      <w:r>
        <w:t>(9), 2734-2743. doi:10.1007/s10803-015-2438-1</w:t>
      </w:r>
    </w:p>
    <w:p w14:paraId="6673191A" w14:textId="77777777" w:rsidR="00C75312" w:rsidRDefault="00BB293A">
      <w:pPr>
        <w:pStyle w:val="BodyText"/>
        <w:ind w:left="140"/>
        <w:jc w:val="both"/>
      </w:pPr>
      <w:r>
        <w:t>Delmonte,</w:t>
      </w:r>
      <w:r>
        <w:rPr>
          <w:spacing w:val="-15"/>
        </w:rPr>
        <w:t xml:space="preserve"> </w:t>
      </w:r>
      <w:r>
        <w:t>S.,</w:t>
      </w:r>
      <w:r>
        <w:rPr>
          <w:spacing w:val="-19"/>
        </w:rPr>
        <w:t xml:space="preserve"> </w:t>
      </w:r>
      <w:proofErr w:type="spellStart"/>
      <w:r>
        <w:t>Balsters</w:t>
      </w:r>
      <w:proofErr w:type="spellEnd"/>
      <w:r>
        <w:t>,</w:t>
      </w:r>
      <w:r>
        <w:rPr>
          <w:spacing w:val="-15"/>
        </w:rPr>
        <w:t xml:space="preserve"> </w:t>
      </w:r>
      <w:r>
        <w:t>J.</w:t>
      </w:r>
      <w:r>
        <w:rPr>
          <w:spacing w:val="-14"/>
        </w:rPr>
        <w:t xml:space="preserve"> </w:t>
      </w:r>
      <w:r>
        <w:t>H.,</w:t>
      </w:r>
      <w:r>
        <w:rPr>
          <w:spacing w:val="-20"/>
        </w:rPr>
        <w:t xml:space="preserve"> </w:t>
      </w:r>
      <w:r>
        <w:t>McGrath,</w:t>
      </w:r>
      <w:r>
        <w:rPr>
          <w:spacing w:val="-14"/>
        </w:rPr>
        <w:t xml:space="preserve"> </w:t>
      </w:r>
      <w:r>
        <w:t>J.,</w:t>
      </w:r>
      <w:r>
        <w:rPr>
          <w:spacing w:val="-19"/>
        </w:rPr>
        <w:t xml:space="preserve"> </w:t>
      </w:r>
      <w:r>
        <w:t>Fitzgerald,</w:t>
      </w:r>
      <w:r>
        <w:rPr>
          <w:spacing w:val="-15"/>
        </w:rPr>
        <w:t xml:space="preserve"> </w:t>
      </w:r>
      <w:r>
        <w:t>J.,</w:t>
      </w:r>
      <w:r>
        <w:rPr>
          <w:spacing w:val="-14"/>
        </w:rPr>
        <w:t xml:space="preserve"> </w:t>
      </w:r>
      <w:r>
        <w:t>Brennan,</w:t>
      </w:r>
      <w:r>
        <w:rPr>
          <w:spacing w:val="-20"/>
        </w:rPr>
        <w:t xml:space="preserve"> </w:t>
      </w:r>
      <w:r>
        <w:t>S.,</w:t>
      </w:r>
      <w:r>
        <w:rPr>
          <w:spacing w:val="-19"/>
        </w:rPr>
        <w:t xml:space="preserve"> </w:t>
      </w:r>
      <w:r>
        <w:t>Fagan,</w:t>
      </w:r>
      <w:r>
        <w:rPr>
          <w:spacing w:val="-14"/>
        </w:rPr>
        <w:t xml:space="preserve"> </w:t>
      </w:r>
      <w:r>
        <w:rPr>
          <w:spacing w:val="-3"/>
        </w:rPr>
        <w:t>A.</w:t>
      </w:r>
      <w:r>
        <w:rPr>
          <w:spacing w:val="-15"/>
        </w:rPr>
        <w:t xml:space="preserve"> </w:t>
      </w:r>
      <w:r>
        <w:t>J.,</w:t>
      </w:r>
      <w:r>
        <w:rPr>
          <w:spacing w:val="-19"/>
        </w:rPr>
        <w:t xml:space="preserve"> </w:t>
      </w:r>
      <w:r>
        <w:t>&amp;</w:t>
      </w:r>
      <w:r>
        <w:rPr>
          <w:spacing w:val="-16"/>
        </w:rPr>
        <w:t xml:space="preserve"> </w:t>
      </w:r>
      <w:r>
        <w:t>Gallagher,</w:t>
      </w:r>
    </w:p>
    <w:p w14:paraId="6896E7EA" w14:textId="77777777" w:rsidR="00C75312" w:rsidRDefault="00C75312">
      <w:pPr>
        <w:pStyle w:val="BodyText"/>
      </w:pPr>
    </w:p>
    <w:p w14:paraId="004BE450" w14:textId="77777777" w:rsidR="00C75312" w:rsidRDefault="00BB293A">
      <w:pPr>
        <w:pStyle w:val="BodyText"/>
        <w:ind w:left="860"/>
      </w:pPr>
      <w:r>
        <w:t>L.  (2012).  Social  and  monetary  reward  processing  in  autism  spectrum</w:t>
      </w:r>
      <w:r>
        <w:rPr>
          <w:spacing w:val="42"/>
        </w:rPr>
        <w:t xml:space="preserve"> </w:t>
      </w:r>
      <w:r>
        <w:t>disorders.</w:t>
      </w:r>
    </w:p>
    <w:p w14:paraId="7A827E8A" w14:textId="77777777" w:rsidR="00C75312" w:rsidRDefault="00C75312">
      <w:pPr>
        <w:pStyle w:val="BodyText"/>
      </w:pPr>
    </w:p>
    <w:p w14:paraId="7B3D7E26" w14:textId="77777777" w:rsidR="00C75312" w:rsidRDefault="00BB293A">
      <w:pPr>
        <w:ind w:left="860"/>
        <w:rPr>
          <w:sz w:val="24"/>
        </w:rPr>
      </w:pPr>
      <w:r>
        <w:rPr>
          <w:i/>
          <w:sz w:val="24"/>
        </w:rPr>
        <w:t>Molecular Autism, 3</w:t>
      </w:r>
      <w:r>
        <w:rPr>
          <w:sz w:val="24"/>
        </w:rPr>
        <w:t>(1), 7-7. doi:10.1186/2040-2392-3-7</w:t>
      </w:r>
    </w:p>
    <w:p w14:paraId="011D765D" w14:textId="77777777" w:rsidR="00C75312" w:rsidRDefault="00C75312">
      <w:pPr>
        <w:pStyle w:val="BodyText"/>
      </w:pPr>
    </w:p>
    <w:p w14:paraId="62527951" w14:textId="77777777" w:rsidR="00C75312" w:rsidRDefault="00BB293A">
      <w:pPr>
        <w:pStyle w:val="BodyText"/>
        <w:ind w:left="140"/>
        <w:jc w:val="both"/>
      </w:pPr>
      <w:r>
        <w:t xml:space="preserve">Demetriou, E. A., </w:t>
      </w:r>
      <w:proofErr w:type="spellStart"/>
      <w:r>
        <w:t>Lampit</w:t>
      </w:r>
      <w:proofErr w:type="spellEnd"/>
      <w:r>
        <w:t>, A., Quintana, D. S., Naismith, S. L., Song, Y. J. C., Pye, J. E., . . .</w:t>
      </w:r>
    </w:p>
    <w:p w14:paraId="110506B9" w14:textId="77777777" w:rsidR="00C75312" w:rsidRDefault="00C75312">
      <w:pPr>
        <w:pStyle w:val="BodyText"/>
      </w:pPr>
    </w:p>
    <w:p w14:paraId="08DFB489" w14:textId="77777777" w:rsidR="00C75312" w:rsidRDefault="00BB293A">
      <w:pPr>
        <w:pStyle w:val="BodyText"/>
        <w:spacing w:line="480" w:lineRule="auto"/>
        <w:ind w:left="860"/>
      </w:pPr>
      <w:r>
        <w:t xml:space="preserve">Guastella, A. J. (2017). Autism spectrum disorders: a meta-analysis of executive function. </w:t>
      </w:r>
      <w:r>
        <w:rPr>
          <w:i/>
        </w:rPr>
        <w:t>Molecular Psychiatry</w:t>
      </w:r>
      <w:r>
        <w:t>(November 2016), 1-7. doi:10.1038/mp.2017.75</w:t>
      </w:r>
    </w:p>
    <w:p w14:paraId="091DB0A2" w14:textId="77777777" w:rsidR="00C75312" w:rsidRDefault="00C75312">
      <w:pPr>
        <w:spacing w:line="480" w:lineRule="auto"/>
        <w:sectPr w:rsidR="00C75312">
          <w:pgSz w:w="11900" w:h="16840"/>
          <w:pgMar w:top="1160" w:right="1200" w:bottom="280" w:left="1300" w:header="720" w:footer="0" w:gutter="0"/>
          <w:cols w:space="720"/>
        </w:sectPr>
      </w:pPr>
    </w:p>
    <w:p w14:paraId="530DE78E" w14:textId="77777777" w:rsidR="00C75312" w:rsidRDefault="00C75312">
      <w:pPr>
        <w:pStyle w:val="BodyText"/>
        <w:spacing w:before="9"/>
        <w:rPr>
          <w:sz w:val="15"/>
        </w:rPr>
      </w:pPr>
    </w:p>
    <w:p w14:paraId="57790EF9" w14:textId="77777777" w:rsidR="00C75312" w:rsidRDefault="00BB293A">
      <w:pPr>
        <w:pStyle w:val="BodyText"/>
        <w:spacing w:before="90" w:line="480" w:lineRule="auto"/>
        <w:ind w:left="860" w:right="233" w:hanging="720"/>
        <w:jc w:val="both"/>
      </w:pPr>
      <w:r>
        <w:t>Dempster, F. N., &amp; Vegas, L. (1992). The rise and fall of the inhibitory mechanism: Toward</w:t>
      </w:r>
      <w:r>
        <w:rPr>
          <w:spacing w:val="-32"/>
        </w:rPr>
        <w:t xml:space="preserve"> </w:t>
      </w:r>
      <w:r>
        <w:t xml:space="preserve">a unified theory </w:t>
      </w:r>
      <w:r>
        <w:rPr>
          <w:spacing w:val="-3"/>
        </w:rPr>
        <w:t xml:space="preserve">of </w:t>
      </w:r>
      <w:r>
        <w:t xml:space="preserve">cognitive development and aging. </w:t>
      </w:r>
      <w:r>
        <w:rPr>
          <w:i/>
        </w:rPr>
        <w:t>Developmental Review, 12</w:t>
      </w:r>
      <w:r>
        <w:t>(1), 45- 75.</w:t>
      </w:r>
      <w:r>
        <w:rPr>
          <w:spacing w:val="3"/>
        </w:rPr>
        <w:t xml:space="preserve"> </w:t>
      </w:r>
      <w:r>
        <w:t>doi:10.1016/0273-2297(92)90003-K</w:t>
      </w:r>
    </w:p>
    <w:p w14:paraId="5A403EDF" w14:textId="77777777" w:rsidR="00C75312" w:rsidRDefault="00BB293A">
      <w:pPr>
        <w:pStyle w:val="BodyText"/>
        <w:spacing w:line="480" w:lineRule="auto"/>
        <w:ind w:left="860" w:right="236" w:hanging="720"/>
        <w:jc w:val="both"/>
      </w:pPr>
      <w:proofErr w:type="spellStart"/>
      <w:r>
        <w:t>DePape</w:t>
      </w:r>
      <w:proofErr w:type="spellEnd"/>
      <w:r>
        <w:t xml:space="preserve">, A.-M. R., Hall, G. B. C., Tillmann, B., &amp; Trainor, L. J. (2012). Auditory processing in high-functioning adolescents with autism spectrum disorder. </w:t>
      </w:r>
      <w:proofErr w:type="spellStart"/>
      <w:r>
        <w:rPr>
          <w:i/>
        </w:rPr>
        <w:t>PLoS</w:t>
      </w:r>
      <w:proofErr w:type="spellEnd"/>
      <w:r>
        <w:rPr>
          <w:i/>
        </w:rPr>
        <w:t xml:space="preserve"> ONE, 7</w:t>
      </w:r>
      <w:r>
        <w:t>(9). doi:10.1371/journal.pone.0044084</w:t>
      </w:r>
    </w:p>
    <w:p w14:paraId="6DB8D7BC" w14:textId="77777777" w:rsidR="00C75312" w:rsidRPr="002C3022" w:rsidRDefault="00BB293A">
      <w:pPr>
        <w:pStyle w:val="BodyText"/>
        <w:spacing w:line="480" w:lineRule="auto"/>
        <w:ind w:left="860" w:right="236" w:hanging="720"/>
        <w:jc w:val="both"/>
        <w:rPr>
          <w:lang w:val="it-IT"/>
        </w:rPr>
      </w:pPr>
      <w:proofErr w:type="spellStart"/>
      <w:r>
        <w:t>Deruelle</w:t>
      </w:r>
      <w:proofErr w:type="spellEnd"/>
      <w:r>
        <w:t>,</w:t>
      </w:r>
      <w:r>
        <w:rPr>
          <w:spacing w:val="-3"/>
        </w:rPr>
        <w:t xml:space="preserve"> </w:t>
      </w:r>
      <w:r>
        <w:t>C.,</w:t>
      </w:r>
      <w:r>
        <w:rPr>
          <w:spacing w:val="-2"/>
        </w:rPr>
        <w:t xml:space="preserve"> </w:t>
      </w:r>
      <w:r>
        <w:t>Hubert,</w:t>
      </w:r>
      <w:r>
        <w:rPr>
          <w:spacing w:val="-2"/>
        </w:rPr>
        <w:t xml:space="preserve"> </w:t>
      </w:r>
      <w:r>
        <w:t>B.,</w:t>
      </w:r>
      <w:r>
        <w:rPr>
          <w:spacing w:val="-3"/>
        </w:rPr>
        <w:t xml:space="preserve"> </w:t>
      </w:r>
      <w:r>
        <w:t>Santos,</w:t>
      </w:r>
      <w:r>
        <w:rPr>
          <w:spacing w:val="-2"/>
        </w:rPr>
        <w:t xml:space="preserve"> </w:t>
      </w:r>
      <w:r>
        <w:t>A.,</w:t>
      </w:r>
      <w:r>
        <w:rPr>
          <w:spacing w:val="-7"/>
        </w:rPr>
        <w:t xml:space="preserve"> </w:t>
      </w:r>
      <w:r>
        <w:t>&amp;</w:t>
      </w:r>
      <w:r>
        <w:rPr>
          <w:spacing w:val="-4"/>
        </w:rPr>
        <w:t xml:space="preserve"> </w:t>
      </w:r>
      <w:r>
        <w:t>Wicker,</w:t>
      </w:r>
      <w:r>
        <w:rPr>
          <w:spacing w:val="-3"/>
        </w:rPr>
        <w:t xml:space="preserve"> </w:t>
      </w:r>
      <w:r>
        <w:t>B.</w:t>
      </w:r>
      <w:r>
        <w:rPr>
          <w:spacing w:val="-12"/>
        </w:rPr>
        <w:t xml:space="preserve"> </w:t>
      </w:r>
      <w:r>
        <w:t>(2008).</w:t>
      </w:r>
      <w:r>
        <w:rPr>
          <w:spacing w:val="-2"/>
        </w:rPr>
        <w:t xml:space="preserve"> </w:t>
      </w:r>
      <w:r>
        <w:t>Negative</w:t>
      </w:r>
      <w:r>
        <w:rPr>
          <w:spacing w:val="-6"/>
        </w:rPr>
        <w:t xml:space="preserve"> </w:t>
      </w:r>
      <w:r>
        <w:t>emotion</w:t>
      </w:r>
      <w:r>
        <w:rPr>
          <w:spacing w:val="-5"/>
        </w:rPr>
        <w:t xml:space="preserve"> </w:t>
      </w:r>
      <w:r>
        <w:t>does</w:t>
      </w:r>
      <w:r>
        <w:rPr>
          <w:spacing w:val="-7"/>
        </w:rPr>
        <w:t xml:space="preserve"> </w:t>
      </w:r>
      <w:r>
        <w:t>not</w:t>
      </w:r>
      <w:r>
        <w:rPr>
          <w:spacing w:val="-5"/>
        </w:rPr>
        <w:t xml:space="preserve"> </w:t>
      </w:r>
      <w:r>
        <w:t xml:space="preserve">enhance recall skills in adults with autistic spectrum disorders. </w:t>
      </w:r>
      <w:r w:rsidRPr="002C3022">
        <w:rPr>
          <w:i/>
          <w:lang w:val="it-IT"/>
        </w:rPr>
        <w:t>Autism Research, 1</w:t>
      </w:r>
      <w:r w:rsidRPr="002C3022">
        <w:rPr>
          <w:lang w:val="it-IT"/>
        </w:rPr>
        <w:t>(2), 91-96. doi:10.1002/aur.13</w:t>
      </w:r>
    </w:p>
    <w:p w14:paraId="6739489F" w14:textId="77777777" w:rsidR="00C75312" w:rsidRDefault="00BB293A">
      <w:pPr>
        <w:pStyle w:val="BodyText"/>
        <w:spacing w:line="480" w:lineRule="auto"/>
        <w:ind w:left="860" w:right="234" w:hanging="720"/>
        <w:jc w:val="both"/>
      </w:pPr>
      <w:r w:rsidRPr="002C3022">
        <w:rPr>
          <w:lang w:val="it-IT"/>
        </w:rPr>
        <w:t xml:space="preserve">Di Martino, A., Ross, K., Uddin, L. Q., Sklar, A. B., Castellanos, F. X., &amp; Milham, M. P. (2009). </w:t>
      </w:r>
      <w:r>
        <w:t xml:space="preserve">Functional Brain Correlates of Social and Nonsocial Processes in Autism Spectrum Disorders: An Activation Likelihood Estimation Meta-Analysis. </w:t>
      </w:r>
      <w:r>
        <w:rPr>
          <w:i/>
        </w:rPr>
        <w:t>Biological Psychiatry, 65</w:t>
      </w:r>
      <w:r>
        <w:t>(1), 63-74. doi:10.1016/j.biopsych.2008.09.022</w:t>
      </w:r>
    </w:p>
    <w:p w14:paraId="1BA3E962" w14:textId="77777777" w:rsidR="00C75312" w:rsidRDefault="00BB293A">
      <w:pPr>
        <w:spacing w:before="1" w:line="480" w:lineRule="auto"/>
        <w:ind w:left="140" w:right="238"/>
        <w:jc w:val="both"/>
        <w:rPr>
          <w:i/>
          <w:sz w:val="24"/>
        </w:rPr>
      </w:pPr>
      <w:r>
        <w:rPr>
          <w:sz w:val="24"/>
        </w:rPr>
        <w:t xml:space="preserve">Diamond, A. (2013). Executive Functions. </w:t>
      </w:r>
      <w:r>
        <w:rPr>
          <w:i/>
          <w:sz w:val="24"/>
        </w:rPr>
        <w:t>Annual Review of Psychology, 64</w:t>
      </w:r>
      <w:r>
        <w:rPr>
          <w:sz w:val="24"/>
        </w:rPr>
        <w:t xml:space="preserve">, 135-168. Dienes, Z. (2014). Using Bayes to get the most out of non-significant results. </w:t>
      </w:r>
      <w:r>
        <w:rPr>
          <w:i/>
          <w:sz w:val="24"/>
        </w:rPr>
        <w:t>Frontiers in</w:t>
      </w:r>
    </w:p>
    <w:p w14:paraId="7A3D2479" w14:textId="77777777" w:rsidR="00C75312" w:rsidRDefault="00BB293A">
      <w:pPr>
        <w:ind w:left="860"/>
        <w:jc w:val="both"/>
        <w:rPr>
          <w:sz w:val="24"/>
        </w:rPr>
      </w:pPr>
      <w:r>
        <w:rPr>
          <w:i/>
          <w:sz w:val="24"/>
        </w:rPr>
        <w:t>Psychology, 5</w:t>
      </w:r>
      <w:r>
        <w:rPr>
          <w:sz w:val="24"/>
        </w:rPr>
        <w:t>. doi:10.3389/Fpsyg.2014.00781</w:t>
      </w:r>
    </w:p>
    <w:p w14:paraId="16AD27ED" w14:textId="77777777" w:rsidR="00C75312" w:rsidRDefault="00C75312">
      <w:pPr>
        <w:pStyle w:val="BodyText"/>
      </w:pPr>
    </w:p>
    <w:p w14:paraId="0BE16D37" w14:textId="77777777" w:rsidR="00C75312" w:rsidRDefault="00BB293A">
      <w:pPr>
        <w:spacing w:line="480" w:lineRule="auto"/>
        <w:ind w:left="860" w:right="234" w:hanging="720"/>
        <w:jc w:val="both"/>
        <w:rPr>
          <w:sz w:val="24"/>
        </w:rPr>
      </w:pPr>
      <w:r>
        <w:rPr>
          <w:sz w:val="24"/>
        </w:rPr>
        <w:t xml:space="preserve">DuBois, D., </w:t>
      </w:r>
      <w:proofErr w:type="spellStart"/>
      <w:r>
        <w:rPr>
          <w:sz w:val="24"/>
        </w:rPr>
        <w:t>Ameis</w:t>
      </w:r>
      <w:proofErr w:type="spellEnd"/>
      <w:r>
        <w:rPr>
          <w:sz w:val="24"/>
        </w:rPr>
        <w:t xml:space="preserve">, S. H., Lai, M.-C., Casanova, M. F., &amp; </w:t>
      </w:r>
      <w:proofErr w:type="spellStart"/>
      <w:r>
        <w:rPr>
          <w:sz w:val="24"/>
        </w:rPr>
        <w:t>Desarkar</w:t>
      </w:r>
      <w:proofErr w:type="spellEnd"/>
      <w:r>
        <w:rPr>
          <w:sz w:val="24"/>
        </w:rPr>
        <w:t xml:space="preserve">, P. (2016). Interoception in autism spectrum disorder: A review. </w:t>
      </w:r>
      <w:r>
        <w:rPr>
          <w:i/>
          <w:sz w:val="24"/>
        </w:rPr>
        <w:t>International Journal of Developmental Neuroscience, 52</w:t>
      </w:r>
      <w:r>
        <w:rPr>
          <w:sz w:val="24"/>
        </w:rPr>
        <w:t>, 104-111. doi:10.1016/j.ijdevneu.2016.05.001</w:t>
      </w:r>
    </w:p>
    <w:p w14:paraId="6227A0B5" w14:textId="77777777" w:rsidR="00C75312" w:rsidRDefault="00BB293A">
      <w:pPr>
        <w:pStyle w:val="BodyText"/>
        <w:spacing w:line="480" w:lineRule="auto"/>
        <w:ind w:left="860" w:right="234" w:hanging="720"/>
        <w:jc w:val="both"/>
      </w:pPr>
      <w:proofErr w:type="spellStart"/>
      <w:r>
        <w:t>Dumontheil</w:t>
      </w:r>
      <w:proofErr w:type="spellEnd"/>
      <w:r>
        <w:t xml:space="preserve">, I., Burgess, P. W., &amp; Blakemore, S.-J. (2008). Development of rostral prefrontal cortex and cognitive and </w:t>
      </w:r>
      <w:proofErr w:type="spellStart"/>
      <w:r>
        <w:t>behavioural</w:t>
      </w:r>
      <w:proofErr w:type="spellEnd"/>
      <w:r>
        <w:t xml:space="preserve"> disorders. </w:t>
      </w:r>
      <w:r>
        <w:rPr>
          <w:i/>
        </w:rPr>
        <w:t>Developmental Medicine and Child Neurology, 50</w:t>
      </w:r>
      <w:r>
        <w:t>(3), 168-181. doi:10.1111/j.1469-8749.2008.02026.x</w:t>
      </w:r>
    </w:p>
    <w:p w14:paraId="254D35C5" w14:textId="77777777" w:rsidR="00C75312" w:rsidRDefault="00BB293A">
      <w:pPr>
        <w:pStyle w:val="BodyText"/>
        <w:spacing w:line="480" w:lineRule="auto"/>
        <w:ind w:left="860" w:right="236" w:hanging="720"/>
        <w:jc w:val="both"/>
      </w:pPr>
      <w:r>
        <w:t xml:space="preserve">Duncan, J. (2010). The multiple-demand (MD) system of the primate brain: mental programs for intelligent </w:t>
      </w:r>
      <w:proofErr w:type="spellStart"/>
      <w:r>
        <w:t>behaviour</w:t>
      </w:r>
      <w:proofErr w:type="spellEnd"/>
      <w:r>
        <w:t xml:space="preserve">. </w:t>
      </w:r>
      <w:r>
        <w:rPr>
          <w:i/>
        </w:rPr>
        <w:t>Trends in Cognitive Sciences, 14</w:t>
      </w:r>
      <w:r>
        <w:t>(4), 172-179. doi:10.1016/j.tics.2010.01.004</w:t>
      </w:r>
    </w:p>
    <w:p w14:paraId="1E147D44" w14:textId="77777777" w:rsidR="00C75312" w:rsidRDefault="00C75312">
      <w:pPr>
        <w:spacing w:line="480" w:lineRule="auto"/>
        <w:jc w:val="both"/>
        <w:sectPr w:rsidR="00C75312">
          <w:pgSz w:w="11900" w:h="16840"/>
          <w:pgMar w:top="1160" w:right="1200" w:bottom="280" w:left="1300" w:header="720" w:footer="0" w:gutter="0"/>
          <w:cols w:space="720"/>
        </w:sectPr>
      </w:pPr>
    </w:p>
    <w:p w14:paraId="1316641C" w14:textId="77777777" w:rsidR="00C75312" w:rsidRDefault="00C75312">
      <w:pPr>
        <w:pStyle w:val="BodyText"/>
        <w:spacing w:before="9"/>
        <w:rPr>
          <w:sz w:val="15"/>
        </w:rPr>
      </w:pPr>
    </w:p>
    <w:p w14:paraId="5D0B47CF" w14:textId="77777777" w:rsidR="00C75312" w:rsidRDefault="00BB293A">
      <w:pPr>
        <w:spacing w:before="90" w:line="480" w:lineRule="auto"/>
        <w:ind w:left="860" w:right="237" w:hanging="720"/>
        <w:jc w:val="both"/>
        <w:rPr>
          <w:sz w:val="24"/>
        </w:rPr>
      </w:pPr>
      <w:r>
        <w:rPr>
          <w:sz w:val="24"/>
        </w:rPr>
        <w:t xml:space="preserve">Dunn, L. M., Dunn, D. M., Styles, B., &amp; Sewell, J. (2009). </w:t>
      </w:r>
      <w:r>
        <w:rPr>
          <w:i/>
          <w:sz w:val="24"/>
        </w:rPr>
        <w:t xml:space="preserve">The British Picture Vocabulary Scale III </w:t>
      </w:r>
      <w:r>
        <w:rPr>
          <w:sz w:val="24"/>
        </w:rPr>
        <w:t xml:space="preserve">(3rd ed.). London: GL </w:t>
      </w:r>
      <w:proofErr w:type="spellStart"/>
      <w:r>
        <w:rPr>
          <w:sz w:val="24"/>
        </w:rPr>
        <w:t>Assessement</w:t>
      </w:r>
      <w:proofErr w:type="spellEnd"/>
      <w:r>
        <w:rPr>
          <w:sz w:val="24"/>
        </w:rPr>
        <w:t>.</w:t>
      </w:r>
    </w:p>
    <w:p w14:paraId="14CEAE89" w14:textId="77777777" w:rsidR="00C75312" w:rsidRDefault="00BB293A">
      <w:pPr>
        <w:pStyle w:val="BodyText"/>
        <w:spacing w:line="480" w:lineRule="auto"/>
        <w:ind w:left="860" w:right="239" w:hanging="720"/>
        <w:jc w:val="both"/>
      </w:pPr>
      <w:proofErr w:type="spellStart"/>
      <w:r>
        <w:t>Durrleman</w:t>
      </w:r>
      <w:proofErr w:type="spellEnd"/>
      <w:r>
        <w:t>,</w:t>
      </w:r>
      <w:r>
        <w:rPr>
          <w:spacing w:val="-3"/>
        </w:rPr>
        <w:t xml:space="preserve"> </w:t>
      </w:r>
      <w:r>
        <w:t>S.,</w:t>
      </w:r>
      <w:r>
        <w:rPr>
          <w:spacing w:val="-7"/>
        </w:rPr>
        <w:t xml:space="preserve"> </w:t>
      </w:r>
      <w:r>
        <w:t>&amp;</w:t>
      </w:r>
      <w:r>
        <w:rPr>
          <w:spacing w:val="-5"/>
        </w:rPr>
        <w:t xml:space="preserve"> </w:t>
      </w:r>
      <w:r>
        <w:t>Franck,</w:t>
      </w:r>
      <w:r>
        <w:rPr>
          <w:spacing w:val="-3"/>
        </w:rPr>
        <w:t xml:space="preserve"> </w:t>
      </w:r>
      <w:r>
        <w:t>J.</w:t>
      </w:r>
      <w:r>
        <w:rPr>
          <w:spacing w:val="-7"/>
        </w:rPr>
        <w:t xml:space="preserve"> </w:t>
      </w:r>
      <w:r>
        <w:t>(2015).</w:t>
      </w:r>
      <w:r>
        <w:rPr>
          <w:spacing w:val="-7"/>
        </w:rPr>
        <w:t xml:space="preserve"> </w:t>
      </w:r>
      <w:r>
        <w:t>Exploring</w:t>
      </w:r>
      <w:r>
        <w:rPr>
          <w:spacing w:val="-6"/>
        </w:rPr>
        <w:t xml:space="preserve"> </w:t>
      </w:r>
      <w:r>
        <w:t>links</w:t>
      </w:r>
      <w:r>
        <w:rPr>
          <w:spacing w:val="-7"/>
        </w:rPr>
        <w:t xml:space="preserve"> </w:t>
      </w:r>
      <w:r>
        <w:t>between</w:t>
      </w:r>
      <w:r>
        <w:rPr>
          <w:spacing w:val="-6"/>
        </w:rPr>
        <w:t xml:space="preserve"> </w:t>
      </w:r>
      <w:r>
        <w:t>language</w:t>
      </w:r>
      <w:r>
        <w:rPr>
          <w:spacing w:val="-6"/>
        </w:rPr>
        <w:t xml:space="preserve"> </w:t>
      </w:r>
      <w:r>
        <w:t>and</w:t>
      </w:r>
      <w:r>
        <w:rPr>
          <w:spacing w:val="-6"/>
        </w:rPr>
        <w:t xml:space="preserve"> </w:t>
      </w:r>
      <w:r>
        <w:t>cognition</w:t>
      </w:r>
      <w:r>
        <w:rPr>
          <w:spacing w:val="-5"/>
        </w:rPr>
        <w:t xml:space="preserve"> </w:t>
      </w:r>
      <w:r>
        <w:t>in</w:t>
      </w:r>
      <w:r>
        <w:rPr>
          <w:spacing w:val="-5"/>
        </w:rPr>
        <w:t xml:space="preserve"> </w:t>
      </w:r>
      <w:r>
        <w:t xml:space="preserve">autism spectrum disorders: Complement sentences, false belief, and executive functioning. </w:t>
      </w:r>
      <w:r>
        <w:rPr>
          <w:i/>
        </w:rPr>
        <w:t>Journal of Communication Disorders, 54</w:t>
      </w:r>
      <w:r>
        <w:t>, 15-31.</w:t>
      </w:r>
      <w:r>
        <w:rPr>
          <w:spacing w:val="-7"/>
        </w:rPr>
        <w:t xml:space="preserve"> </w:t>
      </w:r>
      <w:r>
        <w:t>doi:10.1016/j.jcomdis.2014.12.001</w:t>
      </w:r>
    </w:p>
    <w:p w14:paraId="580A8B8B" w14:textId="77777777" w:rsidR="00C75312" w:rsidRDefault="00BB293A">
      <w:pPr>
        <w:spacing w:line="480" w:lineRule="auto"/>
        <w:ind w:left="860" w:right="234" w:hanging="720"/>
        <w:jc w:val="both"/>
        <w:rPr>
          <w:sz w:val="24"/>
        </w:rPr>
      </w:pPr>
      <w:r>
        <w:rPr>
          <w:sz w:val="24"/>
        </w:rPr>
        <w:t xml:space="preserve">Einstein, G. O., &amp; McDaniel, M. A. (1990). Normal aging and prospective memory. </w:t>
      </w:r>
      <w:r>
        <w:rPr>
          <w:i/>
          <w:sz w:val="24"/>
        </w:rPr>
        <w:t>Journal of Experimental Psychology: Learning, Memory, and Cognition, 16</w:t>
      </w:r>
      <w:r>
        <w:rPr>
          <w:sz w:val="24"/>
        </w:rPr>
        <w:t>(4), 717-726. doi:10.1037/0278-7393.16.4.717</w:t>
      </w:r>
    </w:p>
    <w:p w14:paraId="2798422B" w14:textId="77777777" w:rsidR="00C75312" w:rsidRDefault="00BB293A">
      <w:pPr>
        <w:spacing w:line="480" w:lineRule="auto"/>
        <w:ind w:left="860" w:right="235" w:hanging="720"/>
        <w:jc w:val="both"/>
        <w:rPr>
          <w:sz w:val="24"/>
        </w:rPr>
      </w:pPr>
      <w:r>
        <w:rPr>
          <w:sz w:val="24"/>
        </w:rPr>
        <w:t>Einstein,</w:t>
      </w:r>
      <w:r>
        <w:rPr>
          <w:spacing w:val="-9"/>
          <w:sz w:val="24"/>
        </w:rPr>
        <w:t xml:space="preserve"> </w:t>
      </w:r>
      <w:r>
        <w:rPr>
          <w:sz w:val="24"/>
        </w:rPr>
        <w:t>G.</w:t>
      </w:r>
      <w:r>
        <w:rPr>
          <w:spacing w:val="-8"/>
          <w:sz w:val="24"/>
        </w:rPr>
        <w:t xml:space="preserve"> </w:t>
      </w:r>
      <w:r>
        <w:rPr>
          <w:sz w:val="24"/>
        </w:rPr>
        <w:t>O.,</w:t>
      </w:r>
      <w:r>
        <w:rPr>
          <w:spacing w:val="-9"/>
          <w:sz w:val="24"/>
        </w:rPr>
        <w:t xml:space="preserve"> </w:t>
      </w:r>
      <w:r>
        <w:rPr>
          <w:sz w:val="24"/>
        </w:rPr>
        <w:t>&amp;</w:t>
      </w:r>
      <w:r>
        <w:rPr>
          <w:spacing w:val="-10"/>
          <w:sz w:val="24"/>
        </w:rPr>
        <w:t xml:space="preserve"> </w:t>
      </w:r>
      <w:r>
        <w:rPr>
          <w:sz w:val="24"/>
        </w:rPr>
        <w:t>McDaniel,</w:t>
      </w:r>
      <w:r>
        <w:rPr>
          <w:spacing w:val="-4"/>
          <w:sz w:val="24"/>
        </w:rPr>
        <w:t xml:space="preserve"> </w:t>
      </w:r>
      <w:r>
        <w:rPr>
          <w:sz w:val="24"/>
        </w:rPr>
        <w:t>M.</w:t>
      </w:r>
      <w:r>
        <w:rPr>
          <w:spacing w:val="-9"/>
          <w:sz w:val="24"/>
        </w:rPr>
        <w:t xml:space="preserve"> </w:t>
      </w:r>
      <w:r>
        <w:rPr>
          <w:sz w:val="24"/>
        </w:rPr>
        <w:t>A.</w:t>
      </w:r>
      <w:r>
        <w:rPr>
          <w:spacing w:val="-8"/>
          <w:sz w:val="24"/>
        </w:rPr>
        <w:t xml:space="preserve"> </w:t>
      </w:r>
      <w:r>
        <w:rPr>
          <w:sz w:val="24"/>
        </w:rPr>
        <w:t>(2005).</w:t>
      </w:r>
      <w:r>
        <w:rPr>
          <w:spacing w:val="-9"/>
          <w:sz w:val="24"/>
        </w:rPr>
        <w:t xml:space="preserve"> </w:t>
      </w:r>
      <w:r>
        <w:rPr>
          <w:sz w:val="24"/>
        </w:rPr>
        <w:t>Prospective</w:t>
      </w:r>
      <w:r>
        <w:rPr>
          <w:spacing w:val="-7"/>
          <w:sz w:val="24"/>
        </w:rPr>
        <w:t xml:space="preserve"> </w:t>
      </w:r>
      <w:r>
        <w:rPr>
          <w:sz w:val="24"/>
        </w:rPr>
        <w:t>memory:</w:t>
      </w:r>
      <w:r>
        <w:rPr>
          <w:spacing w:val="-11"/>
          <w:sz w:val="24"/>
        </w:rPr>
        <w:t xml:space="preserve"> </w:t>
      </w:r>
      <w:r>
        <w:rPr>
          <w:sz w:val="24"/>
        </w:rPr>
        <w:t>Multiple</w:t>
      </w:r>
      <w:r>
        <w:rPr>
          <w:spacing w:val="-12"/>
          <w:sz w:val="24"/>
        </w:rPr>
        <w:t xml:space="preserve"> </w:t>
      </w:r>
      <w:r>
        <w:rPr>
          <w:sz w:val="24"/>
        </w:rPr>
        <w:t>retrieval</w:t>
      </w:r>
      <w:r>
        <w:rPr>
          <w:spacing w:val="-10"/>
          <w:sz w:val="24"/>
        </w:rPr>
        <w:t xml:space="preserve"> </w:t>
      </w:r>
      <w:r>
        <w:rPr>
          <w:sz w:val="24"/>
        </w:rPr>
        <w:t xml:space="preserve">processes. </w:t>
      </w:r>
      <w:r>
        <w:rPr>
          <w:i/>
          <w:sz w:val="24"/>
        </w:rPr>
        <w:t>Current Directions in Psychological Science, 14</w:t>
      </w:r>
      <w:r>
        <w:rPr>
          <w:sz w:val="24"/>
        </w:rPr>
        <w:t>(6), 286-290. doi:10.1111/j.0963- 7214.2005.00382.x</w:t>
      </w:r>
    </w:p>
    <w:p w14:paraId="172F29F7" w14:textId="77777777" w:rsidR="00C75312" w:rsidRDefault="00BB293A">
      <w:pPr>
        <w:spacing w:before="1" w:line="480" w:lineRule="auto"/>
        <w:ind w:left="860" w:right="234" w:hanging="720"/>
        <w:jc w:val="both"/>
        <w:rPr>
          <w:sz w:val="24"/>
        </w:rPr>
      </w:pPr>
      <w:r>
        <w:rPr>
          <w:sz w:val="24"/>
        </w:rPr>
        <w:t xml:space="preserve">Einstein, G. O., McDaniel, M. A., Richardson, S. L., Guynn, M. J., &amp; Cunfer, A. R. (1995). Aging and prospective memory: examining the influences of self-initiated retrieval processes. </w:t>
      </w:r>
      <w:r>
        <w:rPr>
          <w:i/>
          <w:sz w:val="24"/>
        </w:rPr>
        <w:t>Journal of Experimental Psychology: Learning, Memory, and Cognition, 21</w:t>
      </w:r>
      <w:r>
        <w:rPr>
          <w:sz w:val="24"/>
        </w:rPr>
        <w:t>(4), 996-1007.</w:t>
      </w:r>
    </w:p>
    <w:p w14:paraId="0769A101" w14:textId="77777777" w:rsidR="00C75312" w:rsidRDefault="00BB293A">
      <w:pPr>
        <w:pStyle w:val="BodyText"/>
        <w:spacing w:line="480" w:lineRule="auto"/>
        <w:ind w:left="860" w:right="236" w:hanging="720"/>
        <w:jc w:val="both"/>
      </w:pPr>
      <w:r>
        <w:t xml:space="preserve">Einstein, G. O., McDaniel, M. A., Thomas, R., Mayfield, S., Shank, H., Morrisette, N., &amp; </w:t>
      </w:r>
      <w:proofErr w:type="spellStart"/>
      <w:r>
        <w:t>Breneiser</w:t>
      </w:r>
      <w:proofErr w:type="spellEnd"/>
      <w:r>
        <w:t xml:space="preserve">, J. (2005). Multiple processes in prospective memory retrieval: Factors determining monitoring versus spontaneous retrieval. </w:t>
      </w:r>
      <w:r>
        <w:rPr>
          <w:i/>
        </w:rPr>
        <w:t>Journal of Experimental Psychology: General, 134</w:t>
      </w:r>
      <w:r>
        <w:t>(3), 327-342. doi:10.1037/0096-3445.134.3.327</w:t>
      </w:r>
    </w:p>
    <w:p w14:paraId="7A5266A5" w14:textId="77777777" w:rsidR="00C75312" w:rsidRDefault="00BB293A">
      <w:pPr>
        <w:pStyle w:val="BodyText"/>
        <w:spacing w:line="480" w:lineRule="auto"/>
        <w:ind w:left="860" w:right="236" w:hanging="720"/>
        <w:jc w:val="both"/>
      </w:pPr>
      <w:r>
        <w:t xml:space="preserve">Einstein, G. O., Smith, R. E., McDaniel, M. A., &amp; Shaw, P. (1997). Aging and Prospective Memory: The Influence of Increased Task Demands at Encoding and Retrieval. </w:t>
      </w:r>
      <w:r>
        <w:rPr>
          <w:i/>
        </w:rPr>
        <w:t>Psychology and Aging, 12</w:t>
      </w:r>
      <w:r>
        <w:t>(3), 479-488. doi:10.1037/0882-7974.12.3.479</w:t>
      </w:r>
    </w:p>
    <w:p w14:paraId="4638CC7D" w14:textId="77777777" w:rsidR="00C75312" w:rsidRDefault="00BB293A">
      <w:pPr>
        <w:pStyle w:val="BodyText"/>
        <w:spacing w:line="480" w:lineRule="auto"/>
        <w:ind w:left="860" w:right="239" w:hanging="720"/>
        <w:jc w:val="both"/>
      </w:pPr>
      <w:r>
        <w:t xml:space="preserve">Ellis, J. (1996). Prospective memory or the realization of delayed intentions: A conceptual framework for research. In M. A. </w:t>
      </w:r>
      <w:proofErr w:type="spellStart"/>
      <w:r>
        <w:t>Brandimonte</w:t>
      </w:r>
      <w:proofErr w:type="spellEnd"/>
      <w:r>
        <w:t>, G. O. Einstein, &amp; M. A. McDaniel</w:t>
      </w:r>
    </w:p>
    <w:p w14:paraId="0C09BDB1" w14:textId="77777777" w:rsidR="00C75312" w:rsidRDefault="00C75312">
      <w:pPr>
        <w:spacing w:line="480" w:lineRule="auto"/>
        <w:jc w:val="both"/>
        <w:sectPr w:rsidR="00C75312">
          <w:pgSz w:w="11900" w:h="16840"/>
          <w:pgMar w:top="1160" w:right="1200" w:bottom="280" w:left="1300" w:header="720" w:footer="0" w:gutter="0"/>
          <w:cols w:space="720"/>
        </w:sectPr>
      </w:pPr>
    </w:p>
    <w:p w14:paraId="6CBEE074" w14:textId="77777777" w:rsidR="00C75312" w:rsidRDefault="00C75312">
      <w:pPr>
        <w:pStyle w:val="BodyText"/>
        <w:spacing w:before="9"/>
        <w:rPr>
          <w:sz w:val="15"/>
        </w:rPr>
      </w:pPr>
    </w:p>
    <w:p w14:paraId="71B5A1F9" w14:textId="77777777" w:rsidR="00C75312" w:rsidRDefault="00BB293A">
      <w:pPr>
        <w:spacing w:before="90" w:line="480" w:lineRule="auto"/>
        <w:ind w:left="860" w:right="239"/>
        <w:jc w:val="both"/>
        <w:rPr>
          <w:sz w:val="24"/>
        </w:rPr>
      </w:pPr>
      <w:r>
        <w:rPr>
          <w:sz w:val="24"/>
        </w:rPr>
        <w:t xml:space="preserve">(Eds.), </w:t>
      </w:r>
      <w:r>
        <w:rPr>
          <w:i/>
          <w:sz w:val="24"/>
        </w:rPr>
        <w:t xml:space="preserve">Prospective memory: Theory and applications </w:t>
      </w:r>
      <w:r>
        <w:rPr>
          <w:sz w:val="24"/>
        </w:rPr>
        <w:t>(pp. 1-22). Mahwah NJ: Lawrence Erlbaum Associates, Inc.</w:t>
      </w:r>
    </w:p>
    <w:p w14:paraId="6013B395" w14:textId="77777777" w:rsidR="00C75312" w:rsidRDefault="00BB293A">
      <w:pPr>
        <w:pStyle w:val="BodyText"/>
        <w:spacing w:line="480" w:lineRule="auto"/>
        <w:ind w:left="860" w:right="236" w:hanging="720"/>
        <w:jc w:val="both"/>
      </w:pPr>
      <w:r>
        <w:t xml:space="preserve">Faul, F., </w:t>
      </w:r>
      <w:proofErr w:type="spellStart"/>
      <w:r>
        <w:t>Erdfelder</w:t>
      </w:r>
      <w:proofErr w:type="spellEnd"/>
      <w:r>
        <w:t xml:space="preserve">, E., Lang, A.-G., &amp; Buchner, A. (2007). G* Power 3: A flexible statistical power analysis program for the social, behavioral, and biomedical sciences. </w:t>
      </w:r>
      <w:r>
        <w:rPr>
          <w:i/>
        </w:rPr>
        <w:t>Behavior Research Methods, 39</w:t>
      </w:r>
      <w:r>
        <w:t>(2), 175-191. doi:10.3758/BF03193146</w:t>
      </w:r>
    </w:p>
    <w:p w14:paraId="6EDD4B25" w14:textId="77777777" w:rsidR="00C75312" w:rsidRDefault="00BB293A">
      <w:pPr>
        <w:ind w:left="140"/>
        <w:jc w:val="both"/>
        <w:rPr>
          <w:i/>
          <w:sz w:val="24"/>
        </w:rPr>
      </w:pPr>
      <w:r>
        <w:rPr>
          <w:sz w:val="24"/>
        </w:rPr>
        <w:t xml:space="preserve">Fleiss, J. L., Levin, B., &amp; Paik, M. C. (2003). </w:t>
      </w:r>
      <w:r>
        <w:rPr>
          <w:i/>
          <w:sz w:val="24"/>
        </w:rPr>
        <w:t>Statistical Methods for Rates and Proportions</w:t>
      </w:r>
    </w:p>
    <w:p w14:paraId="3A98B97C" w14:textId="77777777" w:rsidR="00C75312" w:rsidRDefault="00C75312">
      <w:pPr>
        <w:pStyle w:val="BodyText"/>
        <w:rPr>
          <w:i/>
        </w:rPr>
      </w:pPr>
    </w:p>
    <w:p w14:paraId="1010AB62" w14:textId="77777777" w:rsidR="00C75312" w:rsidRDefault="00BB293A">
      <w:pPr>
        <w:pStyle w:val="BodyText"/>
        <w:ind w:left="860"/>
        <w:jc w:val="both"/>
      </w:pPr>
      <w:r>
        <w:t>(3rd ed.). Hoboken, New Jersey: Wiley.</w:t>
      </w:r>
    </w:p>
    <w:p w14:paraId="6A8B8034" w14:textId="77777777" w:rsidR="00C75312" w:rsidRDefault="00C75312">
      <w:pPr>
        <w:pStyle w:val="BodyText"/>
      </w:pPr>
    </w:p>
    <w:p w14:paraId="04C22E2D" w14:textId="77777777" w:rsidR="00C75312" w:rsidRDefault="00BB293A">
      <w:pPr>
        <w:pStyle w:val="BodyText"/>
        <w:spacing w:line="480" w:lineRule="auto"/>
        <w:ind w:left="860" w:right="235" w:hanging="720"/>
        <w:jc w:val="both"/>
      </w:pPr>
      <w:r>
        <w:t xml:space="preserve">Ford, R. M., Driscoll, T., Shum, D., &amp; Macaulay, C. E. (2012). Executive and theory-of-mind contributions to event-based prospective memory in children: Exploring the self- projection hypothesis. </w:t>
      </w:r>
      <w:r>
        <w:rPr>
          <w:i/>
        </w:rPr>
        <w:t>Journal of Experimental Child Psychology, 111</w:t>
      </w:r>
      <w:r>
        <w:t>(3), 468-489. doi:10.1016/j.jecp.2011.10.006</w:t>
      </w:r>
    </w:p>
    <w:p w14:paraId="28721B50" w14:textId="77777777" w:rsidR="00C75312" w:rsidRDefault="00BB293A">
      <w:pPr>
        <w:spacing w:before="1" w:line="480" w:lineRule="auto"/>
        <w:ind w:left="860" w:right="234" w:hanging="720"/>
        <w:jc w:val="both"/>
        <w:rPr>
          <w:sz w:val="24"/>
        </w:rPr>
      </w:pPr>
      <w:r>
        <w:rPr>
          <w:sz w:val="24"/>
        </w:rPr>
        <w:t xml:space="preserve">Fox, M. D., Snyder, A. Z., Vincent, J. L., </w:t>
      </w:r>
      <w:proofErr w:type="spellStart"/>
      <w:r>
        <w:rPr>
          <w:sz w:val="24"/>
        </w:rPr>
        <w:t>Corbetta</w:t>
      </w:r>
      <w:proofErr w:type="spellEnd"/>
      <w:r>
        <w:rPr>
          <w:sz w:val="24"/>
        </w:rPr>
        <w:t xml:space="preserve">, M., Van Essen, D. C., &amp; Raichle, M. E. (2005). The human brain is intrinsically organized into dynamic, anticorrelated functional networks. </w:t>
      </w:r>
      <w:r>
        <w:rPr>
          <w:i/>
          <w:sz w:val="24"/>
        </w:rPr>
        <w:t>Proceedings of the National Academy of Sciences of the United States of America, 102</w:t>
      </w:r>
      <w:r>
        <w:rPr>
          <w:sz w:val="24"/>
        </w:rPr>
        <w:t>(27), 9673-9678. doi:10.1073/pnas.0504136102</w:t>
      </w:r>
    </w:p>
    <w:p w14:paraId="3C8E90EC" w14:textId="77777777" w:rsidR="00C75312" w:rsidRDefault="00BB293A">
      <w:pPr>
        <w:pStyle w:val="BodyText"/>
        <w:spacing w:line="480" w:lineRule="auto"/>
        <w:ind w:left="860" w:right="233" w:hanging="720"/>
        <w:jc w:val="both"/>
      </w:pPr>
      <w:r>
        <w:t xml:space="preserve">Frazier, T. W., Ratliff, K. R., Gruber, C., Zhang, Y., Law, P. A., &amp; Constantino, J. N. (2014). Confirmatory factor analytic structure and measurement invariance of quantitative autistic traits measured by the Social Responsiveness Scale-2. </w:t>
      </w:r>
      <w:r>
        <w:rPr>
          <w:i/>
        </w:rPr>
        <w:t>Autism, 18</w:t>
      </w:r>
      <w:r>
        <w:t>(1), 31-44. doi:10.1177/1362361313500382</w:t>
      </w:r>
    </w:p>
    <w:p w14:paraId="445A84CD" w14:textId="77777777" w:rsidR="00C75312" w:rsidRDefault="00BB293A">
      <w:pPr>
        <w:pStyle w:val="BodyText"/>
        <w:spacing w:line="480" w:lineRule="auto"/>
        <w:ind w:left="860" w:right="241" w:hanging="720"/>
        <w:jc w:val="both"/>
      </w:pPr>
      <w:r>
        <w:t xml:space="preserve">Frith, C., &amp; Frith, U. (2005). Theory of mind. </w:t>
      </w:r>
      <w:r>
        <w:rPr>
          <w:i/>
        </w:rPr>
        <w:t>Current Biology, 15</w:t>
      </w:r>
      <w:r>
        <w:t>(17), R644-R645. doi:10.1016/j.cub.2005.08.041</w:t>
      </w:r>
    </w:p>
    <w:p w14:paraId="5FA588DC" w14:textId="77777777" w:rsidR="00C75312" w:rsidRDefault="00BB293A">
      <w:pPr>
        <w:pStyle w:val="BodyText"/>
        <w:spacing w:line="480" w:lineRule="auto"/>
        <w:ind w:left="860" w:right="239" w:hanging="720"/>
        <w:jc w:val="both"/>
      </w:pPr>
      <w:r>
        <w:t>Fung,</w:t>
      </w:r>
      <w:r>
        <w:rPr>
          <w:spacing w:val="-8"/>
        </w:rPr>
        <w:t xml:space="preserve"> </w:t>
      </w:r>
      <w:r>
        <w:rPr>
          <w:spacing w:val="-4"/>
        </w:rPr>
        <w:t>B.</w:t>
      </w:r>
      <w:r>
        <w:rPr>
          <w:spacing w:val="-8"/>
        </w:rPr>
        <w:t xml:space="preserve"> </w:t>
      </w:r>
      <w:r>
        <w:t>J.,</w:t>
      </w:r>
      <w:r>
        <w:rPr>
          <w:spacing w:val="-12"/>
        </w:rPr>
        <w:t xml:space="preserve"> </w:t>
      </w:r>
      <w:r>
        <w:t>Crone,</w:t>
      </w:r>
      <w:r>
        <w:rPr>
          <w:spacing w:val="-13"/>
        </w:rPr>
        <w:t xml:space="preserve"> </w:t>
      </w:r>
      <w:r>
        <w:t>D.</w:t>
      </w:r>
      <w:r>
        <w:rPr>
          <w:spacing w:val="-12"/>
        </w:rPr>
        <w:t xml:space="preserve"> </w:t>
      </w:r>
      <w:r>
        <w:t>L.,</w:t>
      </w:r>
      <w:r>
        <w:rPr>
          <w:spacing w:val="-12"/>
        </w:rPr>
        <w:t xml:space="preserve"> </w:t>
      </w:r>
      <w:r>
        <w:t>Bode,</w:t>
      </w:r>
      <w:r>
        <w:rPr>
          <w:spacing w:val="-13"/>
        </w:rPr>
        <w:t xml:space="preserve"> </w:t>
      </w:r>
      <w:r>
        <w:t>S.,</w:t>
      </w:r>
      <w:r>
        <w:rPr>
          <w:spacing w:val="-12"/>
        </w:rPr>
        <w:t xml:space="preserve"> </w:t>
      </w:r>
      <w:r>
        <w:t>&amp;</w:t>
      </w:r>
      <w:r>
        <w:rPr>
          <w:spacing w:val="-10"/>
        </w:rPr>
        <w:t xml:space="preserve"> </w:t>
      </w:r>
      <w:r>
        <w:t>Murawski,</w:t>
      </w:r>
      <w:r>
        <w:rPr>
          <w:spacing w:val="-12"/>
        </w:rPr>
        <w:t xml:space="preserve"> </w:t>
      </w:r>
      <w:r>
        <w:t>C.</w:t>
      </w:r>
      <w:r>
        <w:rPr>
          <w:spacing w:val="-13"/>
        </w:rPr>
        <w:t xml:space="preserve"> </w:t>
      </w:r>
      <w:r>
        <w:t>(2017).</w:t>
      </w:r>
      <w:r>
        <w:rPr>
          <w:spacing w:val="-12"/>
        </w:rPr>
        <w:t xml:space="preserve"> </w:t>
      </w:r>
      <w:r>
        <w:t>Cardiac</w:t>
      </w:r>
      <w:r>
        <w:rPr>
          <w:spacing w:val="-12"/>
        </w:rPr>
        <w:t xml:space="preserve"> </w:t>
      </w:r>
      <w:r>
        <w:t>Signals</w:t>
      </w:r>
      <w:r>
        <w:rPr>
          <w:spacing w:val="-12"/>
        </w:rPr>
        <w:t xml:space="preserve"> </w:t>
      </w:r>
      <w:r>
        <w:t>Are</w:t>
      </w:r>
      <w:r>
        <w:rPr>
          <w:spacing w:val="-15"/>
        </w:rPr>
        <w:t xml:space="preserve"> </w:t>
      </w:r>
      <w:r>
        <w:t xml:space="preserve">Independently Associated with Temporal Discounting and Time Perception. </w:t>
      </w:r>
      <w:r>
        <w:rPr>
          <w:i/>
        </w:rPr>
        <w:t>Frontiers in Behavioral Neuroscience, 11</w:t>
      </w:r>
      <w:r>
        <w:t>(January), 1-11.</w:t>
      </w:r>
      <w:r>
        <w:rPr>
          <w:spacing w:val="6"/>
        </w:rPr>
        <w:t xml:space="preserve"> </w:t>
      </w:r>
      <w:r>
        <w:t>doi:10.3389/fnbeh.2017.00001</w:t>
      </w:r>
    </w:p>
    <w:p w14:paraId="6C803856" w14:textId="77777777" w:rsidR="00C75312" w:rsidRDefault="00C75312">
      <w:pPr>
        <w:spacing w:line="480" w:lineRule="auto"/>
        <w:jc w:val="both"/>
        <w:sectPr w:rsidR="00C75312">
          <w:pgSz w:w="11900" w:h="16840"/>
          <w:pgMar w:top="1160" w:right="1200" w:bottom="280" w:left="1300" w:header="720" w:footer="0" w:gutter="0"/>
          <w:cols w:space="720"/>
        </w:sectPr>
      </w:pPr>
    </w:p>
    <w:p w14:paraId="0DFE21F9" w14:textId="77777777" w:rsidR="00C75312" w:rsidRDefault="00C75312">
      <w:pPr>
        <w:pStyle w:val="BodyText"/>
        <w:spacing w:before="9"/>
        <w:rPr>
          <w:sz w:val="15"/>
        </w:rPr>
      </w:pPr>
    </w:p>
    <w:p w14:paraId="696A0221" w14:textId="77777777" w:rsidR="00C75312" w:rsidRDefault="00BB293A">
      <w:pPr>
        <w:pStyle w:val="BodyText"/>
        <w:spacing w:before="90" w:line="480" w:lineRule="auto"/>
        <w:ind w:left="860" w:right="236" w:hanging="720"/>
        <w:jc w:val="both"/>
      </w:pPr>
      <w:proofErr w:type="spellStart"/>
      <w:r>
        <w:t>Gaigg</w:t>
      </w:r>
      <w:proofErr w:type="spellEnd"/>
      <w:r>
        <w:t>,</w:t>
      </w:r>
      <w:r>
        <w:rPr>
          <w:spacing w:val="-8"/>
        </w:rPr>
        <w:t xml:space="preserve"> </w:t>
      </w:r>
      <w:r>
        <w:t>S.</w:t>
      </w:r>
      <w:r>
        <w:rPr>
          <w:spacing w:val="-13"/>
        </w:rPr>
        <w:t xml:space="preserve"> </w:t>
      </w:r>
      <w:r>
        <w:t>B.,</w:t>
      </w:r>
      <w:r>
        <w:rPr>
          <w:spacing w:val="-12"/>
        </w:rPr>
        <w:t xml:space="preserve"> </w:t>
      </w:r>
      <w:r>
        <w:t>&amp;</w:t>
      </w:r>
      <w:r>
        <w:rPr>
          <w:spacing w:val="-15"/>
        </w:rPr>
        <w:t xml:space="preserve"> </w:t>
      </w:r>
      <w:r>
        <w:t>Bowler,</w:t>
      </w:r>
      <w:r>
        <w:rPr>
          <w:spacing w:val="-12"/>
        </w:rPr>
        <w:t xml:space="preserve"> </w:t>
      </w:r>
      <w:r>
        <w:t>D.</w:t>
      </w:r>
      <w:r>
        <w:rPr>
          <w:spacing w:val="-12"/>
        </w:rPr>
        <w:t xml:space="preserve"> </w:t>
      </w:r>
      <w:r>
        <w:t>M.</w:t>
      </w:r>
      <w:r>
        <w:rPr>
          <w:spacing w:val="-13"/>
        </w:rPr>
        <w:t xml:space="preserve"> </w:t>
      </w:r>
      <w:r>
        <w:t>(2008).</w:t>
      </w:r>
      <w:r>
        <w:rPr>
          <w:spacing w:val="-12"/>
        </w:rPr>
        <w:t xml:space="preserve"> </w:t>
      </w:r>
      <w:r>
        <w:t>Free</w:t>
      </w:r>
      <w:r>
        <w:rPr>
          <w:spacing w:val="-16"/>
        </w:rPr>
        <w:t xml:space="preserve"> </w:t>
      </w:r>
      <w:r>
        <w:t>recall</w:t>
      </w:r>
      <w:r>
        <w:rPr>
          <w:spacing w:val="-14"/>
        </w:rPr>
        <w:t xml:space="preserve"> </w:t>
      </w:r>
      <w:r>
        <w:t>and</w:t>
      </w:r>
      <w:r>
        <w:rPr>
          <w:spacing w:val="-11"/>
        </w:rPr>
        <w:t xml:space="preserve"> </w:t>
      </w:r>
      <w:r>
        <w:t>forgetting</w:t>
      </w:r>
      <w:r>
        <w:rPr>
          <w:spacing w:val="-14"/>
        </w:rPr>
        <w:t xml:space="preserve"> </w:t>
      </w:r>
      <w:r>
        <w:t>of</w:t>
      </w:r>
      <w:r>
        <w:rPr>
          <w:spacing w:val="-13"/>
        </w:rPr>
        <w:t xml:space="preserve"> </w:t>
      </w:r>
      <w:r>
        <w:t>emotionally</w:t>
      </w:r>
      <w:r>
        <w:rPr>
          <w:spacing w:val="-15"/>
        </w:rPr>
        <w:t xml:space="preserve"> </w:t>
      </w:r>
      <w:r>
        <w:t>arousing</w:t>
      </w:r>
      <w:r>
        <w:rPr>
          <w:spacing w:val="-14"/>
        </w:rPr>
        <w:t xml:space="preserve"> </w:t>
      </w:r>
      <w:r>
        <w:t xml:space="preserve">words in autism spectrum disorder. </w:t>
      </w:r>
      <w:proofErr w:type="spellStart"/>
      <w:r>
        <w:rPr>
          <w:i/>
        </w:rPr>
        <w:t>Neuropsychologia</w:t>
      </w:r>
      <w:proofErr w:type="spellEnd"/>
      <w:r>
        <w:rPr>
          <w:i/>
        </w:rPr>
        <w:t>, 46</w:t>
      </w:r>
      <w:r>
        <w:t>(9), 2336-2343. doi:10.1016/j.neuropsychologia.2008.03.008</w:t>
      </w:r>
    </w:p>
    <w:p w14:paraId="22E0A06E" w14:textId="77777777" w:rsidR="00C75312" w:rsidRDefault="00BB293A">
      <w:pPr>
        <w:spacing w:line="480" w:lineRule="auto"/>
        <w:ind w:left="860" w:right="234" w:hanging="720"/>
        <w:jc w:val="both"/>
        <w:rPr>
          <w:sz w:val="24"/>
        </w:rPr>
      </w:pPr>
      <w:r>
        <w:rPr>
          <w:sz w:val="24"/>
        </w:rPr>
        <w:t>García-</w:t>
      </w:r>
      <w:proofErr w:type="spellStart"/>
      <w:r>
        <w:rPr>
          <w:sz w:val="24"/>
        </w:rPr>
        <w:t>Villamisar</w:t>
      </w:r>
      <w:proofErr w:type="spellEnd"/>
      <w:r>
        <w:rPr>
          <w:sz w:val="24"/>
        </w:rPr>
        <w:t xml:space="preserve">, D., &amp; Hughes, C. (2007). Supported employment improves cognitive performance in adults with Autism. </w:t>
      </w:r>
      <w:r>
        <w:rPr>
          <w:i/>
          <w:sz w:val="24"/>
        </w:rPr>
        <w:t>Journal of Intellectual Disability Research, 51</w:t>
      </w:r>
      <w:r>
        <w:rPr>
          <w:sz w:val="24"/>
        </w:rPr>
        <w:t>(2), 142-150. doi:10.1111/j.1365-2788.2006.00854.x</w:t>
      </w:r>
    </w:p>
    <w:p w14:paraId="1E7759C7" w14:textId="77777777" w:rsidR="00C75312" w:rsidRDefault="00BB293A">
      <w:pPr>
        <w:pStyle w:val="BodyText"/>
        <w:spacing w:line="480" w:lineRule="auto"/>
        <w:ind w:left="860" w:right="234" w:hanging="720"/>
        <w:jc w:val="both"/>
      </w:pPr>
      <w:r>
        <w:t>Garfinkel,</w:t>
      </w:r>
      <w:r>
        <w:rPr>
          <w:spacing w:val="-8"/>
        </w:rPr>
        <w:t xml:space="preserve"> </w:t>
      </w:r>
      <w:r>
        <w:t>S.</w:t>
      </w:r>
      <w:r>
        <w:rPr>
          <w:spacing w:val="-7"/>
        </w:rPr>
        <w:t xml:space="preserve"> </w:t>
      </w:r>
      <w:r>
        <w:t>N.,</w:t>
      </w:r>
      <w:r>
        <w:rPr>
          <w:spacing w:val="-7"/>
        </w:rPr>
        <w:t xml:space="preserve"> </w:t>
      </w:r>
      <w:r>
        <w:t>Barrett,</w:t>
      </w:r>
      <w:r>
        <w:rPr>
          <w:spacing w:val="-7"/>
        </w:rPr>
        <w:t xml:space="preserve"> </w:t>
      </w:r>
      <w:r>
        <w:rPr>
          <w:spacing w:val="-3"/>
        </w:rPr>
        <w:t>A.</w:t>
      </w:r>
      <w:r>
        <w:rPr>
          <w:spacing w:val="-7"/>
        </w:rPr>
        <w:t xml:space="preserve"> </w:t>
      </w:r>
      <w:r>
        <w:t>B.,</w:t>
      </w:r>
      <w:r>
        <w:rPr>
          <w:spacing w:val="-12"/>
        </w:rPr>
        <w:t xml:space="preserve"> </w:t>
      </w:r>
      <w:r>
        <w:t>Minati,</w:t>
      </w:r>
      <w:r>
        <w:rPr>
          <w:spacing w:val="-7"/>
        </w:rPr>
        <w:t xml:space="preserve"> </w:t>
      </w:r>
      <w:r>
        <w:t>L.,</w:t>
      </w:r>
      <w:r>
        <w:rPr>
          <w:spacing w:val="-7"/>
        </w:rPr>
        <w:t xml:space="preserve"> </w:t>
      </w:r>
      <w:r>
        <w:t>Dolan,</w:t>
      </w:r>
      <w:r>
        <w:rPr>
          <w:spacing w:val="-12"/>
        </w:rPr>
        <w:t xml:space="preserve"> </w:t>
      </w:r>
      <w:r>
        <w:t>R.</w:t>
      </w:r>
      <w:r>
        <w:rPr>
          <w:spacing w:val="-7"/>
        </w:rPr>
        <w:t xml:space="preserve"> </w:t>
      </w:r>
      <w:r>
        <w:t>J.,</w:t>
      </w:r>
      <w:r>
        <w:rPr>
          <w:spacing w:val="-7"/>
        </w:rPr>
        <w:t xml:space="preserve"> </w:t>
      </w:r>
      <w:r>
        <w:t>Seth,</w:t>
      </w:r>
      <w:r>
        <w:rPr>
          <w:spacing w:val="-7"/>
        </w:rPr>
        <w:t xml:space="preserve"> </w:t>
      </w:r>
      <w:r>
        <w:rPr>
          <w:spacing w:val="-3"/>
        </w:rPr>
        <w:t>A.</w:t>
      </w:r>
      <w:r>
        <w:rPr>
          <w:spacing w:val="-7"/>
        </w:rPr>
        <w:t xml:space="preserve"> </w:t>
      </w:r>
      <w:r>
        <w:t>K.,</w:t>
      </w:r>
      <w:r>
        <w:rPr>
          <w:spacing w:val="-7"/>
        </w:rPr>
        <w:t xml:space="preserve"> </w:t>
      </w:r>
      <w:r>
        <w:t>&amp;</w:t>
      </w:r>
      <w:r>
        <w:rPr>
          <w:spacing w:val="-9"/>
        </w:rPr>
        <w:t xml:space="preserve"> </w:t>
      </w:r>
      <w:r>
        <w:t>Critchley,</w:t>
      </w:r>
      <w:r>
        <w:rPr>
          <w:spacing w:val="-7"/>
        </w:rPr>
        <w:t xml:space="preserve"> </w:t>
      </w:r>
      <w:r>
        <w:rPr>
          <w:spacing w:val="-3"/>
        </w:rPr>
        <w:t>H.</w:t>
      </w:r>
      <w:r>
        <w:rPr>
          <w:spacing w:val="-7"/>
        </w:rPr>
        <w:t xml:space="preserve"> </w:t>
      </w:r>
      <w:r>
        <w:t>D.</w:t>
      </w:r>
      <w:r>
        <w:rPr>
          <w:spacing w:val="-12"/>
        </w:rPr>
        <w:t xml:space="preserve"> </w:t>
      </w:r>
      <w:r>
        <w:t xml:space="preserve">(2013). What the heart forgets: Cardiac timing influences memory for words and is modulated by metacognition and interoceptive sensitivity. </w:t>
      </w:r>
      <w:r>
        <w:rPr>
          <w:i/>
        </w:rPr>
        <w:t>Psychophysiology, 50</w:t>
      </w:r>
      <w:r>
        <w:t>(6), 505-512. doi:10.1111/psyp.12039</w:t>
      </w:r>
    </w:p>
    <w:p w14:paraId="63BBFB83" w14:textId="77777777" w:rsidR="00C75312" w:rsidRDefault="00BB293A">
      <w:pPr>
        <w:pStyle w:val="BodyText"/>
        <w:spacing w:line="480" w:lineRule="auto"/>
        <w:ind w:left="860" w:right="238" w:hanging="720"/>
        <w:jc w:val="both"/>
      </w:pPr>
      <w:r>
        <w:t xml:space="preserve">Garfinkel, S. N., Seth, A. K., Barrett, A. B., Suzuki, K., &amp; Critchley, H. D. (2015). Knowing your own heart: Distinguishing interoceptive accuracy from interoceptive awareness. </w:t>
      </w:r>
      <w:r>
        <w:rPr>
          <w:i/>
        </w:rPr>
        <w:t>Biological Psychology, 104</w:t>
      </w:r>
      <w:r>
        <w:t>, 65-74. doi:10.1016/j.biopsycho.2014.11.004</w:t>
      </w:r>
    </w:p>
    <w:p w14:paraId="3DACB0B9" w14:textId="77777777" w:rsidR="00C75312" w:rsidRDefault="00BB293A">
      <w:pPr>
        <w:pStyle w:val="BodyText"/>
        <w:spacing w:before="1" w:line="480" w:lineRule="auto"/>
        <w:ind w:left="860" w:right="236" w:hanging="720"/>
        <w:jc w:val="both"/>
      </w:pPr>
      <w:r>
        <w:t xml:space="preserve">Gelman, A., &amp; Stern, H. (2006). The difference between "significant" and "not significant" is not itself statistically significant. </w:t>
      </w:r>
      <w:r>
        <w:rPr>
          <w:i/>
        </w:rPr>
        <w:t>American Statistician, 60</w:t>
      </w:r>
      <w:r>
        <w:t>(4), 328-331. doi:10.1198/000313006X152649</w:t>
      </w:r>
    </w:p>
    <w:p w14:paraId="250484C5" w14:textId="77777777" w:rsidR="00C75312" w:rsidRPr="002C3022" w:rsidRDefault="00BB293A">
      <w:pPr>
        <w:spacing w:line="480" w:lineRule="auto"/>
        <w:ind w:left="860" w:right="234" w:hanging="720"/>
        <w:jc w:val="both"/>
        <w:rPr>
          <w:sz w:val="24"/>
          <w:lang w:val="fr-FR"/>
        </w:rPr>
      </w:pPr>
      <w:r>
        <w:rPr>
          <w:sz w:val="24"/>
        </w:rPr>
        <w:t>Geurts,</w:t>
      </w:r>
      <w:r>
        <w:rPr>
          <w:spacing w:val="-3"/>
          <w:sz w:val="24"/>
        </w:rPr>
        <w:t xml:space="preserve"> </w:t>
      </w:r>
      <w:r>
        <w:rPr>
          <w:sz w:val="24"/>
        </w:rPr>
        <w:t>H.</w:t>
      </w:r>
      <w:r>
        <w:rPr>
          <w:spacing w:val="-3"/>
          <w:sz w:val="24"/>
        </w:rPr>
        <w:t xml:space="preserve"> </w:t>
      </w:r>
      <w:r>
        <w:rPr>
          <w:sz w:val="24"/>
        </w:rPr>
        <w:t>M.,</w:t>
      </w:r>
      <w:r>
        <w:rPr>
          <w:spacing w:val="-2"/>
          <w:sz w:val="24"/>
        </w:rPr>
        <w:t xml:space="preserve"> </w:t>
      </w:r>
      <w:proofErr w:type="spellStart"/>
      <w:r>
        <w:rPr>
          <w:sz w:val="24"/>
        </w:rPr>
        <w:t>Sinzig</w:t>
      </w:r>
      <w:proofErr w:type="spellEnd"/>
      <w:r>
        <w:rPr>
          <w:sz w:val="24"/>
        </w:rPr>
        <w:t>,</w:t>
      </w:r>
      <w:r>
        <w:rPr>
          <w:spacing w:val="-3"/>
          <w:sz w:val="24"/>
        </w:rPr>
        <w:t xml:space="preserve"> </w:t>
      </w:r>
      <w:r>
        <w:rPr>
          <w:sz w:val="24"/>
        </w:rPr>
        <w:t>J.,</w:t>
      </w:r>
      <w:r>
        <w:rPr>
          <w:spacing w:val="-3"/>
          <w:sz w:val="24"/>
        </w:rPr>
        <w:t xml:space="preserve"> </w:t>
      </w:r>
      <w:r>
        <w:rPr>
          <w:sz w:val="24"/>
        </w:rPr>
        <w:t>Booth,</w:t>
      </w:r>
      <w:r>
        <w:rPr>
          <w:spacing w:val="-2"/>
          <w:sz w:val="24"/>
        </w:rPr>
        <w:t xml:space="preserve"> </w:t>
      </w:r>
      <w:r>
        <w:rPr>
          <w:sz w:val="24"/>
        </w:rPr>
        <w:t>R.,</w:t>
      </w:r>
      <w:r>
        <w:rPr>
          <w:spacing w:val="-8"/>
          <w:sz w:val="24"/>
        </w:rPr>
        <w:t xml:space="preserve"> </w:t>
      </w:r>
      <w:r>
        <w:rPr>
          <w:sz w:val="24"/>
        </w:rPr>
        <w:t>&amp;</w:t>
      </w:r>
      <w:r>
        <w:rPr>
          <w:spacing w:val="-4"/>
          <w:sz w:val="24"/>
        </w:rPr>
        <w:t xml:space="preserve"> </w:t>
      </w:r>
      <w:r>
        <w:rPr>
          <w:sz w:val="24"/>
        </w:rPr>
        <w:t>Happe,</w:t>
      </w:r>
      <w:r>
        <w:rPr>
          <w:spacing w:val="-3"/>
          <w:sz w:val="24"/>
        </w:rPr>
        <w:t xml:space="preserve"> </w:t>
      </w:r>
      <w:r>
        <w:rPr>
          <w:sz w:val="24"/>
        </w:rPr>
        <w:t>F.</w:t>
      </w:r>
      <w:r>
        <w:rPr>
          <w:spacing w:val="-8"/>
          <w:sz w:val="24"/>
        </w:rPr>
        <w:t xml:space="preserve"> </w:t>
      </w:r>
      <w:r>
        <w:rPr>
          <w:sz w:val="24"/>
        </w:rPr>
        <w:t>(2014).</w:t>
      </w:r>
      <w:r>
        <w:rPr>
          <w:spacing w:val="-2"/>
          <w:sz w:val="24"/>
        </w:rPr>
        <w:t xml:space="preserve"> </w:t>
      </w:r>
      <w:r>
        <w:rPr>
          <w:sz w:val="24"/>
        </w:rPr>
        <w:t>Neuropsychological</w:t>
      </w:r>
      <w:r>
        <w:rPr>
          <w:spacing w:val="-5"/>
          <w:sz w:val="24"/>
        </w:rPr>
        <w:t xml:space="preserve"> </w:t>
      </w:r>
      <w:r>
        <w:rPr>
          <w:sz w:val="24"/>
        </w:rPr>
        <w:t>heterogeneity</w:t>
      </w:r>
      <w:r>
        <w:rPr>
          <w:spacing w:val="-5"/>
          <w:sz w:val="24"/>
        </w:rPr>
        <w:t xml:space="preserve"> </w:t>
      </w:r>
      <w:r>
        <w:rPr>
          <w:sz w:val="24"/>
        </w:rPr>
        <w:t xml:space="preserve">in executive functioning in autism spectrum disorders. </w:t>
      </w:r>
      <w:r w:rsidRPr="002C3022">
        <w:rPr>
          <w:i/>
          <w:sz w:val="24"/>
          <w:lang w:val="fr-FR"/>
        </w:rPr>
        <w:t>International Journal of Developmental Disabilities, 60</w:t>
      </w:r>
      <w:r w:rsidRPr="002C3022">
        <w:rPr>
          <w:sz w:val="24"/>
          <w:lang w:val="fr-FR"/>
        </w:rPr>
        <w:t>(3), 155-162.</w:t>
      </w:r>
      <w:r w:rsidRPr="002C3022">
        <w:rPr>
          <w:spacing w:val="-3"/>
          <w:sz w:val="24"/>
          <w:lang w:val="fr-FR"/>
        </w:rPr>
        <w:t xml:space="preserve"> </w:t>
      </w:r>
      <w:r w:rsidRPr="002C3022">
        <w:rPr>
          <w:sz w:val="24"/>
          <w:lang w:val="fr-FR"/>
        </w:rPr>
        <w:t>doi:10.1179/2047387714Y.0000000047</w:t>
      </w:r>
    </w:p>
    <w:p w14:paraId="3966520F" w14:textId="77777777" w:rsidR="00C75312" w:rsidRDefault="00BB293A">
      <w:pPr>
        <w:pStyle w:val="BodyText"/>
        <w:spacing w:line="480" w:lineRule="auto"/>
        <w:ind w:left="860" w:right="234" w:hanging="720"/>
        <w:jc w:val="both"/>
      </w:pPr>
      <w:r w:rsidRPr="002C3022">
        <w:rPr>
          <w:lang w:val="fr-FR"/>
        </w:rPr>
        <w:t xml:space="preserve">Gil, S., Chambres, P., Hyvert, C., Fanget, M., &amp; Droit-Volet, S. (2012). </w:t>
      </w:r>
      <w:r>
        <w:t xml:space="preserve">Children with autism spectrum disorders have "the working raw material" for time perception. </w:t>
      </w:r>
      <w:proofErr w:type="spellStart"/>
      <w:r>
        <w:rPr>
          <w:i/>
        </w:rPr>
        <w:t>PLoS</w:t>
      </w:r>
      <w:proofErr w:type="spellEnd"/>
      <w:r>
        <w:rPr>
          <w:i/>
        </w:rPr>
        <w:t xml:space="preserve"> ONE, 7</w:t>
      </w:r>
      <w:r>
        <w:t>(11), e49116-e49116. doi:10.1371/journal.pone.0049116</w:t>
      </w:r>
    </w:p>
    <w:p w14:paraId="2566D0C8" w14:textId="77777777" w:rsidR="00C75312" w:rsidRDefault="00BB293A">
      <w:pPr>
        <w:spacing w:line="480" w:lineRule="auto"/>
        <w:ind w:left="860" w:right="236" w:hanging="720"/>
        <w:jc w:val="both"/>
        <w:rPr>
          <w:sz w:val="24"/>
        </w:rPr>
      </w:pPr>
      <w:r>
        <w:rPr>
          <w:sz w:val="24"/>
        </w:rPr>
        <w:t>Gilbert,</w:t>
      </w:r>
      <w:r>
        <w:rPr>
          <w:spacing w:val="-4"/>
          <w:sz w:val="24"/>
        </w:rPr>
        <w:t xml:space="preserve"> </w:t>
      </w:r>
      <w:r>
        <w:rPr>
          <w:sz w:val="24"/>
        </w:rPr>
        <w:t>S.</w:t>
      </w:r>
      <w:r>
        <w:rPr>
          <w:spacing w:val="-4"/>
          <w:sz w:val="24"/>
        </w:rPr>
        <w:t xml:space="preserve"> </w:t>
      </w:r>
      <w:r>
        <w:rPr>
          <w:sz w:val="24"/>
        </w:rPr>
        <w:t>J.</w:t>
      </w:r>
      <w:r>
        <w:rPr>
          <w:spacing w:val="-8"/>
          <w:sz w:val="24"/>
        </w:rPr>
        <w:t xml:space="preserve"> </w:t>
      </w:r>
      <w:r>
        <w:rPr>
          <w:sz w:val="24"/>
        </w:rPr>
        <w:t>(2015a).</w:t>
      </w:r>
      <w:r>
        <w:rPr>
          <w:spacing w:val="-4"/>
          <w:sz w:val="24"/>
        </w:rPr>
        <w:t xml:space="preserve"> </w:t>
      </w:r>
      <w:r>
        <w:rPr>
          <w:sz w:val="24"/>
        </w:rPr>
        <w:t>Strategic</w:t>
      </w:r>
      <w:r>
        <w:rPr>
          <w:spacing w:val="-7"/>
          <w:sz w:val="24"/>
        </w:rPr>
        <w:t xml:space="preserve"> </w:t>
      </w:r>
      <w:r>
        <w:rPr>
          <w:sz w:val="24"/>
        </w:rPr>
        <w:t>offloading</w:t>
      </w:r>
      <w:r>
        <w:rPr>
          <w:spacing w:val="-6"/>
          <w:sz w:val="24"/>
        </w:rPr>
        <w:t xml:space="preserve"> </w:t>
      </w:r>
      <w:r>
        <w:rPr>
          <w:sz w:val="24"/>
        </w:rPr>
        <w:t>of</w:t>
      </w:r>
      <w:r>
        <w:rPr>
          <w:spacing w:val="-10"/>
          <w:sz w:val="24"/>
        </w:rPr>
        <w:t xml:space="preserve"> </w:t>
      </w:r>
      <w:r>
        <w:rPr>
          <w:sz w:val="24"/>
        </w:rPr>
        <w:t>delayed</w:t>
      </w:r>
      <w:r>
        <w:rPr>
          <w:spacing w:val="-6"/>
          <w:sz w:val="24"/>
        </w:rPr>
        <w:t xml:space="preserve"> </w:t>
      </w:r>
      <w:r>
        <w:rPr>
          <w:sz w:val="24"/>
        </w:rPr>
        <w:t>intentions</w:t>
      </w:r>
      <w:r>
        <w:rPr>
          <w:spacing w:val="-8"/>
          <w:sz w:val="24"/>
        </w:rPr>
        <w:t xml:space="preserve"> </w:t>
      </w:r>
      <w:r>
        <w:rPr>
          <w:sz w:val="24"/>
        </w:rPr>
        <w:t>into</w:t>
      </w:r>
      <w:r>
        <w:rPr>
          <w:spacing w:val="-7"/>
          <w:sz w:val="24"/>
        </w:rPr>
        <w:t xml:space="preserve"> </w:t>
      </w:r>
      <w:r>
        <w:rPr>
          <w:sz w:val="24"/>
        </w:rPr>
        <w:t>the</w:t>
      </w:r>
      <w:r>
        <w:rPr>
          <w:spacing w:val="-7"/>
          <w:sz w:val="24"/>
        </w:rPr>
        <w:t xml:space="preserve"> </w:t>
      </w:r>
      <w:r>
        <w:rPr>
          <w:sz w:val="24"/>
        </w:rPr>
        <w:t>external</w:t>
      </w:r>
      <w:r>
        <w:rPr>
          <w:spacing w:val="-6"/>
          <w:sz w:val="24"/>
        </w:rPr>
        <w:t xml:space="preserve"> </w:t>
      </w:r>
      <w:r>
        <w:rPr>
          <w:sz w:val="24"/>
        </w:rPr>
        <w:t xml:space="preserve">environment. </w:t>
      </w:r>
      <w:r>
        <w:rPr>
          <w:i/>
          <w:sz w:val="24"/>
        </w:rPr>
        <w:t>Quarterly Journal of Experimental Psychology, 68</w:t>
      </w:r>
      <w:r>
        <w:rPr>
          <w:sz w:val="24"/>
        </w:rPr>
        <w:t>(5), 971-992. doi:10.1080/17470218.2014.972963</w:t>
      </w:r>
    </w:p>
    <w:p w14:paraId="74645F7F"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49B078FB" w14:textId="77777777" w:rsidR="00C75312" w:rsidRDefault="00C75312">
      <w:pPr>
        <w:pStyle w:val="BodyText"/>
        <w:spacing w:before="9"/>
        <w:rPr>
          <w:sz w:val="15"/>
        </w:rPr>
      </w:pPr>
    </w:p>
    <w:p w14:paraId="121E1A1D" w14:textId="77777777" w:rsidR="00C75312" w:rsidRDefault="00BB293A">
      <w:pPr>
        <w:pStyle w:val="BodyText"/>
        <w:spacing w:before="90" w:line="480" w:lineRule="auto"/>
        <w:ind w:left="860" w:right="236" w:hanging="720"/>
        <w:jc w:val="both"/>
      </w:pPr>
      <w:r>
        <w:t xml:space="preserve">Gilbert, S. J. (2015b). Strategic use of reminders: Influence of both domain-general and task- specific metacognitive confidence, independent of objective memory ability. </w:t>
      </w:r>
      <w:r>
        <w:rPr>
          <w:i/>
        </w:rPr>
        <w:t>Consciousness and Cognition, 33</w:t>
      </w:r>
      <w:r>
        <w:t>, 245-260. doi:10.1016/j.concog.2015.01.006</w:t>
      </w:r>
    </w:p>
    <w:p w14:paraId="27DC97B7" w14:textId="77777777" w:rsidR="00C75312" w:rsidRDefault="00BB293A">
      <w:pPr>
        <w:pStyle w:val="BodyText"/>
        <w:spacing w:line="480" w:lineRule="auto"/>
        <w:ind w:left="860" w:right="234" w:hanging="720"/>
        <w:jc w:val="both"/>
      </w:pPr>
      <w:r>
        <w:t>Gilbert,</w:t>
      </w:r>
      <w:r>
        <w:rPr>
          <w:spacing w:val="-8"/>
        </w:rPr>
        <w:t xml:space="preserve"> </w:t>
      </w:r>
      <w:r>
        <w:t>S.</w:t>
      </w:r>
      <w:r>
        <w:rPr>
          <w:spacing w:val="-8"/>
        </w:rPr>
        <w:t xml:space="preserve"> </w:t>
      </w:r>
      <w:r>
        <w:t>J.,</w:t>
      </w:r>
      <w:r>
        <w:rPr>
          <w:spacing w:val="-8"/>
        </w:rPr>
        <w:t xml:space="preserve"> </w:t>
      </w:r>
      <w:r>
        <w:t>Armbruster,</w:t>
      </w:r>
      <w:r>
        <w:rPr>
          <w:spacing w:val="-7"/>
        </w:rPr>
        <w:t xml:space="preserve"> </w:t>
      </w:r>
      <w:r>
        <w:t>D.</w:t>
      </w:r>
      <w:r>
        <w:rPr>
          <w:spacing w:val="-8"/>
        </w:rPr>
        <w:t xml:space="preserve"> </w:t>
      </w:r>
      <w:r>
        <w:t>J.</w:t>
      </w:r>
      <w:r>
        <w:rPr>
          <w:spacing w:val="-8"/>
        </w:rPr>
        <w:t xml:space="preserve"> </w:t>
      </w:r>
      <w:r>
        <w:t>N.,</w:t>
      </w:r>
      <w:r>
        <w:rPr>
          <w:spacing w:val="-8"/>
        </w:rPr>
        <w:t xml:space="preserve"> </w:t>
      </w:r>
      <w:r>
        <w:t>&amp;</w:t>
      </w:r>
      <w:r>
        <w:rPr>
          <w:spacing w:val="-14"/>
        </w:rPr>
        <w:t xml:space="preserve"> </w:t>
      </w:r>
      <w:proofErr w:type="spellStart"/>
      <w:r>
        <w:t>Panagiotidi</w:t>
      </w:r>
      <w:proofErr w:type="spellEnd"/>
      <w:r>
        <w:t>,</w:t>
      </w:r>
      <w:r>
        <w:rPr>
          <w:spacing w:val="-12"/>
        </w:rPr>
        <w:t xml:space="preserve"> </w:t>
      </w:r>
      <w:r>
        <w:t>M.</w:t>
      </w:r>
      <w:r>
        <w:rPr>
          <w:spacing w:val="-3"/>
        </w:rPr>
        <w:t xml:space="preserve"> </w:t>
      </w:r>
      <w:r>
        <w:t>(2012).</w:t>
      </w:r>
      <w:r>
        <w:rPr>
          <w:spacing w:val="-8"/>
        </w:rPr>
        <w:t xml:space="preserve"> </w:t>
      </w:r>
      <w:r>
        <w:t>Similarity</w:t>
      </w:r>
      <w:r>
        <w:rPr>
          <w:spacing w:val="-11"/>
        </w:rPr>
        <w:t xml:space="preserve"> </w:t>
      </w:r>
      <w:r>
        <w:t>between</w:t>
      </w:r>
      <w:r>
        <w:rPr>
          <w:spacing w:val="-10"/>
        </w:rPr>
        <w:t xml:space="preserve"> </w:t>
      </w:r>
      <w:r>
        <w:t>brain</w:t>
      </w:r>
      <w:r>
        <w:rPr>
          <w:spacing w:val="-11"/>
        </w:rPr>
        <w:t xml:space="preserve"> </w:t>
      </w:r>
      <w:r>
        <w:t xml:space="preserve">activity at encoding and retrieval predicts successful realization of delayed intentions. </w:t>
      </w:r>
      <w:r>
        <w:rPr>
          <w:i/>
        </w:rPr>
        <w:t>Journal of Cognitive Neuroscience, 24</w:t>
      </w:r>
      <w:r>
        <w:t>(1), 93-105.</w:t>
      </w:r>
      <w:r>
        <w:rPr>
          <w:spacing w:val="6"/>
        </w:rPr>
        <w:t xml:space="preserve"> </w:t>
      </w:r>
      <w:r>
        <w:t>doi:10.1162/jocn_a_00094</w:t>
      </w:r>
    </w:p>
    <w:p w14:paraId="54B4FE67" w14:textId="77777777" w:rsidR="00C75312" w:rsidRDefault="00BB293A">
      <w:pPr>
        <w:pStyle w:val="BodyText"/>
        <w:spacing w:line="480" w:lineRule="auto"/>
        <w:ind w:left="860" w:right="234" w:hanging="720"/>
        <w:jc w:val="both"/>
      </w:pPr>
      <w:r>
        <w:t>Gilbert,</w:t>
      </w:r>
      <w:r>
        <w:rPr>
          <w:spacing w:val="-14"/>
        </w:rPr>
        <w:t xml:space="preserve"> </w:t>
      </w:r>
      <w:r>
        <w:t>S.</w:t>
      </w:r>
      <w:r>
        <w:rPr>
          <w:spacing w:val="-13"/>
        </w:rPr>
        <w:t xml:space="preserve"> </w:t>
      </w:r>
      <w:r>
        <w:t>J.,</w:t>
      </w:r>
      <w:r>
        <w:rPr>
          <w:spacing w:val="-14"/>
        </w:rPr>
        <w:t xml:space="preserve"> </w:t>
      </w:r>
      <w:r>
        <w:t>Bird,</w:t>
      </w:r>
      <w:r>
        <w:rPr>
          <w:spacing w:val="-13"/>
        </w:rPr>
        <w:t xml:space="preserve"> </w:t>
      </w:r>
      <w:r>
        <w:t>G.,</w:t>
      </w:r>
      <w:r>
        <w:rPr>
          <w:spacing w:val="-13"/>
        </w:rPr>
        <w:t xml:space="preserve"> </w:t>
      </w:r>
      <w:r>
        <w:t>Brindley,</w:t>
      </w:r>
      <w:r>
        <w:rPr>
          <w:spacing w:val="-14"/>
        </w:rPr>
        <w:t xml:space="preserve"> </w:t>
      </w:r>
      <w:r>
        <w:t>R.,</w:t>
      </w:r>
      <w:r>
        <w:rPr>
          <w:spacing w:val="-18"/>
        </w:rPr>
        <w:t xml:space="preserve"> </w:t>
      </w:r>
      <w:r>
        <w:t>Frith,</w:t>
      </w:r>
      <w:r>
        <w:rPr>
          <w:spacing w:val="-13"/>
        </w:rPr>
        <w:t xml:space="preserve"> </w:t>
      </w:r>
      <w:r>
        <w:t>C.</w:t>
      </w:r>
      <w:r>
        <w:rPr>
          <w:spacing w:val="-18"/>
        </w:rPr>
        <w:t xml:space="preserve"> </w:t>
      </w:r>
      <w:r>
        <w:t>D.,</w:t>
      </w:r>
      <w:r>
        <w:rPr>
          <w:spacing w:val="-18"/>
        </w:rPr>
        <w:t xml:space="preserve"> </w:t>
      </w:r>
      <w:r>
        <w:t>&amp;</w:t>
      </w:r>
      <w:r>
        <w:rPr>
          <w:spacing w:val="-20"/>
        </w:rPr>
        <w:t xml:space="preserve"> </w:t>
      </w:r>
      <w:r>
        <w:t>Burgess,</w:t>
      </w:r>
      <w:r>
        <w:rPr>
          <w:spacing w:val="-13"/>
        </w:rPr>
        <w:t xml:space="preserve"> </w:t>
      </w:r>
      <w:r>
        <w:t>P.</w:t>
      </w:r>
      <w:r>
        <w:rPr>
          <w:spacing w:val="-14"/>
        </w:rPr>
        <w:t xml:space="preserve"> </w:t>
      </w:r>
      <w:r>
        <w:t>W.</w:t>
      </w:r>
      <w:r>
        <w:rPr>
          <w:spacing w:val="-18"/>
        </w:rPr>
        <w:t xml:space="preserve"> </w:t>
      </w:r>
      <w:r>
        <w:t>(2008).</w:t>
      </w:r>
      <w:r>
        <w:rPr>
          <w:spacing w:val="-13"/>
        </w:rPr>
        <w:t xml:space="preserve"> </w:t>
      </w:r>
      <w:r>
        <w:t>Atypical</w:t>
      </w:r>
      <w:r>
        <w:rPr>
          <w:spacing w:val="-20"/>
        </w:rPr>
        <w:t xml:space="preserve"> </w:t>
      </w:r>
      <w:r>
        <w:t xml:space="preserve">recruitment of medial prefrontal cortex in autism spectrum disorders: An fMRI study </w:t>
      </w:r>
      <w:r>
        <w:rPr>
          <w:spacing w:val="-3"/>
        </w:rPr>
        <w:t xml:space="preserve">of </w:t>
      </w:r>
      <w:r>
        <w:t xml:space="preserve">two executive function tasks. </w:t>
      </w:r>
      <w:proofErr w:type="spellStart"/>
      <w:r>
        <w:rPr>
          <w:i/>
        </w:rPr>
        <w:t>Neuropsychologia</w:t>
      </w:r>
      <w:proofErr w:type="spellEnd"/>
      <w:r>
        <w:rPr>
          <w:i/>
        </w:rPr>
        <w:t>, 46</w:t>
      </w:r>
      <w:r>
        <w:t>(9),</w:t>
      </w:r>
      <w:r>
        <w:rPr>
          <w:spacing w:val="7"/>
        </w:rPr>
        <w:t xml:space="preserve"> </w:t>
      </w:r>
      <w:r>
        <w:t>2281-2291.</w:t>
      </w:r>
    </w:p>
    <w:p w14:paraId="3E9094BA" w14:textId="77777777" w:rsidR="00C75312" w:rsidRDefault="00BB293A">
      <w:pPr>
        <w:pStyle w:val="BodyText"/>
        <w:ind w:left="860"/>
      </w:pPr>
      <w:r>
        <w:t>doi:10.1016/j.neuropsychologia.2008.03.025</w:t>
      </w:r>
    </w:p>
    <w:p w14:paraId="4BA67F35" w14:textId="77777777" w:rsidR="00C75312" w:rsidRDefault="00C75312">
      <w:pPr>
        <w:pStyle w:val="BodyText"/>
      </w:pPr>
    </w:p>
    <w:p w14:paraId="4D6AF3B6" w14:textId="77777777" w:rsidR="00C75312" w:rsidRDefault="00BB293A">
      <w:pPr>
        <w:pStyle w:val="BodyText"/>
        <w:spacing w:line="480" w:lineRule="auto"/>
        <w:ind w:left="860" w:right="238" w:hanging="720"/>
        <w:jc w:val="both"/>
      </w:pPr>
      <w:r>
        <w:t>Gilbert,</w:t>
      </w:r>
      <w:r>
        <w:rPr>
          <w:spacing w:val="-8"/>
        </w:rPr>
        <w:t xml:space="preserve"> </w:t>
      </w:r>
      <w:r>
        <w:t>S.</w:t>
      </w:r>
      <w:r>
        <w:rPr>
          <w:spacing w:val="-8"/>
        </w:rPr>
        <w:t xml:space="preserve"> </w:t>
      </w:r>
      <w:r>
        <w:t>J.,</w:t>
      </w:r>
      <w:r>
        <w:rPr>
          <w:spacing w:val="-8"/>
        </w:rPr>
        <w:t xml:space="preserve"> </w:t>
      </w:r>
      <w:r>
        <w:t>Frith,</w:t>
      </w:r>
      <w:r>
        <w:rPr>
          <w:spacing w:val="-8"/>
        </w:rPr>
        <w:t xml:space="preserve"> </w:t>
      </w:r>
      <w:r>
        <w:t>C.</w:t>
      </w:r>
      <w:r>
        <w:rPr>
          <w:spacing w:val="-8"/>
        </w:rPr>
        <w:t xml:space="preserve"> </w:t>
      </w:r>
      <w:r>
        <w:t>D.,</w:t>
      </w:r>
      <w:r>
        <w:rPr>
          <w:spacing w:val="-3"/>
        </w:rPr>
        <w:t xml:space="preserve"> </w:t>
      </w:r>
      <w:r>
        <w:t>&amp;</w:t>
      </w:r>
      <w:r>
        <w:rPr>
          <w:spacing w:val="-10"/>
        </w:rPr>
        <w:t xml:space="preserve"> </w:t>
      </w:r>
      <w:r>
        <w:t>Burgess,</w:t>
      </w:r>
      <w:r>
        <w:rPr>
          <w:spacing w:val="-3"/>
        </w:rPr>
        <w:t xml:space="preserve"> </w:t>
      </w:r>
      <w:r>
        <w:t>P.</w:t>
      </w:r>
      <w:r>
        <w:rPr>
          <w:spacing w:val="-3"/>
        </w:rPr>
        <w:t xml:space="preserve"> W. </w:t>
      </w:r>
      <w:r>
        <w:t>(2005).</w:t>
      </w:r>
      <w:r>
        <w:rPr>
          <w:spacing w:val="-4"/>
        </w:rPr>
        <w:t xml:space="preserve"> </w:t>
      </w:r>
      <w:r>
        <w:t>Involvement</w:t>
      </w:r>
      <w:r>
        <w:rPr>
          <w:spacing w:val="-5"/>
        </w:rPr>
        <w:t xml:space="preserve"> </w:t>
      </w:r>
      <w:r>
        <w:t>of</w:t>
      </w:r>
      <w:r>
        <w:rPr>
          <w:spacing w:val="-8"/>
        </w:rPr>
        <w:t xml:space="preserve"> </w:t>
      </w:r>
      <w:r>
        <w:t>rostral</w:t>
      </w:r>
      <w:r>
        <w:rPr>
          <w:spacing w:val="-10"/>
        </w:rPr>
        <w:t xml:space="preserve"> </w:t>
      </w:r>
      <w:r>
        <w:t>prefrontal</w:t>
      </w:r>
      <w:r>
        <w:rPr>
          <w:spacing w:val="-5"/>
        </w:rPr>
        <w:t xml:space="preserve"> </w:t>
      </w:r>
      <w:r>
        <w:t>cortex</w:t>
      </w:r>
      <w:r>
        <w:rPr>
          <w:spacing w:val="-11"/>
        </w:rPr>
        <w:t xml:space="preserve"> </w:t>
      </w:r>
      <w:r>
        <w:t xml:space="preserve">in selection between stimulus-oriented and stimulus-independent thought. </w:t>
      </w:r>
      <w:r>
        <w:rPr>
          <w:i/>
        </w:rPr>
        <w:t>European Journal of Neuroscience, 21</w:t>
      </w:r>
      <w:r>
        <w:t>(5), 1423-1431.</w:t>
      </w:r>
      <w:r>
        <w:rPr>
          <w:spacing w:val="-1"/>
        </w:rPr>
        <w:t xml:space="preserve"> </w:t>
      </w:r>
      <w:r>
        <w:t>doi:10.1111/j.1460-9568.2005.03981.x</w:t>
      </w:r>
    </w:p>
    <w:p w14:paraId="1B1476B2" w14:textId="77777777" w:rsidR="00C75312" w:rsidRDefault="00BB293A">
      <w:pPr>
        <w:pStyle w:val="BodyText"/>
        <w:spacing w:before="1" w:line="480" w:lineRule="auto"/>
        <w:ind w:left="860" w:right="234" w:hanging="720"/>
        <w:jc w:val="both"/>
      </w:pPr>
      <w:r>
        <w:t xml:space="preserve">Gilbert, S. J., </w:t>
      </w:r>
      <w:proofErr w:type="spellStart"/>
      <w:r>
        <w:t>Meuwese</w:t>
      </w:r>
      <w:proofErr w:type="spellEnd"/>
      <w:r>
        <w:t>, J. D. I., Towgood, K. J., Frith, C. D., &amp; Burgess, P. W. (2009). Abnormal</w:t>
      </w:r>
      <w:r>
        <w:rPr>
          <w:spacing w:val="-10"/>
        </w:rPr>
        <w:t xml:space="preserve"> </w:t>
      </w:r>
      <w:r>
        <w:t>functional</w:t>
      </w:r>
      <w:r>
        <w:rPr>
          <w:spacing w:val="-9"/>
        </w:rPr>
        <w:t xml:space="preserve"> </w:t>
      </w:r>
      <w:r>
        <w:t>specialization</w:t>
      </w:r>
      <w:r>
        <w:rPr>
          <w:spacing w:val="-5"/>
        </w:rPr>
        <w:t xml:space="preserve"> </w:t>
      </w:r>
      <w:r>
        <w:t>within</w:t>
      </w:r>
      <w:r>
        <w:rPr>
          <w:spacing w:val="-10"/>
        </w:rPr>
        <w:t xml:space="preserve"> </w:t>
      </w:r>
      <w:r>
        <w:t>medial</w:t>
      </w:r>
      <w:r>
        <w:rPr>
          <w:spacing w:val="-14"/>
        </w:rPr>
        <w:t xml:space="preserve"> </w:t>
      </w:r>
      <w:r>
        <w:t>prefrontal</w:t>
      </w:r>
      <w:r>
        <w:rPr>
          <w:spacing w:val="-9"/>
        </w:rPr>
        <w:t xml:space="preserve"> </w:t>
      </w:r>
      <w:r>
        <w:t>cortex</w:t>
      </w:r>
      <w:r>
        <w:rPr>
          <w:spacing w:val="-10"/>
        </w:rPr>
        <w:t xml:space="preserve"> </w:t>
      </w:r>
      <w:r>
        <w:t>in</w:t>
      </w:r>
      <w:r>
        <w:rPr>
          <w:spacing w:val="-10"/>
        </w:rPr>
        <w:t xml:space="preserve"> </w:t>
      </w:r>
      <w:r>
        <w:t xml:space="preserve">high-functioning autism: A multi-voxel similarity analysis. </w:t>
      </w:r>
      <w:r>
        <w:rPr>
          <w:i/>
        </w:rPr>
        <w:t>Brain, 132</w:t>
      </w:r>
      <w:r>
        <w:t>(4),</w:t>
      </w:r>
      <w:r>
        <w:rPr>
          <w:spacing w:val="23"/>
        </w:rPr>
        <w:t xml:space="preserve"> </w:t>
      </w:r>
      <w:r>
        <w:t>869-878.</w:t>
      </w:r>
    </w:p>
    <w:p w14:paraId="7B1A3B84" w14:textId="77777777" w:rsidR="00C75312" w:rsidRDefault="00BB293A">
      <w:pPr>
        <w:pStyle w:val="BodyText"/>
        <w:ind w:left="860"/>
      </w:pPr>
      <w:r>
        <w:t>doi:10.1093/brain/awn365</w:t>
      </w:r>
    </w:p>
    <w:p w14:paraId="386A2147" w14:textId="77777777" w:rsidR="00C75312" w:rsidRDefault="00C75312">
      <w:pPr>
        <w:pStyle w:val="BodyText"/>
      </w:pPr>
    </w:p>
    <w:p w14:paraId="5A8B710A" w14:textId="77777777" w:rsidR="00C75312" w:rsidRDefault="00BB293A">
      <w:pPr>
        <w:spacing w:line="480" w:lineRule="auto"/>
        <w:ind w:left="860" w:right="236" w:hanging="720"/>
        <w:jc w:val="both"/>
        <w:rPr>
          <w:sz w:val="24"/>
        </w:rPr>
      </w:pPr>
      <w:r>
        <w:rPr>
          <w:sz w:val="24"/>
        </w:rPr>
        <w:t>Gilbert,</w:t>
      </w:r>
      <w:r>
        <w:rPr>
          <w:spacing w:val="-9"/>
          <w:sz w:val="24"/>
        </w:rPr>
        <w:t xml:space="preserve"> </w:t>
      </w:r>
      <w:r>
        <w:rPr>
          <w:sz w:val="24"/>
        </w:rPr>
        <w:t>S.</w:t>
      </w:r>
      <w:r>
        <w:rPr>
          <w:spacing w:val="-9"/>
          <w:sz w:val="24"/>
        </w:rPr>
        <w:t xml:space="preserve"> </w:t>
      </w:r>
      <w:r>
        <w:rPr>
          <w:sz w:val="24"/>
        </w:rPr>
        <w:t>J.,</w:t>
      </w:r>
      <w:r>
        <w:rPr>
          <w:spacing w:val="-9"/>
          <w:sz w:val="24"/>
        </w:rPr>
        <w:t xml:space="preserve"> </w:t>
      </w:r>
      <w:r>
        <w:rPr>
          <w:sz w:val="24"/>
        </w:rPr>
        <w:t>Simons,</w:t>
      </w:r>
      <w:r>
        <w:rPr>
          <w:spacing w:val="-9"/>
          <w:sz w:val="24"/>
        </w:rPr>
        <w:t xml:space="preserve"> </w:t>
      </w:r>
      <w:r>
        <w:rPr>
          <w:sz w:val="24"/>
        </w:rPr>
        <w:t>J.</w:t>
      </w:r>
      <w:r>
        <w:rPr>
          <w:spacing w:val="-14"/>
          <w:sz w:val="24"/>
        </w:rPr>
        <w:t xml:space="preserve"> </w:t>
      </w:r>
      <w:r>
        <w:rPr>
          <w:sz w:val="24"/>
        </w:rPr>
        <w:t>S.,</w:t>
      </w:r>
      <w:r>
        <w:rPr>
          <w:spacing w:val="-9"/>
          <w:sz w:val="24"/>
        </w:rPr>
        <w:t xml:space="preserve"> </w:t>
      </w:r>
      <w:r>
        <w:rPr>
          <w:sz w:val="24"/>
        </w:rPr>
        <w:t>Frith,</w:t>
      </w:r>
      <w:r>
        <w:rPr>
          <w:spacing w:val="-13"/>
          <w:sz w:val="24"/>
        </w:rPr>
        <w:t xml:space="preserve"> </w:t>
      </w:r>
      <w:r>
        <w:rPr>
          <w:sz w:val="24"/>
        </w:rPr>
        <w:t>C.</w:t>
      </w:r>
      <w:r>
        <w:rPr>
          <w:spacing w:val="-9"/>
          <w:sz w:val="24"/>
        </w:rPr>
        <w:t xml:space="preserve"> </w:t>
      </w:r>
      <w:r>
        <w:rPr>
          <w:sz w:val="24"/>
        </w:rPr>
        <w:t>D.,</w:t>
      </w:r>
      <w:r>
        <w:rPr>
          <w:spacing w:val="-9"/>
          <w:sz w:val="24"/>
        </w:rPr>
        <w:t xml:space="preserve"> </w:t>
      </w:r>
      <w:r>
        <w:rPr>
          <w:sz w:val="24"/>
        </w:rPr>
        <w:t>&amp;</w:t>
      </w:r>
      <w:r>
        <w:rPr>
          <w:spacing w:val="-16"/>
          <w:sz w:val="24"/>
        </w:rPr>
        <w:t xml:space="preserve"> </w:t>
      </w:r>
      <w:r>
        <w:rPr>
          <w:sz w:val="24"/>
        </w:rPr>
        <w:t>Burgess,</w:t>
      </w:r>
      <w:r>
        <w:rPr>
          <w:spacing w:val="-9"/>
          <w:sz w:val="24"/>
        </w:rPr>
        <w:t xml:space="preserve"> </w:t>
      </w:r>
      <w:r>
        <w:rPr>
          <w:sz w:val="24"/>
        </w:rPr>
        <w:t>P.</w:t>
      </w:r>
      <w:r>
        <w:rPr>
          <w:spacing w:val="-9"/>
          <w:sz w:val="24"/>
        </w:rPr>
        <w:t xml:space="preserve"> </w:t>
      </w:r>
      <w:r>
        <w:rPr>
          <w:spacing w:val="-3"/>
          <w:sz w:val="24"/>
        </w:rPr>
        <w:t>W.</w:t>
      </w:r>
      <w:r>
        <w:rPr>
          <w:spacing w:val="-8"/>
          <w:sz w:val="24"/>
        </w:rPr>
        <w:t xml:space="preserve"> </w:t>
      </w:r>
      <w:r>
        <w:rPr>
          <w:sz w:val="24"/>
        </w:rPr>
        <w:t>(2006).</w:t>
      </w:r>
      <w:r>
        <w:rPr>
          <w:spacing w:val="-14"/>
          <w:sz w:val="24"/>
        </w:rPr>
        <w:t xml:space="preserve"> </w:t>
      </w:r>
      <w:r>
        <w:rPr>
          <w:sz w:val="24"/>
        </w:rPr>
        <w:t>Performance-related</w:t>
      </w:r>
      <w:r>
        <w:rPr>
          <w:spacing w:val="-12"/>
          <w:sz w:val="24"/>
        </w:rPr>
        <w:t xml:space="preserve"> </w:t>
      </w:r>
      <w:r>
        <w:rPr>
          <w:sz w:val="24"/>
        </w:rPr>
        <w:t xml:space="preserve">activity in medial rostral prefrontal cortex (area 10) during low-demand tasks. </w:t>
      </w:r>
      <w:r>
        <w:rPr>
          <w:i/>
          <w:sz w:val="24"/>
        </w:rPr>
        <w:t>Journal of Experimental Psychology: Human Perception and Performance, 32</w:t>
      </w:r>
      <w:r>
        <w:rPr>
          <w:sz w:val="24"/>
        </w:rPr>
        <w:t>(1),</w:t>
      </w:r>
      <w:r>
        <w:rPr>
          <w:spacing w:val="35"/>
          <w:sz w:val="24"/>
        </w:rPr>
        <w:t xml:space="preserve"> </w:t>
      </w:r>
      <w:r>
        <w:rPr>
          <w:sz w:val="24"/>
        </w:rPr>
        <w:t>45-58.</w:t>
      </w:r>
    </w:p>
    <w:p w14:paraId="327C7B14" w14:textId="77777777" w:rsidR="00C75312" w:rsidRDefault="00BB293A">
      <w:pPr>
        <w:pStyle w:val="BodyText"/>
        <w:ind w:left="860"/>
      </w:pPr>
      <w:r>
        <w:t>doi:10.1037/0096-1523.32.1.45</w:t>
      </w:r>
    </w:p>
    <w:p w14:paraId="6C8A7E10" w14:textId="77777777" w:rsidR="00C75312" w:rsidRDefault="00C75312">
      <w:pPr>
        <w:pStyle w:val="BodyText"/>
      </w:pPr>
    </w:p>
    <w:p w14:paraId="181316D0" w14:textId="77777777" w:rsidR="00C75312" w:rsidRPr="002C3022" w:rsidRDefault="00BB293A">
      <w:pPr>
        <w:spacing w:line="480" w:lineRule="auto"/>
        <w:ind w:left="860" w:right="236" w:hanging="720"/>
        <w:jc w:val="both"/>
        <w:rPr>
          <w:sz w:val="24"/>
          <w:lang w:val="fr-FR"/>
        </w:rPr>
      </w:pPr>
      <w:r>
        <w:rPr>
          <w:sz w:val="24"/>
        </w:rPr>
        <w:t xml:space="preserve">Gollwitzer, P. M. (1999). </w:t>
      </w:r>
      <w:r w:rsidRPr="002C3022">
        <w:rPr>
          <w:sz w:val="24"/>
          <w:lang w:val="fr-FR"/>
        </w:rPr>
        <w:t xml:space="preserve">Implementation intentions. </w:t>
      </w:r>
      <w:r w:rsidRPr="002C3022">
        <w:rPr>
          <w:i/>
          <w:sz w:val="24"/>
          <w:lang w:val="fr-FR"/>
        </w:rPr>
        <w:t>American Psychologist, 54</w:t>
      </w:r>
      <w:r w:rsidRPr="002C3022">
        <w:rPr>
          <w:sz w:val="24"/>
          <w:lang w:val="fr-FR"/>
        </w:rPr>
        <w:t>(7), 493-503. doi:10.1037//0003-066x.54.7.493</w:t>
      </w:r>
    </w:p>
    <w:p w14:paraId="2F5EEBBA" w14:textId="77777777" w:rsidR="00C75312" w:rsidRPr="002C3022" w:rsidRDefault="00BB293A">
      <w:pPr>
        <w:pStyle w:val="BodyText"/>
        <w:ind w:left="140"/>
        <w:rPr>
          <w:lang w:val="fr-FR"/>
        </w:rPr>
      </w:pPr>
      <w:r w:rsidRPr="002C3022">
        <w:rPr>
          <w:lang w:val="fr-FR"/>
        </w:rPr>
        <w:t>Gonneaud,  J., Rauchs,  G., Groussard, M.,  Landeau,  B., Mézenge,  F., de La Sayette, V., . .</w:t>
      </w:r>
      <w:r w:rsidRPr="002C3022">
        <w:rPr>
          <w:spacing w:val="-36"/>
          <w:lang w:val="fr-FR"/>
        </w:rPr>
        <w:t xml:space="preserve"> </w:t>
      </w:r>
      <w:r w:rsidRPr="002C3022">
        <w:rPr>
          <w:lang w:val="fr-FR"/>
        </w:rPr>
        <w:t>.</w:t>
      </w:r>
    </w:p>
    <w:p w14:paraId="678600F4" w14:textId="77777777" w:rsidR="00C75312" w:rsidRPr="002C3022" w:rsidRDefault="00C75312">
      <w:pPr>
        <w:pStyle w:val="BodyText"/>
        <w:rPr>
          <w:lang w:val="fr-FR"/>
        </w:rPr>
      </w:pPr>
    </w:p>
    <w:p w14:paraId="1ADF8E4C" w14:textId="77777777" w:rsidR="00C75312" w:rsidRDefault="00BB293A">
      <w:pPr>
        <w:pStyle w:val="BodyText"/>
        <w:ind w:left="860"/>
      </w:pPr>
      <w:r>
        <w:t>Desgranges,</w:t>
      </w:r>
      <w:r>
        <w:rPr>
          <w:spacing w:val="15"/>
        </w:rPr>
        <w:t xml:space="preserve"> </w:t>
      </w:r>
      <w:r>
        <w:t>B.</w:t>
      </w:r>
      <w:r>
        <w:rPr>
          <w:spacing w:val="15"/>
        </w:rPr>
        <w:t xml:space="preserve"> </w:t>
      </w:r>
      <w:r>
        <w:t>(2014).</w:t>
      </w:r>
      <w:r>
        <w:rPr>
          <w:spacing w:val="15"/>
        </w:rPr>
        <w:t xml:space="preserve"> </w:t>
      </w:r>
      <w:r>
        <w:t>How</w:t>
      </w:r>
      <w:r>
        <w:rPr>
          <w:spacing w:val="8"/>
        </w:rPr>
        <w:t xml:space="preserve"> </w:t>
      </w:r>
      <w:r>
        <w:t>do</w:t>
      </w:r>
      <w:r>
        <w:rPr>
          <w:spacing w:val="12"/>
        </w:rPr>
        <w:t xml:space="preserve"> </w:t>
      </w:r>
      <w:r>
        <w:t>we</w:t>
      </w:r>
      <w:r>
        <w:rPr>
          <w:spacing w:val="8"/>
        </w:rPr>
        <w:t xml:space="preserve"> </w:t>
      </w:r>
      <w:r>
        <w:t>process</w:t>
      </w:r>
      <w:r>
        <w:rPr>
          <w:spacing w:val="11"/>
        </w:rPr>
        <w:t xml:space="preserve"> </w:t>
      </w:r>
      <w:r>
        <w:t>event-based</w:t>
      </w:r>
      <w:r>
        <w:rPr>
          <w:spacing w:val="12"/>
        </w:rPr>
        <w:t xml:space="preserve"> </w:t>
      </w:r>
      <w:r>
        <w:t>and</w:t>
      </w:r>
      <w:r>
        <w:rPr>
          <w:spacing w:val="13"/>
        </w:rPr>
        <w:t xml:space="preserve"> </w:t>
      </w:r>
      <w:r>
        <w:t>time-based</w:t>
      </w:r>
      <w:r>
        <w:rPr>
          <w:spacing w:val="12"/>
        </w:rPr>
        <w:t xml:space="preserve"> </w:t>
      </w:r>
      <w:r>
        <w:t>intentions</w:t>
      </w:r>
      <w:r>
        <w:rPr>
          <w:spacing w:val="11"/>
        </w:rPr>
        <w:t xml:space="preserve"> </w:t>
      </w:r>
      <w:r>
        <w:t>in</w:t>
      </w:r>
    </w:p>
    <w:p w14:paraId="0D62C48B" w14:textId="77777777" w:rsidR="00C75312" w:rsidRDefault="00C75312">
      <w:pPr>
        <w:sectPr w:rsidR="00C75312">
          <w:pgSz w:w="11900" w:h="16840"/>
          <w:pgMar w:top="1160" w:right="1200" w:bottom="280" w:left="1300" w:header="720" w:footer="0" w:gutter="0"/>
          <w:cols w:space="720"/>
        </w:sectPr>
      </w:pPr>
    </w:p>
    <w:p w14:paraId="211AAE30" w14:textId="77777777" w:rsidR="00C75312" w:rsidRDefault="00C75312">
      <w:pPr>
        <w:pStyle w:val="BodyText"/>
        <w:spacing w:before="9"/>
        <w:rPr>
          <w:sz w:val="15"/>
        </w:rPr>
      </w:pPr>
    </w:p>
    <w:p w14:paraId="179928ED" w14:textId="77777777" w:rsidR="00C75312" w:rsidRDefault="00BB293A">
      <w:pPr>
        <w:pStyle w:val="BodyText"/>
        <w:spacing w:before="90" w:line="480" w:lineRule="auto"/>
        <w:ind w:left="860" w:right="238"/>
        <w:jc w:val="both"/>
      </w:pPr>
      <w:r>
        <w:t xml:space="preserve">the brain? an fMRI study of prospective memory in healthy individuals. </w:t>
      </w:r>
      <w:r>
        <w:rPr>
          <w:i/>
        </w:rPr>
        <w:t>Human Brain Mapping, 35</w:t>
      </w:r>
      <w:r>
        <w:t>(7), 3066-3082. doi:10.1002/hbm.22385</w:t>
      </w:r>
    </w:p>
    <w:p w14:paraId="69C3DC7E" w14:textId="77777777" w:rsidR="00C75312" w:rsidRDefault="00BB293A">
      <w:pPr>
        <w:spacing w:line="480" w:lineRule="auto"/>
        <w:ind w:left="860" w:right="233" w:hanging="720"/>
        <w:jc w:val="both"/>
        <w:rPr>
          <w:sz w:val="24"/>
        </w:rPr>
      </w:pPr>
      <w:r>
        <w:rPr>
          <w:sz w:val="24"/>
        </w:rPr>
        <w:t xml:space="preserve">Graf, P., &amp; Grondin, S. (2006). Time perception and time-based prospective memory. In J. </w:t>
      </w:r>
      <w:proofErr w:type="spellStart"/>
      <w:r>
        <w:rPr>
          <w:sz w:val="24"/>
        </w:rPr>
        <w:t>Glicksohn</w:t>
      </w:r>
      <w:proofErr w:type="spellEnd"/>
      <w:r>
        <w:rPr>
          <w:sz w:val="24"/>
        </w:rPr>
        <w:t xml:space="preserve"> &amp; M. S. </w:t>
      </w:r>
      <w:proofErr w:type="spellStart"/>
      <w:r>
        <w:rPr>
          <w:sz w:val="24"/>
        </w:rPr>
        <w:t>Myslobodsky</w:t>
      </w:r>
      <w:proofErr w:type="spellEnd"/>
      <w:r>
        <w:rPr>
          <w:sz w:val="24"/>
        </w:rPr>
        <w:t xml:space="preserve"> (Eds.), </w:t>
      </w:r>
      <w:r>
        <w:rPr>
          <w:i/>
          <w:sz w:val="24"/>
        </w:rPr>
        <w:t xml:space="preserve">Timing the future: The case for a time-based prospective memory </w:t>
      </w:r>
      <w:r>
        <w:rPr>
          <w:sz w:val="24"/>
        </w:rPr>
        <w:t>(pp. 1-24). River Edge, NJ, US: World Scientific Publishing.</w:t>
      </w:r>
    </w:p>
    <w:p w14:paraId="19EECA28" w14:textId="77777777" w:rsidR="00C75312" w:rsidRDefault="00BB293A">
      <w:pPr>
        <w:spacing w:line="480" w:lineRule="auto"/>
        <w:ind w:left="860" w:right="243" w:hanging="720"/>
        <w:jc w:val="both"/>
        <w:rPr>
          <w:sz w:val="24"/>
        </w:rPr>
      </w:pPr>
      <w:r>
        <w:rPr>
          <w:sz w:val="24"/>
        </w:rPr>
        <w:t>Graf,</w:t>
      </w:r>
      <w:r>
        <w:rPr>
          <w:spacing w:val="-8"/>
          <w:sz w:val="24"/>
        </w:rPr>
        <w:t xml:space="preserve"> </w:t>
      </w:r>
      <w:r>
        <w:rPr>
          <w:sz w:val="24"/>
        </w:rPr>
        <w:t>P.,</w:t>
      </w:r>
      <w:r>
        <w:rPr>
          <w:spacing w:val="-7"/>
          <w:sz w:val="24"/>
        </w:rPr>
        <w:t xml:space="preserve"> </w:t>
      </w:r>
      <w:r>
        <w:rPr>
          <w:sz w:val="24"/>
        </w:rPr>
        <w:t>&amp;</w:t>
      </w:r>
      <w:r>
        <w:rPr>
          <w:spacing w:val="-9"/>
          <w:sz w:val="24"/>
        </w:rPr>
        <w:t xml:space="preserve"> </w:t>
      </w:r>
      <w:proofErr w:type="spellStart"/>
      <w:r>
        <w:rPr>
          <w:sz w:val="24"/>
        </w:rPr>
        <w:t>Uttl</w:t>
      </w:r>
      <w:proofErr w:type="spellEnd"/>
      <w:r>
        <w:rPr>
          <w:sz w:val="24"/>
        </w:rPr>
        <w:t>,</w:t>
      </w:r>
      <w:r>
        <w:rPr>
          <w:spacing w:val="-7"/>
          <w:sz w:val="24"/>
        </w:rPr>
        <w:t xml:space="preserve"> </w:t>
      </w:r>
      <w:r>
        <w:rPr>
          <w:sz w:val="24"/>
        </w:rPr>
        <w:t>B.</w:t>
      </w:r>
      <w:r>
        <w:rPr>
          <w:spacing w:val="-12"/>
          <w:sz w:val="24"/>
        </w:rPr>
        <w:t xml:space="preserve"> </w:t>
      </w:r>
      <w:r>
        <w:rPr>
          <w:sz w:val="24"/>
        </w:rPr>
        <w:t>(2001).</w:t>
      </w:r>
      <w:r>
        <w:rPr>
          <w:spacing w:val="-8"/>
          <w:sz w:val="24"/>
        </w:rPr>
        <w:t xml:space="preserve"> </w:t>
      </w:r>
      <w:r>
        <w:rPr>
          <w:sz w:val="24"/>
        </w:rPr>
        <w:t>Prospective</w:t>
      </w:r>
      <w:r>
        <w:rPr>
          <w:spacing w:val="-11"/>
          <w:sz w:val="24"/>
        </w:rPr>
        <w:t xml:space="preserve"> </w:t>
      </w:r>
      <w:r>
        <w:rPr>
          <w:sz w:val="24"/>
        </w:rPr>
        <w:t>memory:</w:t>
      </w:r>
      <w:r>
        <w:rPr>
          <w:spacing w:val="-9"/>
          <w:sz w:val="24"/>
        </w:rPr>
        <w:t xml:space="preserve"> </w:t>
      </w:r>
      <w:r>
        <w:rPr>
          <w:sz w:val="24"/>
        </w:rPr>
        <w:t>A</w:t>
      </w:r>
      <w:r>
        <w:rPr>
          <w:spacing w:val="-15"/>
          <w:sz w:val="24"/>
        </w:rPr>
        <w:t xml:space="preserve"> </w:t>
      </w:r>
      <w:r>
        <w:rPr>
          <w:sz w:val="24"/>
        </w:rPr>
        <w:t>new</w:t>
      </w:r>
      <w:r>
        <w:rPr>
          <w:spacing w:val="-10"/>
          <w:sz w:val="24"/>
        </w:rPr>
        <w:t xml:space="preserve"> </w:t>
      </w:r>
      <w:r>
        <w:rPr>
          <w:sz w:val="24"/>
        </w:rPr>
        <w:t>focus</w:t>
      </w:r>
      <w:r>
        <w:rPr>
          <w:spacing w:val="-12"/>
          <w:sz w:val="24"/>
        </w:rPr>
        <w:t xml:space="preserve"> </w:t>
      </w:r>
      <w:r>
        <w:rPr>
          <w:sz w:val="24"/>
        </w:rPr>
        <w:t>for</w:t>
      </w:r>
      <w:r>
        <w:rPr>
          <w:spacing w:val="-8"/>
          <w:sz w:val="24"/>
        </w:rPr>
        <w:t xml:space="preserve"> </w:t>
      </w:r>
      <w:r>
        <w:rPr>
          <w:sz w:val="24"/>
        </w:rPr>
        <w:t>research.</w:t>
      </w:r>
      <w:r>
        <w:rPr>
          <w:spacing w:val="-7"/>
          <w:sz w:val="24"/>
        </w:rPr>
        <w:t xml:space="preserve"> </w:t>
      </w:r>
      <w:r>
        <w:rPr>
          <w:i/>
          <w:sz w:val="24"/>
        </w:rPr>
        <w:t>Consciousness</w:t>
      </w:r>
      <w:r>
        <w:rPr>
          <w:i/>
          <w:spacing w:val="-12"/>
          <w:sz w:val="24"/>
        </w:rPr>
        <w:t xml:space="preserve"> </w:t>
      </w:r>
      <w:r>
        <w:rPr>
          <w:i/>
          <w:sz w:val="24"/>
        </w:rPr>
        <w:t>and Cognition, 10</w:t>
      </w:r>
      <w:r>
        <w:rPr>
          <w:sz w:val="24"/>
        </w:rPr>
        <w:t>(4), 437-450.</w:t>
      </w:r>
      <w:r>
        <w:rPr>
          <w:spacing w:val="6"/>
          <w:sz w:val="24"/>
        </w:rPr>
        <w:t xml:space="preserve"> </w:t>
      </w:r>
      <w:r>
        <w:rPr>
          <w:sz w:val="24"/>
        </w:rPr>
        <w:t>doi:10.1006/ccog.2001.0504</w:t>
      </w:r>
    </w:p>
    <w:p w14:paraId="78CE2816" w14:textId="77777777" w:rsidR="00C75312" w:rsidRDefault="00BB293A">
      <w:pPr>
        <w:pStyle w:val="BodyText"/>
        <w:spacing w:line="480" w:lineRule="auto"/>
        <w:ind w:left="860" w:right="243" w:hanging="720"/>
        <w:jc w:val="both"/>
      </w:pPr>
      <w:r>
        <w:t xml:space="preserve">Graf, P., &amp; Yu, M. (2015). </w:t>
      </w:r>
      <w:proofErr w:type="spellStart"/>
      <w:r>
        <w:t>Valenced</w:t>
      </w:r>
      <w:proofErr w:type="spellEnd"/>
      <w:r>
        <w:t xml:space="preserve"> cues and contexts have different effects on event-based prospective memory. </w:t>
      </w:r>
      <w:proofErr w:type="spellStart"/>
      <w:r>
        <w:rPr>
          <w:i/>
        </w:rPr>
        <w:t>PLoS</w:t>
      </w:r>
      <w:proofErr w:type="spellEnd"/>
      <w:r>
        <w:rPr>
          <w:i/>
        </w:rPr>
        <w:t xml:space="preserve"> ONE, 10</w:t>
      </w:r>
      <w:r>
        <w:t>(2), 1-17. doi:10.1371/journal.pone.0116953</w:t>
      </w:r>
    </w:p>
    <w:p w14:paraId="17E4BFBE" w14:textId="77777777" w:rsidR="00C75312" w:rsidRDefault="00BB293A">
      <w:pPr>
        <w:pStyle w:val="BodyText"/>
        <w:spacing w:line="480" w:lineRule="auto"/>
        <w:ind w:left="860" w:right="238" w:hanging="720"/>
        <w:jc w:val="both"/>
      </w:pPr>
      <w:r>
        <w:t xml:space="preserve">Grainger, C., Williams, D. M., &amp; Lind, S. E. (2014). Metacognition, metamemory, and mindreading in high-functioning adults with autism spectrum disorder. </w:t>
      </w:r>
      <w:r>
        <w:rPr>
          <w:i/>
        </w:rPr>
        <w:t>Journal of Abnormal Psychology, 123</w:t>
      </w:r>
      <w:r>
        <w:t>(3), 650-659. doi:10.1037/a0036531</w:t>
      </w:r>
    </w:p>
    <w:p w14:paraId="3D9C974B" w14:textId="77777777" w:rsidR="00C75312" w:rsidRDefault="00BB293A">
      <w:pPr>
        <w:spacing w:before="1"/>
        <w:ind w:left="140"/>
        <w:jc w:val="both"/>
        <w:rPr>
          <w:sz w:val="24"/>
        </w:rPr>
      </w:pPr>
      <w:r>
        <w:rPr>
          <w:sz w:val="24"/>
        </w:rPr>
        <w:t xml:space="preserve">Hair, J., Anderson, R., Tatham, R., &amp; Black, W. (1998). </w:t>
      </w:r>
      <w:r>
        <w:rPr>
          <w:i/>
          <w:sz w:val="24"/>
        </w:rPr>
        <w:t xml:space="preserve">Multivariate Data Analysis </w:t>
      </w:r>
      <w:r>
        <w:rPr>
          <w:sz w:val="24"/>
        </w:rPr>
        <w:t>(5th ed.).</w:t>
      </w:r>
    </w:p>
    <w:p w14:paraId="3B64E5B9" w14:textId="77777777" w:rsidR="00C75312" w:rsidRDefault="00C75312">
      <w:pPr>
        <w:pStyle w:val="BodyText"/>
        <w:spacing w:before="11"/>
        <w:rPr>
          <w:sz w:val="23"/>
        </w:rPr>
      </w:pPr>
    </w:p>
    <w:p w14:paraId="28CDBD01" w14:textId="77777777" w:rsidR="00C75312" w:rsidRDefault="00BB293A">
      <w:pPr>
        <w:pStyle w:val="BodyText"/>
        <w:ind w:left="860"/>
        <w:jc w:val="both"/>
      </w:pPr>
      <w:r>
        <w:t>Englewood Cliffs, NJ: Prentice Hall.</w:t>
      </w:r>
    </w:p>
    <w:p w14:paraId="77D89E2F" w14:textId="77777777" w:rsidR="00C75312" w:rsidRDefault="00C75312">
      <w:pPr>
        <w:pStyle w:val="BodyText"/>
      </w:pPr>
    </w:p>
    <w:p w14:paraId="4C397493" w14:textId="77777777" w:rsidR="00C75312" w:rsidRDefault="00BB293A">
      <w:pPr>
        <w:spacing w:line="480" w:lineRule="auto"/>
        <w:ind w:left="860" w:right="236" w:hanging="720"/>
        <w:jc w:val="both"/>
        <w:rPr>
          <w:sz w:val="24"/>
        </w:rPr>
      </w:pPr>
      <w:r w:rsidRPr="002C3022">
        <w:rPr>
          <w:sz w:val="24"/>
          <w:lang w:val="fr-FR"/>
        </w:rPr>
        <w:t xml:space="preserve">Hanson, L. K., &amp; Atance, C. M. (2014). </w:t>
      </w:r>
      <w:r>
        <w:rPr>
          <w:sz w:val="24"/>
        </w:rPr>
        <w:t xml:space="preserve">Brief report: Episodic foresight in autism spectrum disorder. </w:t>
      </w:r>
      <w:r>
        <w:rPr>
          <w:i/>
          <w:sz w:val="24"/>
        </w:rPr>
        <w:t>Journal of Autism and Developmental Disorders, 44</w:t>
      </w:r>
      <w:r>
        <w:rPr>
          <w:sz w:val="24"/>
        </w:rPr>
        <w:t>(3), 674-684. doi:10.1007/s10803-013-1896-6</w:t>
      </w:r>
    </w:p>
    <w:p w14:paraId="5339FCD9" w14:textId="77777777" w:rsidR="00C75312" w:rsidRDefault="00BB293A">
      <w:pPr>
        <w:pStyle w:val="BodyText"/>
        <w:ind w:left="140"/>
        <w:jc w:val="both"/>
      </w:pPr>
      <w:proofErr w:type="spellStart"/>
      <w:r>
        <w:t>Happé</w:t>
      </w:r>
      <w:proofErr w:type="spellEnd"/>
      <w:r>
        <w:t xml:space="preserve">, F., &amp; Frith, U. (1995). Theory of mind in autism. In E. </w:t>
      </w:r>
      <w:proofErr w:type="spellStart"/>
      <w:r>
        <w:t>Schopler</w:t>
      </w:r>
      <w:proofErr w:type="spellEnd"/>
      <w:r>
        <w:t xml:space="preserve"> &amp; G. </w:t>
      </w:r>
      <w:proofErr w:type="spellStart"/>
      <w:r>
        <w:t>Mesibov</w:t>
      </w:r>
      <w:proofErr w:type="spellEnd"/>
      <w:r>
        <w:t xml:space="preserve"> (Eds.),</w:t>
      </w:r>
    </w:p>
    <w:p w14:paraId="72A5FBAD" w14:textId="77777777" w:rsidR="00C75312" w:rsidRDefault="00C75312">
      <w:pPr>
        <w:pStyle w:val="BodyText"/>
      </w:pPr>
    </w:p>
    <w:p w14:paraId="64B51CCC" w14:textId="77777777" w:rsidR="00C75312" w:rsidRDefault="00BB293A">
      <w:pPr>
        <w:ind w:left="860"/>
        <w:jc w:val="both"/>
        <w:rPr>
          <w:sz w:val="24"/>
        </w:rPr>
      </w:pPr>
      <w:r>
        <w:rPr>
          <w:i/>
          <w:sz w:val="24"/>
        </w:rPr>
        <w:t xml:space="preserve">Learning and Cognition in Autism </w:t>
      </w:r>
      <w:r>
        <w:rPr>
          <w:sz w:val="24"/>
        </w:rPr>
        <w:t>(pp. 177-197): Springer US.</w:t>
      </w:r>
    </w:p>
    <w:p w14:paraId="131EAF2E" w14:textId="77777777" w:rsidR="00C75312" w:rsidRDefault="00C75312">
      <w:pPr>
        <w:pStyle w:val="BodyText"/>
      </w:pPr>
    </w:p>
    <w:p w14:paraId="1B332EDC" w14:textId="77777777" w:rsidR="00C75312" w:rsidRDefault="00BB293A">
      <w:pPr>
        <w:spacing w:line="480" w:lineRule="auto"/>
        <w:ind w:left="860" w:right="234" w:hanging="720"/>
        <w:jc w:val="both"/>
        <w:rPr>
          <w:sz w:val="24"/>
        </w:rPr>
      </w:pPr>
      <w:proofErr w:type="spellStart"/>
      <w:r>
        <w:rPr>
          <w:sz w:val="24"/>
        </w:rPr>
        <w:t>Happé</w:t>
      </w:r>
      <w:proofErr w:type="spellEnd"/>
      <w:r>
        <w:rPr>
          <w:sz w:val="24"/>
        </w:rPr>
        <w:t xml:space="preserve">, F., &amp; Frith, U. (2006). The weak coherence account: Detail-focused cognitive style in autism spectrum disorders. </w:t>
      </w:r>
      <w:r>
        <w:rPr>
          <w:i/>
          <w:sz w:val="24"/>
        </w:rPr>
        <w:t>Journal of Autism and Developmental Disorders, 36</w:t>
      </w:r>
      <w:r>
        <w:rPr>
          <w:sz w:val="24"/>
        </w:rPr>
        <w:t>(1), 5- 25. doi:10.1007/s10803-005-0039-0</w:t>
      </w:r>
    </w:p>
    <w:p w14:paraId="15997BC6" w14:textId="77777777" w:rsidR="00C75312" w:rsidRDefault="00BB293A">
      <w:pPr>
        <w:pStyle w:val="BodyText"/>
        <w:spacing w:before="1" w:line="480" w:lineRule="auto"/>
        <w:ind w:left="860" w:right="237" w:hanging="720"/>
        <w:jc w:val="both"/>
      </w:pPr>
      <w:r>
        <w:t xml:space="preserve">Healy, A. F., &amp; </w:t>
      </w:r>
      <w:proofErr w:type="spellStart"/>
      <w:r>
        <w:t>Nairne</w:t>
      </w:r>
      <w:proofErr w:type="spellEnd"/>
      <w:r>
        <w:t xml:space="preserve">, J. S. (1985). Short-term memory processes in counting. </w:t>
      </w:r>
      <w:r>
        <w:rPr>
          <w:i/>
        </w:rPr>
        <w:t>Cognitive Psychology, 17</w:t>
      </w:r>
      <w:r>
        <w:t>(4), 417-444. doi:10.1016/0010-0285(85)90015-5</w:t>
      </w:r>
    </w:p>
    <w:p w14:paraId="3C2E2A34" w14:textId="77777777" w:rsidR="00C75312" w:rsidRDefault="00C75312">
      <w:pPr>
        <w:spacing w:line="480" w:lineRule="auto"/>
        <w:jc w:val="both"/>
        <w:sectPr w:rsidR="00C75312">
          <w:pgSz w:w="11900" w:h="16840"/>
          <w:pgMar w:top="1160" w:right="1200" w:bottom="280" w:left="1300" w:header="720" w:footer="0" w:gutter="0"/>
          <w:cols w:space="720"/>
        </w:sectPr>
      </w:pPr>
    </w:p>
    <w:p w14:paraId="5215ED79" w14:textId="77777777" w:rsidR="00C75312" w:rsidRDefault="00C75312">
      <w:pPr>
        <w:pStyle w:val="BodyText"/>
        <w:spacing w:before="9"/>
        <w:rPr>
          <w:sz w:val="15"/>
        </w:rPr>
      </w:pPr>
    </w:p>
    <w:p w14:paraId="2E4419F8" w14:textId="77777777" w:rsidR="00C75312" w:rsidRDefault="00BB293A">
      <w:pPr>
        <w:spacing w:before="90" w:line="480" w:lineRule="auto"/>
        <w:ind w:left="860" w:right="238" w:hanging="720"/>
        <w:jc w:val="both"/>
        <w:rPr>
          <w:sz w:val="24"/>
        </w:rPr>
      </w:pPr>
      <w:r>
        <w:rPr>
          <w:sz w:val="24"/>
        </w:rPr>
        <w:t xml:space="preserve">Hedges, L. V. (1981). Distribution theory for Glass's estimator of effect size and related estimators. </w:t>
      </w:r>
      <w:r>
        <w:rPr>
          <w:i/>
          <w:sz w:val="24"/>
        </w:rPr>
        <w:t>Journal of Educational and Behavioral Statistics, 6</w:t>
      </w:r>
      <w:r>
        <w:rPr>
          <w:sz w:val="24"/>
        </w:rPr>
        <w:t>(2), 107-128. doi:10.3102/10769986006002107</w:t>
      </w:r>
    </w:p>
    <w:p w14:paraId="05A4FEDD" w14:textId="77777777" w:rsidR="00C75312" w:rsidRDefault="00BB293A">
      <w:pPr>
        <w:spacing w:line="480" w:lineRule="auto"/>
        <w:ind w:left="860" w:right="239" w:hanging="720"/>
        <w:jc w:val="both"/>
        <w:rPr>
          <w:sz w:val="24"/>
        </w:rPr>
      </w:pPr>
      <w:r>
        <w:rPr>
          <w:sz w:val="24"/>
        </w:rPr>
        <w:t xml:space="preserve">Hedges, L. V., &amp; Olkin, I. (1985). </w:t>
      </w:r>
      <w:r>
        <w:rPr>
          <w:i/>
          <w:sz w:val="24"/>
        </w:rPr>
        <w:t>Statistical methods for meta-analysis</w:t>
      </w:r>
      <w:r>
        <w:rPr>
          <w:sz w:val="24"/>
        </w:rPr>
        <w:t>. Orlando, FL: Academic Press.</w:t>
      </w:r>
    </w:p>
    <w:p w14:paraId="25D20781" w14:textId="77777777" w:rsidR="00C75312" w:rsidRDefault="00BB293A">
      <w:pPr>
        <w:spacing w:line="480" w:lineRule="auto"/>
        <w:ind w:left="860" w:right="243" w:hanging="720"/>
        <w:jc w:val="both"/>
        <w:rPr>
          <w:sz w:val="24"/>
        </w:rPr>
      </w:pPr>
      <w:r>
        <w:rPr>
          <w:sz w:val="24"/>
        </w:rPr>
        <w:t>Hendricks,</w:t>
      </w:r>
      <w:r>
        <w:rPr>
          <w:spacing w:val="-8"/>
          <w:sz w:val="24"/>
        </w:rPr>
        <w:t xml:space="preserve"> </w:t>
      </w:r>
      <w:r>
        <w:rPr>
          <w:sz w:val="24"/>
        </w:rPr>
        <w:t>D.</w:t>
      </w:r>
      <w:r>
        <w:rPr>
          <w:spacing w:val="-8"/>
          <w:sz w:val="24"/>
        </w:rPr>
        <w:t xml:space="preserve"> </w:t>
      </w:r>
      <w:r>
        <w:rPr>
          <w:sz w:val="24"/>
        </w:rPr>
        <w:t>(2010).</w:t>
      </w:r>
      <w:r>
        <w:rPr>
          <w:spacing w:val="-8"/>
          <w:sz w:val="24"/>
        </w:rPr>
        <w:t xml:space="preserve"> </w:t>
      </w:r>
      <w:r>
        <w:rPr>
          <w:sz w:val="24"/>
        </w:rPr>
        <w:t>Employment</w:t>
      </w:r>
      <w:r>
        <w:rPr>
          <w:spacing w:val="-10"/>
          <w:sz w:val="24"/>
        </w:rPr>
        <w:t xml:space="preserve"> </w:t>
      </w:r>
      <w:r>
        <w:rPr>
          <w:sz w:val="24"/>
        </w:rPr>
        <w:t>and</w:t>
      </w:r>
      <w:r>
        <w:rPr>
          <w:spacing w:val="-10"/>
          <w:sz w:val="24"/>
        </w:rPr>
        <w:t xml:space="preserve"> </w:t>
      </w:r>
      <w:r>
        <w:rPr>
          <w:sz w:val="24"/>
        </w:rPr>
        <w:t>adults</w:t>
      </w:r>
      <w:r>
        <w:rPr>
          <w:spacing w:val="-13"/>
          <w:sz w:val="24"/>
        </w:rPr>
        <w:t xml:space="preserve"> </w:t>
      </w:r>
      <w:r>
        <w:rPr>
          <w:sz w:val="24"/>
        </w:rPr>
        <w:t>with</w:t>
      </w:r>
      <w:r>
        <w:rPr>
          <w:spacing w:val="-14"/>
          <w:sz w:val="24"/>
        </w:rPr>
        <w:t xml:space="preserve"> </w:t>
      </w:r>
      <w:r>
        <w:rPr>
          <w:sz w:val="24"/>
        </w:rPr>
        <w:t>autism</w:t>
      </w:r>
      <w:r>
        <w:rPr>
          <w:spacing w:val="-10"/>
          <w:sz w:val="24"/>
        </w:rPr>
        <w:t xml:space="preserve"> </w:t>
      </w:r>
      <w:r>
        <w:rPr>
          <w:sz w:val="24"/>
        </w:rPr>
        <w:t>spectrum</w:t>
      </w:r>
      <w:r>
        <w:rPr>
          <w:spacing w:val="-10"/>
          <w:sz w:val="24"/>
        </w:rPr>
        <w:t xml:space="preserve"> </w:t>
      </w:r>
      <w:r>
        <w:rPr>
          <w:sz w:val="24"/>
        </w:rPr>
        <w:t>disorders:</w:t>
      </w:r>
      <w:r>
        <w:rPr>
          <w:spacing w:val="-10"/>
          <w:sz w:val="24"/>
        </w:rPr>
        <w:t xml:space="preserve"> </w:t>
      </w:r>
      <w:r>
        <w:rPr>
          <w:sz w:val="24"/>
        </w:rPr>
        <w:t>Challenges</w:t>
      </w:r>
      <w:r>
        <w:rPr>
          <w:spacing w:val="-12"/>
          <w:sz w:val="24"/>
        </w:rPr>
        <w:t xml:space="preserve"> </w:t>
      </w:r>
      <w:r>
        <w:rPr>
          <w:sz w:val="24"/>
        </w:rPr>
        <w:t xml:space="preserve">and strategies for success. </w:t>
      </w:r>
      <w:r>
        <w:rPr>
          <w:i/>
          <w:sz w:val="24"/>
        </w:rPr>
        <w:t>Journal of Vocational Rehabilitation, 32</w:t>
      </w:r>
      <w:r>
        <w:rPr>
          <w:sz w:val="24"/>
        </w:rPr>
        <w:t>(2),</w:t>
      </w:r>
      <w:r>
        <w:rPr>
          <w:spacing w:val="4"/>
          <w:sz w:val="24"/>
        </w:rPr>
        <w:t xml:space="preserve"> </w:t>
      </w:r>
      <w:r>
        <w:rPr>
          <w:sz w:val="24"/>
        </w:rPr>
        <w:t>125-134.</w:t>
      </w:r>
    </w:p>
    <w:p w14:paraId="0576A194" w14:textId="77777777" w:rsidR="00C75312" w:rsidRDefault="00BB293A">
      <w:pPr>
        <w:pStyle w:val="BodyText"/>
        <w:spacing w:line="480" w:lineRule="auto"/>
        <w:ind w:left="860" w:right="236" w:hanging="720"/>
        <w:jc w:val="both"/>
      </w:pPr>
      <w:r>
        <w:t>Henry,</w:t>
      </w:r>
      <w:r>
        <w:rPr>
          <w:spacing w:val="-13"/>
        </w:rPr>
        <w:t xml:space="preserve"> </w:t>
      </w:r>
      <w:r>
        <w:t>J.</w:t>
      </w:r>
      <w:r>
        <w:rPr>
          <w:spacing w:val="-13"/>
        </w:rPr>
        <w:t xml:space="preserve"> </w:t>
      </w:r>
      <w:r>
        <w:t>D.,</w:t>
      </w:r>
      <w:r>
        <w:rPr>
          <w:spacing w:val="-18"/>
        </w:rPr>
        <w:t xml:space="preserve"> </w:t>
      </w:r>
      <w:r>
        <w:t>MacLeod,</w:t>
      </w:r>
      <w:r>
        <w:rPr>
          <w:spacing w:val="-13"/>
        </w:rPr>
        <w:t xml:space="preserve"> </w:t>
      </w:r>
      <w:r>
        <w:t>M.</w:t>
      </w:r>
      <w:r>
        <w:rPr>
          <w:spacing w:val="-13"/>
        </w:rPr>
        <w:t xml:space="preserve"> </w:t>
      </w:r>
      <w:r>
        <w:t>S.,</w:t>
      </w:r>
      <w:r>
        <w:rPr>
          <w:spacing w:val="-18"/>
        </w:rPr>
        <w:t xml:space="preserve"> </w:t>
      </w:r>
      <w:r>
        <w:t>Phillips,</w:t>
      </w:r>
      <w:r>
        <w:rPr>
          <w:spacing w:val="-17"/>
        </w:rPr>
        <w:t xml:space="preserve"> </w:t>
      </w:r>
      <w:r>
        <w:t>L.</w:t>
      </w:r>
      <w:r>
        <w:rPr>
          <w:spacing w:val="-13"/>
        </w:rPr>
        <w:t xml:space="preserve"> </w:t>
      </w:r>
      <w:r>
        <w:t>H.,</w:t>
      </w:r>
      <w:r>
        <w:rPr>
          <w:spacing w:val="-18"/>
        </w:rPr>
        <w:t xml:space="preserve"> </w:t>
      </w:r>
      <w:r>
        <w:t>&amp;</w:t>
      </w:r>
      <w:r>
        <w:rPr>
          <w:spacing w:val="-15"/>
        </w:rPr>
        <w:t xml:space="preserve"> </w:t>
      </w:r>
      <w:r>
        <w:t>Crawford,</w:t>
      </w:r>
      <w:r>
        <w:rPr>
          <w:spacing w:val="-12"/>
        </w:rPr>
        <w:t xml:space="preserve"> </w:t>
      </w:r>
      <w:r>
        <w:rPr>
          <w:spacing w:val="-4"/>
        </w:rPr>
        <w:t>J.</w:t>
      </w:r>
      <w:r>
        <w:rPr>
          <w:spacing w:val="-13"/>
        </w:rPr>
        <w:t xml:space="preserve"> </w:t>
      </w:r>
      <w:r>
        <w:t>R.</w:t>
      </w:r>
      <w:r>
        <w:rPr>
          <w:spacing w:val="-18"/>
        </w:rPr>
        <w:t xml:space="preserve"> </w:t>
      </w:r>
      <w:r>
        <w:t>(2004).</w:t>
      </w:r>
      <w:r>
        <w:rPr>
          <w:spacing w:val="-13"/>
        </w:rPr>
        <w:t xml:space="preserve"> </w:t>
      </w:r>
      <w:r>
        <w:t>A</w:t>
      </w:r>
      <w:r>
        <w:rPr>
          <w:spacing w:val="-16"/>
        </w:rPr>
        <w:t xml:space="preserve"> </w:t>
      </w:r>
      <w:r>
        <w:t>meta-analytic</w:t>
      </w:r>
      <w:r>
        <w:rPr>
          <w:spacing w:val="-16"/>
        </w:rPr>
        <w:t xml:space="preserve"> </w:t>
      </w:r>
      <w:r>
        <w:t xml:space="preserve">review of prospective memory and aging. </w:t>
      </w:r>
      <w:r>
        <w:rPr>
          <w:i/>
        </w:rPr>
        <w:t>Psychology and Aging, 19</w:t>
      </w:r>
      <w:r>
        <w:t>(1), 27-39. doi:10.1037/0882-7974.19.1.27</w:t>
      </w:r>
    </w:p>
    <w:p w14:paraId="332169B5" w14:textId="77777777" w:rsidR="00C75312" w:rsidRPr="002C3022" w:rsidRDefault="00BB293A">
      <w:pPr>
        <w:pStyle w:val="BodyText"/>
        <w:ind w:left="140"/>
        <w:jc w:val="both"/>
        <w:rPr>
          <w:lang w:val="de-DE"/>
        </w:rPr>
      </w:pPr>
      <w:r w:rsidRPr="002C3022">
        <w:rPr>
          <w:lang w:val="de-DE"/>
        </w:rPr>
        <w:t>Henry, J. D., Terrett, G., Altgassen, M., Raponi-Saunders, S., Ballhausen, N., Schnitzspahn,</w:t>
      </w:r>
    </w:p>
    <w:p w14:paraId="23E10E69" w14:textId="77777777" w:rsidR="00C75312" w:rsidRPr="002C3022" w:rsidRDefault="00C75312">
      <w:pPr>
        <w:pStyle w:val="BodyText"/>
        <w:rPr>
          <w:lang w:val="de-DE"/>
        </w:rPr>
      </w:pPr>
    </w:p>
    <w:p w14:paraId="0BF29AD4" w14:textId="77777777" w:rsidR="00C75312" w:rsidRDefault="00BB293A">
      <w:pPr>
        <w:spacing w:before="1" w:line="480" w:lineRule="auto"/>
        <w:ind w:left="860" w:right="234"/>
        <w:jc w:val="both"/>
        <w:rPr>
          <w:sz w:val="24"/>
        </w:rPr>
      </w:pPr>
      <w:r w:rsidRPr="002C3022">
        <w:rPr>
          <w:sz w:val="24"/>
          <w:lang w:val="de-DE"/>
        </w:rPr>
        <w:t>K.</w:t>
      </w:r>
      <w:r w:rsidRPr="002C3022">
        <w:rPr>
          <w:spacing w:val="-3"/>
          <w:sz w:val="24"/>
          <w:lang w:val="de-DE"/>
        </w:rPr>
        <w:t xml:space="preserve"> </w:t>
      </w:r>
      <w:r w:rsidRPr="002C3022">
        <w:rPr>
          <w:sz w:val="24"/>
          <w:lang w:val="de-DE"/>
        </w:rPr>
        <w:t>M.,</w:t>
      </w:r>
      <w:r w:rsidRPr="002C3022">
        <w:rPr>
          <w:spacing w:val="-7"/>
          <w:sz w:val="24"/>
          <w:lang w:val="de-DE"/>
        </w:rPr>
        <w:t xml:space="preserve"> </w:t>
      </w:r>
      <w:r w:rsidRPr="002C3022">
        <w:rPr>
          <w:sz w:val="24"/>
          <w:lang w:val="de-DE"/>
        </w:rPr>
        <w:t>&amp;</w:t>
      </w:r>
      <w:r w:rsidRPr="002C3022">
        <w:rPr>
          <w:spacing w:val="-5"/>
          <w:sz w:val="24"/>
          <w:lang w:val="de-DE"/>
        </w:rPr>
        <w:t xml:space="preserve"> </w:t>
      </w:r>
      <w:r w:rsidRPr="002C3022">
        <w:rPr>
          <w:sz w:val="24"/>
          <w:lang w:val="de-DE"/>
        </w:rPr>
        <w:t>Rendell,</w:t>
      </w:r>
      <w:r w:rsidRPr="002C3022">
        <w:rPr>
          <w:spacing w:val="-7"/>
          <w:sz w:val="24"/>
          <w:lang w:val="de-DE"/>
        </w:rPr>
        <w:t xml:space="preserve"> </w:t>
      </w:r>
      <w:r w:rsidRPr="002C3022">
        <w:rPr>
          <w:sz w:val="24"/>
          <w:lang w:val="de-DE"/>
        </w:rPr>
        <w:t>P.</w:t>
      </w:r>
      <w:r w:rsidRPr="002C3022">
        <w:rPr>
          <w:spacing w:val="-2"/>
          <w:sz w:val="24"/>
          <w:lang w:val="de-DE"/>
        </w:rPr>
        <w:t xml:space="preserve"> </w:t>
      </w:r>
      <w:r w:rsidRPr="002C3022">
        <w:rPr>
          <w:spacing w:val="-3"/>
          <w:sz w:val="24"/>
          <w:lang w:val="de-DE"/>
        </w:rPr>
        <w:t xml:space="preserve">G. </w:t>
      </w:r>
      <w:r w:rsidRPr="002C3022">
        <w:rPr>
          <w:sz w:val="24"/>
          <w:lang w:val="de-DE"/>
        </w:rPr>
        <w:t>(2014).</w:t>
      </w:r>
      <w:r w:rsidRPr="002C3022">
        <w:rPr>
          <w:spacing w:val="-7"/>
          <w:sz w:val="24"/>
          <w:lang w:val="de-DE"/>
        </w:rPr>
        <w:t xml:space="preserve"> </w:t>
      </w:r>
      <w:r>
        <w:rPr>
          <w:sz w:val="24"/>
        </w:rPr>
        <w:t>A</w:t>
      </w:r>
      <w:r>
        <w:rPr>
          <w:spacing w:val="-6"/>
          <w:sz w:val="24"/>
        </w:rPr>
        <w:t xml:space="preserve"> </w:t>
      </w:r>
      <w:r>
        <w:rPr>
          <w:sz w:val="24"/>
        </w:rPr>
        <w:t>Virtual</w:t>
      </w:r>
      <w:r>
        <w:rPr>
          <w:spacing w:val="-4"/>
          <w:sz w:val="24"/>
        </w:rPr>
        <w:t xml:space="preserve"> </w:t>
      </w:r>
      <w:r>
        <w:rPr>
          <w:sz w:val="24"/>
        </w:rPr>
        <w:t>Week</w:t>
      </w:r>
      <w:r>
        <w:rPr>
          <w:spacing w:val="-5"/>
          <w:sz w:val="24"/>
        </w:rPr>
        <w:t xml:space="preserve"> </w:t>
      </w:r>
      <w:r>
        <w:rPr>
          <w:sz w:val="24"/>
        </w:rPr>
        <w:t>study</w:t>
      </w:r>
      <w:r>
        <w:rPr>
          <w:spacing w:val="-6"/>
          <w:sz w:val="24"/>
        </w:rPr>
        <w:t xml:space="preserve"> </w:t>
      </w:r>
      <w:r>
        <w:rPr>
          <w:sz w:val="24"/>
        </w:rPr>
        <w:t>of</w:t>
      </w:r>
      <w:r>
        <w:rPr>
          <w:spacing w:val="-3"/>
          <w:sz w:val="24"/>
        </w:rPr>
        <w:t xml:space="preserve"> </w:t>
      </w:r>
      <w:r>
        <w:rPr>
          <w:sz w:val="24"/>
        </w:rPr>
        <w:t>prospective</w:t>
      </w:r>
      <w:r>
        <w:rPr>
          <w:spacing w:val="-6"/>
          <w:sz w:val="24"/>
        </w:rPr>
        <w:t xml:space="preserve"> </w:t>
      </w:r>
      <w:r>
        <w:rPr>
          <w:sz w:val="24"/>
        </w:rPr>
        <w:t>memory</w:t>
      </w:r>
      <w:r>
        <w:rPr>
          <w:spacing w:val="-11"/>
          <w:sz w:val="24"/>
        </w:rPr>
        <w:t xml:space="preserve"> </w:t>
      </w:r>
      <w:r>
        <w:rPr>
          <w:sz w:val="24"/>
        </w:rPr>
        <w:t xml:space="preserve">function in autism spectrum disorders. </w:t>
      </w:r>
      <w:r>
        <w:rPr>
          <w:i/>
          <w:sz w:val="24"/>
        </w:rPr>
        <w:t>Journal of Experimental Child Psychology, 127</w:t>
      </w:r>
      <w:r>
        <w:rPr>
          <w:sz w:val="24"/>
        </w:rPr>
        <w:t>, 110- 125.</w:t>
      </w:r>
      <w:r>
        <w:rPr>
          <w:spacing w:val="3"/>
          <w:sz w:val="24"/>
        </w:rPr>
        <w:t xml:space="preserve"> </w:t>
      </w:r>
      <w:r>
        <w:rPr>
          <w:sz w:val="24"/>
        </w:rPr>
        <w:t>doi:10.1016/j.jecp.2014.01.011</w:t>
      </w:r>
    </w:p>
    <w:p w14:paraId="752A71D5" w14:textId="77777777" w:rsidR="00C75312" w:rsidRDefault="00BB293A">
      <w:pPr>
        <w:pStyle w:val="BodyText"/>
        <w:spacing w:line="480" w:lineRule="auto"/>
        <w:ind w:left="860" w:right="238" w:hanging="720"/>
        <w:jc w:val="both"/>
      </w:pPr>
      <w:r>
        <w:t xml:space="preserve">Herbert, B. M., Herbert, C., &amp; </w:t>
      </w:r>
      <w:proofErr w:type="spellStart"/>
      <w:r>
        <w:t>Pollatos</w:t>
      </w:r>
      <w:proofErr w:type="spellEnd"/>
      <w:r>
        <w:t xml:space="preserve">, </w:t>
      </w:r>
      <w:r>
        <w:rPr>
          <w:spacing w:val="-3"/>
        </w:rPr>
        <w:t xml:space="preserve">O. </w:t>
      </w:r>
      <w:r>
        <w:t>(2011). On the relationship between interoceptive awareness</w:t>
      </w:r>
      <w:r>
        <w:rPr>
          <w:spacing w:val="-14"/>
        </w:rPr>
        <w:t xml:space="preserve"> </w:t>
      </w:r>
      <w:r>
        <w:t>and</w:t>
      </w:r>
      <w:r>
        <w:rPr>
          <w:spacing w:val="-11"/>
        </w:rPr>
        <w:t xml:space="preserve"> </w:t>
      </w:r>
      <w:r>
        <w:t>alexithymia:</w:t>
      </w:r>
      <w:r>
        <w:rPr>
          <w:spacing w:val="-10"/>
        </w:rPr>
        <w:t xml:space="preserve"> </w:t>
      </w:r>
      <w:r>
        <w:t>Is</w:t>
      </w:r>
      <w:r>
        <w:rPr>
          <w:spacing w:val="-13"/>
        </w:rPr>
        <w:t xml:space="preserve"> </w:t>
      </w:r>
      <w:r>
        <w:t>interoceptive</w:t>
      </w:r>
      <w:r>
        <w:rPr>
          <w:spacing w:val="-12"/>
        </w:rPr>
        <w:t xml:space="preserve"> </w:t>
      </w:r>
      <w:r>
        <w:t>awareness</w:t>
      </w:r>
      <w:r>
        <w:rPr>
          <w:spacing w:val="-13"/>
        </w:rPr>
        <w:t xml:space="preserve"> </w:t>
      </w:r>
      <w:r>
        <w:t>related</w:t>
      </w:r>
      <w:r>
        <w:rPr>
          <w:spacing w:val="-11"/>
        </w:rPr>
        <w:t xml:space="preserve"> </w:t>
      </w:r>
      <w:r>
        <w:t>to</w:t>
      </w:r>
      <w:r>
        <w:rPr>
          <w:spacing w:val="-11"/>
        </w:rPr>
        <w:t xml:space="preserve"> </w:t>
      </w:r>
      <w:r>
        <w:t>emotional</w:t>
      </w:r>
      <w:r>
        <w:rPr>
          <w:spacing w:val="-11"/>
        </w:rPr>
        <w:t xml:space="preserve"> </w:t>
      </w:r>
      <w:r>
        <w:t xml:space="preserve">awareness? </w:t>
      </w:r>
      <w:r>
        <w:rPr>
          <w:i/>
        </w:rPr>
        <w:t>Journal of Personality, 79</w:t>
      </w:r>
      <w:r>
        <w:t>(5), 1149-1175.</w:t>
      </w:r>
      <w:r>
        <w:rPr>
          <w:spacing w:val="1"/>
        </w:rPr>
        <w:t xml:space="preserve"> </w:t>
      </w:r>
      <w:r>
        <w:t>doi:10.1111/j.1467-6494.2011.00717.x</w:t>
      </w:r>
    </w:p>
    <w:p w14:paraId="785DE8C5" w14:textId="77777777" w:rsidR="00C75312" w:rsidRDefault="00BB293A">
      <w:pPr>
        <w:pStyle w:val="BodyText"/>
        <w:spacing w:line="480" w:lineRule="auto"/>
        <w:ind w:left="860" w:right="237" w:hanging="720"/>
        <w:jc w:val="both"/>
      </w:pPr>
      <w:r>
        <w:t>Hering,</w:t>
      </w:r>
      <w:r>
        <w:rPr>
          <w:spacing w:val="-13"/>
        </w:rPr>
        <w:t xml:space="preserve"> </w:t>
      </w:r>
      <w:r>
        <w:t>A.,</w:t>
      </w:r>
      <w:r>
        <w:rPr>
          <w:spacing w:val="-13"/>
        </w:rPr>
        <w:t xml:space="preserve"> </w:t>
      </w:r>
      <w:r>
        <w:t>Rendell,</w:t>
      </w:r>
      <w:r>
        <w:rPr>
          <w:spacing w:val="-13"/>
        </w:rPr>
        <w:t xml:space="preserve"> </w:t>
      </w:r>
      <w:r>
        <w:t>P.</w:t>
      </w:r>
      <w:r>
        <w:rPr>
          <w:spacing w:val="-13"/>
        </w:rPr>
        <w:t xml:space="preserve"> </w:t>
      </w:r>
      <w:r>
        <w:t>G.,</w:t>
      </w:r>
      <w:r>
        <w:rPr>
          <w:spacing w:val="-13"/>
        </w:rPr>
        <w:t xml:space="preserve"> </w:t>
      </w:r>
      <w:r>
        <w:t>Rose,</w:t>
      </w:r>
      <w:r>
        <w:rPr>
          <w:spacing w:val="-9"/>
        </w:rPr>
        <w:t xml:space="preserve"> </w:t>
      </w:r>
      <w:r>
        <w:t>N.</w:t>
      </w:r>
      <w:r>
        <w:rPr>
          <w:spacing w:val="-17"/>
        </w:rPr>
        <w:t xml:space="preserve"> </w:t>
      </w:r>
      <w:r>
        <w:t>S.,</w:t>
      </w:r>
      <w:r>
        <w:rPr>
          <w:spacing w:val="-13"/>
        </w:rPr>
        <w:t xml:space="preserve"> </w:t>
      </w:r>
      <w:proofErr w:type="spellStart"/>
      <w:r>
        <w:t>Schnitzspahn</w:t>
      </w:r>
      <w:proofErr w:type="spellEnd"/>
      <w:r>
        <w:t>,</w:t>
      </w:r>
      <w:r>
        <w:rPr>
          <w:spacing w:val="-9"/>
        </w:rPr>
        <w:t xml:space="preserve"> </w:t>
      </w:r>
      <w:r>
        <w:rPr>
          <w:spacing w:val="-3"/>
        </w:rPr>
        <w:t>K.</w:t>
      </w:r>
      <w:r>
        <w:rPr>
          <w:spacing w:val="-13"/>
        </w:rPr>
        <w:t xml:space="preserve"> </w:t>
      </w:r>
      <w:r>
        <w:t>M.,</w:t>
      </w:r>
      <w:r>
        <w:rPr>
          <w:spacing w:val="-13"/>
        </w:rPr>
        <w:t xml:space="preserve"> </w:t>
      </w:r>
      <w:r>
        <w:t>&amp;</w:t>
      </w:r>
      <w:r>
        <w:rPr>
          <w:spacing w:val="-15"/>
        </w:rPr>
        <w:t xml:space="preserve"> </w:t>
      </w:r>
      <w:proofErr w:type="spellStart"/>
      <w:r>
        <w:t>Kliegel</w:t>
      </w:r>
      <w:proofErr w:type="spellEnd"/>
      <w:r>
        <w:t>,</w:t>
      </w:r>
      <w:r>
        <w:rPr>
          <w:spacing w:val="-8"/>
        </w:rPr>
        <w:t xml:space="preserve"> </w:t>
      </w:r>
      <w:r>
        <w:t>M.</w:t>
      </w:r>
      <w:r>
        <w:rPr>
          <w:spacing w:val="-18"/>
        </w:rPr>
        <w:t xml:space="preserve"> </w:t>
      </w:r>
      <w:r>
        <w:t>(2014).</w:t>
      </w:r>
      <w:r>
        <w:rPr>
          <w:spacing w:val="-13"/>
        </w:rPr>
        <w:t xml:space="preserve"> </w:t>
      </w:r>
      <w:r>
        <w:t xml:space="preserve">Prospective memory training in older adults and its relevance for successful aging. </w:t>
      </w:r>
      <w:r>
        <w:rPr>
          <w:i/>
        </w:rPr>
        <w:t>Psychological Research, 78</w:t>
      </w:r>
      <w:r>
        <w:t>(6), 892-904.</w:t>
      </w:r>
      <w:r>
        <w:rPr>
          <w:spacing w:val="6"/>
        </w:rPr>
        <w:t xml:space="preserve"> </w:t>
      </w:r>
      <w:r>
        <w:t>doi:10.1007/s00426-014-0566-4</w:t>
      </w:r>
    </w:p>
    <w:p w14:paraId="45B7B917" w14:textId="77777777" w:rsidR="00C75312" w:rsidRPr="002C3022" w:rsidRDefault="00BB293A">
      <w:pPr>
        <w:spacing w:line="480" w:lineRule="auto"/>
        <w:ind w:left="860" w:right="233" w:hanging="720"/>
        <w:jc w:val="both"/>
        <w:rPr>
          <w:sz w:val="24"/>
          <w:lang w:val="fr-FR"/>
        </w:rPr>
      </w:pPr>
      <w:r>
        <w:rPr>
          <w:sz w:val="24"/>
        </w:rPr>
        <w:t xml:space="preserve">Hiebel, N., &amp; Zimmer, H. D. (2015). Individual differences in working memory capacity and attentional control. </w:t>
      </w:r>
      <w:r w:rsidRPr="002C3022">
        <w:rPr>
          <w:i/>
          <w:sz w:val="24"/>
          <w:lang w:val="fr-FR"/>
        </w:rPr>
        <w:t>Canadian Journal of Experimental Psychology=Revue canadienne de psychologie expérimentale, 69</w:t>
      </w:r>
      <w:r w:rsidRPr="002C3022">
        <w:rPr>
          <w:sz w:val="24"/>
          <w:lang w:val="fr-FR"/>
        </w:rPr>
        <w:t>(1), 17-27. doi:10.1037/cep0000029</w:t>
      </w:r>
    </w:p>
    <w:p w14:paraId="34447402" w14:textId="77777777" w:rsidR="00C75312" w:rsidRDefault="00BB293A">
      <w:pPr>
        <w:spacing w:line="480" w:lineRule="auto"/>
        <w:ind w:left="860" w:right="236" w:hanging="720"/>
        <w:jc w:val="both"/>
        <w:rPr>
          <w:sz w:val="24"/>
        </w:rPr>
      </w:pPr>
      <w:r>
        <w:rPr>
          <w:sz w:val="24"/>
        </w:rPr>
        <w:t xml:space="preserve">Hill, E. L. (2004). Executive dysfunction in autism. </w:t>
      </w:r>
      <w:r>
        <w:rPr>
          <w:i/>
          <w:sz w:val="24"/>
        </w:rPr>
        <w:t>Trends in Cognitive Science, 8</w:t>
      </w:r>
      <w:r>
        <w:rPr>
          <w:sz w:val="24"/>
        </w:rPr>
        <w:t>(1), 26-32. doi:10.1016/j.tics.2003.11.003</w:t>
      </w:r>
    </w:p>
    <w:p w14:paraId="41234399"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00E51A61" w14:textId="77777777" w:rsidR="00C75312" w:rsidRDefault="00C75312">
      <w:pPr>
        <w:pStyle w:val="BodyText"/>
        <w:spacing w:before="9"/>
        <w:rPr>
          <w:sz w:val="15"/>
        </w:rPr>
      </w:pPr>
    </w:p>
    <w:p w14:paraId="7031ADE3" w14:textId="77777777" w:rsidR="00C75312" w:rsidRDefault="00BB293A">
      <w:pPr>
        <w:tabs>
          <w:tab w:val="left" w:pos="2227"/>
          <w:tab w:val="left" w:pos="4685"/>
          <w:tab w:val="left" w:pos="6715"/>
          <w:tab w:val="left" w:pos="8304"/>
        </w:tabs>
        <w:spacing w:before="90" w:line="480" w:lineRule="auto"/>
        <w:ind w:left="860" w:right="233" w:hanging="720"/>
        <w:jc w:val="both"/>
        <w:rPr>
          <w:sz w:val="24"/>
        </w:rPr>
      </w:pPr>
      <w:r>
        <w:rPr>
          <w:sz w:val="24"/>
        </w:rPr>
        <w:t>Hill,</w:t>
      </w:r>
      <w:r>
        <w:rPr>
          <w:spacing w:val="-13"/>
          <w:sz w:val="24"/>
        </w:rPr>
        <w:t xml:space="preserve"> </w:t>
      </w:r>
      <w:r>
        <w:rPr>
          <w:sz w:val="24"/>
        </w:rPr>
        <w:t>E.</w:t>
      </w:r>
      <w:r>
        <w:rPr>
          <w:spacing w:val="-13"/>
          <w:sz w:val="24"/>
        </w:rPr>
        <w:t xml:space="preserve"> </w:t>
      </w:r>
      <w:r>
        <w:rPr>
          <w:sz w:val="24"/>
        </w:rPr>
        <w:t>L.,</w:t>
      </w:r>
      <w:r>
        <w:rPr>
          <w:spacing w:val="-13"/>
          <w:sz w:val="24"/>
        </w:rPr>
        <w:t xml:space="preserve"> </w:t>
      </w:r>
      <w:proofErr w:type="spellStart"/>
      <w:r>
        <w:rPr>
          <w:sz w:val="24"/>
        </w:rPr>
        <w:t>Berthoz</w:t>
      </w:r>
      <w:proofErr w:type="spellEnd"/>
      <w:r>
        <w:rPr>
          <w:sz w:val="24"/>
        </w:rPr>
        <w:t>,</w:t>
      </w:r>
      <w:r>
        <w:rPr>
          <w:spacing w:val="-13"/>
          <w:sz w:val="24"/>
        </w:rPr>
        <w:t xml:space="preserve"> </w:t>
      </w:r>
      <w:r>
        <w:rPr>
          <w:sz w:val="24"/>
        </w:rPr>
        <w:t>S.,</w:t>
      </w:r>
      <w:r>
        <w:rPr>
          <w:spacing w:val="-13"/>
          <w:sz w:val="24"/>
        </w:rPr>
        <w:t xml:space="preserve"> </w:t>
      </w:r>
      <w:r>
        <w:rPr>
          <w:sz w:val="24"/>
        </w:rPr>
        <w:t>&amp;</w:t>
      </w:r>
      <w:r>
        <w:rPr>
          <w:spacing w:val="-14"/>
          <w:sz w:val="24"/>
        </w:rPr>
        <w:t xml:space="preserve"> </w:t>
      </w:r>
      <w:r>
        <w:rPr>
          <w:sz w:val="24"/>
        </w:rPr>
        <w:t>Frith,</w:t>
      </w:r>
      <w:r>
        <w:rPr>
          <w:spacing w:val="-18"/>
          <w:sz w:val="24"/>
        </w:rPr>
        <w:t xml:space="preserve"> </w:t>
      </w:r>
      <w:r>
        <w:rPr>
          <w:sz w:val="24"/>
        </w:rPr>
        <w:t>U.</w:t>
      </w:r>
      <w:r>
        <w:rPr>
          <w:spacing w:val="-13"/>
          <w:sz w:val="24"/>
        </w:rPr>
        <w:t xml:space="preserve"> </w:t>
      </w:r>
      <w:r>
        <w:rPr>
          <w:sz w:val="24"/>
        </w:rPr>
        <w:t>(2004).</w:t>
      </w:r>
      <w:r>
        <w:rPr>
          <w:spacing w:val="-12"/>
          <w:sz w:val="24"/>
        </w:rPr>
        <w:t xml:space="preserve"> </w:t>
      </w:r>
      <w:r>
        <w:rPr>
          <w:sz w:val="24"/>
        </w:rPr>
        <w:t>Brief</w:t>
      </w:r>
      <w:r>
        <w:rPr>
          <w:spacing w:val="-14"/>
          <w:sz w:val="24"/>
        </w:rPr>
        <w:t xml:space="preserve"> </w:t>
      </w:r>
      <w:r>
        <w:rPr>
          <w:sz w:val="24"/>
        </w:rPr>
        <w:t>Report:</w:t>
      </w:r>
      <w:r>
        <w:rPr>
          <w:spacing w:val="-15"/>
          <w:sz w:val="24"/>
        </w:rPr>
        <w:t xml:space="preserve"> </w:t>
      </w:r>
      <w:r>
        <w:rPr>
          <w:sz w:val="24"/>
        </w:rPr>
        <w:t>Cognitive</w:t>
      </w:r>
      <w:r>
        <w:rPr>
          <w:spacing w:val="-16"/>
          <w:sz w:val="24"/>
        </w:rPr>
        <w:t xml:space="preserve"> </w:t>
      </w:r>
      <w:r>
        <w:rPr>
          <w:sz w:val="24"/>
        </w:rPr>
        <w:t>processing</w:t>
      </w:r>
      <w:r>
        <w:rPr>
          <w:spacing w:val="-14"/>
          <w:sz w:val="24"/>
        </w:rPr>
        <w:t xml:space="preserve"> </w:t>
      </w:r>
      <w:r>
        <w:rPr>
          <w:sz w:val="24"/>
        </w:rPr>
        <w:t>of</w:t>
      </w:r>
      <w:r>
        <w:rPr>
          <w:spacing w:val="-14"/>
          <w:sz w:val="24"/>
        </w:rPr>
        <w:t xml:space="preserve"> </w:t>
      </w:r>
      <w:r>
        <w:rPr>
          <w:sz w:val="24"/>
        </w:rPr>
        <w:t>own</w:t>
      </w:r>
      <w:r>
        <w:rPr>
          <w:spacing w:val="-15"/>
          <w:sz w:val="24"/>
        </w:rPr>
        <w:t xml:space="preserve"> </w:t>
      </w:r>
      <w:r>
        <w:rPr>
          <w:sz w:val="24"/>
        </w:rPr>
        <w:t xml:space="preserve">emotions in individuals with autistic spectrum disorder and in their relatives. </w:t>
      </w:r>
      <w:r>
        <w:rPr>
          <w:i/>
          <w:sz w:val="24"/>
        </w:rPr>
        <w:t>Journal of Autism and</w:t>
      </w:r>
      <w:r>
        <w:rPr>
          <w:i/>
          <w:sz w:val="24"/>
        </w:rPr>
        <w:tab/>
        <w:t>Developmental</w:t>
      </w:r>
      <w:r>
        <w:rPr>
          <w:i/>
          <w:sz w:val="24"/>
        </w:rPr>
        <w:tab/>
        <w:t>Disorders,</w:t>
      </w:r>
      <w:r>
        <w:rPr>
          <w:i/>
          <w:sz w:val="24"/>
        </w:rPr>
        <w:tab/>
        <w:t>34</w:t>
      </w:r>
      <w:r>
        <w:rPr>
          <w:sz w:val="24"/>
        </w:rPr>
        <w:t>(2),</w:t>
      </w:r>
      <w:r>
        <w:rPr>
          <w:sz w:val="24"/>
        </w:rPr>
        <w:tab/>
      </w:r>
      <w:r>
        <w:rPr>
          <w:spacing w:val="-3"/>
          <w:sz w:val="24"/>
        </w:rPr>
        <w:t>229-235.</w:t>
      </w:r>
    </w:p>
    <w:p w14:paraId="3CE8D594" w14:textId="77777777" w:rsidR="00C75312" w:rsidRDefault="00BB293A">
      <w:pPr>
        <w:pStyle w:val="BodyText"/>
        <w:ind w:left="860"/>
      </w:pPr>
      <w:r>
        <w:t>doi:10.1023/B:JADD.0000022613.41399.14</w:t>
      </w:r>
    </w:p>
    <w:p w14:paraId="4B565460" w14:textId="77777777" w:rsidR="00C75312" w:rsidRDefault="00C75312">
      <w:pPr>
        <w:pStyle w:val="BodyText"/>
      </w:pPr>
    </w:p>
    <w:p w14:paraId="49EFB6E6" w14:textId="77777777" w:rsidR="00C75312" w:rsidRDefault="00BB293A">
      <w:pPr>
        <w:spacing w:line="480" w:lineRule="auto"/>
        <w:ind w:left="860" w:right="239" w:hanging="720"/>
        <w:jc w:val="both"/>
        <w:rPr>
          <w:sz w:val="24"/>
        </w:rPr>
      </w:pPr>
      <w:r>
        <w:rPr>
          <w:sz w:val="24"/>
        </w:rPr>
        <w:t>Howlin,</w:t>
      </w:r>
      <w:r>
        <w:rPr>
          <w:spacing w:val="-13"/>
          <w:sz w:val="24"/>
        </w:rPr>
        <w:t xml:space="preserve"> </w:t>
      </w:r>
      <w:r>
        <w:rPr>
          <w:sz w:val="24"/>
        </w:rPr>
        <w:t>P.,</w:t>
      </w:r>
      <w:r>
        <w:rPr>
          <w:spacing w:val="-18"/>
          <w:sz w:val="24"/>
        </w:rPr>
        <w:t xml:space="preserve"> </w:t>
      </w:r>
      <w:r>
        <w:rPr>
          <w:sz w:val="24"/>
        </w:rPr>
        <w:t>&amp;</w:t>
      </w:r>
      <w:r>
        <w:rPr>
          <w:spacing w:val="-19"/>
          <w:sz w:val="24"/>
        </w:rPr>
        <w:t xml:space="preserve"> </w:t>
      </w:r>
      <w:r>
        <w:rPr>
          <w:sz w:val="24"/>
        </w:rPr>
        <w:t>Moss,</w:t>
      </w:r>
      <w:r>
        <w:rPr>
          <w:spacing w:val="-13"/>
          <w:sz w:val="24"/>
        </w:rPr>
        <w:t xml:space="preserve"> </w:t>
      </w:r>
      <w:r>
        <w:rPr>
          <w:sz w:val="24"/>
        </w:rPr>
        <w:t>P.</w:t>
      </w:r>
      <w:r>
        <w:rPr>
          <w:spacing w:val="-18"/>
          <w:sz w:val="24"/>
        </w:rPr>
        <w:t xml:space="preserve"> </w:t>
      </w:r>
      <w:r>
        <w:rPr>
          <w:sz w:val="24"/>
        </w:rPr>
        <w:t>(2012).</w:t>
      </w:r>
      <w:r>
        <w:rPr>
          <w:spacing w:val="-17"/>
          <w:sz w:val="24"/>
        </w:rPr>
        <w:t xml:space="preserve"> </w:t>
      </w:r>
      <w:r>
        <w:rPr>
          <w:sz w:val="24"/>
        </w:rPr>
        <w:t>Adults</w:t>
      </w:r>
      <w:r>
        <w:rPr>
          <w:spacing w:val="-18"/>
          <w:sz w:val="24"/>
        </w:rPr>
        <w:t xml:space="preserve"> </w:t>
      </w:r>
      <w:r>
        <w:rPr>
          <w:sz w:val="24"/>
        </w:rPr>
        <w:t>with</w:t>
      </w:r>
      <w:r>
        <w:rPr>
          <w:spacing w:val="-19"/>
          <w:sz w:val="24"/>
        </w:rPr>
        <w:t xml:space="preserve"> </w:t>
      </w:r>
      <w:r>
        <w:rPr>
          <w:sz w:val="24"/>
        </w:rPr>
        <w:t>Autism</w:t>
      </w:r>
      <w:r>
        <w:rPr>
          <w:spacing w:val="-19"/>
          <w:sz w:val="24"/>
        </w:rPr>
        <w:t xml:space="preserve"> </w:t>
      </w:r>
      <w:r>
        <w:rPr>
          <w:sz w:val="24"/>
        </w:rPr>
        <w:t>Spectrum</w:t>
      </w:r>
      <w:r>
        <w:rPr>
          <w:spacing w:val="-15"/>
          <w:sz w:val="24"/>
        </w:rPr>
        <w:t xml:space="preserve"> </w:t>
      </w:r>
      <w:r>
        <w:rPr>
          <w:sz w:val="24"/>
        </w:rPr>
        <w:t>Disorders.</w:t>
      </w:r>
      <w:r>
        <w:rPr>
          <w:spacing w:val="-18"/>
          <w:sz w:val="24"/>
        </w:rPr>
        <w:t xml:space="preserve"> </w:t>
      </w:r>
      <w:r>
        <w:rPr>
          <w:i/>
          <w:sz w:val="24"/>
        </w:rPr>
        <w:t>The</w:t>
      </w:r>
      <w:r>
        <w:rPr>
          <w:i/>
          <w:spacing w:val="-15"/>
          <w:sz w:val="24"/>
        </w:rPr>
        <w:t xml:space="preserve"> </w:t>
      </w:r>
      <w:r>
        <w:rPr>
          <w:i/>
          <w:sz w:val="24"/>
        </w:rPr>
        <w:t>Canadian</w:t>
      </w:r>
      <w:r>
        <w:rPr>
          <w:i/>
          <w:spacing w:val="-20"/>
          <w:sz w:val="24"/>
        </w:rPr>
        <w:t xml:space="preserve"> </w:t>
      </w:r>
      <w:r>
        <w:rPr>
          <w:i/>
          <w:sz w:val="24"/>
        </w:rPr>
        <w:t>Journal of Psychiatry, 57</w:t>
      </w:r>
      <w:r>
        <w:rPr>
          <w:sz w:val="24"/>
        </w:rPr>
        <w:t>(5), 275-283.</w:t>
      </w:r>
      <w:r>
        <w:rPr>
          <w:spacing w:val="7"/>
          <w:sz w:val="24"/>
        </w:rPr>
        <w:t xml:space="preserve"> </w:t>
      </w:r>
      <w:r>
        <w:rPr>
          <w:sz w:val="24"/>
        </w:rPr>
        <w:t>doi:10.1177/070674371205700502</w:t>
      </w:r>
    </w:p>
    <w:p w14:paraId="0C486F19" w14:textId="77777777" w:rsidR="00C75312" w:rsidRDefault="00BB293A">
      <w:pPr>
        <w:pStyle w:val="BodyText"/>
        <w:spacing w:line="480" w:lineRule="auto"/>
        <w:ind w:left="860" w:right="234" w:hanging="720"/>
        <w:jc w:val="both"/>
      </w:pPr>
      <w:r>
        <w:t xml:space="preserve">Hus, V., Gotham, K., &amp; Lord, C. (2014). Standardizing ADOS Domain Scores: Separating Severity of Social Affect and Restricted and Repetitive Behaviors. </w:t>
      </w:r>
      <w:r>
        <w:rPr>
          <w:i/>
        </w:rPr>
        <w:t>Journal of Autism and Developmental Disorders, 44</w:t>
      </w:r>
      <w:r>
        <w:t>(10), 2400-2412. doi:10.1007/s10803-012-1719-1</w:t>
      </w:r>
    </w:p>
    <w:p w14:paraId="51DAC7E1" w14:textId="77777777" w:rsidR="00C75312" w:rsidRDefault="00BB293A">
      <w:pPr>
        <w:pStyle w:val="BodyText"/>
        <w:spacing w:line="480" w:lineRule="auto"/>
        <w:ind w:left="860" w:right="236" w:hanging="720"/>
        <w:jc w:val="both"/>
      </w:pPr>
      <w:r>
        <w:t xml:space="preserve">Ihle, A., Hering, A., Mahy, C. E. V., </w:t>
      </w:r>
      <w:proofErr w:type="spellStart"/>
      <w:r>
        <w:t>Bisiacchi</w:t>
      </w:r>
      <w:proofErr w:type="spellEnd"/>
      <w:r>
        <w:t xml:space="preserve">, P. S., &amp; </w:t>
      </w:r>
      <w:proofErr w:type="spellStart"/>
      <w:r>
        <w:t>Kliegel</w:t>
      </w:r>
      <w:proofErr w:type="spellEnd"/>
      <w:r>
        <w:t xml:space="preserve">, M. (2013). Adult age differences, response management, and cue focality in event-based prospective memory: A meta-analysis on the role of task order specificity. </w:t>
      </w:r>
      <w:r>
        <w:rPr>
          <w:i/>
        </w:rPr>
        <w:t>Psychology and Aging, 28</w:t>
      </w:r>
      <w:r>
        <w:t>(3), 714-720. doi:10.1037/a0033653</w:t>
      </w:r>
    </w:p>
    <w:p w14:paraId="5132EC9C" w14:textId="77777777" w:rsidR="00C75312" w:rsidRDefault="00BB293A">
      <w:pPr>
        <w:spacing w:before="1" w:line="480" w:lineRule="auto"/>
        <w:ind w:left="860" w:right="234" w:hanging="720"/>
        <w:jc w:val="both"/>
        <w:rPr>
          <w:sz w:val="24"/>
        </w:rPr>
      </w:pPr>
      <w:r>
        <w:rPr>
          <w:sz w:val="24"/>
        </w:rPr>
        <w:t xml:space="preserve">Ihle, A., </w:t>
      </w:r>
      <w:proofErr w:type="spellStart"/>
      <w:r>
        <w:rPr>
          <w:sz w:val="24"/>
        </w:rPr>
        <w:t>Schnitzspahn</w:t>
      </w:r>
      <w:proofErr w:type="spellEnd"/>
      <w:r>
        <w:rPr>
          <w:sz w:val="24"/>
        </w:rPr>
        <w:t xml:space="preserve">, K., Rendell, P. G., Luong, C., &amp; </w:t>
      </w:r>
      <w:proofErr w:type="spellStart"/>
      <w:r>
        <w:rPr>
          <w:sz w:val="24"/>
        </w:rPr>
        <w:t>Kliegel</w:t>
      </w:r>
      <w:proofErr w:type="spellEnd"/>
      <w:r>
        <w:rPr>
          <w:sz w:val="24"/>
        </w:rPr>
        <w:t xml:space="preserve">, M. (2012). Age benefits in everyday prospective memory: The influence of personal task importance, use of reminders and everyday stress. </w:t>
      </w:r>
      <w:r>
        <w:rPr>
          <w:i/>
          <w:sz w:val="24"/>
        </w:rPr>
        <w:t>Neuropsychology, development, and cognition. Section B, Aging, neuropsychology and cognition, 19</w:t>
      </w:r>
      <w:r>
        <w:rPr>
          <w:sz w:val="24"/>
        </w:rPr>
        <w:t>(1-2), 84-101.</w:t>
      </w:r>
    </w:p>
    <w:p w14:paraId="29AC0FC3" w14:textId="77777777" w:rsidR="00C75312" w:rsidRPr="002C3022" w:rsidRDefault="00BB293A">
      <w:pPr>
        <w:pStyle w:val="BodyText"/>
        <w:ind w:left="860"/>
        <w:rPr>
          <w:lang w:val="it-IT"/>
        </w:rPr>
      </w:pPr>
      <w:r w:rsidRPr="002C3022">
        <w:rPr>
          <w:lang w:val="it-IT"/>
        </w:rPr>
        <w:t>doi:10.1080/13825585.2011.629288</w:t>
      </w:r>
    </w:p>
    <w:p w14:paraId="48E585AE" w14:textId="77777777" w:rsidR="00C75312" w:rsidRPr="002C3022" w:rsidRDefault="00C75312">
      <w:pPr>
        <w:pStyle w:val="BodyText"/>
        <w:rPr>
          <w:lang w:val="it-IT"/>
        </w:rPr>
      </w:pPr>
    </w:p>
    <w:p w14:paraId="284635E2" w14:textId="77777777" w:rsidR="00C75312" w:rsidRDefault="00BB293A">
      <w:pPr>
        <w:spacing w:line="480" w:lineRule="auto"/>
        <w:ind w:left="860" w:right="236" w:hanging="720"/>
        <w:jc w:val="both"/>
        <w:rPr>
          <w:sz w:val="24"/>
        </w:rPr>
      </w:pPr>
      <w:r w:rsidRPr="002C3022">
        <w:rPr>
          <w:sz w:val="24"/>
          <w:lang w:val="it-IT"/>
        </w:rPr>
        <w:t xml:space="preserve">Iovannone, R., Dunlap, G., Huber, H., &amp; Kincaid, D. (2003). </w:t>
      </w:r>
      <w:r>
        <w:rPr>
          <w:sz w:val="24"/>
        </w:rPr>
        <w:t>Effective educational practices for</w:t>
      </w:r>
      <w:r>
        <w:rPr>
          <w:spacing w:val="-4"/>
          <w:sz w:val="24"/>
        </w:rPr>
        <w:t xml:space="preserve"> </w:t>
      </w:r>
      <w:r>
        <w:rPr>
          <w:sz w:val="24"/>
        </w:rPr>
        <w:t>students</w:t>
      </w:r>
      <w:r>
        <w:rPr>
          <w:spacing w:val="-7"/>
          <w:sz w:val="24"/>
        </w:rPr>
        <w:t xml:space="preserve"> </w:t>
      </w:r>
      <w:r>
        <w:rPr>
          <w:sz w:val="24"/>
        </w:rPr>
        <w:t>with</w:t>
      </w:r>
      <w:r>
        <w:rPr>
          <w:spacing w:val="-5"/>
          <w:sz w:val="24"/>
        </w:rPr>
        <w:t xml:space="preserve"> </w:t>
      </w:r>
      <w:r>
        <w:rPr>
          <w:sz w:val="24"/>
        </w:rPr>
        <w:t>autism</w:t>
      </w:r>
      <w:r>
        <w:rPr>
          <w:spacing w:val="-4"/>
          <w:sz w:val="24"/>
        </w:rPr>
        <w:t xml:space="preserve"> </w:t>
      </w:r>
      <w:r>
        <w:rPr>
          <w:sz w:val="24"/>
        </w:rPr>
        <w:t>spectrum</w:t>
      </w:r>
      <w:r>
        <w:rPr>
          <w:spacing w:val="-5"/>
          <w:sz w:val="24"/>
        </w:rPr>
        <w:t xml:space="preserve"> </w:t>
      </w:r>
      <w:r>
        <w:rPr>
          <w:sz w:val="24"/>
        </w:rPr>
        <w:t>disorders.</w:t>
      </w:r>
      <w:r>
        <w:rPr>
          <w:spacing w:val="-7"/>
          <w:sz w:val="24"/>
        </w:rPr>
        <w:t xml:space="preserve"> </w:t>
      </w:r>
      <w:r>
        <w:rPr>
          <w:i/>
          <w:sz w:val="24"/>
        </w:rPr>
        <w:t>Focus</w:t>
      </w:r>
      <w:r>
        <w:rPr>
          <w:i/>
          <w:spacing w:val="-12"/>
          <w:sz w:val="24"/>
        </w:rPr>
        <w:t xml:space="preserve"> </w:t>
      </w:r>
      <w:r>
        <w:rPr>
          <w:i/>
          <w:sz w:val="24"/>
        </w:rPr>
        <w:t>on</w:t>
      </w:r>
      <w:r>
        <w:rPr>
          <w:i/>
          <w:spacing w:val="-5"/>
          <w:sz w:val="24"/>
        </w:rPr>
        <w:t xml:space="preserve"> </w:t>
      </w:r>
      <w:r>
        <w:rPr>
          <w:i/>
          <w:sz w:val="24"/>
        </w:rPr>
        <w:t>autism</w:t>
      </w:r>
      <w:r>
        <w:rPr>
          <w:i/>
          <w:spacing w:val="-5"/>
          <w:sz w:val="24"/>
        </w:rPr>
        <w:t xml:space="preserve"> </w:t>
      </w:r>
      <w:r>
        <w:rPr>
          <w:i/>
          <w:sz w:val="24"/>
        </w:rPr>
        <w:t>and</w:t>
      </w:r>
      <w:r>
        <w:rPr>
          <w:i/>
          <w:spacing w:val="-5"/>
          <w:sz w:val="24"/>
        </w:rPr>
        <w:t xml:space="preserve"> </w:t>
      </w:r>
      <w:r>
        <w:rPr>
          <w:i/>
          <w:sz w:val="24"/>
        </w:rPr>
        <w:t>other</w:t>
      </w:r>
      <w:r>
        <w:rPr>
          <w:i/>
          <w:spacing w:val="-7"/>
          <w:sz w:val="24"/>
        </w:rPr>
        <w:t xml:space="preserve"> </w:t>
      </w:r>
      <w:r>
        <w:rPr>
          <w:i/>
          <w:sz w:val="24"/>
        </w:rPr>
        <w:t>developmental disabilities, 18</w:t>
      </w:r>
      <w:r>
        <w:rPr>
          <w:sz w:val="24"/>
        </w:rPr>
        <w:t>(3), 150-165.</w:t>
      </w:r>
      <w:r>
        <w:rPr>
          <w:spacing w:val="6"/>
          <w:sz w:val="24"/>
        </w:rPr>
        <w:t xml:space="preserve"> </w:t>
      </w:r>
      <w:r>
        <w:rPr>
          <w:sz w:val="24"/>
        </w:rPr>
        <w:t>doi:10.1177/10883576030180030301</w:t>
      </w:r>
    </w:p>
    <w:p w14:paraId="288DF87E" w14:textId="77777777" w:rsidR="00C75312" w:rsidRDefault="00BB293A">
      <w:pPr>
        <w:pStyle w:val="BodyText"/>
        <w:spacing w:line="480" w:lineRule="auto"/>
        <w:ind w:left="140" w:right="1254"/>
        <w:jc w:val="both"/>
      </w:pPr>
      <w:r>
        <w:t xml:space="preserve">Ishihara, S. (1951). </w:t>
      </w:r>
      <w:r>
        <w:rPr>
          <w:i/>
        </w:rPr>
        <w:t xml:space="preserve">Tests for </w:t>
      </w:r>
      <w:proofErr w:type="spellStart"/>
      <w:r>
        <w:rPr>
          <w:i/>
        </w:rPr>
        <w:t>Colour</w:t>
      </w:r>
      <w:proofErr w:type="spellEnd"/>
      <w:r>
        <w:rPr>
          <w:i/>
        </w:rPr>
        <w:t xml:space="preserve">-Blindness </w:t>
      </w:r>
      <w:r>
        <w:t xml:space="preserve">(10th ed.). </w:t>
      </w:r>
      <w:r w:rsidRPr="002C3022">
        <w:rPr>
          <w:lang w:val="fi-FI"/>
        </w:rPr>
        <w:t xml:space="preserve">Tokyo, Japan: Kanehara. JASP Team. </w:t>
      </w:r>
      <w:r>
        <w:t>(2017). JASP (Version 0.8.1.2). [Computer software].</w:t>
      </w:r>
    </w:p>
    <w:p w14:paraId="6982C7FF" w14:textId="77777777" w:rsidR="00C75312" w:rsidRDefault="00BB293A">
      <w:pPr>
        <w:spacing w:line="480" w:lineRule="auto"/>
        <w:ind w:left="860" w:right="236" w:hanging="720"/>
        <w:jc w:val="both"/>
        <w:rPr>
          <w:sz w:val="24"/>
        </w:rPr>
      </w:pPr>
      <w:r>
        <w:rPr>
          <w:sz w:val="24"/>
        </w:rPr>
        <w:t xml:space="preserve">Jeffreys, H. (1961). </w:t>
      </w:r>
      <w:r>
        <w:rPr>
          <w:i/>
          <w:sz w:val="24"/>
        </w:rPr>
        <w:t xml:space="preserve">Theory of probability </w:t>
      </w:r>
      <w:r>
        <w:rPr>
          <w:sz w:val="24"/>
        </w:rPr>
        <w:t>(3rd ed.). Oxford: Oxford University Press, Clarendon Press.</w:t>
      </w:r>
    </w:p>
    <w:p w14:paraId="593F73C0"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72487F16" w14:textId="77777777" w:rsidR="00C75312" w:rsidRDefault="00C75312">
      <w:pPr>
        <w:pStyle w:val="BodyText"/>
        <w:spacing w:before="9"/>
        <w:rPr>
          <w:sz w:val="15"/>
        </w:rPr>
      </w:pPr>
    </w:p>
    <w:p w14:paraId="6240763C" w14:textId="77777777" w:rsidR="00C75312" w:rsidRDefault="00BB293A">
      <w:pPr>
        <w:pStyle w:val="BodyText"/>
        <w:spacing w:before="90"/>
        <w:ind w:left="140"/>
      </w:pPr>
      <w:r>
        <w:t>Jennings,</w:t>
      </w:r>
      <w:r>
        <w:rPr>
          <w:spacing w:val="30"/>
        </w:rPr>
        <w:t xml:space="preserve"> </w:t>
      </w:r>
      <w:r>
        <w:t>J.</w:t>
      </w:r>
      <w:r>
        <w:rPr>
          <w:spacing w:val="31"/>
        </w:rPr>
        <w:t xml:space="preserve"> </w:t>
      </w:r>
      <w:r>
        <w:t>R.</w:t>
      </w:r>
      <w:r>
        <w:rPr>
          <w:spacing w:val="26"/>
        </w:rPr>
        <w:t xml:space="preserve"> </w:t>
      </w:r>
      <w:r>
        <w:t>(1992).</w:t>
      </w:r>
      <w:r>
        <w:rPr>
          <w:spacing w:val="26"/>
        </w:rPr>
        <w:t xml:space="preserve"> </w:t>
      </w:r>
      <w:r>
        <w:t>Is</w:t>
      </w:r>
      <w:r>
        <w:rPr>
          <w:spacing w:val="27"/>
        </w:rPr>
        <w:t xml:space="preserve"> </w:t>
      </w:r>
      <w:r>
        <w:rPr>
          <w:spacing w:val="-3"/>
        </w:rPr>
        <w:t>it</w:t>
      </w:r>
      <w:r>
        <w:rPr>
          <w:spacing w:val="29"/>
        </w:rPr>
        <w:t xml:space="preserve"> </w:t>
      </w:r>
      <w:r>
        <w:t>important</w:t>
      </w:r>
      <w:r>
        <w:rPr>
          <w:spacing w:val="24"/>
        </w:rPr>
        <w:t xml:space="preserve"> </w:t>
      </w:r>
      <w:r>
        <w:t>that</w:t>
      </w:r>
      <w:r>
        <w:rPr>
          <w:spacing w:val="29"/>
        </w:rPr>
        <w:t xml:space="preserve"> </w:t>
      </w:r>
      <w:r>
        <w:t>the</w:t>
      </w:r>
      <w:r>
        <w:rPr>
          <w:spacing w:val="23"/>
        </w:rPr>
        <w:t xml:space="preserve"> </w:t>
      </w:r>
      <w:r>
        <w:t>mind</w:t>
      </w:r>
      <w:r>
        <w:rPr>
          <w:spacing w:val="29"/>
        </w:rPr>
        <w:t xml:space="preserve"> </w:t>
      </w:r>
      <w:r>
        <w:t>is</w:t>
      </w:r>
      <w:r>
        <w:rPr>
          <w:spacing w:val="27"/>
        </w:rPr>
        <w:t xml:space="preserve"> </w:t>
      </w:r>
      <w:r>
        <w:t>in</w:t>
      </w:r>
      <w:r>
        <w:rPr>
          <w:spacing w:val="24"/>
        </w:rPr>
        <w:t xml:space="preserve"> </w:t>
      </w:r>
      <w:r>
        <w:t>a</w:t>
      </w:r>
      <w:r>
        <w:rPr>
          <w:spacing w:val="28"/>
        </w:rPr>
        <w:t xml:space="preserve"> </w:t>
      </w:r>
      <w:r>
        <w:t>body?</w:t>
      </w:r>
      <w:r>
        <w:rPr>
          <w:spacing w:val="23"/>
        </w:rPr>
        <w:t xml:space="preserve"> </w:t>
      </w:r>
      <w:r>
        <w:t>Inhibition</w:t>
      </w:r>
      <w:r>
        <w:rPr>
          <w:spacing w:val="29"/>
        </w:rPr>
        <w:t xml:space="preserve"> </w:t>
      </w:r>
      <w:r>
        <w:t>and</w:t>
      </w:r>
      <w:r>
        <w:rPr>
          <w:spacing w:val="24"/>
        </w:rPr>
        <w:t xml:space="preserve"> </w:t>
      </w:r>
      <w:r>
        <w:t>the</w:t>
      </w:r>
      <w:r>
        <w:rPr>
          <w:spacing w:val="28"/>
        </w:rPr>
        <w:t xml:space="preserve"> </w:t>
      </w:r>
      <w:r>
        <w:t>heart.</w:t>
      </w:r>
    </w:p>
    <w:p w14:paraId="5E04D6C1" w14:textId="77777777" w:rsidR="00C75312" w:rsidRDefault="00C75312">
      <w:pPr>
        <w:pStyle w:val="BodyText"/>
      </w:pPr>
    </w:p>
    <w:p w14:paraId="7AAF86B9" w14:textId="77777777" w:rsidR="00C75312" w:rsidRDefault="00BB293A">
      <w:pPr>
        <w:pStyle w:val="BodyText"/>
        <w:spacing w:line="480" w:lineRule="auto"/>
        <w:ind w:left="140" w:right="235" w:firstLine="720"/>
      </w:pPr>
      <w:r>
        <w:rPr>
          <w:i/>
        </w:rPr>
        <w:t>Psychophysiology, 29</w:t>
      </w:r>
      <w:r>
        <w:t>(4), 369-383. doi:10.1111/j.1469-8986.1992.tb01710.x Jennings,</w:t>
      </w:r>
      <w:r>
        <w:rPr>
          <w:spacing w:val="-4"/>
        </w:rPr>
        <w:t xml:space="preserve"> </w:t>
      </w:r>
      <w:r>
        <w:t>J.</w:t>
      </w:r>
      <w:r>
        <w:rPr>
          <w:spacing w:val="-4"/>
        </w:rPr>
        <w:t xml:space="preserve"> </w:t>
      </w:r>
      <w:r>
        <w:t>R.,</w:t>
      </w:r>
      <w:r>
        <w:rPr>
          <w:spacing w:val="-8"/>
        </w:rPr>
        <w:t xml:space="preserve"> </w:t>
      </w:r>
      <w:r>
        <w:t>van</w:t>
      </w:r>
      <w:r>
        <w:rPr>
          <w:spacing w:val="-12"/>
        </w:rPr>
        <w:t xml:space="preserve"> </w:t>
      </w:r>
      <w:r>
        <w:t>der</w:t>
      </w:r>
      <w:r>
        <w:rPr>
          <w:spacing w:val="-9"/>
        </w:rPr>
        <w:t xml:space="preserve"> </w:t>
      </w:r>
      <w:r>
        <w:t>Molen,</w:t>
      </w:r>
      <w:r>
        <w:rPr>
          <w:spacing w:val="-8"/>
        </w:rPr>
        <w:t xml:space="preserve"> </w:t>
      </w:r>
      <w:r>
        <w:t>M.</w:t>
      </w:r>
      <w:r>
        <w:rPr>
          <w:spacing w:val="-4"/>
        </w:rPr>
        <w:t xml:space="preserve"> </w:t>
      </w:r>
      <w:r>
        <w:t>W.,</w:t>
      </w:r>
      <w:r>
        <w:rPr>
          <w:spacing w:val="-8"/>
        </w:rPr>
        <w:t xml:space="preserve"> </w:t>
      </w:r>
      <w:r>
        <w:t>Brock,</w:t>
      </w:r>
      <w:r>
        <w:rPr>
          <w:spacing w:val="-9"/>
        </w:rPr>
        <w:t xml:space="preserve"> </w:t>
      </w:r>
      <w:r>
        <w:t>K.,</w:t>
      </w:r>
      <w:r>
        <w:rPr>
          <w:spacing w:val="-13"/>
        </w:rPr>
        <w:t xml:space="preserve"> </w:t>
      </w:r>
      <w:r>
        <w:t>&amp;</w:t>
      </w:r>
      <w:r>
        <w:rPr>
          <w:spacing w:val="-5"/>
        </w:rPr>
        <w:t xml:space="preserve"> </w:t>
      </w:r>
      <w:r>
        <w:t>Somsen,</w:t>
      </w:r>
      <w:r>
        <w:rPr>
          <w:spacing w:val="-9"/>
        </w:rPr>
        <w:t xml:space="preserve"> </w:t>
      </w:r>
      <w:r>
        <w:t>R.</w:t>
      </w:r>
      <w:r>
        <w:rPr>
          <w:spacing w:val="-8"/>
        </w:rPr>
        <w:t xml:space="preserve"> </w:t>
      </w:r>
      <w:r>
        <w:t>J.</w:t>
      </w:r>
      <w:r>
        <w:rPr>
          <w:spacing w:val="-9"/>
        </w:rPr>
        <w:t xml:space="preserve"> </w:t>
      </w:r>
      <w:r>
        <w:t>(1991).</w:t>
      </w:r>
      <w:r>
        <w:rPr>
          <w:spacing w:val="-8"/>
        </w:rPr>
        <w:t xml:space="preserve"> </w:t>
      </w:r>
      <w:r>
        <w:t>Response</w:t>
      </w:r>
      <w:r>
        <w:rPr>
          <w:spacing w:val="-7"/>
        </w:rPr>
        <w:t xml:space="preserve"> </w:t>
      </w:r>
      <w:r>
        <w:t>inhibition</w:t>
      </w:r>
    </w:p>
    <w:p w14:paraId="3AD05487" w14:textId="77777777" w:rsidR="00C75312" w:rsidRDefault="00BB293A">
      <w:pPr>
        <w:pStyle w:val="BodyText"/>
        <w:ind w:left="860"/>
      </w:pPr>
      <w:r>
        <w:t>initiates cardiac deceleration: evidence from a sensory-motor compatibility</w:t>
      </w:r>
      <w:r>
        <w:rPr>
          <w:spacing w:val="49"/>
        </w:rPr>
        <w:t xml:space="preserve"> </w:t>
      </w:r>
      <w:r>
        <w:t>paradigm.</w:t>
      </w:r>
    </w:p>
    <w:p w14:paraId="6547997B" w14:textId="77777777" w:rsidR="00C75312" w:rsidRDefault="00C75312">
      <w:pPr>
        <w:pStyle w:val="BodyText"/>
      </w:pPr>
    </w:p>
    <w:p w14:paraId="06D7E6BE" w14:textId="77777777" w:rsidR="00C75312" w:rsidRDefault="00BB293A">
      <w:pPr>
        <w:ind w:left="860"/>
        <w:rPr>
          <w:sz w:val="24"/>
        </w:rPr>
      </w:pPr>
      <w:r>
        <w:rPr>
          <w:i/>
          <w:sz w:val="24"/>
        </w:rPr>
        <w:t>Psychophysiology, 28</w:t>
      </w:r>
      <w:r>
        <w:rPr>
          <w:sz w:val="24"/>
        </w:rPr>
        <w:t>(1), 72-85. doi:10.1111/j.1469-8986.1991.tb03390.x</w:t>
      </w:r>
    </w:p>
    <w:p w14:paraId="23BBBF72" w14:textId="77777777" w:rsidR="00C75312" w:rsidRDefault="00C75312">
      <w:pPr>
        <w:pStyle w:val="BodyText"/>
      </w:pPr>
    </w:p>
    <w:p w14:paraId="74AC49A2" w14:textId="77777777" w:rsidR="00C75312" w:rsidRDefault="00BB293A">
      <w:pPr>
        <w:pStyle w:val="BodyText"/>
        <w:ind w:left="140"/>
      </w:pPr>
      <w:r>
        <w:t xml:space="preserve">Jones, C. R. G., </w:t>
      </w:r>
      <w:proofErr w:type="spellStart"/>
      <w:r>
        <w:t>Happé</w:t>
      </w:r>
      <w:proofErr w:type="spellEnd"/>
      <w:r>
        <w:t>, F., Pickles, A., Marsden, A. J. S., Tregay, J., Baird, G., . . . Charman,</w:t>
      </w:r>
    </w:p>
    <w:p w14:paraId="1091C829" w14:textId="77777777" w:rsidR="00C75312" w:rsidRDefault="00C75312">
      <w:pPr>
        <w:pStyle w:val="BodyText"/>
      </w:pPr>
    </w:p>
    <w:p w14:paraId="43B88D8F" w14:textId="77777777" w:rsidR="00C75312" w:rsidRDefault="00BB293A">
      <w:pPr>
        <w:spacing w:line="480" w:lineRule="auto"/>
        <w:ind w:left="860" w:right="234"/>
        <w:jc w:val="both"/>
        <w:rPr>
          <w:sz w:val="24"/>
        </w:rPr>
      </w:pPr>
      <w:r>
        <w:rPr>
          <w:sz w:val="24"/>
        </w:rPr>
        <w:t xml:space="preserve">T. (2011). ‘Everyday </w:t>
      </w:r>
      <w:proofErr w:type="spellStart"/>
      <w:r>
        <w:rPr>
          <w:sz w:val="24"/>
        </w:rPr>
        <w:t>memory’impairments</w:t>
      </w:r>
      <w:proofErr w:type="spellEnd"/>
      <w:r>
        <w:rPr>
          <w:sz w:val="24"/>
        </w:rPr>
        <w:t xml:space="preserve"> in autism spectrum disorders. </w:t>
      </w:r>
      <w:r>
        <w:rPr>
          <w:i/>
          <w:sz w:val="24"/>
        </w:rPr>
        <w:t>Journal of Autism and Developmental Disorders, 41</w:t>
      </w:r>
      <w:r>
        <w:rPr>
          <w:sz w:val="24"/>
        </w:rPr>
        <w:t>(4), 455-464. doi:10.1007/s10803-010-1067- y</w:t>
      </w:r>
    </w:p>
    <w:p w14:paraId="1A1B776D" w14:textId="77777777" w:rsidR="00C75312" w:rsidRDefault="00BB293A">
      <w:pPr>
        <w:spacing w:line="480" w:lineRule="auto"/>
        <w:ind w:left="860" w:right="238" w:hanging="720"/>
        <w:jc w:val="both"/>
        <w:rPr>
          <w:sz w:val="24"/>
        </w:rPr>
      </w:pPr>
      <w:r w:rsidRPr="002C3022">
        <w:rPr>
          <w:sz w:val="24"/>
          <w:lang w:val="fi-FI"/>
        </w:rPr>
        <w:t xml:space="preserve">Katai, S., Maruyama, T., Hashimoto, T., &amp; Ikeda, S. (2003). </w:t>
      </w:r>
      <w:r>
        <w:rPr>
          <w:sz w:val="24"/>
        </w:rPr>
        <w:t xml:space="preserve">Event based and time based prospective memory in Parkinson's disease. </w:t>
      </w:r>
      <w:r>
        <w:rPr>
          <w:i/>
          <w:sz w:val="24"/>
        </w:rPr>
        <w:t>Journal of Neurology, Neurosurgery and Psychiatry, 74</w:t>
      </w:r>
      <w:r>
        <w:rPr>
          <w:sz w:val="24"/>
        </w:rPr>
        <w:t>(6), 704-709. doi:10.1136/jnnp.74.6.704</w:t>
      </w:r>
    </w:p>
    <w:p w14:paraId="2AC14739" w14:textId="77777777" w:rsidR="00C75312" w:rsidRDefault="00BB293A">
      <w:pPr>
        <w:pStyle w:val="BodyText"/>
        <w:spacing w:before="1" w:line="480" w:lineRule="auto"/>
        <w:ind w:left="860" w:right="238" w:hanging="720"/>
        <w:jc w:val="both"/>
      </w:pPr>
      <w:r>
        <w:t xml:space="preserve">Kenworthy, L., </w:t>
      </w:r>
      <w:proofErr w:type="spellStart"/>
      <w:r>
        <w:t>Yerys</w:t>
      </w:r>
      <w:proofErr w:type="spellEnd"/>
      <w:r>
        <w:t xml:space="preserve">, B. E., Anthony, L. G., &amp; Wallace, G. L. (2008). Understanding executive control in autism spectrum disorders in the lab and in the real world. </w:t>
      </w:r>
      <w:r>
        <w:rPr>
          <w:i/>
        </w:rPr>
        <w:t>Neuropsychology Review, 18</w:t>
      </w:r>
      <w:r>
        <w:t>(4), 320-338. doi:10.1007/s11065-008-9077-7</w:t>
      </w:r>
    </w:p>
    <w:p w14:paraId="53D61924" w14:textId="77777777" w:rsidR="00C75312" w:rsidRDefault="00BB293A">
      <w:pPr>
        <w:pStyle w:val="BodyText"/>
        <w:spacing w:line="480" w:lineRule="auto"/>
        <w:ind w:left="860" w:right="236" w:hanging="720"/>
        <w:jc w:val="both"/>
      </w:pPr>
      <w:r>
        <w:t xml:space="preserve">Keogh, R., &amp; Pearson, J. (2011). Mental Imagery and Visual Working Memory. </w:t>
      </w:r>
      <w:proofErr w:type="spellStart"/>
      <w:r>
        <w:rPr>
          <w:i/>
        </w:rPr>
        <w:t>PLoS</w:t>
      </w:r>
      <w:proofErr w:type="spellEnd"/>
      <w:r>
        <w:rPr>
          <w:i/>
        </w:rPr>
        <w:t xml:space="preserve"> ONE, 6</w:t>
      </w:r>
      <w:r>
        <w:t>(12), e29221. doi:10.1371/journal.pone.0029221</w:t>
      </w:r>
    </w:p>
    <w:p w14:paraId="578F6633" w14:textId="77777777" w:rsidR="00C75312" w:rsidRDefault="00BB293A">
      <w:pPr>
        <w:pStyle w:val="BodyText"/>
        <w:spacing w:line="480" w:lineRule="auto"/>
        <w:ind w:left="860" w:right="234" w:hanging="720"/>
        <w:jc w:val="both"/>
      </w:pPr>
      <w:proofErr w:type="spellStart"/>
      <w:r>
        <w:t>Kercood</w:t>
      </w:r>
      <w:proofErr w:type="spellEnd"/>
      <w:r>
        <w:t xml:space="preserve">, S., </w:t>
      </w:r>
      <w:proofErr w:type="spellStart"/>
      <w:r>
        <w:t>Grskovic</w:t>
      </w:r>
      <w:proofErr w:type="spellEnd"/>
      <w:r>
        <w:t xml:space="preserve">, J. A., Banda, D., &amp; </w:t>
      </w:r>
      <w:proofErr w:type="spellStart"/>
      <w:r>
        <w:t>Begeske</w:t>
      </w:r>
      <w:proofErr w:type="spellEnd"/>
      <w:r>
        <w:t xml:space="preserve">, J. (2014). Working memory and autism: A review of literature. </w:t>
      </w:r>
      <w:r>
        <w:rPr>
          <w:i/>
        </w:rPr>
        <w:t>Research in Autism Spectrum Disorders, 8</w:t>
      </w:r>
      <w:r>
        <w:t>(10), 1316-1332. doi:10.1016/j.rasd.2014.06.011</w:t>
      </w:r>
    </w:p>
    <w:p w14:paraId="3350907D" w14:textId="77777777" w:rsidR="00C75312" w:rsidRDefault="00BB293A">
      <w:pPr>
        <w:spacing w:line="480" w:lineRule="auto"/>
        <w:ind w:left="860" w:right="230" w:hanging="720"/>
        <w:jc w:val="both"/>
        <w:rPr>
          <w:sz w:val="24"/>
        </w:rPr>
      </w:pPr>
      <w:r>
        <w:rPr>
          <w:sz w:val="24"/>
        </w:rPr>
        <w:t xml:space="preserve">Kerns, K. </w:t>
      </w:r>
      <w:r>
        <w:rPr>
          <w:spacing w:val="-3"/>
          <w:sz w:val="24"/>
        </w:rPr>
        <w:t xml:space="preserve">A. </w:t>
      </w:r>
      <w:r>
        <w:rPr>
          <w:sz w:val="24"/>
        </w:rPr>
        <w:t xml:space="preserve">(2000). The </w:t>
      </w:r>
      <w:proofErr w:type="spellStart"/>
      <w:r>
        <w:rPr>
          <w:sz w:val="24"/>
        </w:rPr>
        <w:t>CyberCruiser</w:t>
      </w:r>
      <w:proofErr w:type="spellEnd"/>
      <w:r>
        <w:rPr>
          <w:sz w:val="24"/>
        </w:rPr>
        <w:t xml:space="preserve">: an investigation of development </w:t>
      </w:r>
      <w:r>
        <w:rPr>
          <w:spacing w:val="-3"/>
          <w:sz w:val="24"/>
        </w:rPr>
        <w:t xml:space="preserve">of </w:t>
      </w:r>
      <w:r>
        <w:rPr>
          <w:sz w:val="24"/>
        </w:rPr>
        <w:t>prospective memory</w:t>
      </w:r>
      <w:r>
        <w:rPr>
          <w:spacing w:val="-11"/>
          <w:sz w:val="24"/>
        </w:rPr>
        <w:t xml:space="preserve"> </w:t>
      </w:r>
      <w:r>
        <w:rPr>
          <w:sz w:val="24"/>
        </w:rPr>
        <w:t>in</w:t>
      </w:r>
      <w:r>
        <w:rPr>
          <w:spacing w:val="-10"/>
          <w:sz w:val="24"/>
        </w:rPr>
        <w:t xml:space="preserve"> </w:t>
      </w:r>
      <w:r>
        <w:rPr>
          <w:sz w:val="24"/>
        </w:rPr>
        <w:t>children.</w:t>
      </w:r>
      <w:r>
        <w:rPr>
          <w:spacing w:val="-8"/>
          <w:sz w:val="24"/>
        </w:rPr>
        <w:t xml:space="preserve"> </w:t>
      </w:r>
      <w:r>
        <w:rPr>
          <w:i/>
          <w:sz w:val="24"/>
        </w:rPr>
        <w:t>Journal</w:t>
      </w:r>
      <w:r>
        <w:rPr>
          <w:i/>
          <w:spacing w:val="-10"/>
          <w:sz w:val="24"/>
        </w:rPr>
        <w:t xml:space="preserve"> </w:t>
      </w:r>
      <w:r>
        <w:rPr>
          <w:i/>
          <w:sz w:val="24"/>
        </w:rPr>
        <w:t>of</w:t>
      </w:r>
      <w:r>
        <w:rPr>
          <w:i/>
          <w:spacing w:val="-14"/>
          <w:sz w:val="24"/>
        </w:rPr>
        <w:t xml:space="preserve"> </w:t>
      </w:r>
      <w:r>
        <w:rPr>
          <w:i/>
          <w:sz w:val="24"/>
        </w:rPr>
        <w:t>the</w:t>
      </w:r>
      <w:r>
        <w:rPr>
          <w:i/>
          <w:spacing w:val="-15"/>
          <w:sz w:val="24"/>
        </w:rPr>
        <w:t xml:space="preserve"> </w:t>
      </w:r>
      <w:r>
        <w:rPr>
          <w:i/>
          <w:sz w:val="24"/>
        </w:rPr>
        <w:t>International</w:t>
      </w:r>
      <w:r>
        <w:rPr>
          <w:i/>
          <w:spacing w:val="-10"/>
          <w:sz w:val="24"/>
        </w:rPr>
        <w:t xml:space="preserve"> </w:t>
      </w:r>
      <w:r>
        <w:rPr>
          <w:i/>
          <w:sz w:val="24"/>
        </w:rPr>
        <w:t>Neuropsychological</w:t>
      </w:r>
      <w:r>
        <w:rPr>
          <w:i/>
          <w:spacing w:val="-9"/>
          <w:sz w:val="24"/>
        </w:rPr>
        <w:t xml:space="preserve"> </w:t>
      </w:r>
      <w:r>
        <w:rPr>
          <w:i/>
          <w:sz w:val="24"/>
        </w:rPr>
        <w:t>Society,</w:t>
      </w:r>
      <w:r>
        <w:rPr>
          <w:i/>
          <w:spacing w:val="-8"/>
          <w:sz w:val="24"/>
        </w:rPr>
        <w:t xml:space="preserve"> </w:t>
      </w:r>
      <w:r>
        <w:rPr>
          <w:i/>
          <w:sz w:val="24"/>
        </w:rPr>
        <w:t>6</w:t>
      </w:r>
      <w:r>
        <w:rPr>
          <w:sz w:val="24"/>
        </w:rPr>
        <w:t>(1),</w:t>
      </w:r>
      <w:r>
        <w:rPr>
          <w:spacing w:val="-7"/>
          <w:sz w:val="24"/>
        </w:rPr>
        <w:t xml:space="preserve"> </w:t>
      </w:r>
      <w:r>
        <w:rPr>
          <w:sz w:val="24"/>
        </w:rPr>
        <w:t>62- 70.</w:t>
      </w:r>
      <w:r>
        <w:rPr>
          <w:spacing w:val="3"/>
          <w:sz w:val="24"/>
        </w:rPr>
        <w:t xml:space="preserve"> </w:t>
      </w:r>
      <w:r>
        <w:rPr>
          <w:sz w:val="24"/>
        </w:rPr>
        <w:t>doi:10.1017/S1355617700611074</w:t>
      </w:r>
    </w:p>
    <w:p w14:paraId="34C3DCB5"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58F6E8AA" w14:textId="77777777" w:rsidR="00C75312" w:rsidRDefault="00C75312">
      <w:pPr>
        <w:pStyle w:val="BodyText"/>
        <w:spacing w:before="9"/>
        <w:rPr>
          <w:sz w:val="15"/>
        </w:rPr>
      </w:pPr>
    </w:p>
    <w:p w14:paraId="1348A497" w14:textId="77777777" w:rsidR="00C75312" w:rsidRDefault="00BB293A">
      <w:pPr>
        <w:spacing w:before="90" w:line="480" w:lineRule="auto"/>
        <w:ind w:left="860" w:right="241" w:hanging="720"/>
        <w:jc w:val="both"/>
        <w:rPr>
          <w:sz w:val="24"/>
        </w:rPr>
      </w:pPr>
      <w:r>
        <w:rPr>
          <w:sz w:val="24"/>
        </w:rPr>
        <w:t>Kim,</w:t>
      </w:r>
      <w:r>
        <w:rPr>
          <w:spacing w:val="-13"/>
          <w:sz w:val="24"/>
        </w:rPr>
        <w:t xml:space="preserve"> </w:t>
      </w:r>
      <w:r>
        <w:rPr>
          <w:sz w:val="24"/>
        </w:rPr>
        <w:t>P.</w:t>
      </w:r>
      <w:r>
        <w:rPr>
          <w:spacing w:val="-17"/>
          <w:sz w:val="24"/>
        </w:rPr>
        <w:t xml:space="preserve"> </w:t>
      </w:r>
      <w:r>
        <w:rPr>
          <w:sz w:val="24"/>
        </w:rPr>
        <w:t>Y.,</w:t>
      </w:r>
      <w:r>
        <w:rPr>
          <w:spacing w:val="-16"/>
          <w:sz w:val="24"/>
        </w:rPr>
        <w:t xml:space="preserve"> </w:t>
      </w:r>
      <w:r>
        <w:rPr>
          <w:sz w:val="24"/>
        </w:rPr>
        <w:t>&amp;</w:t>
      </w:r>
      <w:r>
        <w:rPr>
          <w:spacing w:val="-15"/>
          <w:sz w:val="24"/>
        </w:rPr>
        <w:t xml:space="preserve"> </w:t>
      </w:r>
      <w:r>
        <w:rPr>
          <w:sz w:val="24"/>
        </w:rPr>
        <w:t>Mayhorn,</w:t>
      </w:r>
      <w:r>
        <w:rPr>
          <w:spacing w:val="-12"/>
          <w:sz w:val="24"/>
        </w:rPr>
        <w:t xml:space="preserve"> </w:t>
      </w:r>
      <w:r>
        <w:rPr>
          <w:sz w:val="24"/>
        </w:rPr>
        <w:t>C.</w:t>
      </w:r>
      <w:r>
        <w:rPr>
          <w:spacing w:val="-12"/>
          <w:sz w:val="24"/>
        </w:rPr>
        <w:t xml:space="preserve"> </w:t>
      </w:r>
      <w:r>
        <w:rPr>
          <w:spacing w:val="-4"/>
          <w:sz w:val="24"/>
        </w:rPr>
        <w:t>B.</w:t>
      </w:r>
      <w:r>
        <w:rPr>
          <w:spacing w:val="-12"/>
          <w:sz w:val="24"/>
        </w:rPr>
        <w:t xml:space="preserve"> </w:t>
      </w:r>
      <w:r>
        <w:rPr>
          <w:sz w:val="24"/>
        </w:rPr>
        <w:t>(2008).</w:t>
      </w:r>
      <w:r>
        <w:rPr>
          <w:spacing w:val="-12"/>
          <w:sz w:val="24"/>
        </w:rPr>
        <w:t xml:space="preserve"> </w:t>
      </w:r>
      <w:r>
        <w:rPr>
          <w:sz w:val="24"/>
        </w:rPr>
        <w:t>Exploring</w:t>
      </w:r>
      <w:r>
        <w:rPr>
          <w:spacing w:val="-14"/>
          <w:sz w:val="24"/>
        </w:rPr>
        <w:t xml:space="preserve"> </w:t>
      </w:r>
      <w:r>
        <w:rPr>
          <w:sz w:val="24"/>
        </w:rPr>
        <w:t>students'</w:t>
      </w:r>
      <w:r>
        <w:rPr>
          <w:spacing w:val="-15"/>
          <w:sz w:val="24"/>
        </w:rPr>
        <w:t xml:space="preserve"> </w:t>
      </w:r>
      <w:r>
        <w:rPr>
          <w:sz w:val="24"/>
        </w:rPr>
        <w:t>prospective</w:t>
      </w:r>
      <w:r>
        <w:rPr>
          <w:spacing w:val="-15"/>
          <w:sz w:val="24"/>
        </w:rPr>
        <w:t xml:space="preserve"> </w:t>
      </w:r>
      <w:r>
        <w:rPr>
          <w:sz w:val="24"/>
        </w:rPr>
        <w:t>memory</w:t>
      </w:r>
      <w:r>
        <w:rPr>
          <w:spacing w:val="-14"/>
          <w:sz w:val="24"/>
        </w:rPr>
        <w:t xml:space="preserve"> </w:t>
      </w:r>
      <w:r>
        <w:rPr>
          <w:sz w:val="24"/>
        </w:rPr>
        <w:t>functions</w:t>
      </w:r>
      <w:r>
        <w:rPr>
          <w:spacing w:val="-17"/>
          <w:sz w:val="24"/>
        </w:rPr>
        <w:t xml:space="preserve"> </w:t>
      </w:r>
      <w:r>
        <w:rPr>
          <w:sz w:val="24"/>
        </w:rPr>
        <w:t xml:space="preserve">inside and outside the lab. </w:t>
      </w:r>
      <w:r>
        <w:rPr>
          <w:i/>
          <w:sz w:val="24"/>
        </w:rPr>
        <w:t>The American Journal of Psychology, 121</w:t>
      </w:r>
      <w:r>
        <w:rPr>
          <w:sz w:val="24"/>
        </w:rPr>
        <w:t>(2), 241-254. doi:10.2307/20445459</w:t>
      </w:r>
    </w:p>
    <w:p w14:paraId="64DEFEBC" w14:textId="77777777" w:rsidR="00C75312" w:rsidRDefault="00BB293A">
      <w:pPr>
        <w:pStyle w:val="BodyText"/>
        <w:spacing w:line="480" w:lineRule="auto"/>
        <w:ind w:left="860" w:right="236" w:hanging="720"/>
        <w:jc w:val="both"/>
      </w:pPr>
      <w:r>
        <w:t>Kimhi,</w:t>
      </w:r>
      <w:r>
        <w:rPr>
          <w:spacing w:val="-12"/>
        </w:rPr>
        <w:t xml:space="preserve"> </w:t>
      </w:r>
      <w:r>
        <w:t>Y.</w:t>
      </w:r>
      <w:r>
        <w:rPr>
          <w:spacing w:val="-16"/>
        </w:rPr>
        <w:t xml:space="preserve"> </w:t>
      </w:r>
      <w:r>
        <w:t>(2014).</w:t>
      </w:r>
      <w:r>
        <w:rPr>
          <w:spacing w:val="-16"/>
        </w:rPr>
        <w:t xml:space="preserve"> </w:t>
      </w:r>
      <w:r>
        <w:t>Theory</w:t>
      </w:r>
      <w:r>
        <w:rPr>
          <w:spacing w:val="-13"/>
        </w:rPr>
        <w:t xml:space="preserve"> </w:t>
      </w:r>
      <w:r>
        <w:rPr>
          <w:spacing w:val="-3"/>
        </w:rPr>
        <w:t>of</w:t>
      </w:r>
      <w:r>
        <w:rPr>
          <w:spacing w:val="-13"/>
        </w:rPr>
        <w:t xml:space="preserve"> </w:t>
      </w:r>
      <w:r>
        <w:t>Mind</w:t>
      </w:r>
      <w:r>
        <w:rPr>
          <w:spacing w:val="-13"/>
        </w:rPr>
        <w:t xml:space="preserve"> </w:t>
      </w:r>
      <w:r>
        <w:t>Abilities</w:t>
      </w:r>
      <w:r>
        <w:rPr>
          <w:spacing w:val="-16"/>
        </w:rPr>
        <w:t xml:space="preserve"> </w:t>
      </w:r>
      <w:r>
        <w:t>and</w:t>
      </w:r>
      <w:r>
        <w:rPr>
          <w:spacing w:val="-13"/>
        </w:rPr>
        <w:t xml:space="preserve"> </w:t>
      </w:r>
      <w:r>
        <w:t>Deficits</w:t>
      </w:r>
      <w:r>
        <w:rPr>
          <w:spacing w:val="-17"/>
        </w:rPr>
        <w:t xml:space="preserve"> </w:t>
      </w:r>
      <w:r>
        <w:t>in</w:t>
      </w:r>
      <w:r>
        <w:rPr>
          <w:spacing w:val="-13"/>
        </w:rPr>
        <w:t xml:space="preserve"> </w:t>
      </w:r>
      <w:r>
        <w:t>Autism</w:t>
      </w:r>
      <w:r>
        <w:rPr>
          <w:spacing w:val="-13"/>
        </w:rPr>
        <w:t xml:space="preserve"> </w:t>
      </w:r>
      <w:r>
        <w:t>Spectrum</w:t>
      </w:r>
      <w:r>
        <w:rPr>
          <w:spacing w:val="-13"/>
        </w:rPr>
        <w:t xml:space="preserve"> </w:t>
      </w:r>
      <w:r>
        <w:t>Disorders.</w:t>
      </w:r>
      <w:r>
        <w:rPr>
          <w:spacing w:val="-12"/>
        </w:rPr>
        <w:t xml:space="preserve"> </w:t>
      </w:r>
      <w:r>
        <w:rPr>
          <w:i/>
        </w:rPr>
        <w:t>Topics in Language Disorders, 34</w:t>
      </w:r>
      <w:r>
        <w:t>(4), 329-343.</w:t>
      </w:r>
      <w:r>
        <w:rPr>
          <w:spacing w:val="5"/>
        </w:rPr>
        <w:t xml:space="preserve"> </w:t>
      </w:r>
      <w:r>
        <w:t>doi:10.1097/tld.0000000000000033</w:t>
      </w:r>
    </w:p>
    <w:p w14:paraId="59DF4FE2" w14:textId="77777777" w:rsidR="00C75312" w:rsidRDefault="00BB293A">
      <w:pPr>
        <w:spacing w:line="480" w:lineRule="auto"/>
        <w:ind w:left="860" w:right="234" w:hanging="720"/>
        <w:jc w:val="both"/>
        <w:rPr>
          <w:sz w:val="24"/>
        </w:rPr>
      </w:pPr>
      <w:r>
        <w:rPr>
          <w:sz w:val="24"/>
        </w:rPr>
        <w:t xml:space="preserve">Kirchner, W. K. (1958). Age differences in short-term retention of rapidly changing information. </w:t>
      </w:r>
      <w:r>
        <w:rPr>
          <w:i/>
          <w:sz w:val="24"/>
        </w:rPr>
        <w:t xml:space="preserve">Journal </w:t>
      </w:r>
      <w:r>
        <w:rPr>
          <w:i/>
          <w:spacing w:val="-3"/>
          <w:sz w:val="24"/>
        </w:rPr>
        <w:t>of</w:t>
      </w:r>
      <w:r>
        <w:rPr>
          <w:i/>
          <w:spacing w:val="54"/>
          <w:sz w:val="24"/>
        </w:rPr>
        <w:t xml:space="preserve"> </w:t>
      </w:r>
      <w:r>
        <w:rPr>
          <w:i/>
          <w:sz w:val="24"/>
        </w:rPr>
        <w:t>experimental psychology, 55</w:t>
      </w:r>
      <w:r>
        <w:rPr>
          <w:sz w:val="24"/>
        </w:rPr>
        <w:t>(4), 352-358. doi:10.1037/h0043688</w:t>
      </w:r>
    </w:p>
    <w:p w14:paraId="670865EB" w14:textId="77777777" w:rsidR="00C75312" w:rsidRDefault="00BB293A">
      <w:pPr>
        <w:spacing w:line="480" w:lineRule="auto"/>
        <w:ind w:left="860" w:right="238" w:hanging="720"/>
        <w:jc w:val="both"/>
        <w:rPr>
          <w:sz w:val="24"/>
        </w:rPr>
      </w:pPr>
      <w:r>
        <w:rPr>
          <w:sz w:val="24"/>
        </w:rPr>
        <w:t xml:space="preserve">Kleiner, M., Brainard, D., &amp; Pelli, </w:t>
      </w:r>
      <w:r>
        <w:rPr>
          <w:spacing w:val="-3"/>
          <w:sz w:val="24"/>
        </w:rPr>
        <w:t xml:space="preserve">D. </w:t>
      </w:r>
      <w:r>
        <w:rPr>
          <w:sz w:val="24"/>
        </w:rPr>
        <w:t xml:space="preserve">(2007). What's new in Psychtoolbox-3? </w:t>
      </w:r>
      <w:r>
        <w:rPr>
          <w:i/>
          <w:sz w:val="24"/>
        </w:rPr>
        <w:t>Perception 6 ECVP Abstract Supplement</w:t>
      </w:r>
      <w:r>
        <w:rPr>
          <w:sz w:val="24"/>
        </w:rPr>
        <w:t>,</w:t>
      </w:r>
      <w:r>
        <w:rPr>
          <w:spacing w:val="4"/>
          <w:sz w:val="24"/>
        </w:rPr>
        <w:t xml:space="preserve"> </w:t>
      </w:r>
      <w:r>
        <w:rPr>
          <w:sz w:val="24"/>
        </w:rPr>
        <w:t>14-14.</w:t>
      </w:r>
    </w:p>
    <w:p w14:paraId="483AD9E3" w14:textId="77777777" w:rsidR="00C75312" w:rsidRDefault="00BB293A">
      <w:pPr>
        <w:spacing w:line="480" w:lineRule="auto"/>
        <w:ind w:left="860" w:right="234" w:hanging="720"/>
        <w:jc w:val="both"/>
        <w:rPr>
          <w:sz w:val="24"/>
        </w:rPr>
      </w:pPr>
      <w:proofErr w:type="spellStart"/>
      <w:r>
        <w:rPr>
          <w:sz w:val="24"/>
        </w:rPr>
        <w:t>Kliegel</w:t>
      </w:r>
      <w:proofErr w:type="spellEnd"/>
      <w:r>
        <w:rPr>
          <w:sz w:val="24"/>
        </w:rPr>
        <w:t xml:space="preserve">, M., Guynn, M. J., &amp; Zimmer, H. (2007). The role </w:t>
      </w:r>
      <w:r>
        <w:rPr>
          <w:spacing w:val="-3"/>
          <w:sz w:val="24"/>
        </w:rPr>
        <w:t xml:space="preserve">of </w:t>
      </w:r>
      <w:r>
        <w:rPr>
          <w:sz w:val="24"/>
        </w:rPr>
        <w:t xml:space="preserve">noticing in prospective memory forgetting. </w:t>
      </w:r>
      <w:r>
        <w:rPr>
          <w:i/>
          <w:sz w:val="24"/>
        </w:rPr>
        <w:t>International Journal of Psychophysiology, 64</w:t>
      </w:r>
      <w:r>
        <w:rPr>
          <w:sz w:val="24"/>
        </w:rPr>
        <w:t>(3), 226-232. doi:10.1016/j.ijpsycho.2006.09.007</w:t>
      </w:r>
    </w:p>
    <w:p w14:paraId="14C5BA6D" w14:textId="77777777" w:rsidR="00C75312" w:rsidRDefault="00BB293A">
      <w:pPr>
        <w:spacing w:before="1" w:line="480" w:lineRule="auto"/>
        <w:ind w:left="860" w:right="235" w:hanging="720"/>
        <w:jc w:val="both"/>
        <w:rPr>
          <w:sz w:val="24"/>
        </w:rPr>
      </w:pPr>
      <w:proofErr w:type="spellStart"/>
      <w:r>
        <w:rPr>
          <w:sz w:val="24"/>
        </w:rPr>
        <w:t>Kliegel</w:t>
      </w:r>
      <w:proofErr w:type="spellEnd"/>
      <w:r>
        <w:rPr>
          <w:sz w:val="24"/>
        </w:rPr>
        <w:t xml:space="preserve">, M., Jäger, T., </w:t>
      </w:r>
      <w:proofErr w:type="spellStart"/>
      <w:r>
        <w:rPr>
          <w:sz w:val="24"/>
        </w:rPr>
        <w:t>Altgassen</w:t>
      </w:r>
      <w:proofErr w:type="spellEnd"/>
      <w:r>
        <w:rPr>
          <w:sz w:val="24"/>
        </w:rPr>
        <w:t xml:space="preserve">, M., &amp; Shum, D. (2008). Clinical neuropsychology of prospective memory. In M. </w:t>
      </w:r>
      <w:proofErr w:type="spellStart"/>
      <w:r>
        <w:rPr>
          <w:sz w:val="24"/>
        </w:rPr>
        <w:t>Kliegel</w:t>
      </w:r>
      <w:proofErr w:type="spellEnd"/>
      <w:r>
        <w:rPr>
          <w:sz w:val="24"/>
        </w:rPr>
        <w:t xml:space="preserve"> &amp; M. A. McDaniel (Eds.), </w:t>
      </w:r>
      <w:r>
        <w:rPr>
          <w:i/>
          <w:sz w:val="24"/>
        </w:rPr>
        <w:t xml:space="preserve">Prospective memory: Cognitive, neuroscience, developmental, and applied perspectives </w:t>
      </w:r>
      <w:r>
        <w:rPr>
          <w:sz w:val="24"/>
        </w:rPr>
        <w:t>(pp. 283-308). New York: Taylor and Francis.</w:t>
      </w:r>
    </w:p>
    <w:p w14:paraId="008D9CBA" w14:textId="77777777" w:rsidR="00C75312" w:rsidRPr="002C3022" w:rsidRDefault="00BB293A">
      <w:pPr>
        <w:pStyle w:val="BodyText"/>
        <w:spacing w:line="480" w:lineRule="auto"/>
        <w:ind w:left="860" w:right="238" w:hanging="720"/>
        <w:jc w:val="both"/>
        <w:rPr>
          <w:lang w:val="de-DE"/>
        </w:rPr>
      </w:pPr>
      <w:proofErr w:type="spellStart"/>
      <w:r>
        <w:t>Kliegel</w:t>
      </w:r>
      <w:proofErr w:type="spellEnd"/>
      <w:r>
        <w:t xml:space="preserve">, M., Jäger, T., &amp; Phillips, L. H. (2008). Adult age differences in event-based prospective memory: A meta-analysis on the role of focal versus </w:t>
      </w:r>
      <w:proofErr w:type="spellStart"/>
      <w:r>
        <w:t>nonfocal</w:t>
      </w:r>
      <w:proofErr w:type="spellEnd"/>
      <w:r>
        <w:t xml:space="preserve"> cues. </w:t>
      </w:r>
      <w:r w:rsidRPr="002C3022">
        <w:rPr>
          <w:i/>
          <w:lang w:val="de-DE"/>
        </w:rPr>
        <w:t>Psychology and Aging, 23</w:t>
      </w:r>
      <w:r w:rsidRPr="002C3022">
        <w:rPr>
          <w:lang w:val="de-DE"/>
        </w:rPr>
        <w:t>(1), 203-208. doi:10.1037/0882-7974.23.1.203</w:t>
      </w:r>
    </w:p>
    <w:p w14:paraId="53C236BA" w14:textId="77777777" w:rsidR="00C75312" w:rsidRDefault="00BB293A">
      <w:pPr>
        <w:pStyle w:val="BodyText"/>
        <w:spacing w:line="480" w:lineRule="auto"/>
        <w:ind w:left="860" w:right="236" w:hanging="720"/>
        <w:jc w:val="both"/>
      </w:pPr>
      <w:r w:rsidRPr="002C3022">
        <w:rPr>
          <w:lang w:val="de-DE"/>
        </w:rPr>
        <w:t xml:space="preserve">Kliegel, M., Mackinlay, R., &amp; Jäger, T. (2008). </w:t>
      </w:r>
      <w:r>
        <w:t xml:space="preserve">Complex prospective memory: Development across the lifespan and the role </w:t>
      </w:r>
      <w:r>
        <w:rPr>
          <w:spacing w:val="-3"/>
        </w:rPr>
        <w:t xml:space="preserve">of </w:t>
      </w:r>
      <w:r>
        <w:t xml:space="preserve">task interruption. </w:t>
      </w:r>
      <w:r>
        <w:rPr>
          <w:i/>
        </w:rPr>
        <w:t>Developmental Psychology, 44</w:t>
      </w:r>
      <w:r>
        <w:t>(2), 612-617. doi:10.1037/0012-1649.44.2.612</w:t>
      </w:r>
    </w:p>
    <w:p w14:paraId="5CBA6F63" w14:textId="77777777" w:rsidR="00C75312" w:rsidRDefault="00BB293A">
      <w:pPr>
        <w:pStyle w:val="BodyText"/>
        <w:spacing w:line="480" w:lineRule="auto"/>
        <w:ind w:left="860" w:right="233" w:hanging="720"/>
        <w:jc w:val="both"/>
      </w:pPr>
      <w:proofErr w:type="spellStart"/>
      <w:r>
        <w:t>Kliegel</w:t>
      </w:r>
      <w:proofErr w:type="spellEnd"/>
      <w:r>
        <w:t>, M., Mahy, C. E. V., Voigt, B., Henry, J. D., Rendell, P. G., &amp; Aberle, I. (2013). The development of prospective memory in young schoolchildren: The impact of ongoing</w:t>
      </w:r>
    </w:p>
    <w:p w14:paraId="77500AE5" w14:textId="77777777" w:rsidR="00C75312" w:rsidRDefault="00C75312">
      <w:pPr>
        <w:spacing w:line="480" w:lineRule="auto"/>
        <w:jc w:val="both"/>
        <w:sectPr w:rsidR="00C75312">
          <w:pgSz w:w="11900" w:h="16840"/>
          <w:pgMar w:top="1160" w:right="1200" w:bottom="280" w:left="1300" w:header="720" w:footer="0" w:gutter="0"/>
          <w:cols w:space="720"/>
        </w:sectPr>
      </w:pPr>
    </w:p>
    <w:p w14:paraId="54BEDC8A" w14:textId="77777777" w:rsidR="00C75312" w:rsidRDefault="00C75312">
      <w:pPr>
        <w:pStyle w:val="BodyText"/>
        <w:spacing w:before="9"/>
        <w:rPr>
          <w:sz w:val="15"/>
        </w:rPr>
      </w:pPr>
    </w:p>
    <w:p w14:paraId="391F82F5" w14:textId="77777777" w:rsidR="00C75312" w:rsidRDefault="00BB293A">
      <w:pPr>
        <w:spacing w:before="90" w:line="480" w:lineRule="auto"/>
        <w:ind w:left="860" w:right="234"/>
        <w:jc w:val="both"/>
        <w:rPr>
          <w:sz w:val="24"/>
        </w:rPr>
      </w:pPr>
      <w:r>
        <w:rPr>
          <w:sz w:val="24"/>
        </w:rPr>
        <w:t xml:space="preserve">task absorption, cue salience, and cue centrality. </w:t>
      </w:r>
      <w:r>
        <w:rPr>
          <w:i/>
          <w:sz w:val="24"/>
        </w:rPr>
        <w:t>Journal of Experimental Child Psychology, 116</w:t>
      </w:r>
      <w:r>
        <w:rPr>
          <w:sz w:val="24"/>
        </w:rPr>
        <w:t>(4), 792-810. doi:10.1016/j.jecp.2013.07.012</w:t>
      </w:r>
    </w:p>
    <w:p w14:paraId="08EFCF44" w14:textId="77777777" w:rsidR="00C75312" w:rsidRPr="002C3022" w:rsidRDefault="00BB293A">
      <w:pPr>
        <w:pStyle w:val="BodyText"/>
        <w:spacing w:line="480" w:lineRule="auto"/>
        <w:ind w:left="860" w:right="233" w:hanging="720"/>
        <w:jc w:val="both"/>
        <w:rPr>
          <w:lang w:val="de-DE"/>
        </w:rPr>
      </w:pPr>
      <w:r w:rsidRPr="002C3022">
        <w:rPr>
          <w:lang w:val="de-DE"/>
        </w:rPr>
        <w:t xml:space="preserve">Kliegel, M., Martin, M., McDaniel, M. A., &amp; Einstein, G. O. (2001). </w:t>
      </w:r>
      <w:r>
        <w:t xml:space="preserve">Varying the importance of a prospective memory task: Differential effects across time- and event-based prospective memory. </w:t>
      </w:r>
      <w:r w:rsidRPr="002C3022">
        <w:rPr>
          <w:i/>
          <w:lang w:val="de-DE"/>
        </w:rPr>
        <w:t>Memory, 9</w:t>
      </w:r>
      <w:r w:rsidRPr="002C3022">
        <w:rPr>
          <w:lang w:val="de-DE"/>
        </w:rPr>
        <w:t>(1), 1-11. doi:10.1080/09658210042000003</w:t>
      </w:r>
    </w:p>
    <w:p w14:paraId="72EF2A82" w14:textId="77777777" w:rsidR="00C75312" w:rsidRPr="002C3022" w:rsidRDefault="00BB293A">
      <w:pPr>
        <w:pStyle w:val="BodyText"/>
        <w:spacing w:line="480" w:lineRule="auto"/>
        <w:ind w:left="860" w:right="242" w:hanging="720"/>
        <w:jc w:val="both"/>
        <w:rPr>
          <w:lang w:val="de-DE"/>
        </w:rPr>
      </w:pPr>
      <w:r w:rsidRPr="002C3022">
        <w:rPr>
          <w:lang w:val="de-DE"/>
        </w:rPr>
        <w:t xml:space="preserve">Kliegel, M., Martin, M., McDaniel, M. A., &amp; Einstein, G. O. (2002). </w:t>
      </w:r>
      <w:r>
        <w:t xml:space="preserve">Complex prospective memory and executive control of working memory: A process model. </w:t>
      </w:r>
      <w:r w:rsidRPr="002C3022">
        <w:rPr>
          <w:i/>
          <w:lang w:val="de-DE"/>
        </w:rPr>
        <w:t>Psychologische Beitraege, 44</w:t>
      </w:r>
      <w:r w:rsidRPr="002C3022">
        <w:rPr>
          <w:lang w:val="de-DE"/>
        </w:rPr>
        <w:t>, 303-318.</w:t>
      </w:r>
    </w:p>
    <w:p w14:paraId="5C3EB004" w14:textId="77777777" w:rsidR="00C75312" w:rsidRPr="002C3022" w:rsidRDefault="00BB293A">
      <w:pPr>
        <w:pStyle w:val="BodyText"/>
        <w:spacing w:line="480" w:lineRule="auto"/>
        <w:ind w:left="860" w:right="234" w:hanging="720"/>
        <w:jc w:val="both"/>
        <w:rPr>
          <w:lang w:val="de-DE"/>
        </w:rPr>
      </w:pPr>
      <w:r w:rsidRPr="002C3022">
        <w:rPr>
          <w:lang w:val="de-DE"/>
        </w:rPr>
        <w:t xml:space="preserve">Kliegel, M., Martin, M., McDaniel, M. A., &amp; Einstein, G. O. (2004). </w:t>
      </w:r>
      <w:r>
        <w:t xml:space="preserve">Importance effects on performance in event-based prospective memory tasks. </w:t>
      </w:r>
      <w:r w:rsidRPr="002C3022">
        <w:rPr>
          <w:i/>
          <w:lang w:val="de-DE"/>
        </w:rPr>
        <w:t>Memory, 12</w:t>
      </w:r>
      <w:r w:rsidRPr="002C3022">
        <w:rPr>
          <w:lang w:val="de-DE"/>
        </w:rPr>
        <w:t>(5), 553-561. doi:10.1080/09658210344000099</w:t>
      </w:r>
    </w:p>
    <w:p w14:paraId="6BF36DC8" w14:textId="77777777" w:rsidR="00C75312" w:rsidRPr="002C3022" w:rsidRDefault="00BB293A">
      <w:pPr>
        <w:spacing w:before="1" w:line="480" w:lineRule="auto"/>
        <w:ind w:left="148" w:right="236"/>
        <w:jc w:val="right"/>
        <w:rPr>
          <w:i/>
          <w:sz w:val="24"/>
          <w:lang w:val="de-DE"/>
        </w:rPr>
      </w:pPr>
      <w:r w:rsidRPr="002C3022">
        <w:rPr>
          <w:sz w:val="24"/>
          <w:lang w:val="de-DE"/>
        </w:rPr>
        <w:t>Kliegel,</w:t>
      </w:r>
      <w:r w:rsidRPr="002C3022">
        <w:rPr>
          <w:spacing w:val="38"/>
          <w:sz w:val="24"/>
          <w:lang w:val="de-DE"/>
        </w:rPr>
        <w:t xml:space="preserve"> </w:t>
      </w:r>
      <w:r w:rsidRPr="002C3022">
        <w:rPr>
          <w:sz w:val="24"/>
          <w:lang w:val="de-DE"/>
        </w:rPr>
        <w:t>M.,</w:t>
      </w:r>
      <w:r w:rsidRPr="002C3022">
        <w:rPr>
          <w:spacing w:val="35"/>
          <w:sz w:val="24"/>
          <w:lang w:val="de-DE"/>
        </w:rPr>
        <w:t xml:space="preserve"> </w:t>
      </w:r>
      <w:r w:rsidRPr="002C3022">
        <w:rPr>
          <w:sz w:val="24"/>
          <w:lang w:val="de-DE"/>
        </w:rPr>
        <w:t>McDaniel,</w:t>
      </w:r>
      <w:r w:rsidRPr="002C3022">
        <w:rPr>
          <w:spacing w:val="38"/>
          <w:sz w:val="24"/>
          <w:lang w:val="de-DE"/>
        </w:rPr>
        <w:t xml:space="preserve"> </w:t>
      </w:r>
      <w:r w:rsidRPr="002C3022">
        <w:rPr>
          <w:sz w:val="24"/>
          <w:lang w:val="de-DE"/>
        </w:rPr>
        <w:t>M.</w:t>
      </w:r>
      <w:r w:rsidRPr="002C3022">
        <w:rPr>
          <w:spacing w:val="35"/>
          <w:sz w:val="24"/>
          <w:lang w:val="de-DE"/>
        </w:rPr>
        <w:t xml:space="preserve"> </w:t>
      </w:r>
      <w:r w:rsidRPr="002C3022">
        <w:rPr>
          <w:sz w:val="24"/>
          <w:lang w:val="de-DE"/>
        </w:rPr>
        <w:t>A.,</w:t>
      </w:r>
      <w:r w:rsidRPr="002C3022">
        <w:rPr>
          <w:spacing w:val="34"/>
          <w:sz w:val="24"/>
          <w:lang w:val="de-DE"/>
        </w:rPr>
        <w:t xml:space="preserve"> </w:t>
      </w:r>
      <w:r w:rsidRPr="002C3022">
        <w:rPr>
          <w:sz w:val="24"/>
          <w:lang w:val="de-DE"/>
        </w:rPr>
        <w:t>&amp;</w:t>
      </w:r>
      <w:r w:rsidRPr="002C3022">
        <w:rPr>
          <w:spacing w:val="27"/>
          <w:sz w:val="24"/>
          <w:lang w:val="de-DE"/>
        </w:rPr>
        <w:t xml:space="preserve"> </w:t>
      </w:r>
      <w:r w:rsidRPr="002C3022">
        <w:rPr>
          <w:sz w:val="24"/>
          <w:lang w:val="de-DE"/>
        </w:rPr>
        <w:t>Einstein,</w:t>
      </w:r>
      <w:r w:rsidRPr="002C3022">
        <w:rPr>
          <w:spacing w:val="34"/>
          <w:sz w:val="24"/>
          <w:lang w:val="de-DE"/>
        </w:rPr>
        <w:t xml:space="preserve"> </w:t>
      </w:r>
      <w:r w:rsidRPr="002C3022">
        <w:rPr>
          <w:sz w:val="24"/>
          <w:lang w:val="de-DE"/>
        </w:rPr>
        <w:t>G.</w:t>
      </w:r>
      <w:r w:rsidRPr="002C3022">
        <w:rPr>
          <w:spacing w:val="34"/>
          <w:sz w:val="24"/>
          <w:lang w:val="de-DE"/>
        </w:rPr>
        <w:t xml:space="preserve"> </w:t>
      </w:r>
      <w:r w:rsidRPr="002C3022">
        <w:rPr>
          <w:spacing w:val="-3"/>
          <w:sz w:val="24"/>
          <w:lang w:val="de-DE"/>
        </w:rPr>
        <w:t>O.</w:t>
      </w:r>
      <w:r w:rsidRPr="002C3022">
        <w:rPr>
          <w:spacing w:val="34"/>
          <w:sz w:val="24"/>
          <w:lang w:val="de-DE"/>
        </w:rPr>
        <w:t xml:space="preserve"> </w:t>
      </w:r>
      <w:r w:rsidRPr="002C3022">
        <w:rPr>
          <w:sz w:val="24"/>
          <w:lang w:val="de-DE"/>
        </w:rPr>
        <w:t>(2008).</w:t>
      </w:r>
      <w:r w:rsidRPr="002C3022">
        <w:rPr>
          <w:spacing w:val="34"/>
          <w:sz w:val="24"/>
          <w:lang w:val="de-DE"/>
        </w:rPr>
        <w:t xml:space="preserve"> </w:t>
      </w:r>
      <w:r>
        <w:rPr>
          <w:i/>
          <w:sz w:val="24"/>
        </w:rPr>
        <w:t>Prospective</w:t>
      </w:r>
      <w:r>
        <w:rPr>
          <w:i/>
          <w:spacing w:val="36"/>
          <w:sz w:val="24"/>
        </w:rPr>
        <w:t xml:space="preserve"> </w:t>
      </w:r>
      <w:r>
        <w:rPr>
          <w:i/>
          <w:sz w:val="24"/>
        </w:rPr>
        <w:t>memory:</w:t>
      </w:r>
      <w:r>
        <w:rPr>
          <w:i/>
          <w:spacing w:val="38"/>
          <w:sz w:val="24"/>
        </w:rPr>
        <w:t xml:space="preserve"> </w:t>
      </w:r>
      <w:r>
        <w:rPr>
          <w:i/>
          <w:sz w:val="24"/>
        </w:rPr>
        <w:t>Cognitive, neuroscience, developmental, and applied perspectives</w:t>
      </w:r>
      <w:r>
        <w:rPr>
          <w:sz w:val="24"/>
        </w:rPr>
        <w:t>. New York: Taylor</w:t>
      </w:r>
      <w:r>
        <w:rPr>
          <w:spacing w:val="-19"/>
          <w:sz w:val="24"/>
        </w:rPr>
        <w:t xml:space="preserve"> </w:t>
      </w:r>
      <w:r>
        <w:rPr>
          <w:sz w:val="24"/>
        </w:rPr>
        <w:t>&amp;</w:t>
      </w:r>
      <w:r>
        <w:rPr>
          <w:spacing w:val="-2"/>
          <w:sz w:val="24"/>
        </w:rPr>
        <w:t xml:space="preserve"> </w:t>
      </w:r>
      <w:r>
        <w:rPr>
          <w:sz w:val="24"/>
        </w:rPr>
        <w:t xml:space="preserve">Francis. </w:t>
      </w:r>
      <w:proofErr w:type="spellStart"/>
      <w:r>
        <w:rPr>
          <w:sz w:val="24"/>
        </w:rPr>
        <w:t>Kliegel</w:t>
      </w:r>
      <w:proofErr w:type="spellEnd"/>
      <w:r>
        <w:rPr>
          <w:sz w:val="24"/>
        </w:rPr>
        <w:t xml:space="preserve">, M., </w:t>
      </w:r>
      <w:proofErr w:type="spellStart"/>
      <w:r>
        <w:rPr>
          <w:sz w:val="24"/>
        </w:rPr>
        <w:t>Ramuschkat</w:t>
      </w:r>
      <w:proofErr w:type="spellEnd"/>
      <w:r>
        <w:rPr>
          <w:sz w:val="24"/>
        </w:rPr>
        <w:t xml:space="preserve">, G., &amp; Martin, M. (2003). </w:t>
      </w:r>
      <w:r w:rsidRPr="002C3022">
        <w:rPr>
          <w:sz w:val="24"/>
          <w:lang w:val="de-DE"/>
        </w:rPr>
        <w:t>Exekutive Funktionen</w:t>
      </w:r>
      <w:r w:rsidRPr="002C3022">
        <w:rPr>
          <w:spacing w:val="13"/>
          <w:sz w:val="24"/>
          <w:lang w:val="de-DE"/>
        </w:rPr>
        <w:t xml:space="preserve"> </w:t>
      </w:r>
      <w:r w:rsidRPr="002C3022">
        <w:rPr>
          <w:sz w:val="24"/>
          <w:lang w:val="de-DE"/>
        </w:rPr>
        <w:t>und</w:t>
      </w:r>
      <w:r w:rsidRPr="002C3022">
        <w:rPr>
          <w:spacing w:val="23"/>
          <w:sz w:val="24"/>
          <w:lang w:val="de-DE"/>
        </w:rPr>
        <w:t xml:space="preserve"> </w:t>
      </w:r>
      <w:r w:rsidRPr="002C3022">
        <w:rPr>
          <w:sz w:val="24"/>
          <w:lang w:val="de-DE"/>
        </w:rPr>
        <w:t>prospektive Gedächtnisleistung im Alter - Eine differentielle Analyse von</w:t>
      </w:r>
      <w:r w:rsidRPr="002C3022">
        <w:rPr>
          <w:spacing w:val="30"/>
          <w:sz w:val="24"/>
          <w:lang w:val="de-DE"/>
        </w:rPr>
        <w:t xml:space="preserve"> </w:t>
      </w:r>
      <w:r w:rsidRPr="002C3022">
        <w:rPr>
          <w:sz w:val="24"/>
          <w:lang w:val="de-DE"/>
        </w:rPr>
        <w:t>ereignis-</w:t>
      </w:r>
      <w:r w:rsidRPr="002C3022">
        <w:rPr>
          <w:spacing w:val="56"/>
          <w:sz w:val="24"/>
          <w:lang w:val="de-DE"/>
        </w:rPr>
        <w:t xml:space="preserve"> </w:t>
      </w:r>
      <w:r w:rsidRPr="002C3022">
        <w:rPr>
          <w:sz w:val="24"/>
          <w:lang w:val="de-DE"/>
        </w:rPr>
        <w:t xml:space="preserve">und zeitbasierter prospektiver Gedächtnisleistung. </w:t>
      </w:r>
      <w:r w:rsidRPr="002C3022">
        <w:rPr>
          <w:i/>
          <w:sz w:val="24"/>
          <w:lang w:val="de-DE"/>
        </w:rPr>
        <w:t>Zeitschrift fur Gerontologie</w:t>
      </w:r>
      <w:r w:rsidRPr="002C3022">
        <w:rPr>
          <w:i/>
          <w:spacing w:val="13"/>
          <w:sz w:val="24"/>
          <w:lang w:val="de-DE"/>
        </w:rPr>
        <w:t xml:space="preserve"> </w:t>
      </w:r>
      <w:r w:rsidRPr="002C3022">
        <w:rPr>
          <w:i/>
          <w:sz w:val="24"/>
          <w:lang w:val="de-DE"/>
        </w:rPr>
        <w:t>und</w:t>
      </w:r>
    </w:p>
    <w:p w14:paraId="74C773CF" w14:textId="77777777" w:rsidR="00C75312" w:rsidRPr="002C3022" w:rsidRDefault="00BB293A">
      <w:pPr>
        <w:ind w:left="860"/>
        <w:jc w:val="both"/>
        <w:rPr>
          <w:sz w:val="24"/>
          <w:lang w:val="de-DE"/>
        </w:rPr>
      </w:pPr>
      <w:r w:rsidRPr="002C3022">
        <w:rPr>
          <w:i/>
          <w:sz w:val="24"/>
          <w:lang w:val="de-DE"/>
        </w:rPr>
        <w:t>Geriatrie, 36</w:t>
      </w:r>
      <w:r w:rsidRPr="002C3022">
        <w:rPr>
          <w:sz w:val="24"/>
          <w:lang w:val="de-DE"/>
        </w:rPr>
        <w:t>(1), 35-41. doi:10.1007/s00391-003-0081-5</w:t>
      </w:r>
    </w:p>
    <w:p w14:paraId="22B2CA9B" w14:textId="77777777" w:rsidR="00C75312" w:rsidRPr="002C3022" w:rsidRDefault="00C75312">
      <w:pPr>
        <w:pStyle w:val="BodyText"/>
        <w:rPr>
          <w:lang w:val="de-DE"/>
        </w:rPr>
      </w:pPr>
    </w:p>
    <w:p w14:paraId="40136045" w14:textId="77777777" w:rsidR="00C75312" w:rsidRDefault="00BB293A">
      <w:pPr>
        <w:pStyle w:val="BodyText"/>
        <w:spacing w:line="480" w:lineRule="auto"/>
        <w:ind w:left="860" w:right="235" w:hanging="720"/>
        <w:jc w:val="both"/>
      </w:pPr>
      <w:r w:rsidRPr="002C3022">
        <w:rPr>
          <w:lang w:val="de-DE"/>
        </w:rPr>
        <w:t xml:space="preserve">Kooiman, C. G., Spinhoven, P., &amp; Trijsburg, R. W. (2002). The assessment of alexithymia. A critical review of the literature and a psychmetric study of the Toronto Alexuthymia Scale-20. </w:t>
      </w:r>
      <w:r>
        <w:rPr>
          <w:i/>
        </w:rPr>
        <w:t xml:space="preserve">Journal of </w:t>
      </w:r>
      <w:proofErr w:type="spellStart"/>
      <w:r>
        <w:rPr>
          <w:i/>
        </w:rPr>
        <w:t>Psychsomatic</w:t>
      </w:r>
      <w:proofErr w:type="spellEnd"/>
      <w:r>
        <w:rPr>
          <w:i/>
        </w:rPr>
        <w:t xml:space="preserve"> Research, 53</w:t>
      </w:r>
      <w:r>
        <w:t>(6), 1083-1090. doi:10.1016/S0022- 3999(02)00348-3</w:t>
      </w:r>
    </w:p>
    <w:p w14:paraId="4261073D" w14:textId="77777777" w:rsidR="00C75312" w:rsidRDefault="00BB293A">
      <w:pPr>
        <w:spacing w:line="480" w:lineRule="auto"/>
        <w:ind w:left="860" w:right="237" w:hanging="720"/>
        <w:jc w:val="both"/>
        <w:rPr>
          <w:sz w:val="24"/>
        </w:rPr>
      </w:pPr>
      <w:proofErr w:type="spellStart"/>
      <w:r>
        <w:rPr>
          <w:sz w:val="24"/>
        </w:rPr>
        <w:t>Kosslyn</w:t>
      </w:r>
      <w:proofErr w:type="spellEnd"/>
      <w:r>
        <w:rPr>
          <w:sz w:val="24"/>
        </w:rPr>
        <w:t>,</w:t>
      </w:r>
      <w:r>
        <w:rPr>
          <w:spacing w:val="-3"/>
          <w:sz w:val="24"/>
        </w:rPr>
        <w:t xml:space="preserve"> </w:t>
      </w:r>
      <w:r>
        <w:rPr>
          <w:sz w:val="24"/>
        </w:rPr>
        <w:t>S.</w:t>
      </w:r>
      <w:r>
        <w:rPr>
          <w:spacing w:val="-4"/>
          <w:sz w:val="24"/>
        </w:rPr>
        <w:t xml:space="preserve"> </w:t>
      </w:r>
      <w:r>
        <w:rPr>
          <w:sz w:val="24"/>
        </w:rPr>
        <w:t>M.,</w:t>
      </w:r>
      <w:r>
        <w:rPr>
          <w:spacing w:val="-7"/>
          <w:sz w:val="24"/>
        </w:rPr>
        <w:t xml:space="preserve"> </w:t>
      </w:r>
      <w:r>
        <w:rPr>
          <w:sz w:val="24"/>
        </w:rPr>
        <w:t>Ganis,</w:t>
      </w:r>
      <w:r>
        <w:rPr>
          <w:spacing w:val="-3"/>
          <w:sz w:val="24"/>
        </w:rPr>
        <w:t xml:space="preserve"> </w:t>
      </w:r>
      <w:r>
        <w:rPr>
          <w:sz w:val="24"/>
        </w:rPr>
        <w:t>G.,</w:t>
      </w:r>
      <w:r>
        <w:rPr>
          <w:spacing w:val="-8"/>
          <w:sz w:val="24"/>
        </w:rPr>
        <w:t xml:space="preserve"> </w:t>
      </w:r>
      <w:r>
        <w:rPr>
          <w:sz w:val="24"/>
        </w:rPr>
        <w:t>&amp;</w:t>
      </w:r>
      <w:r>
        <w:rPr>
          <w:spacing w:val="-10"/>
          <w:sz w:val="24"/>
        </w:rPr>
        <w:t xml:space="preserve"> </w:t>
      </w:r>
      <w:r>
        <w:rPr>
          <w:sz w:val="24"/>
        </w:rPr>
        <w:t>Thompson,</w:t>
      </w:r>
      <w:r>
        <w:rPr>
          <w:spacing w:val="-3"/>
          <w:sz w:val="24"/>
        </w:rPr>
        <w:t xml:space="preserve"> W. </w:t>
      </w:r>
      <w:r>
        <w:rPr>
          <w:sz w:val="24"/>
        </w:rPr>
        <w:t>L.</w:t>
      </w:r>
      <w:r>
        <w:rPr>
          <w:spacing w:val="-7"/>
          <w:sz w:val="24"/>
        </w:rPr>
        <w:t xml:space="preserve"> </w:t>
      </w:r>
      <w:r>
        <w:rPr>
          <w:sz w:val="24"/>
        </w:rPr>
        <w:t>(2001).</w:t>
      </w:r>
      <w:r>
        <w:rPr>
          <w:spacing w:val="-3"/>
          <w:sz w:val="24"/>
        </w:rPr>
        <w:t xml:space="preserve"> </w:t>
      </w:r>
      <w:r>
        <w:rPr>
          <w:sz w:val="24"/>
        </w:rPr>
        <w:t>Neural</w:t>
      </w:r>
      <w:r>
        <w:rPr>
          <w:spacing w:val="-5"/>
          <w:sz w:val="24"/>
        </w:rPr>
        <w:t xml:space="preserve"> </w:t>
      </w:r>
      <w:r>
        <w:rPr>
          <w:sz w:val="24"/>
        </w:rPr>
        <w:t>foundations</w:t>
      </w:r>
      <w:r>
        <w:rPr>
          <w:spacing w:val="-13"/>
          <w:sz w:val="24"/>
        </w:rPr>
        <w:t xml:space="preserve"> </w:t>
      </w:r>
      <w:r>
        <w:rPr>
          <w:sz w:val="24"/>
        </w:rPr>
        <w:t>of</w:t>
      </w:r>
      <w:r>
        <w:rPr>
          <w:spacing w:val="-9"/>
          <w:sz w:val="24"/>
        </w:rPr>
        <w:t xml:space="preserve"> </w:t>
      </w:r>
      <w:r>
        <w:rPr>
          <w:sz w:val="24"/>
        </w:rPr>
        <w:t>imagery.</w:t>
      </w:r>
      <w:r>
        <w:rPr>
          <w:spacing w:val="-7"/>
          <w:sz w:val="24"/>
        </w:rPr>
        <w:t xml:space="preserve"> </w:t>
      </w:r>
      <w:r>
        <w:rPr>
          <w:i/>
          <w:sz w:val="24"/>
        </w:rPr>
        <w:t>Nature Reviews: Neuroscience, 2</w:t>
      </w:r>
      <w:r>
        <w:rPr>
          <w:sz w:val="24"/>
        </w:rPr>
        <w:t>(9), 635-642.</w:t>
      </w:r>
      <w:r>
        <w:rPr>
          <w:spacing w:val="9"/>
          <w:sz w:val="24"/>
        </w:rPr>
        <w:t xml:space="preserve"> </w:t>
      </w:r>
      <w:r>
        <w:rPr>
          <w:sz w:val="24"/>
        </w:rPr>
        <w:t>doi:10.1038/35090055</w:t>
      </w:r>
    </w:p>
    <w:p w14:paraId="1F5F96A3" w14:textId="77777777" w:rsidR="00C75312" w:rsidRDefault="00BB293A">
      <w:pPr>
        <w:pStyle w:val="BodyText"/>
        <w:spacing w:line="480" w:lineRule="auto"/>
        <w:ind w:left="860" w:right="236" w:hanging="720"/>
        <w:jc w:val="both"/>
      </w:pPr>
      <w:r w:rsidRPr="002C3022">
        <w:rPr>
          <w:lang w:val="de-DE"/>
        </w:rPr>
        <w:t xml:space="preserve">Kretschmer, A., Altgassen, M., Rendell, P. G., Bolte, S., &amp; Bölte, S. (2014). </w:t>
      </w:r>
      <w:r>
        <w:t>Prospective memory in adults with high-functioning autism spectrum disorders: Exploring effects</w:t>
      </w:r>
    </w:p>
    <w:p w14:paraId="3122BF23" w14:textId="77777777" w:rsidR="00C75312" w:rsidRDefault="00C75312">
      <w:pPr>
        <w:spacing w:line="480" w:lineRule="auto"/>
        <w:jc w:val="both"/>
        <w:sectPr w:rsidR="00C75312">
          <w:pgSz w:w="11900" w:h="16840"/>
          <w:pgMar w:top="1160" w:right="1200" w:bottom="280" w:left="1300" w:header="720" w:footer="0" w:gutter="0"/>
          <w:cols w:space="720"/>
        </w:sectPr>
      </w:pPr>
    </w:p>
    <w:p w14:paraId="1D0B65FA" w14:textId="77777777" w:rsidR="00C75312" w:rsidRDefault="00C75312">
      <w:pPr>
        <w:pStyle w:val="BodyText"/>
        <w:spacing w:before="9"/>
        <w:rPr>
          <w:sz w:val="15"/>
        </w:rPr>
      </w:pPr>
    </w:p>
    <w:p w14:paraId="5953ED81" w14:textId="77777777" w:rsidR="00C75312" w:rsidRDefault="00BB293A">
      <w:pPr>
        <w:spacing w:before="90" w:line="480" w:lineRule="auto"/>
        <w:ind w:left="860" w:right="238"/>
        <w:jc w:val="both"/>
        <w:rPr>
          <w:sz w:val="24"/>
        </w:rPr>
      </w:pPr>
      <w:r>
        <w:rPr>
          <w:sz w:val="24"/>
        </w:rPr>
        <w:t xml:space="preserve">of implementation intentions and retrospective memory load. </w:t>
      </w:r>
      <w:r>
        <w:rPr>
          <w:i/>
          <w:sz w:val="24"/>
        </w:rPr>
        <w:t>Research in Developmental Disabilities, 35</w:t>
      </w:r>
      <w:r>
        <w:rPr>
          <w:sz w:val="24"/>
        </w:rPr>
        <w:t>(11), 3108-3118. doi:10.1016/j.ridd.2014.07.052</w:t>
      </w:r>
    </w:p>
    <w:p w14:paraId="03CB44DC" w14:textId="77777777" w:rsidR="00C75312" w:rsidRDefault="00BB293A">
      <w:pPr>
        <w:spacing w:line="480" w:lineRule="auto"/>
        <w:ind w:left="860" w:right="238" w:hanging="720"/>
        <w:jc w:val="both"/>
        <w:rPr>
          <w:sz w:val="24"/>
        </w:rPr>
      </w:pPr>
      <w:r>
        <w:rPr>
          <w:sz w:val="24"/>
        </w:rPr>
        <w:t xml:space="preserve">Kucera, H., &amp; Francis, W. N. (1967). </w:t>
      </w:r>
      <w:r>
        <w:rPr>
          <w:i/>
          <w:sz w:val="24"/>
        </w:rPr>
        <w:t>Computational analysis of present-day American English</w:t>
      </w:r>
      <w:r>
        <w:rPr>
          <w:sz w:val="24"/>
        </w:rPr>
        <w:t>. Providence, RI: Brown University Press.</w:t>
      </w:r>
    </w:p>
    <w:p w14:paraId="281D5AFB" w14:textId="77777777" w:rsidR="00C75312" w:rsidRDefault="00BB293A">
      <w:pPr>
        <w:pStyle w:val="BodyText"/>
        <w:spacing w:line="480" w:lineRule="auto"/>
        <w:ind w:left="860" w:right="234" w:hanging="720"/>
        <w:jc w:val="both"/>
      </w:pPr>
      <w:proofErr w:type="spellStart"/>
      <w:r>
        <w:t>Kvavilashvili</w:t>
      </w:r>
      <w:proofErr w:type="spellEnd"/>
      <w:r>
        <w:t xml:space="preserve">, L., &amp; Ellis, J. (1996). Varieties of intention: Some distinctions and classifications. </w:t>
      </w:r>
      <w:r w:rsidRPr="002C3022">
        <w:rPr>
          <w:lang w:val="de-DE"/>
        </w:rPr>
        <w:t xml:space="preserve">In M. A. Brandimonte, G. O. Einstein, &amp; M. A. McDaniel (Eds.), (pp. 23-51). </w:t>
      </w:r>
      <w:r>
        <w:t>Mahwah, New Jersey: Lawrence Erlbaum Associates, Publishers.</w:t>
      </w:r>
    </w:p>
    <w:p w14:paraId="0938055C" w14:textId="77777777" w:rsidR="00C75312" w:rsidRDefault="00BB293A">
      <w:pPr>
        <w:pStyle w:val="BodyText"/>
        <w:spacing w:line="480" w:lineRule="auto"/>
        <w:ind w:left="860" w:right="234" w:hanging="720"/>
        <w:jc w:val="both"/>
      </w:pPr>
      <w:proofErr w:type="spellStart"/>
      <w:r>
        <w:t>Kvavilashvili</w:t>
      </w:r>
      <w:proofErr w:type="spellEnd"/>
      <w:r>
        <w:t>, L., &amp; Fisher, L. (2007). Is time-based prospective remembering mediated by self-initiated</w:t>
      </w:r>
      <w:r>
        <w:rPr>
          <w:spacing w:val="-8"/>
        </w:rPr>
        <w:t xml:space="preserve"> </w:t>
      </w:r>
      <w:r>
        <w:t>rehearsals?</w:t>
      </w:r>
      <w:r>
        <w:rPr>
          <w:spacing w:val="-8"/>
        </w:rPr>
        <w:t xml:space="preserve"> </w:t>
      </w:r>
      <w:r>
        <w:t>Role</w:t>
      </w:r>
      <w:r>
        <w:rPr>
          <w:spacing w:val="-8"/>
        </w:rPr>
        <w:t xml:space="preserve"> </w:t>
      </w:r>
      <w:r>
        <w:t>of</w:t>
      </w:r>
      <w:r>
        <w:rPr>
          <w:spacing w:val="-10"/>
        </w:rPr>
        <w:t xml:space="preserve"> </w:t>
      </w:r>
      <w:r>
        <w:t>incidental</w:t>
      </w:r>
      <w:r>
        <w:rPr>
          <w:spacing w:val="-11"/>
        </w:rPr>
        <w:t xml:space="preserve"> </w:t>
      </w:r>
      <w:r>
        <w:t>cues,</w:t>
      </w:r>
      <w:r>
        <w:rPr>
          <w:spacing w:val="-9"/>
        </w:rPr>
        <w:t xml:space="preserve"> </w:t>
      </w:r>
      <w:r>
        <w:t>ongoing</w:t>
      </w:r>
      <w:r>
        <w:rPr>
          <w:spacing w:val="-7"/>
        </w:rPr>
        <w:t xml:space="preserve"> </w:t>
      </w:r>
      <w:r>
        <w:t>activity,</w:t>
      </w:r>
      <w:r>
        <w:rPr>
          <w:spacing w:val="-9"/>
        </w:rPr>
        <w:t xml:space="preserve"> </w:t>
      </w:r>
      <w:r>
        <w:t>age,</w:t>
      </w:r>
      <w:r>
        <w:rPr>
          <w:spacing w:val="-10"/>
        </w:rPr>
        <w:t xml:space="preserve"> </w:t>
      </w:r>
      <w:r>
        <w:t>and</w:t>
      </w:r>
      <w:r>
        <w:rPr>
          <w:spacing w:val="-11"/>
        </w:rPr>
        <w:t xml:space="preserve"> </w:t>
      </w:r>
      <w:r>
        <w:t xml:space="preserve">motivation. </w:t>
      </w:r>
      <w:r>
        <w:rPr>
          <w:i/>
        </w:rPr>
        <w:t>Journal of Experimental Psychology: General, 136</w:t>
      </w:r>
      <w:r>
        <w:t>(1), 112-132. doi:10.1037/0096- 3445.136.1.112</w:t>
      </w:r>
    </w:p>
    <w:p w14:paraId="45325A69" w14:textId="77777777" w:rsidR="00C75312" w:rsidRDefault="00BB293A">
      <w:pPr>
        <w:pStyle w:val="BodyText"/>
        <w:spacing w:before="1"/>
        <w:ind w:left="140"/>
        <w:jc w:val="both"/>
      </w:pPr>
      <w:r w:rsidRPr="002C3022">
        <w:rPr>
          <w:lang w:val="fr-FR"/>
        </w:rPr>
        <w:t xml:space="preserve">Lai, C. L., Lau, Z., Lui, S. S., Lok, E., Tam, V., Chan, Q., . . . Cheung, E. F. (2016). </w:t>
      </w:r>
      <w:r>
        <w:t>Meta-</w:t>
      </w:r>
    </w:p>
    <w:p w14:paraId="37C34CA1" w14:textId="77777777" w:rsidR="00C75312" w:rsidRDefault="00C75312">
      <w:pPr>
        <w:pStyle w:val="BodyText"/>
        <w:spacing w:before="11"/>
        <w:rPr>
          <w:sz w:val="23"/>
        </w:rPr>
      </w:pPr>
    </w:p>
    <w:p w14:paraId="5A5F9833" w14:textId="77777777" w:rsidR="00C75312" w:rsidRDefault="00BB293A">
      <w:pPr>
        <w:pStyle w:val="BodyText"/>
        <w:spacing w:line="480" w:lineRule="auto"/>
        <w:ind w:left="860" w:right="234"/>
        <w:jc w:val="both"/>
      </w:pPr>
      <w:r>
        <w:t xml:space="preserve">analysis of neuropsychological measures of executive functioning in children and adolescents with high-functioning autism spectrum disorder. </w:t>
      </w:r>
      <w:r>
        <w:rPr>
          <w:i/>
        </w:rPr>
        <w:t>Autism Research</w:t>
      </w:r>
      <w:r>
        <w:t>, 1-29. doi:10.1002/aur.1723</w:t>
      </w:r>
    </w:p>
    <w:p w14:paraId="205EC2F5" w14:textId="77777777" w:rsidR="00C75312" w:rsidRDefault="00BB293A">
      <w:pPr>
        <w:pStyle w:val="BodyText"/>
        <w:spacing w:line="480" w:lineRule="auto"/>
        <w:ind w:left="860" w:right="239" w:hanging="720"/>
        <w:jc w:val="both"/>
      </w:pPr>
      <w:r>
        <w:t xml:space="preserve">Landis, J. R., &amp; Koch, G. G. (1977). The measurement of observer agreement for categorical data. </w:t>
      </w:r>
      <w:r>
        <w:rPr>
          <w:i/>
        </w:rPr>
        <w:t>Biometrics, 33</w:t>
      </w:r>
      <w:r>
        <w:t>(1), 159-174. doi:10.2307/2529310</w:t>
      </w:r>
    </w:p>
    <w:p w14:paraId="6E69F017" w14:textId="77777777" w:rsidR="00C75312" w:rsidRDefault="00BB293A">
      <w:pPr>
        <w:spacing w:line="480" w:lineRule="auto"/>
        <w:ind w:left="860" w:right="236" w:hanging="720"/>
        <w:jc w:val="both"/>
        <w:rPr>
          <w:sz w:val="24"/>
        </w:rPr>
      </w:pPr>
      <w:r>
        <w:rPr>
          <w:sz w:val="24"/>
        </w:rPr>
        <w:t>Landry,</w:t>
      </w:r>
      <w:r>
        <w:rPr>
          <w:spacing w:val="-8"/>
          <w:sz w:val="24"/>
        </w:rPr>
        <w:t xml:space="preserve"> </w:t>
      </w:r>
      <w:r>
        <w:rPr>
          <w:sz w:val="24"/>
        </w:rPr>
        <w:t>O.,</w:t>
      </w:r>
      <w:r>
        <w:rPr>
          <w:spacing w:val="-13"/>
          <w:sz w:val="24"/>
        </w:rPr>
        <w:t xml:space="preserve"> </w:t>
      </w:r>
      <w:r>
        <w:rPr>
          <w:sz w:val="24"/>
        </w:rPr>
        <w:t>&amp;</w:t>
      </w:r>
      <w:r>
        <w:rPr>
          <w:spacing w:val="-10"/>
          <w:sz w:val="24"/>
        </w:rPr>
        <w:t xml:space="preserve"> </w:t>
      </w:r>
      <w:r>
        <w:rPr>
          <w:sz w:val="24"/>
        </w:rPr>
        <w:t>Al-Taie,</w:t>
      </w:r>
      <w:r>
        <w:rPr>
          <w:spacing w:val="-8"/>
          <w:sz w:val="24"/>
        </w:rPr>
        <w:t xml:space="preserve"> </w:t>
      </w:r>
      <w:r>
        <w:rPr>
          <w:sz w:val="24"/>
        </w:rPr>
        <w:t>S.</w:t>
      </w:r>
      <w:r>
        <w:rPr>
          <w:spacing w:val="-8"/>
          <w:sz w:val="24"/>
        </w:rPr>
        <w:t xml:space="preserve"> </w:t>
      </w:r>
      <w:r>
        <w:rPr>
          <w:sz w:val="24"/>
        </w:rPr>
        <w:t>(2016).</w:t>
      </w:r>
      <w:r>
        <w:rPr>
          <w:spacing w:val="-12"/>
          <w:sz w:val="24"/>
        </w:rPr>
        <w:t xml:space="preserve"> </w:t>
      </w:r>
      <w:r>
        <w:rPr>
          <w:sz w:val="24"/>
        </w:rPr>
        <w:t>A</w:t>
      </w:r>
      <w:r>
        <w:rPr>
          <w:spacing w:val="-11"/>
          <w:sz w:val="24"/>
        </w:rPr>
        <w:t xml:space="preserve"> </w:t>
      </w:r>
      <w:r>
        <w:rPr>
          <w:sz w:val="24"/>
        </w:rPr>
        <w:t>Meta-analysis</w:t>
      </w:r>
      <w:r>
        <w:rPr>
          <w:spacing w:val="-12"/>
          <w:sz w:val="24"/>
        </w:rPr>
        <w:t xml:space="preserve"> </w:t>
      </w:r>
      <w:r>
        <w:rPr>
          <w:sz w:val="24"/>
        </w:rPr>
        <w:t>of</w:t>
      </w:r>
      <w:r>
        <w:rPr>
          <w:spacing w:val="-9"/>
          <w:sz w:val="24"/>
        </w:rPr>
        <w:t xml:space="preserve"> </w:t>
      </w:r>
      <w:r>
        <w:rPr>
          <w:sz w:val="24"/>
        </w:rPr>
        <w:t>the</w:t>
      </w:r>
      <w:r>
        <w:rPr>
          <w:spacing w:val="-12"/>
          <w:sz w:val="24"/>
        </w:rPr>
        <w:t xml:space="preserve"> </w:t>
      </w:r>
      <w:r>
        <w:rPr>
          <w:sz w:val="24"/>
        </w:rPr>
        <w:t>Wisconsin</w:t>
      </w:r>
      <w:r>
        <w:rPr>
          <w:spacing w:val="-11"/>
          <w:sz w:val="24"/>
        </w:rPr>
        <w:t xml:space="preserve"> </w:t>
      </w:r>
      <w:r>
        <w:rPr>
          <w:sz w:val="24"/>
        </w:rPr>
        <w:t>Card</w:t>
      </w:r>
      <w:r>
        <w:rPr>
          <w:spacing w:val="-10"/>
          <w:sz w:val="24"/>
        </w:rPr>
        <w:t xml:space="preserve"> </w:t>
      </w:r>
      <w:r>
        <w:rPr>
          <w:sz w:val="24"/>
        </w:rPr>
        <w:t>Sort</w:t>
      </w:r>
      <w:r>
        <w:rPr>
          <w:spacing w:val="-10"/>
          <w:sz w:val="24"/>
        </w:rPr>
        <w:t xml:space="preserve"> </w:t>
      </w:r>
      <w:r>
        <w:rPr>
          <w:sz w:val="24"/>
        </w:rPr>
        <w:t>Task</w:t>
      </w:r>
      <w:r>
        <w:rPr>
          <w:spacing w:val="-11"/>
          <w:sz w:val="24"/>
        </w:rPr>
        <w:t xml:space="preserve"> </w:t>
      </w:r>
      <w:r>
        <w:rPr>
          <w:sz w:val="24"/>
        </w:rPr>
        <w:t>in</w:t>
      </w:r>
      <w:r>
        <w:rPr>
          <w:spacing w:val="-11"/>
          <w:sz w:val="24"/>
        </w:rPr>
        <w:t xml:space="preserve"> </w:t>
      </w:r>
      <w:r>
        <w:rPr>
          <w:sz w:val="24"/>
        </w:rPr>
        <w:t xml:space="preserve">Autism. </w:t>
      </w:r>
      <w:r>
        <w:rPr>
          <w:i/>
          <w:sz w:val="24"/>
        </w:rPr>
        <w:t>Journal of Autism and Developmental Disorders, 46</w:t>
      </w:r>
      <w:r>
        <w:rPr>
          <w:sz w:val="24"/>
        </w:rPr>
        <w:t>(4), 1220-1235. doi:10.1007/s10803-015-2659-3</w:t>
      </w:r>
    </w:p>
    <w:p w14:paraId="712CA04F" w14:textId="77777777" w:rsidR="00C75312" w:rsidRDefault="00BB293A">
      <w:pPr>
        <w:pStyle w:val="BodyText"/>
        <w:spacing w:line="480" w:lineRule="auto"/>
        <w:ind w:left="860" w:right="239" w:hanging="720"/>
        <w:jc w:val="both"/>
      </w:pPr>
      <w:r>
        <w:t xml:space="preserve">Landsiedel, J., &amp; Gilbert, S. J. (2015). Creating external reminders for delayed intentions: Dissociable influence on "task-positive" and "task-negative" brain networks. </w:t>
      </w:r>
      <w:proofErr w:type="spellStart"/>
      <w:r>
        <w:rPr>
          <w:i/>
        </w:rPr>
        <w:t>NeuroImage</w:t>
      </w:r>
      <w:proofErr w:type="spellEnd"/>
      <w:r>
        <w:rPr>
          <w:i/>
        </w:rPr>
        <w:t>, 104</w:t>
      </w:r>
      <w:r>
        <w:t>, 231-240. doi:10.1016/j.neuroimage.2014.10.021</w:t>
      </w:r>
    </w:p>
    <w:p w14:paraId="580EDD93" w14:textId="77777777" w:rsidR="00C75312" w:rsidRDefault="00C75312">
      <w:pPr>
        <w:spacing w:line="480" w:lineRule="auto"/>
        <w:jc w:val="both"/>
        <w:sectPr w:rsidR="00C75312">
          <w:pgSz w:w="11900" w:h="16840"/>
          <w:pgMar w:top="1160" w:right="1200" w:bottom="280" w:left="1300" w:header="720" w:footer="0" w:gutter="0"/>
          <w:cols w:space="720"/>
        </w:sectPr>
      </w:pPr>
    </w:p>
    <w:p w14:paraId="4D573960" w14:textId="77777777" w:rsidR="00C75312" w:rsidRDefault="00C75312">
      <w:pPr>
        <w:pStyle w:val="BodyText"/>
        <w:spacing w:before="9"/>
        <w:rPr>
          <w:sz w:val="15"/>
        </w:rPr>
      </w:pPr>
    </w:p>
    <w:p w14:paraId="26410413" w14:textId="77777777" w:rsidR="00C75312" w:rsidRDefault="00BB293A">
      <w:pPr>
        <w:pStyle w:val="BodyText"/>
        <w:spacing w:before="90" w:line="480" w:lineRule="auto"/>
        <w:ind w:left="860" w:right="239" w:hanging="720"/>
        <w:jc w:val="both"/>
      </w:pPr>
      <w:r>
        <w:t xml:space="preserve">Larsen, J. K., Brand, N., Bermond, B., &amp; Hijman, R. (2003). Cognitive and emotional characteristics of alexithymia: A review of neurobiological studies. </w:t>
      </w:r>
      <w:r>
        <w:rPr>
          <w:i/>
        </w:rPr>
        <w:t>Journal of Psychosomatic Research, 54</w:t>
      </w:r>
      <w:r>
        <w:t>(6), 533-541. doi:10.1016/S0022-3999(02)00466-X</w:t>
      </w:r>
    </w:p>
    <w:p w14:paraId="27460B78" w14:textId="77777777" w:rsidR="00C75312" w:rsidRDefault="00BB293A">
      <w:pPr>
        <w:ind w:left="140"/>
        <w:jc w:val="both"/>
        <w:rPr>
          <w:sz w:val="24"/>
        </w:rPr>
      </w:pPr>
      <w:r>
        <w:rPr>
          <w:sz w:val="24"/>
        </w:rPr>
        <w:t xml:space="preserve">Lee, M. D., &amp; </w:t>
      </w:r>
      <w:proofErr w:type="spellStart"/>
      <w:r>
        <w:rPr>
          <w:sz w:val="24"/>
        </w:rPr>
        <w:t>Wagenmakers</w:t>
      </w:r>
      <w:proofErr w:type="spellEnd"/>
      <w:r>
        <w:rPr>
          <w:sz w:val="24"/>
        </w:rPr>
        <w:t xml:space="preserve">, E.-J. (2013). </w:t>
      </w:r>
      <w:r>
        <w:rPr>
          <w:i/>
          <w:sz w:val="24"/>
        </w:rPr>
        <w:t>Bayesian cognitive modeling: A practical course</w:t>
      </w:r>
      <w:r>
        <w:rPr>
          <w:sz w:val="24"/>
        </w:rPr>
        <w:t>.</w:t>
      </w:r>
    </w:p>
    <w:p w14:paraId="4532C7C5" w14:textId="77777777" w:rsidR="00C75312" w:rsidRDefault="00C75312">
      <w:pPr>
        <w:pStyle w:val="BodyText"/>
      </w:pPr>
    </w:p>
    <w:p w14:paraId="4826ADDA" w14:textId="77777777" w:rsidR="00C75312" w:rsidRDefault="00BB293A">
      <w:pPr>
        <w:pStyle w:val="BodyText"/>
        <w:ind w:left="860"/>
      </w:pPr>
      <w:r>
        <w:t>New York: Cambridge University Press.</w:t>
      </w:r>
    </w:p>
    <w:p w14:paraId="0EE86382" w14:textId="77777777" w:rsidR="00C75312" w:rsidRDefault="00C75312">
      <w:pPr>
        <w:pStyle w:val="BodyText"/>
      </w:pPr>
    </w:p>
    <w:p w14:paraId="043E2781" w14:textId="77777777" w:rsidR="00C75312" w:rsidRDefault="00BB293A">
      <w:pPr>
        <w:pStyle w:val="BodyText"/>
        <w:spacing w:line="480" w:lineRule="auto"/>
        <w:ind w:left="860" w:right="238" w:hanging="720"/>
        <w:jc w:val="both"/>
      </w:pPr>
      <w:r w:rsidRPr="002C3022">
        <w:rPr>
          <w:lang w:val="nl-NL"/>
        </w:rPr>
        <w:t xml:space="preserve">Lenroot, R. K., &amp; Yeung, P. K. (2013). </w:t>
      </w:r>
      <w:r>
        <w:t xml:space="preserve">Heterogeneity within Autism Spectrum Disorders: What have We Learned from Neuroimaging Studies? </w:t>
      </w:r>
      <w:r>
        <w:rPr>
          <w:i/>
        </w:rPr>
        <w:t>Frontiers in Human Neuroscience, 7</w:t>
      </w:r>
      <w:r>
        <w:t>(October), 1-16. doi:10.3389/fnhum.2013.00733</w:t>
      </w:r>
    </w:p>
    <w:p w14:paraId="5F7E38F5" w14:textId="77777777" w:rsidR="00C75312" w:rsidRDefault="00BB293A">
      <w:pPr>
        <w:spacing w:line="480" w:lineRule="auto"/>
        <w:ind w:left="860" w:right="234" w:hanging="720"/>
        <w:jc w:val="both"/>
        <w:rPr>
          <w:sz w:val="24"/>
        </w:rPr>
      </w:pPr>
      <w:r>
        <w:rPr>
          <w:sz w:val="24"/>
        </w:rPr>
        <w:t xml:space="preserve">Leung, R. C., &amp; </w:t>
      </w:r>
      <w:proofErr w:type="spellStart"/>
      <w:r>
        <w:rPr>
          <w:sz w:val="24"/>
        </w:rPr>
        <w:t>Zakzanis</w:t>
      </w:r>
      <w:proofErr w:type="spellEnd"/>
      <w:r>
        <w:rPr>
          <w:sz w:val="24"/>
        </w:rPr>
        <w:t xml:space="preserve">, K. K. (2014). Brief report: Cognitive flexibility in autism spectrum disorders: A quantitative review. </w:t>
      </w:r>
      <w:r>
        <w:rPr>
          <w:i/>
          <w:sz w:val="24"/>
        </w:rPr>
        <w:t>Journal of Autism and Developmental Disorders, 44</w:t>
      </w:r>
      <w:r>
        <w:rPr>
          <w:sz w:val="24"/>
        </w:rPr>
        <w:t>(10), 2628-2645. doi:10.1007/s10803-014-2136-4</w:t>
      </w:r>
    </w:p>
    <w:p w14:paraId="085BF895" w14:textId="77777777" w:rsidR="00C75312" w:rsidRDefault="00BB293A">
      <w:pPr>
        <w:pStyle w:val="BodyText"/>
        <w:spacing w:before="1" w:line="480" w:lineRule="auto"/>
        <w:ind w:left="860" w:right="236" w:hanging="720"/>
        <w:jc w:val="both"/>
      </w:pPr>
      <w:r>
        <w:t>Lind,</w:t>
      </w:r>
      <w:r>
        <w:rPr>
          <w:spacing w:val="-13"/>
        </w:rPr>
        <w:t xml:space="preserve"> </w:t>
      </w:r>
      <w:r>
        <w:t>S.</w:t>
      </w:r>
      <w:r>
        <w:rPr>
          <w:spacing w:val="-17"/>
        </w:rPr>
        <w:t xml:space="preserve"> </w:t>
      </w:r>
      <w:r>
        <w:t>E.</w:t>
      </w:r>
      <w:r>
        <w:rPr>
          <w:spacing w:val="-17"/>
        </w:rPr>
        <w:t xml:space="preserve"> </w:t>
      </w:r>
      <w:r>
        <w:t>(2010).</w:t>
      </w:r>
      <w:r>
        <w:rPr>
          <w:spacing w:val="-12"/>
        </w:rPr>
        <w:t xml:space="preserve"> </w:t>
      </w:r>
      <w:r>
        <w:t>Memory</w:t>
      </w:r>
      <w:r>
        <w:rPr>
          <w:spacing w:val="-19"/>
        </w:rPr>
        <w:t xml:space="preserve"> </w:t>
      </w:r>
      <w:r>
        <w:t>and</w:t>
      </w:r>
      <w:r>
        <w:rPr>
          <w:spacing w:val="-15"/>
        </w:rPr>
        <w:t xml:space="preserve"> </w:t>
      </w:r>
      <w:r>
        <w:t>the</w:t>
      </w:r>
      <w:r>
        <w:rPr>
          <w:spacing w:val="-19"/>
        </w:rPr>
        <w:t xml:space="preserve"> </w:t>
      </w:r>
      <w:r>
        <w:t>self</w:t>
      </w:r>
      <w:r>
        <w:rPr>
          <w:spacing w:val="-14"/>
        </w:rPr>
        <w:t xml:space="preserve"> </w:t>
      </w:r>
      <w:r>
        <w:t>in</w:t>
      </w:r>
      <w:r>
        <w:rPr>
          <w:spacing w:val="-19"/>
        </w:rPr>
        <w:t xml:space="preserve"> </w:t>
      </w:r>
      <w:r>
        <w:t>autism:</w:t>
      </w:r>
      <w:r>
        <w:rPr>
          <w:spacing w:val="-19"/>
        </w:rPr>
        <w:t xml:space="preserve"> </w:t>
      </w:r>
      <w:r>
        <w:t>A</w:t>
      </w:r>
      <w:r>
        <w:rPr>
          <w:spacing w:val="-15"/>
        </w:rPr>
        <w:t xml:space="preserve"> </w:t>
      </w:r>
      <w:r>
        <w:t>review</w:t>
      </w:r>
      <w:r>
        <w:rPr>
          <w:spacing w:val="-15"/>
        </w:rPr>
        <w:t xml:space="preserve"> </w:t>
      </w:r>
      <w:r>
        <w:t>and</w:t>
      </w:r>
      <w:r>
        <w:rPr>
          <w:spacing w:val="-19"/>
        </w:rPr>
        <w:t xml:space="preserve"> </w:t>
      </w:r>
      <w:r>
        <w:t>theoretical</w:t>
      </w:r>
      <w:r>
        <w:rPr>
          <w:spacing w:val="-19"/>
        </w:rPr>
        <w:t xml:space="preserve"> </w:t>
      </w:r>
      <w:r>
        <w:t>framework.</w:t>
      </w:r>
      <w:r>
        <w:rPr>
          <w:spacing w:val="-17"/>
        </w:rPr>
        <w:t xml:space="preserve"> </w:t>
      </w:r>
      <w:r>
        <w:rPr>
          <w:i/>
        </w:rPr>
        <w:t>Autism, 14</w:t>
      </w:r>
      <w:r>
        <w:t>(5), 430-456.</w:t>
      </w:r>
      <w:r>
        <w:rPr>
          <w:spacing w:val="3"/>
        </w:rPr>
        <w:t xml:space="preserve"> </w:t>
      </w:r>
      <w:r>
        <w:t>doi:10.1177/1362361309358700</w:t>
      </w:r>
    </w:p>
    <w:p w14:paraId="4B5C1CFB" w14:textId="77777777" w:rsidR="00C75312" w:rsidRPr="002C3022" w:rsidRDefault="00BB293A">
      <w:pPr>
        <w:pStyle w:val="BodyText"/>
        <w:spacing w:line="480" w:lineRule="auto"/>
        <w:ind w:left="860" w:right="237" w:hanging="720"/>
        <w:jc w:val="both"/>
        <w:rPr>
          <w:lang w:val="de-DE"/>
        </w:rPr>
      </w:pPr>
      <w:r>
        <w:t>Lind,</w:t>
      </w:r>
      <w:r>
        <w:rPr>
          <w:spacing w:val="-8"/>
        </w:rPr>
        <w:t xml:space="preserve"> </w:t>
      </w:r>
      <w:r>
        <w:t>S.</w:t>
      </w:r>
      <w:r>
        <w:rPr>
          <w:spacing w:val="-13"/>
        </w:rPr>
        <w:t xml:space="preserve"> </w:t>
      </w:r>
      <w:r>
        <w:t>E.,</w:t>
      </w:r>
      <w:r>
        <w:rPr>
          <w:spacing w:val="-8"/>
        </w:rPr>
        <w:t xml:space="preserve"> </w:t>
      </w:r>
      <w:r>
        <w:t>Williams,</w:t>
      </w:r>
      <w:r>
        <w:rPr>
          <w:spacing w:val="-8"/>
        </w:rPr>
        <w:t xml:space="preserve"> </w:t>
      </w:r>
      <w:r>
        <w:rPr>
          <w:spacing w:val="-3"/>
        </w:rPr>
        <w:t>D.</w:t>
      </w:r>
      <w:r>
        <w:rPr>
          <w:spacing w:val="-7"/>
        </w:rPr>
        <w:t xml:space="preserve"> </w:t>
      </w:r>
      <w:r>
        <w:t>M.,</w:t>
      </w:r>
      <w:r>
        <w:rPr>
          <w:spacing w:val="-8"/>
        </w:rPr>
        <w:t xml:space="preserve"> </w:t>
      </w:r>
      <w:r>
        <w:t>Bowler,</w:t>
      </w:r>
      <w:r>
        <w:rPr>
          <w:spacing w:val="-8"/>
        </w:rPr>
        <w:t xml:space="preserve"> </w:t>
      </w:r>
      <w:r>
        <w:rPr>
          <w:spacing w:val="-3"/>
        </w:rPr>
        <w:t>D.</w:t>
      </w:r>
      <w:r>
        <w:rPr>
          <w:spacing w:val="-8"/>
        </w:rPr>
        <w:t xml:space="preserve"> </w:t>
      </w:r>
      <w:r>
        <w:t>M.,</w:t>
      </w:r>
      <w:r>
        <w:rPr>
          <w:spacing w:val="-8"/>
        </w:rPr>
        <w:t xml:space="preserve"> </w:t>
      </w:r>
      <w:r>
        <w:t>&amp;</w:t>
      </w:r>
      <w:r>
        <w:rPr>
          <w:spacing w:val="-10"/>
        </w:rPr>
        <w:t xml:space="preserve"> </w:t>
      </w:r>
      <w:r>
        <w:t>Peel,</w:t>
      </w:r>
      <w:r>
        <w:rPr>
          <w:spacing w:val="-7"/>
        </w:rPr>
        <w:t xml:space="preserve"> </w:t>
      </w:r>
      <w:r>
        <w:t>A.</w:t>
      </w:r>
      <w:r>
        <w:rPr>
          <w:spacing w:val="-13"/>
        </w:rPr>
        <w:t xml:space="preserve"> </w:t>
      </w:r>
      <w:r>
        <w:t>(2014).</w:t>
      </w:r>
      <w:r>
        <w:rPr>
          <w:spacing w:val="-8"/>
        </w:rPr>
        <w:t xml:space="preserve"> </w:t>
      </w:r>
      <w:r>
        <w:t>Episodic</w:t>
      </w:r>
      <w:r>
        <w:rPr>
          <w:spacing w:val="-12"/>
        </w:rPr>
        <w:t xml:space="preserve"> </w:t>
      </w:r>
      <w:r>
        <w:t>memory</w:t>
      </w:r>
      <w:r>
        <w:rPr>
          <w:spacing w:val="-10"/>
        </w:rPr>
        <w:t xml:space="preserve"> </w:t>
      </w:r>
      <w:r>
        <w:t>and</w:t>
      </w:r>
      <w:r>
        <w:rPr>
          <w:spacing w:val="-11"/>
        </w:rPr>
        <w:t xml:space="preserve"> </w:t>
      </w:r>
      <w:r>
        <w:t xml:space="preserve">episodic future thinking impairments in high-functioning autism spectrum disorder: An underlying difficulty with scene construction or self-projection? </w:t>
      </w:r>
      <w:r w:rsidRPr="002C3022">
        <w:rPr>
          <w:i/>
          <w:lang w:val="de-DE"/>
        </w:rPr>
        <w:t>Neuropsychology, 28</w:t>
      </w:r>
      <w:r w:rsidRPr="002C3022">
        <w:rPr>
          <w:lang w:val="de-DE"/>
        </w:rPr>
        <w:t>(1), 55-55.</w:t>
      </w:r>
      <w:r w:rsidRPr="002C3022">
        <w:rPr>
          <w:spacing w:val="3"/>
          <w:lang w:val="de-DE"/>
        </w:rPr>
        <w:t xml:space="preserve"> </w:t>
      </w:r>
      <w:r w:rsidRPr="002C3022">
        <w:rPr>
          <w:lang w:val="de-DE"/>
        </w:rPr>
        <w:t>doi:10.1037/neu0000005</w:t>
      </w:r>
    </w:p>
    <w:p w14:paraId="27D0B382" w14:textId="77777777" w:rsidR="00C75312" w:rsidRDefault="00BB293A">
      <w:pPr>
        <w:pStyle w:val="BodyText"/>
        <w:spacing w:line="480" w:lineRule="auto"/>
        <w:ind w:left="860" w:right="234" w:hanging="720"/>
        <w:jc w:val="both"/>
      </w:pPr>
      <w:r w:rsidRPr="002C3022">
        <w:rPr>
          <w:lang w:val="de-DE"/>
        </w:rPr>
        <w:t xml:space="preserve">Lind, S. E., Williams, D. M., Raber, J., Peel, A., &amp; Bowler, D. M. (2013). </w:t>
      </w:r>
      <w:r>
        <w:t xml:space="preserve">Spatial navigation impairments among intellectually high-functioning adults with autism spectrum disorder: Exploring relations with theory of mind, episodic memory, and episodic future thinking. </w:t>
      </w:r>
      <w:r>
        <w:rPr>
          <w:i/>
        </w:rPr>
        <w:t>Journal of Abnormal Psychology, 122</w:t>
      </w:r>
      <w:r>
        <w:t>(4), 1189-1189.</w:t>
      </w:r>
    </w:p>
    <w:p w14:paraId="0C835267" w14:textId="77777777" w:rsidR="00C75312" w:rsidRDefault="00BB293A">
      <w:pPr>
        <w:spacing w:line="480" w:lineRule="auto"/>
        <w:ind w:left="860" w:right="234" w:hanging="720"/>
        <w:jc w:val="both"/>
        <w:rPr>
          <w:sz w:val="24"/>
        </w:rPr>
      </w:pPr>
      <w:r>
        <w:rPr>
          <w:sz w:val="24"/>
        </w:rPr>
        <w:t xml:space="preserve">Lipsey, M. W., &amp; Wilson, D. B. (2001). </w:t>
      </w:r>
      <w:r>
        <w:rPr>
          <w:i/>
          <w:sz w:val="24"/>
        </w:rPr>
        <w:t>Practical meta-analysis</w:t>
      </w:r>
      <w:r>
        <w:rPr>
          <w:sz w:val="24"/>
        </w:rPr>
        <w:t>. Thousand Oaks, California: Sage Publications.</w:t>
      </w:r>
    </w:p>
    <w:p w14:paraId="24FCFA88"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18240754" w14:textId="77777777" w:rsidR="00C75312" w:rsidRDefault="00C75312">
      <w:pPr>
        <w:pStyle w:val="BodyText"/>
        <w:spacing w:before="9"/>
        <w:rPr>
          <w:sz w:val="15"/>
        </w:rPr>
      </w:pPr>
    </w:p>
    <w:p w14:paraId="3939E5C7" w14:textId="77777777" w:rsidR="00C75312" w:rsidRDefault="00BB293A">
      <w:pPr>
        <w:pStyle w:val="BodyText"/>
        <w:spacing w:before="90" w:line="480" w:lineRule="auto"/>
        <w:ind w:left="860" w:right="237" w:hanging="720"/>
        <w:jc w:val="both"/>
      </w:pPr>
      <w:r>
        <w:t xml:space="preserve">Loft, S., Kearney, R., &amp; Remington, R. (2008). Is </w:t>
      </w:r>
      <w:r>
        <w:rPr>
          <w:spacing w:val="-3"/>
        </w:rPr>
        <w:t xml:space="preserve">task </w:t>
      </w:r>
      <w:r>
        <w:t xml:space="preserve">interference in event-based prospective memory dependent on cue presentation? </w:t>
      </w:r>
      <w:r>
        <w:rPr>
          <w:i/>
        </w:rPr>
        <w:t>Memory &amp; Cognition, 36</w:t>
      </w:r>
      <w:r>
        <w:t>(1), 139-148. doi:10.3758/Mc.36.1.139</w:t>
      </w:r>
    </w:p>
    <w:p w14:paraId="7D30C8F9" w14:textId="77777777" w:rsidR="00C75312" w:rsidRDefault="00BB293A">
      <w:pPr>
        <w:pStyle w:val="BodyText"/>
        <w:spacing w:line="480" w:lineRule="auto"/>
        <w:ind w:left="860" w:right="233" w:hanging="720"/>
        <w:jc w:val="both"/>
      </w:pPr>
      <w:proofErr w:type="spellStart"/>
      <w:r>
        <w:t>Logie</w:t>
      </w:r>
      <w:proofErr w:type="spellEnd"/>
      <w:r>
        <w:t>,</w:t>
      </w:r>
      <w:r>
        <w:rPr>
          <w:spacing w:val="1"/>
        </w:rPr>
        <w:t xml:space="preserve"> </w:t>
      </w:r>
      <w:r>
        <w:t>R.</w:t>
      </w:r>
      <w:r>
        <w:rPr>
          <w:spacing w:val="-2"/>
        </w:rPr>
        <w:t xml:space="preserve"> </w:t>
      </w:r>
      <w:r>
        <w:t>H.,</w:t>
      </w:r>
      <w:r>
        <w:rPr>
          <w:spacing w:val="-3"/>
        </w:rPr>
        <w:t xml:space="preserve"> </w:t>
      </w:r>
      <w:r>
        <w:t>Gilhooly,</w:t>
      </w:r>
      <w:r>
        <w:rPr>
          <w:spacing w:val="-2"/>
        </w:rPr>
        <w:t xml:space="preserve"> </w:t>
      </w:r>
      <w:r>
        <w:t>K.</w:t>
      </w:r>
      <w:r>
        <w:rPr>
          <w:spacing w:val="-3"/>
        </w:rPr>
        <w:t xml:space="preserve"> </w:t>
      </w:r>
      <w:r>
        <w:t>J.,</w:t>
      </w:r>
      <w:r>
        <w:rPr>
          <w:spacing w:val="-2"/>
        </w:rPr>
        <w:t xml:space="preserve"> </w:t>
      </w:r>
      <w:r>
        <w:t>&amp;</w:t>
      </w:r>
      <w:r>
        <w:rPr>
          <w:spacing w:val="-4"/>
        </w:rPr>
        <w:t xml:space="preserve"> </w:t>
      </w:r>
      <w:r>
        <w:t>Wynn,</w:t>
      </w:r>
      <w:r>
        <w:rPr>
          <w:spacing w:val="-3"/>
        </w:rPr>
        <w:t xml:space="preserve"> </w:t>
      </w:r>
      <w:r>
        <w:t>V.</w:t>
      </w:r>
      <w:r>
        <w:rPr>
          <w:spacing w:val="-2"/>
        </w:rPr>
        <w:t xml:space="preserve"> </w:t>
      </w:r>
      <w:r>
        <w:t>(1994).</w:t>
      </w:r>
      <w:r>
        <w:rPr>
          <w:spacing w:val="-7"/>
        </w:rPr>
        <w:t xml:space="preserve"> </w:t>
      </w:r>
      <w:r>
        <w:t>Counting</w:t>
      </w:r>
      <w:r>
        <w:rPr>
          <w:spacing w:val="-1"/>
        </w:rPr>
        <w:t xml:space="preserve"> </w:t>
      </w:r>
      <w:r>
        <w:t>on</w:t>
      </w:r>
      <w:r>
        <w:rPr>
          <w:spacing w:val="-5"/>
        </w:rPr>
        <w:t xml:space="preserve"> </w:t>
      </w:r>
      <w:r>
        <w:t>working</w:t>
      </w:r>
      <w:r>
        <w:rPr>
          <w:spacing w:val="-5"/>
        </w:rPr>
        <w:t xml:space="preserve"> </w:t>
      </w:r>
      <w:r>
        <w:t>memory</w:t>
      </w:r>
      <w:r>
        <w:rPr>
          <w:spacing w:val="-5"/>
        </w:rPr>
        <w:t xml:space="preserve"> </w:t>
      </w:r>
      <w:r>
        <w:t>in</w:t>
      </w:r>
      <w:r>
        <w:rPr>
          <w:spacing w:val="-6"/>
        </w:rPr>
        <w:t xml:space="preserve"> </w:t>
      </w:r>
      <w:r>
        <w:t xml:space="preserve">arithmetic problem solving. </w:t>
      </w:r>
      <w:r>
        <w:rPr>
          <w:i/>
        </w:rPr>
        <w:t>Memory &amp; Cognition, 22</w:t>
      </w:r>
      <w:r>
        <w:t>(4), 395-410. doi:10.3758/bf03200866</w:t>
      </w:r>
    </w:p>
    <w:p w14:paraId="539AF5D0" w14:textId="77777777" w:rsidR="00C75312" w:rsidRDefault="00BB293A">
      <w:pPr>
        <w:spacing w:line="480" w:lineRule="auto"/>
        <w:ind w:left="860" w:right="233" w:hanging="720"/>
        <w:jc w:val="both"/>
        <w:rPr>
          <w:sz w:val="24"/>
        </w:rPr>
      </w:pPr>
      <w:r>
        <w:rPr>
          <w:sz w:val="24"/>
        </w:rPr>
        <w:t xml:space="preserve">Lord, C., Rutter, M., </w:t>
      </w:r>
      <w:proofErr w:type="spellStart"/>
      <w:r>
        <w:rPr>
          <w:sz w:val="24"/>
        </w:rPr>
        <w:t>DiLavore</w:t>
      </w:r>
      <w:proofErr w:type="spellEnd"/>
      <w:r>
        <w:rPr>
          <w:sz w:val="24"/>
        </w:rPr>
        <w:t xml:space="preserve">, P. C., </w:t>
      </w:r>
      <w:proofErr w:type="spellStart"/>
      <w:r>
        <w:rPr>
          <w:sz w:val="24"/>
        </w:rPr>
        <w:t>Risi</w:t>
      </w:r>
      <w:proofErr w:type="spellEnd"/>
      <w:r>
        <w:rPr>
          <w:sz w:val="24"/>
        </w:rPr>
        <w:t xml:space="preserve">, S., Gotham, K., &amp; Bishop, S. L. (2012). </w:t>
      </w:r>
      <w:r>
        <w:rPr>
          <w:i/>
          <w:sz w:val="24"/>
        </w:rPr>
        <w:t xml:space="preserve">Autism diagnostic </w:t>
      </w:r>
      <w:proofErr w:type="spellStart"/>
      <w:r>
        <w:rPr>
          <w:i/>
          <w:sz w:val="24"/>
        </w:rPr>
        <w:t>observeration</w:t>
      </w:r>
      <w:proofErr w:type="spellEnd"/>
      <w:r>
        <w:rPr>
          <w:i/>
          <w:sz w:val="24"/>
        </w:rPr>
        <w:t xml:space="preserve"> schedule, 2nd edition (ADOS-2)</w:t>
      </w:r>
      <w:r>
        <w:rPr>
          <w:sz w:val="24"/>
        </w:rPr>
        <w:t>. Torrance, CA: Western Psychological Services.</w:t>
      </w:r>
    </w:p>
    <w:p w14:paraId="7AD5020D" w14:textId="77777777" w:rsidR="00C75312" w:rsidRDefault="00BB293A">
      <w:pPr>
        <w:pStyle w:val="BodyText"/>
        <w:spacing w:line="480" w:lineRule="auto"/>
        <w:ind w:left="860" w:right="234" w:hanging="720"/>
        <w:jc w:val="both"/>
      </w:pPr>
      <w:r>
        <w:t xml:space="preserve">Losh, M., Adolphs, R., Poe, M. D., Couture, S., Penn, D., Baranek, G. T., &amp; Piven, J. (2009). The neuropsychological profile of autism and the broad autism phenotype. </w:t>
      </w:r>
      <w:r>
        <w:rPr>
          <w:i/>
        </w:rPr>
        <w:t>Archives of General Psychiatry, 66</w:t>
      </w:r>
      <w:r>
        <w:t>(5), 518-526. doi:10.1001/archgenpsychiatry.2009.34.</w:t>
      </w:r>
    </w:p>
    <w:p w14:paraId="58BCB697" w14:textId="77777777" w:rsidR="00C75312" w:rsidRDefault="00BB293A">
      <w:pPr>
        <w:pStyle w:val="BodyText"/>
        <w:spacing w:before="1" w:line="480" w:lineRule="auto"/>
        <w:ind w:left="860" w:right="235" w:hanging="720"/>
        <w:jc w:val="both"/>
      </w:pPr>
      <w:r>
        <w:t xml:space="preserve">Macar, F., Grondin, S., &amp; Casini, L. (1994). Controlled Attention Sharing Influences Time- Estimation. </w:t>
      </w:r>
      <w:r>
        <w:rPr>
          <w:i/>
        </w:rPr>
        <w:t>Memory &amp; Cognition, 22</w:t>
      </w:r>
      <w:r>
        <w:t xml:space="preserve">(6), 673-686. </w:t>
      </w:r>
      <w:proofErr w:type="spellStart"/>
      <w:r>
        <w:t>doi:Doi</w:t>
      </w:r>
      <w:proofErr w:type="spellEnd"/>
      <w:r>
        <w:t xml:space="preserve"> 10.3758/Bf03209252</w:t>
      </w:r>
    </w:p>
    <w:p w14:paraId="5AB5A116" w14:textId="77777777" w:rsidR="00C75312" w:rsidRDefault="00BB293A">
      <w:pPr>
        <w:spacing w:line="480" w:lineRule="auto"/>
        <w:ind w:left="860" w:right="236" w:hanging="720"/>
        <w:jc w:val="both"/>
        <w:rPr>
          <w:sz w:val="24"/>
        </w:rPr>
      </w:pPr>
      <w:r>
        <w:rPr>
          <w:sz w:val="24"/>
        </w:rPr>
        <w:t xml:space="preserve">Mackinlay, R. J., </w:t>
      </w:r>
      <w:proofErr w:type="spellStart"/>
      <w:r>
        <w:rPr>
          <w:sz w:val="24"/>
        </w:rPr>
        <w:t>Kliegel</w:t>
      </w:r>
      <w:proofErr w:type="spellEnd"/>
      <w:r>
        <w:rPr>
          <w:sz w:val="24"/>
        </w:rPr>
        <w:t xml:space="preserve">, M., &amp; Mäntylä, T. (2009). Predictors of time-based prospective memory in children. </w:t>
      </w:r>
      <w:r>
        <w:rPr>
          <w:i/>
          <w:sz w:val="24"/>
        </w:rPr>
        <w:t>Journal of Experimental Child Psychology, 102</w:t>
      </w:r>
      <w:r>
        <w:rPr>
          <w:sz w:val="24"/>
        </w:rPr>
        <w:t>(3), 251-264. doi:10.1016/j.jecp.2008.08.006</w:t>
      </w:r>
    </w:p>
    <w:p w14:paraId="04F1A7DB" w14:textId="77777777" w:rsidR="00C75312" w:rsidRDefault="00BB293A">
      <w:pPr>
        <w:pStyle w:val="BodyText"/>
        <w:spacing w:line="480" w:lineRule="auto"/>
        <w:ind w:left="860" w:right="236" w:hanging="720"/>
        <w:jc w:val="both"/>
      </w:pPr>
      <w:r>
        <w:t xml:space="preserve">Mahy, C. E. V., Mohun, H., Müller, U., &amp; Moses, L. J. (2016). The role of subvocal rehearsal in preschool children's prospective memory. </w:t>
      </w:r>
      <w:r>
        <w:rPr>
          <w:i/>
        </w:rPr>
        <w:t>Cognitive Development, 39</w:t>
      </w:r>
      <w:r>
        <w:t>, 189-196. doi:10.1016/j.cogdev.2016.07.001</w:t>
      </w:r>
    </w:p>
    <w:p w14:paraId="45C12E63" w14:textId="77777777" w:rsidR="00C75312" w:rsidRDefault="00BB293A">
      <w:pPr>
        <w:pStyle w:val="BodyText"/>
        <w:tabs>
          <w:tab w:val="left" w:pos="2093"/>
          <w:tab w:val="left" w:pos="3571"/>
          <w:tab w:val="left" w:pos="5136"/>
          <w:tab w:val="left" w:pos="7090"/>
        </w:tabs>
        <w:spacing w:line="480" w:lineRule="auto"/>
        <w:ind w:left="860" w:right="234" w:hanging="720"/>
        <w:jc w:val="both"/>
      </w:pPr>
      <w:r>
        <w:t>Mahy, C. E. V., &amp; Moses, L. J. (2011). Executive functioning and prospective memory in young</w:t>
      </w:r>
      <w:r>
        <w:tab/>
        <w:t>children.</w:t>
      </w:r>
      <w:r>
        <w:tab/>
      </w:r>
      <w:r>
        <w:rPr>
          <w:i/>
        </w:rPr>
        <w:t>Cognitive</w:t>
      </w:r>
      <w:r>
        <w:rPr>
          <w:i/>
        </w:rPr>
        <w:tab/>
        <w:t>Development,</w:t>
      </w:r>
      <w:r>
        <w:rPr>
          <w:i/>
        </w:rPr>
        <w:tab/>
        <w:t>26</w:t>
      </w:r>
      <w:r>
        <w:t>(3),</w:t>
      </w:r>
      <w:r>
        <w:rPr>
          <w:spacing w:val="24"/>
        </w:rPr>
        <w:t xml:space="preserve"> </w:t>
      </w:r>
      <w:r>
        <w:t>269-281.</w:t>
      </w:r>
    </w:p>
    <w:p w14:paraId="1F1D5DCA" w14:textId="77777777" w:rsidR="00C75312" w:rsidRDefault="00BB293A">
      <w:pPr>
        <w:pStyle w:val="BodyText"/>
        <w:ind w:left="860"/>
      </w:pPr>
      <w:r>
        <w:t>doi:10.1016/j.cogdev.2011.06.002</w:t>
      </w:r>
    </w:p>
    <w:p w14:paraId="44A3CF58" w14:textId="77777777" w:rsidR="00C75312" w:rsidRDefault="00C75312">
      <w:pPr>
        <w:pStyle w:val="BodyText"/>
      </w:pPr>
    </w:p>
    <w:p w14:paraId="5B564F50" w14:textId="77777777" w:rsidR="00C75312" w:rsidRDefault="00BB293A">
      <w:pPr>
        <w:pStyle w:val="BodyText"/>
        <w:spacing w:line="480" w:lineRule="auto"/>
        <w:ind w:left="860" w:right="234" w:hanging="720"/>
        <w:jc w:val="both"/>
      </w:pPr>
      <w:r>
        <w:t>Mahy,</w:t>
      </w:r>
      <w:r>
        <w:rPr>
          <w:spacing w:val="-3"/>
        </w:rPr>
        <w:t xml:space="preserve"> </w:t>
      </w:r>
      <w:r>
        <w:t>C.</w:t>
      </w:r>
      <w:r>
        <w:rPr>
          <w:spacing w:val="-7"/>
        </w:rPr>
        <w:t xml:space="preserve"> </w:t>
      </w:r>
      <w:r>
        <w:t>E.</w:t>
      </w:r>
      <w:r>
        <w:rPr>
          <w:spacing w:val="-7"/>
        </w:rPr>
        <w:t xml:space="preserve"> </w:t>
      </w:r>
      <w:r>
        <w:t>V.,</w:t>
      </w:r>
      <w:r>
        <w:rPr>
          <w:spacing w:val="-7"/>
        </w:rPr>
        <w:t xml:space="preserve"> </w:t>
      </w:r>
      <w:r>
        <w:t>&amp;</w:t>
      </w:r>
      <w:r>
        <w:rPr>
          <w:spacing w:val="-9"/>
        </w:rPr>
        <w:t xml:space="preserve"> </w:t>
      </w:r>
      <w:r>
        <w:t>Moses,</w:t>
      </w:r>
      <w:r>
        <w:rPr>
          <w:spacing w:val="-2"/>
        </w:rPr>
        <w:t xml:space="preserve"> </w:t>
      </w:r>
      <w:r>
        <w:t>L.</w:t>
      </w:r>
      <w:r>
        <w:rPr>
          <w:spacing w:val="-2"/>
        </w:rPr>
        <w:t xml:space="preserve"> </w:t>
      </w:r>
      <w:r>
        <w:t>J.</w:t>
      </w:r>
      <w:r>
        <w:rPr>
          <w:spacing w:val="-7"/>
        </w:rPr>
        <w:t xml:space="preserve"> </w:t>
      </w:r>
      <w:r>
        <w:t>(2015).</w:t>
      </w:r>
      <w:r>
        <w:rPr>
          <w:spacing w:val="-7"/>
        </w:rPr>
        <w:t xml:space="preserve"> </w:t>
      </w:r>
      <w:r>
        <w:t>The</w:t>
      </w:r>
      <w:r>
        <w:rPr>
          <w:spacing w:val="-11"/>
        </w:rPr>
        <w:t xml:space="preserve"> </w:t>
      </w:r>
      <w:r>
        <w:t>effect</w:t>
      </w:r>
      <w:r>
        <w:rPr>
          <w:spacing w:val="-4"/>
        </w:rPr>
        <w:t xml:space="preserve"> </w:t>
      </w:r>
      <w:r>
        <w:rPr>
          <w:spacing w:val="-3"/>
        </w:rPr>
        <w:t xml:space="preserve">of </w:t>
      </w:r>
      <w:r>
        <w:t>retention</w:t>
      </w:r>
      <w:r>
        <w:rPr>
          <w:spacing w:val="-10"/>
        </w:rPr>
        <w:t xml:space="preserve"> </w:t>
      </w:r>
      <w:r>
        <w:t>interval</w:t>
      </w:r>
      <w:r>
        <w:rPr>
          <w:spacing w:val="-9"/>
        </w:rPr>
        <w:t xml:space="preserve"> </w:t>
      </w:r>
      <w:r>
        <w:t>task</w:t>
      </w:r>
      <w:r>
        <w:rPr>
          <w:spacing w:val="-5"/>
        </w:rPr>
        <w:t xml:space="preserve"> </w:t>
      </w:r>
      <w:r>
        <w:t>difficulty</w:t>
      </w:r>
      <w:r>
        <w:rPr>
          <w:spacing w:val="-10"/>
        </w:rPr>
        <w:t xml:space="preserve"> </w:t>
      </w:r>
      <w:r>
        <w:t>on</w:t>
      </w:r>
      <w:r>
        <w:rPr>
          <w:spacing w:val="-10"/>
        </w:rPr>
        <w:t xml:space="preserve"> </w:t>
      </w:r>
      <w:r>
        <w:t>young children's</w:t>
      </w:r>
      <w:r>
        <w:rPr>
          <w:spacing w:val="-13"/>
        </w:rPr>
        <w:t xml:space="preserve"> </w:t>
      </w:r>
      <w:r>
        <w:t>prospective</w:t>
      </w:r>
      <w:r>
        <w:rPr>
          <w:spacing w:val="-11"/>
        </w:rPr>
        <w:t xml:space="preserve"> </w:t>
      </w:r>
      <w:r>
        <w:t>memory:</w:t>
      </w:r>
      <w:r>
        <w:rPr>
          <w:spacing w:val="-15"/>
        </w:rPr>
        <w:t xml:space="preserve"> </w:t>
      </w:r>
      <w:r>
        <w:t>Testing</w:t>
      </w:r>
      <w:r>
        <w:rPr>
          <w:spacing w:val="-10"/>
        </w:rPr>
        <w:t xml:space="preserve"> </w:t>
      </w:r>
      <w:r>
        <w:t>the</w:t>
      </w:r>
      <w:r>
        <w:rPr>
          <w:spacing w:val="-15"/>
        </w:rPr>
        <w:t xml:space="preserve"> </w:t>
      </w:r>
      <w:r>
        <w:t>intention</w:t>
      </w:r>
      <w:r>
        <w:rPr>
          <w:spacing w:val="-11"/>
        </w:rPr>
        <w:t xml:space="preserve"> </w:t>
      </w:r>
      <w:r>
        <w:t>monitoring</w:t>
      </w:r>
      <w:r>
        <w:rPr>
          <w:spacing w:val="-14"/>
        </w:rPr>
        <w:t xml:space="preserve"> </w:t>
      </w:r>
      <w:r>
        <w:t>hypothesis.</w:t>
      </w:r>
      <w:r>
        <w:rPr>
          <w:spacing w:val="-8"/>
        </w:rPr>
        <w:t xml:space="preserve"> </w:t>
      </w:r>
      <w:r>
        <w:rPr>
          <w:i/>
        </w:rPr>
        <w:t>Journal</w:t>
      </w:r>
      <w:r>
        <w:rPr>
          <w:i/>
          <w:spacing w:val="-9"/>
        </w:rPr>
        <w:t xml:space="preserve"> </w:t>
      </w:r>
      <w:r>
        <w:rPr>
          <w:i/>
        </w:rPr>
        <w:t>of Cognition and Development, 16</w:t>
      </w:r>
      <w:r>
        <w:t>(5), 742-758.</w:t>
      </w:r>
      <w:r>
        <w:rPr>
          <w:spacing w:val="3"/>
        </w:rPr>
        <w:t xml:space="preserve"> </w:t>
      </w:r>
      <w:r>
        <w:t>doi:10.1080/15248372.2014.930742</w:t>
      </w:r>
    </w:p>
    <w:p w14:paraId="192DA2EE" w14:textId="77777777" w:rsidR="00C75312" w:rsidRDefault="00C75312">
      <w:pPr>
        <w:spacing w:line="480" w:lineRule="auto"/>
        <w:jc w:val="both"/>
        <w:sectPr w:rsidR="00C75312">
          <w:pgSz w:w="11900" w:h="16840"/>
          <w:pgMar w:top="1160" w:right="1200" w:bottom="280" w:left="1300" w:header="720" w:footer="0" w:gutter="0"/>
          <w:cols w:space="720"/>
        </w:sectPr>
      </w:pPr>
    </w:p>
    <w:p w14:paraId="06D04966" w14:textId="77777777" w:rsidR="00C75312" w:rsidRDefault="00C75312">
      <w:pPr>
        <w:pStyle w:val="BodyText"/>
        <w:spacing w:before="9"/>
        <w:rPr>
          <w:sz w:val="15"/>
        </w:rPr>
      </w:pPr>
    </w:p>
    <w:p w14:paraId="7F9C85B9" w14:textId="77777777" w:rsidR="00C75312" w:rsidRDefault="00BB293A">
      <w:pPr>
        <w:pStyle w:val="BodyText"/>
        <w:spacing w:before="90" w:line="480" w:lineRule="auto"/>
        <w:ind w:left="860" w:right="234" w:hanging="720"/>
        <w:jc w:val="both"/>
      </w:pPr>
      <w:r>
        <w:t xml:space="preserve">Mahy, C. E. V., Moses, L. J., &amp; </w:t>
      </w:r>
      <w:proofErr w:type="spellStart"/>
      <w:r>
        <w:t>Kliegel</w:t>
      </w:r>
      <w:proofErr w:type="spellEnd"/>
      <w:r>
        <w:t xml:space="preserve">, M. (2014). The development of prospective memory in children: An executive framework. </w:t>
      </w:r>
      <w:r>
        <w:rPr>
          <w:i/>
        </w:rPr>
        <w:t>Developmental Review, 34</w:t>
      </w:r>
      <w:r>
        <w:t>(4), 305-326. doi:10.1016/j.dr.2014.08.001</w:t>
      </w:r>
    </w:p>
    <w:p w14:paraId="32C308D6" w14:textId="77777777" w:rsidR="00C75312" w:rsidRDefault="00BB293A">
      <w:pPr>
        <w:pStyle w:val="BodyText"/>
        <w:spacing w:line="480" w:lineRule="auto"/>
        <w:ind w:left="860" w:right="241" w:hanging="720"/>
        <w:jc w:val="both"/>
      </w:pPr>
      <w:r>
        <w:t xml:space="preserve">Mandy, W., Charman, T., </w:t>
      </w:r>
      <w:proofErr w:type="spellStart"/>
      <w:r>
        <w:t>Puura</w:t>
      </w:r>
      <w:proofErr w:type="spellEnd"/>
      <w:r>
        <w:t xml:space="preserve">, K., &amp; Skuse, D. (2014). Investigating the cross-cultural validity of DSM-5 autism spectrum disorder: evidence from Finnish and UK samples. </w:t>
      </w:r>
      <w:r>
        <w:rPr>
          <w:i/>
        </w:rPr>
        <w:t>Autism, 18</w:t>
      </w:r>
      <w:r>
        <w:t>(1), 45-54. doi:10.1177/1362361313508026</w:t>
      </w:r>
    </w:p>
    <w:p w14:paraId="7F36D2AE" w14:textId="77777777" w:rsidR="00C75312" w:rsidRDefault="00BB293A">
      <w:pPr>
        <w:spacing w:line="480" w:lineRule="auto"/>
        <w:ind w:left="860" w:right="235" w:hanging="720"/>
        <w:jc w:val="both"/>
        <w:rPr>
          <w:sz w:val="24"/>
        </w:rPr>
      </w:pPr>
      <w:r>
        <w:rPr>
          <w:sz w:val="24"/>
        </w:rPr>
        <w:t xml:space="preserve">Mäntylä, T., &amp; Carelli, M.-G. (2006). Time monitoring and executive functioning: Individual and developmental differences. In J. </w:t>
      </w:r>
      <w:proofErr w:type="spellStart"/>
      <w:r>
        <w:rPr>
          <w:sz w:val="24"/>
        </w:rPr>
        <w:t>Glicksohn</w:t>
      </w:r>
      <w:proofErr w:type="spellEnd"/>
      <w:r>
        <w:rPr>
          <w:sz w:val="24"/>
        </w:rPr>
        <w:t xml:space="preserve"> &amp; M. S. </w:t>
      </w:r>
      <w:proofErr w:type="spellStart"/>
      <w:r>
        <w:rPr>
          <w:sz w:val="24"/>
        </w:rPr>
        <w:t>Myslobodsky</w:t>
      </w:r>
      <w:proofErr w:type="spellEnd"/>
      <w:r>
        <w:rPr>
          <w:sz w:val="24"/>
        </w:rPr>
        <w:t xml:space="preserve"> (Eds.), </w:t>
      </w:r>
      <w:r>
        <w:rPr>
          <w:i/>
          <w:sz w:val="24"/>
        </w:rPr>
        <w:t xml:space="preserve">Timing the future: The case for a time-based prospective memory. </w:t>
      </w:r>
      <w:r>
        <w:rPr>
          <w:sz w:val="24"/>
        </w:rPr>
        <w:t>(pp. 191-211). River Edge, NJ, US: World Scientific Publishing.</w:t>
      </w:r>
    </w:p>
    <w:p w14:paraId="753D4E5A" w14:textId="77777777" w:rsidR="00C75312" w:rsidRDefault="00BB293A">
      <w:pPr>
        <w:spacing w:line="480" w:lineRule="auto"/>
        <w:ind w:left="860" w:right="241" w:hanging="720"/>
        <w:jc w:val="both"/>
        <w:rPr>
          <w:sz w:val="24"/>
        </w:rPr>
      </w:pPr>
      <w:r>
        <w:rPr>
          <w:sz w:val="24"/>
        </w:rPr>
        <w:t>Mäntylä,</w:t>
      </w:r>
      <w:r>
        <w:rPr>
          <w:spacing w:val="-2"/>
          <w:sz w:val="24"/>
        </w:rPr>
        <w:t xml:space="preserve"> </w:t>
      </w:r>
      <w:r>
        <w:rPr>
          <w:sz w:val="24"/>
        </w:rPr>
        <w:t>T.,</w:t>
      </w:r>
      <w:r>
        <w:rPr>
          <w:spacing w:val="-7"/>
          <w:sz w:val="24"/>
        </w:rPr>
        <w:t xml:space="preserve"> </w:t>
      </w:r>
      <w:r>
        <w:rPr>
          <w:sz w:val="24"/>
        </w:rPr>
        <w:t>Carelli,</w:t>
      </w:r>
      <w:r>
        <w:rPr>
          <w:spacing w:val="-1"/>
          <w:sz w:val="24"/>
        </w:rPr>
        <w:t xml:space="preserve"> </w:t>
      </w:r>
      <w:r>
        <w:rPr>
          <w:sz w:val="24"/>
        </w:rPr>
        <w:t>M.</w:t>
      </w:r>
      <w:r>
        <w:rPr>
          <w:spacing w:val="-2"/>
          <w:sz w:val="24"/>
        </w:rPr>
        <w:t xml:space="preserve"> </w:t>
      </w:r>
      <w:r>
        <w:rPr>
          <w:sz w:val="24"/>
        </w:rPr>
        <w:t>G.,</w:t>
      </w:r>
      <w:r>
        <w:rPr>
          <w:spacing w:val="-2"/>
          <w:sz w:val="24"/>
        </w:rPr>
        <w:t xml:space="preserve"> </w:t>
      </w:r>
      <w:r>
        <w:rPr>
          <w:sz w:val="24"/>
        </w:rPr>
        <w:t>&amp;</w:t>
      </w:r>
      <w:r>
        <w:rPr>
          <w:spacing w:val="-8"/>
          <w:sz w:val="24"/>
        </w:rPr>
        <w:t xml:space="preserve"> </w:t>
      </w:r>
      <w:r>
        <w:rPr>
          <w:sz w:val="24"/>
        </w:rPr>
        <w:t>Forman,</w:t>
      </w:r>
      <w:r>
        <w:rPr>
          <w:spacing w:val="-2"/>
          <w:sz w:val="24"/>
        </w:rPr>
        <w:t xml:space="preserve"> </w:t>
      </w:r>
      <w:r>
        <w:rPr>
          <w:sz w:val="24"/>
        </w:rPr>
        <w:t>H.</w:t>
      </w:r>
      <w:r>
        <w:rPr>
          <w:spacing w:val="-6"/>
          <w:sz w:val="24"/>
        </w:rPr>
        <w:t xml:space="preserve"> </w:t>
      </w:r>
      <w:r>
        <w:rPr>
          <w:sz w:val="24"/>
        </w:rPr>
        <w:t>(2007).</w:t>
      </w:r>
      <w:r>
        <w:rPr>
          <w:spacing w:val="-12"/>
          <w:sz w:val="24"/>
        </w:rPr>
        <w:t xml:space="preserve"> </w:t>
      </w:r>
      <w:r>
        <w:rPr>
          <w:sz w:val="24"/>
        </w:rPr>
        <w:t>Time</w:t>
      </w:r>
      <w:r>
        <w:rPr>
          <w:spacing w:val="-5"/>
          <w:sz w:val="24"/>
        </w:rPr>
        <w:t xml:space="preserve"> </w:t>
      </w:r>
      <w:r>
        <w:rPr>
          <w:sz w:val="24"/>
        </w:rPr>
        <w:t>monitoring</w:t>
      </w:r>
      <w:r>
        <w:rPr>
          <w:spacing w:val="-10"/>
          <w:sz w:val="24"/>
        </w:rPr>
        <w:t xml:space="preserve"> </w:t>
      </w:r>
      <w:r>
        <w:rPr>
          <w:sz w:val="24"/>
        </w:rPr>
        <w:t>and</w:t>
      </w:r>
      <w:r>
        <w:rPr>
          <w:spacing w:val="-4"/>
          <w:sz w:val="24"/>
        </w:rPr>
        <w:t xml:space="preserve"> </w:t>
      </w:r>
      <w:r>
        <w:rPr>
          <w:sz w:val="24"/>
        </w:rPr>
        <w:t>executive</w:t>
      </w:r>
      <w:r>
        <w:rPr>
          <w:spacing w:val="-6"/>
          <w:sz w:val="24"/>
        </w:rPr>
        <w:t xml:space="preserve"> </w:t>
      </w:r>
      <w:r>
        <w:rPr>
          <w:sz w:val="24"/>
        </w:rPr>
        <w:t xml:space="preserve">functioning in children and adults. </w:t>
      </w:r>
      <w:r>
        <w:rPr>
          <w:i/>
          <w:sz w:val="24"/>
        </w:rPr>
        <w:t>Journal of Experimental Child Psychology, 96</w:t>
      </w:r>
      <w:r>
        <w:rPr>
          <w:sz w:val="24"/>
        </w:rPr>
        <w:t>(1), 1-19. doi:10.1016/j.jecp.2006.08.003</w:t>
      </w:r>
    </w:p>
    <w:p w14:paraId="4BF3B753" w14:textId="77777777" w:rsidR="00C75312" w:rsidRDefault="00BB293A">
      <w:pPr>
        <w:pStyle w:val="BodyText"/>
        <w:spacing w:before="1" w:line="480" w:lineRule="auto"/>
        <w:ind w:left="860" w:right="236" w:hanging="720"/>
        <w:jc w:val="both"/>
      </w:pPr>
      <w:r>
        <w:t xml:space="preserve">Maras, K. L., &amp; Bowler, D. M. (2012). Context reinstatement effects on eyewitness memory in autism spectrum disorder. </w:t>
      </w:r>
      <w:r>
        <w:rPr>
          <w:i/>
        </w:rPr>
        <w:t>British Journal of Psychology, 103</w:t>
      </w:r>
      <w:r>
        <w:t>(3), 330-342. doi:10.1111/j.2044-8295.2011.02077.x</w:t>
      </w:r>
    </w:p>
    <w:p w14:paraId="5FCCC2E4" w14:textId="77777777" w:rsidR="00C75312" w:rsidRDefault="00BB293A">
      <w:pPr>
        <w:spacing w:line="480" w:lineRule="auto"/>
        <w:ind w:left="860" w:right="234" w:hanging="720"/>
        <w:jc w:val="both"/>
        <w:rPr>
          <w:sz w:val="24"/>
        </w:rPr>
      </w:pPr>
      <w:r>
        <w:rPr>
          <w:sz w:val="24"/>
        </w:rPr>
        <w:t>Marsh,</w:t>
      </w:r>
      <w:r>
        <w:rPr>
          <w:spacing w:val="-4"/>
          <w:sz w:val="24"/>
        </w:rPr>
        <w:t xml:space="preserve"> </w:t>
      </w:r>
      <w:r>
        <w:rPr>
          <w:sz w:val="24"/>
        </w:rPr>
        <w:t>R.</w:t>
      </w:r>
      <w:r>
        <w:rPr>
          <w:spacing w:val="-4"/>
          <w:sz w:val="24"/>
        </w:rPr>
        <w:t xml:space="preserve"> </w:t>
      </w:r>
      <w:r>
        <w:rPr>
          <w:sz w:val="24"/>
        </w:rPr>
        <w:t>L.,</w:t>
      </w:r>
      <w:r>
        <w:rPr>
          <w:spacing w:val="-9"/>
          <w:sz w:val="24"/>
        </w:rPr>
        <w:t xml:space="preserve"> </w:t>
      </w:r>
      <w:r>
        <w:rPr>
          <w:sz w:val="24"/>
        </w:rPr>
        <w:t>&amp;</w:t>
      </w:r>
      <w:r>
        <w:rPr>
          <w:spacing w:val="-11"/>
          <w:sz w:val="24"/>
        </w:rPr>
        <w:t xml:space="preserve"> </w:t>
      </w:r>
      <w:r>
        <w:rPr>
          <w:sz w:val="24"/>
        </w:rPr>
        <w:t>Hicks,</w:t>
      </w:r>
      <w:r>
        <w:rPr>
          <w:spacing w:val="-4"/>
          <w:sz w:val="24"/>
        </w:rPr>
        <w:t xml:space="preserve"> </w:t>
      </w:r>
      <w:r>
        <w:rPr>
          <w:sz w:val="24"/>
        </w:rPr>
        <w:t>J.</w:t>
      </w:r>
      <w:r>
        <w:rPr>
          <w:spacing w:val="-8"/>
          <w:sz w:val="24"/>
        </w:rPr>
        <w:t xml:space="preserve"> </w:t>
      </w:r>
      <w:r>
        <w:rPr>
          <w:sz w:val="24"/>
        </w:rPr>
        <w:t>L.</w:t>
      </w:r>
      <w:r>
        <w:rPr>
          <w:spacing w:val="-9"/>
          <w:sz w:val="24"/>
        </w:rPr>
        <w:t xml:space="preserve"> </w:t>
      </w:r>
      <w:r>
        <w:rPr>
          <w:sz w:val="24"/>
        </w:rPr>
        <w:t>(1998).</w:t>
      </w:r>
      <w:r>
        <w:rPr>
          <w:spacing w:val="-8"/>
          <w:sz w:val="24"/>
        </w:rPr>
        <w:t xml:space="preserve"> </w:t>
      </w:r>
      <w:r>
        <w:rPr>
          <w:sz w:val="24"/>
        </w:rPr>
        <w:t>Event-based</w:t>
      </w:r>
      <w:r>
        <w:rPr>
          <w:spacing w:val="-7"/>
          <w:sz w:val="24"/>
        </w:rPr>
        <w:t xml:space="preserve"> </w:t>
      </w:r>
      <w:r>
        <w:rPr>
          <w:sz w:val="24"/>
        </w:rPr>
        <w:t>prospective</w:t>
      </w:r>
      <w:r>
        <w:rPr>
          <w:spacing w:val="-8"/>
          <w:sz w:val="24"/>
        </w:rPr>
        <w:t xml:space="preserve"> </w:t>
      </w:r>
      <w:r>
        <w:rPr>
          <w:sz w:val="24"/>
        </w:rPr>
        <w:t>memory</w:t>
      </w:r>
      <w:r>
        <w:rPr>
          <w:spacing w:val="-7"/>
          <w:sz w:val="24"/>
        </w:rPr>
        <w:t xml:space="preserve"> </w:t>
      </w:r>
      <w:r>
        <w:rPr>
          <w:sz w:val="24"/>
        </w:rPr>
        <w:t>and</w:t>
      </w:r>
      <w:r>
        <w:rPr>
          <w:spacing w:val="-11"/>
          <w:sz w:val="24"/>
        </w:rPr>
        <w:t xml:space="preserve"> </w:t>
      </w:r>
      <w:r>
        <w:rPr>
          <w:sz w:val="24"/>
        </w:rPr>
        <w:t>executive</w:t>
      </w:r>
      <w:r>
        <w:rPr>
          <w:spacing w:val="-8"/>
          <w:sz w:val="24"/>
        </w:rPr>
        <w:t xml:space="preserve"> </w:t>
      </w:r>
      <w:r>
        <w:rPr>
          <w:sz w:val="24"/>
        </w:rPr>
        <w:t>control</w:t>
      </w:r>
      <w:r>
        <w:rPr>
          <w:spacing w:val="-6"/>
          <w:sz w:val="24"/>
        </w:rPr>
        <w:t xml:space="preserve"> </w:t>
      </w:r>
      <w:r>
        <w:rPr>
          <w:sz w:val="24"/>
        </w:rPr>
        <w:t xml:space="preserve">of working memory. </w:t>
      </w:r>
      <w:r>
        <w:rPr>
          <w:i/>
          <w:sz w:val="24"/>
        </w:rPr>
        <w:t>Journal of Experimental Psychology: Learning, Memory, and Cognition, 24</w:t>
      </w:r>
      <w:r>
        <w:rPr>
          <w:sz w:val="24"/>
        </w:rPr>
        <w:t>(2), 336-349.</w:t>
      </w:r>
      <w:r>
        <w:rPr>
          <w:spacing w:val="6"/>
          <w:sz w:val="24"/>
        </w:rPr>
        <w:t xml:space="preserve"> </w:t>
      </w:r>
      <w:r>
        <w:rPr>
          <w:sz w:val="24"/>
        </w:rPr>
        <w:t>doi:10.1037/0278-7393.24.2.336</w:t>
      </w:r>
    </w:p>
    <w:p w14:paraId="4D5D9991" w14:textId="77777777" w:rsidR="00C75312" w:rsidRDefault="00BB293A">
      <w:pPr>
        <w:spacing w:line="480" w:lineRule="auto"/>
        <w:ind w:left="860" w:right="238" w:hanging="720"/>
        <w:jc w:val="both"/>
        <w:rPr>
          <w:sz w:val="24"/>
        </w:rPr>
      </w:pPr>
      <w:r>
        <w:rPr>
          <w:sz w:val="24"/>
        </w:rPr>
        <w:t>Marsh,</w:t>
      </w:r>
      <w:r>
        <w:rPr>
          <w:spacing w:val="-8"/>
          <w:sz w:val="24"/>
        </w:rPr>
        <w:t xml:space="preserve"> </w:t>
      </w:r>
      <w:r>
        <w:rPr>
          <w:sz w:val="24"/>
        </w:rPr>
        <w:t>R.</w:t>
      </w:r>
      <w:r>
        <w:rPr>
          <w:spacing w:val="-7"/>
          <w:sz w:val="24"/>
        </w:rPr>
        <w:t xml:space="preserve"> </w:t>
      </w:r>
      <w:r>
        <w:rPr>
          <w:sz w:val="24"/>
        </w:rPr>
        <w:t>L.,</w:t>
      </w:r>
      <w:r>
        <w:rPr>
          <w:spacing w:val="-13"/>
          <w:sz w:val="24"/>
        </w:rPr>
        <w:t xml:space="preserve"> </w:t>
      </w:r>
      <w:r>
        <w:rPr>
          <w:sz w:val="24"/>
        </w:rPr>
        <w:t>Hicks,</w:t>
      </w:r>
      <w:r>
        <w:rPr>
          <w:spacing w:val="-7"/>
          <w:sz w:val="24"/>
        </w:rPr>
        <w:t xml:space="preserve"> </w:t>
      </w:r>
      <w:r>
        <w:rPr>
          <w:sz w:val="24"/>
        </w:rPr>
        <w:t>J.</w:t>
      </w:r>
      <w:r>
        <w:rPr>
          <w:spacing w:val="-8"/>
          <w:sz w:val="24"/>
        </w:rPr>
        <w:t xml:space="preserve"> </w:t>
      </w:r>
      <w:r>
        <w:rPr>
          <w:sz w:val="24"/>
        </w:rPr>
        <w:t>L.,</w:t>
      </w:r>
      <w:r>
        <w:rPr>
          <w:spacing w:val="-7"/>
          <w:sz w:val="24"/>
        </w:rPr>
        <w:t xml:space="preserve"> </w:t>
      </w:r>
      <w:r>
        <w:rPr>
          <w:sz w:val="24"/>
        </w:rPr>
        <w:t>&amp;</w:t>
      </w:r>
      <w:r>
        <w:rPr>
          <w:spacing w:val="-14"/>
          <w:sz w:val="24"/>
        </w:rPr>
        <w:t xml:space="preserve"> </w:t>
      </w:r>
      <w:r>
        <w:rPr>
          <w:sz w:val="24"/>
        </w:rPr>
        <w:t>Cook,</w:t>
      </w:r>
      <w:r>
        <w:rPr>
          <w:spacing w:val="-8"/>
          <w:sz w:val="24"/>
        </w:rPr>
        <w:t xml:space="preserve"> </w:t>
      </w:r>
      <w:r>
        <w:rPr>
          <w:spacing w:val="-3"/>
          <w:sz w:val="24"/>
        </w:rPr>
        <w:t>G.</w:t>
      </w:r>
      <w:r>
        <w:rPr>
          <w:spacing w:val="-12"/>
          <w:sz w:val="24"/>
        </w:rPr>
        <w:t xml:space="preserve"> </w:t>
      </w:r>
      <w:r>
        <w:rPr>
          <w:sz w:val="24"/>
        </w:rPr>
        <w:t>I.</w:t>
      </w:r>
      <w:r>
        <w:rPr>
          <w:spacing w:val="-13"/>
          <w:sz w:val="24"/>
        </w:rPr>
        <w:t xml:space="preserve"> </w:t>
      </w:r>
      <w:r>
        <w:rPr>
          <w:sz w:val="24"/>
        </w:rPr>
        <w:t>(2008).</w:t>
      </w:r>
      <w:r>
        <w:rPr>
          <w:spacing w:val="-7"/>
          <w:sz w:val="24"/>
        </w:rPr>
        <w:t xml:space="preserve"> </w:t>
      </w:r>
      <w:r>
        <w:rPr>
          <w:sz w:val="24"/>
        </w:rPr>
        <w:t>On</w:t>
      </w:r>
      <w:r>
        <w:rPr>
          <w:spacing w:val="-14"/>
          <w:sz w:val="24"/>
        </w:rPr>
        <w:t xml:space="preserve"> </w:t>
      </w:r>
      <w:r>
        <w:rPr>
          <w:sz w:val="24"/>
        </w:rPr>
        <w:t>beginning</w:t>
      </w:r>
      <w:r>
        <w:rPr>
          <w:spacing w:val="-11"/>
          <w:sz w:val="24"/>
        </w:rPr>
        <w:t xml:space="preserve"> </w:t>
      </w:r>
      <w:r>
        <w:rPr>
          <w:sz w:val="24"/>
        </w:rPr>
        <w:t>to</w:t>
      </w:r>
      <w:r>
        <w:rPr>
          <w:spacing w:val="-10"/>
          <w:sz w:val="24"/>
        </w:rPr>
        <w:t xml:space="preserve"> </w:t>
      </w:r>
      <w:r>
        <w:rPr>
          <w:sz w:val="24"/>
        </w:rPr>
        <w:t>understand</w:t>
      </w:r>
      <w:r>
        <w:rPr>
          <w:spacing w:val="-10"/>
          <w:sz w:val="24"/>
        </w:rPr>
        <w:t xml:space="preserve"> </w:t>
      </w:r>
      <w:r>
        <w:rPr>
          <w:sz w:val="24"/>
        </w:rPr>
        <w:t>the</w:t>
      </w:r>
      <w:r>
        <w:rPr>
          <w:spacing w:val="-12"/>
          <w:sz w:val="24"/>
        </w:rPr>
        <w:t xml:space="preserve"> </w:t>
      </w:r>
      <w:r>
        <w:rPr>
          <w:sz w:val="24"/>
        </w:rPr>
        <w:t>role</w:t>
      </w:r>
      <w:r>
        <w:rPr>
          <w:spacing w:val="-15"/>
          <w:sz w:val="24"/>
        </w:rPr>
        <w:t xml:space="preserve"> </w:t>
      </w:r>
      <w:r>
        <w:rPr>
          <w:sz w:val="24"/>
        </w:rPr>
        <w:t>of</w:t>
      </w:r>
      <w:r>
        <w:rPr>
          <w:spacing w:val="-8"/>
          <w:sz w:val="24"/>
        </w:rPr>
        <w:t xml:space="preserve"> </w:t>
      </w:r>
      <w:r>
        <w:rPr>
          <w:sz w:val="24"/>
        </w:rPr>
        <w:t xml:space="preserve">context in prospective memory. In M. </w:t>
      </w:r>
      <w:proofErr w:type="spellStart"/>
      <w:r>
        <w:rPr>
          <w:sz w:val="24"/>
        </w:rPr>
        <w:t>Kliegel</w:t>
      </w:r>
      <w:proofErr w:type="spellEnd"/>
      <w:r>
        <w:rPr>
          <w:sz w:val="24"/>
        </w:rPr>
        <w:t xml:space="preserve">, M. </w:t>
      </w:r>
      <w:r>
        <w:rPr>
          <w:spacing w:val="-3"/>
          <w:sz w:val="24"/>
        </w:rPr>
        <w:t xml:space="preserve">A. </w:t>
      </w:r>
      <w:r>
        <w:rPr>
          <w:sz w:val="24"/>
        </w:rPr>
        <w:t xml:space="preserve">McDaniel, &amp; G. O. Einstein (Eds.), </w:t>
      </w:r>
      <w:r>
        <w:rPr>
          <w:i/>
          <w:sz w:val="24"/>
        </w:rPr>
        <w:t xml:space="preserve">Prospective memory: Cognitive, neuroscience, </w:t>
      </w:r>
      <w:proofErr w:type="spellStart"/>
      <w:r>
        <w:rPr>
          <w:i/>
          <w:sz w:val="24"/>
        </w:rPr>
        <w:t>develoopmental</w:t>
      </w:r>
      <w:proofErr w:type="spellEnd"/>
      <w:r>
        <w:rPr>
          <w:i/>
          <w:sz w:val="24"/>
        </w:rPr>
        <w:t xml:space="preserve">, and applied perspectives </w:t>
      </w:r>
      <w:r>
        <w:rPr>
          <w:sz w:val="24"/>
        </w:rPr>
        <w:t>(pp. 77-100). New York: Taylor &amp;</w:t>
      </w:r>
      <w:r>
        <w:rPr>
          <w:spacing w:val="-3"/>
          <w:sz w:val="24"/>
        </w:rPr>
        <w:t xml:space="preserve"> </w:t>
      </w:r>
      <w:r>
        <w:rPr>
          <w:sz w:val="24"/>
        </w:rPr>
        <w:t>Francis.</w:t>
      </w:r>
    </w:p>
    <w:p w14:paraId="1AD9295E" w14:textId="77777777" w:rsidR="00C75312" w:rsidRDefault="00BB293A">
      <w:pPr>
        <w:pStyle w:val="BodyText"/>
        <w:spacing w:line="480" w:lineRule="auto"/>
        <w:ind w:left="860" w:right="234" w:hanging="720"/>
        <w:jc w:val="both"/>
      </w:pPr>
      <w:r>
        <w:t>Marsh,</w:t>
      </w:r>
      <w:r>
        <w:rPr>
          <w:spacing w:val="-9"/>
        </w:rPr>
        <w:t xml:space="preserve"> </w:t>
      </w:r>
      <w:r>
        <w:t>R.</w:t>
      </w:r>
      <w:r>
        <w:rPr>
          <w:spacing w:val="-8"/>
        </w:rPr>
        <w:t xml:space="preserve"> </w:t>
      </w:r>
      <w:r>
        <w:t>L.,</w:t>
      </w:r>
      <w:r>
        <w:rPr>
          <w:spacing w:val="-14"/>
        </w:rPr>
        <w:t xml:space="preserve"> </w:t>
      </w:r>
      <w:r>
        <w:t>Hicks,</w:t>
      </w:r>
      <w:r>
        <w:rPr>
          <w:spacing w:val="-8"/>
        </w:rPr>
        <w:t xml:space="preserve"> </w:t>
      </w:r>
      <w:r>
        <w:t>J.</w:t>
      </w:r>
      <w:r>
        <w:rPr>
          <w:spacing w:val="-13"/>
        </w:rPr>
        <w:t xml:space="preserve"> </w:t>
      </w:r>
      <w:r>
        <w:t>L.,</w:t>
      </w:r>
      <w:r>
        <w:rPr>
          <w:spacing w:val="-9"/>
        </w:rPr>
        <w:t xml:space="preserve"> </w:t>
      </w:r>
      <w:r>
        <w:t>Cook,</w:t>
      </w:r>
      <w:r>
        <w:rPr>
          <w:spacing w:val="-8"/>
        </w:rPr>
        <w:t xml:space="preserve"> </w:t>
      </w:r>
      <w:r>
        <w:rPr>
          <w:spacing w:val="-3"/>
        </w:rPr>
        <w:t>G.</w:t>
      </w:r>
      <w:r>
        <w:rPr>
          <w:spacing w:val="-13"/>
        </w:rPr>
        <w:t xml:space="preserve"> </w:t>
      </w:r>
      <w:r>
        <w:t>I.,</w:t>
      </w:r>
      <w:r>
        <w:rPr>
          <w:spacing w:val="-13"/>
        </w:rPr>
        <w:t xml:space="preserve"> </w:t>
      </w:r>
      <w:r>
        <w:t>&amp;</w:t>
      </w:r>
      <w:r>
        <w:rPr>
          <w:spacing w:val="-15"/>
        </w:rPr>
        <w:t xml:space="preserve"> </w:t>
      </w:r>
      <w:r>
        <w:t>Mayhorn,</w:t>
      </w:r>
      <w:r>
        <w:rPr>
          <w:spacing w:val="-18"/>
        </w:rPr>
        <w:t xml:space="preserve"> </w:t>
      </w:r>
      <w:r>
        <w:t>C.</w:t>
      </w:r>
      <w:r>
        <w:rPr>
          <w:spacing w:val="-9"/>
        </w:rPr>
        <w:t xml:space="preserve"> </w:t>
      </w:r>
      <w:r>
        <w:t>B.</w:t>
      </w:r>
      <w:r>
        <w:rPr>
          <w:spacing w:val="-13"/>
        </w:rPr>
        <w:t xml:space="preserve"> </w:t>
      </w:r>
      <w:r>
        <w:t>(2007).</w:t>
      </w:r>
      <w:r>
        <w:rPr>
          <w:spacing w:val="-13"/>
        </w:rPr>
        <w:t xml:space="preserve"> </w:t>
      </w:r>
      <w:r>
        <w:t>Comparing</w:t>
      </w:r>
      <w:r>
        <w:rPr>
          <w:spacing w:val="-15"/>
        </w:rPr>
        <w:t xml:space="preserve"> </w:t>
      </w:r>
      <w:r>
        <w:t>older</w:t>
      </w:r>
      <w:r>
        <w:rPr>
          <w:spacing w:val="-14"/>
        </w:rPr>
        <w:t xml:space="preserve"> </w:t>
      </w:r>
      <w:r>
        <w:t>and</w:t>
      </w:r>
      <w:r>
        <w:rPr>
          <w:spacing w:val="-12"/>
        </w:rPr>
        <w:t xml:space="preserve"> </w:t>
      </w:r>
      <w:r>
        <w:t>younger adults in an event-based prospective memory paradigm containing an</w:t>
      </w:r>
      <w:r>
        <w:rPr>
          <w:spacing w:val="-8"/>
        </w:rPr>
        <w:t xml:space="preserve"> </w:t>
      </w:r>
      <w:r>
        <w:t>output</w:t>
      </w:r>
    </w:p>
    <w:p w14:paraId="1814BEE3" w14:textId="77777777" w:rsidR="00C75312" w:rsidRDefault="00C75312">
      <w:pPr>
        <w:spacing w:line="480" w:lineRule="auto"/>
        <w:jc w:val="both"/>
        <w:sectPr w:rsidR="00C75312">
          <w:pgSz w:w="11900" w:h="16840"/>
          <w:pgMar w:top="1160" w:right="1200" w:bottom="280" w:left="1300" w:header="720" w:footer="0" w:gutter="0"/>
          <w:cols w:space="720"/>
        </w:sectPr>
      </w:pPr>
    </w:p>
    <w:p w14:paraId="6EEBC5BB" w14:textId="77777777" w:rsidR="00C75312" w:rsidRDefault="00C75312">
      <w:pPr>
        <w:pStyle w:val="BodyText"/>
        <w:spacing w:before="9"/>
        <w:rPr>
          <w:sz w:val="15"/>
        </w:rPr>
      </w:pPr>
    </w:p>
    <w:p w14:paraId="660D8AC5" w14:textId="77777777" w:rsidR="00C75312" w:rsidRDefault="00BB293A">
      <w:pPr>
        <w:spacing w:before="90" w:line="480" w:lineRule="auto"/>
        <w:ind w:left="860" w:right="236"/>
        <w:jc w:val="both"/>
        <w:rPr>
          <w:sz w:val="24"/>
        </w:rPr>
      </w:pPr>
      <w:r>
        <w:rPr>
          <w:sz w:val="24"/>
        </w:rPr>
        <w:t xml:space="preserve">monitoring component. </w:t>
      </w:r>
      <w:r>
        <w:rPr>
          <w:i/>
          <w:sz w:val="24"/>
        </w:rPr>
        <w:t>Aging, Neuropsychology, and Cognition, 14</w:t>
      </w:r>
      <w:r>
        <w:rPr>
          <w:sz w:val="24"/>
        </w:rPr>
        <w:t>(2), 168-188. doi:10.1080/138255891007074</w:t>
      </w:r>
    </w:p>
    <w:p w14:paraId="3091A0E0" w14:textId="77777777" w:rsidR="00C75312" w:rsidRDefault="00BB293A">
      <w:pPr>
        <w:spacing w:line="480" w:lineRule="auto"/>
        <w:ind w:left="860" w:right="234" w:hanging="720"/>
        <w:jc w:val="both"/>
        <w:rPr>
          <w:sz w:val="24"/>
        </w:rPr>
      </w:pPr>
      <w:r>
        <w:rPr>
          <w:sz w:val="24"/>
        </w:rPr>
        <w:t xml:space="preserve">Martin, J. S., Poirier, M., &amp; Bowler, D. </w:t>
      </w:r>
      <w:r>
        <w:rPr>
          <w:spacing w:val="-4"/>
          <w:sz w:val="24"/>
        </w:rPr>
        <w:t>M.</w:t>
      </w:r>
      <w:r>
        <w:rPr>
          <w:spacing w:val="52"/>
          <w:sz w:val="24"/>
        </w:rPr>
        <w:t xml:space="preserve"> </w:t>
      </w:r>
      <w:r>
        <w:rPr>
          <w:sz w:val="24"/>
        </w:rPr>
        <w:t xml:space="preserve">(2010). Brief report: Impaired temporal reproduction performance in adults with autism spectrum disorder. </w:t>
      </w:r>
      <w:r>
        <w:rPr>
          <w:i/>
          <w:sz w:val="24"/>
        </w:rPr>
        <w:t>Journal of Autism and Developmental Disorders, 40</w:t>
      </w:r>
      <w:r>
        <w:rPr>
          <w:sz w:val="24"/>
        </w:rPr>
        <w:t>(5), 640-646. doi:10.1007/s10803-009-0904-3</w:t>
      </w:r>
    </w:p>
    <w:p w14:paraId="5DD58E22" w14:textId="77777777" w:rsidR="00C75312" w:rsidRPr="002C3022" w:rsidRDefault="00BB293A">
      <w:pPr>
        <w:pStyle w:val="BodyText"/>
        <w:spacing w:line="480" w:lineRule="auto"/>
        <w:ind w:left="860" w:right="232" w:hanging="720"/>
        <w:jc w:val="both"/>
        <w:rPr>
          <w:lang w:val="fr-FR"/>
        </w:rPr>
      </w:pPr>
      <w:r>
        <w:t xml:space="preserve">Martin, M., </w:t>
      </w:r>
      <w:proofErr w:type="spellStart"/>
      <w:r>
        <w:t>Kliegel</w:t>
      </w:r>
      <w:proofErr w:type="spellEnd"/>
      <w:r>
        <w:t xml:space="preserve">, M., &amp; McDaniel, M. A. (2003). The involvement of executive functions in prospective memory performance of adults. </w:t>
      </w:r>
      <w:r w:rsidRPr="002C3022">
        <w:rPr>
          <w:i/>
          <w:lang w:val="fr-FR"/>
        </w:rPr>
        <w:t>International Journal of Psychology, 38</w:t>
      </w:r>
      <w:r w:rsidRPr="002C3022">
        <w:rPr>
          <w:lang w:val="fr-FR"/>
        </w:rPr>
        <w:t>(5), 323-334. doi:10.1080/00207590244000205</w:t>
      </w:r>
    </w:p>
    <w:p w14:paraId="64BAA99B" w14:textId="77777777" w:rsidR="00C75312" w:rsidRDefault="00BB293A">
      <w:pPr>
        <w:pStyle w:val="BodyText"/>
        <w:spacing w:line="480" w:lineRule="auto"/>
        <w:ind w:left="860" w:right="236" w:hanging="720"/>
        <w:jc w:val="both"/>
      </w:pPr>
      <w:r w:rsidRPr="002C3022">
        <w:rPr>
          <w:lang w:val="fr-FR"/>
        </w:rPr>
        <w:t xml:space="preserve">Masi, A., DeMayo, M. M., Glozier, N., &amp; Guastella, A. J. (2017). </w:t>
      </w:r>
      <w:r>
        <w:t xml:space="preserve">An Overview of Autism Spectrum Disorder, Heterogeneity and Treatment Options. </w:t>
      </w:r>
      <w:r>
        <w:rPr>
          <w:i/>
        </w:rPr>
        <w:t>Neuroscience Bulletin, 33</w:t>
      </w:r>
      <w:r>
        <w:t>(2), 183-193. doi:10.1007/s12264-017-0100-y</w:t>
      </w:r>
    </w:p>
    <w:p w14:paraId="680997CB" w14:textId="77777777" w:rsidR="00C75312" w:rsidRDefault="00BB293A">
      <w:pPr>
        <w:pStyle w:val="BodyText"/>
        <w:spacing w:before="1" w:line="480" w:lineRule="auto"/>
        <w:ind w:left="860" w:right="235" w:hanging="720"/>
        <w:jc w:val="both"/>
      </w:pPr>
      <w:r>
        <w:t xml:space="preserve">Mateer, C. A., Kerns, K. A., &amp; </w:t>
      </w:r>
      <w:proofErr w:type="spellStart"/>
      <w:r>
        <w:t>Eso</w:t>
      </w:r>
      <w:proofErr w:type="spellEnd"/>
      <w:r>
        <w:t xml:space="preserve">, K. L. (1996). Management of attention and memory disorders following traumatic brain injury. </w:t>
      </w:r>
      <w:r>
        <w:rPr>
          <w:i/>
        </w:rPr>
        <w:t xml:space="preserve">J Learn </w:t>
      </w:r>
      <w:proofErr w:type="spellStart"/>
      <w:r>
        <w:rPr>
          <w:i/>
        </w:rPr>
        <w:t>Disabil</w:t>
      </w:r>
      <w:proofErr w:type="spellEnd"/>
      <w:r>
        <w:rPr>
          <w:i/>
        </w:rPr>
        <w:t>, 29</w:t>
      </w:r>
      <w:r>
        <w:t>(6), 618-632. doi:10.1177/002221949602900606</w:t>
      </w:r>
    </w:p>
    <w:p w14:paraId="53112395" w14:textId="77777777" w:rsidR="00C75312" w:rsidRDefault="00BB293A">
      <w:pPr>
        <w:pStyle w:val="BodyText"/>
        <w:ind w:left="140"/>
        <w:jc w:val="both"/>
      </w:pPr>
      <w:r>
        <w:t>Maylor, E. A. (1996). Age-related impairment in an event-based prospective-memory task.</w:t>
      </w:r>
    </w:p>
    <w:p w14:paraId="538EE6FD" w14:textId="77777777" w:rsidR="00C75312" w:rsidRDefault="00C75312">
      <w:pPr>
        <w:pStyle w:val="BodyText"/>
      </w:pPr>
    </w:p>
    <w:p w14:paraId="2C406C46" w14:textId="77777777" w:rsidR="00C75312" w:rsidRDefault="00BB293A">
      <w:pPr>
        <w:ind w:left="860"/>
        <w:jc w:val="both"/>
        <w:rPr>
          <w:sz w:val="24"/>
        </w:rPr>
      </w:pPr>
      <w:r>
        <w:rPr>
          <w:i/>
          <w:sz w:val="24"/>
        </w:rPr>
        <w:t>Psychology and Aging, 11</w:t>
      </w:r>
      <w:r>
        <w:rPr>
          <w:sz w:val="24"/>
        </w:rPr>
        <w:t>(1), 74-78. doi:10.1037/0882-7974.11.1.74</w:t>
      </w:r>
    </w:p>
    <w:p w14:paraId="3E8696A4" w14:textId="77777777" w:rsidR="00C75312" w:rsidRDefault="00C75312">
      <w:pPr>
        <w:pStyle w:val="BodyText"/>
      </w:pPr>
    </w:p>
    <w:p w14:paraId="4C4DE9EB" w14:textId="77777777" w:rsidR="00C75312" w:rsidRDefault="00BB293A">
      <w:pPr>
        <w:pStyle w:val="BodyText"/>
        <w:spacing w:line="480" w:lineRule="auto"/>
        <w:ind w:left="860" w:right="233" w:hanging="720"/>
        <w:jc w:val="both"/>
      </w:pPr>
      <w:r>
        <w:t xml:space="preserve">Maylor, E. A., Smith, G., Della Sala, S., &amp; </w:t>
      </w:r>
      <w:proofErr w:type="spellStart"/>
      <w:r>
        <w:t>Logie</w:t>
      </w:r>
      <w:proofErr w:type="spellEnd"/>
      <w:r>
        <w:t xml:space="preserve">, R. H. (2002). Prospective and retrospective memory in normal aging and dementia: An experimental study. </w:t>
      </w:r>
      <w:r>
        <w:rPr>
          <w:i/>
        </w:rPr>
        <w:t>Memory &amp; Cognition, 30</w:t>
      </w:r>
      <w:r>
        <w:t>(6), 871-884. doi:10.3758/Bf03195773</w:t>
      </w:r>
    </w:p>
    <w:p w14:paraId="6413BC21" w14:textId="77777777" w:rsidR="00C75312" w:rsidRDefault="00BB293A">
      <w:pPr>
        <w:spacing w:line="480" w:lineRule="auto"/>
        <w:ind w:left="860" w:right="236" w:hanging="720"/>
        <w:jc w:val="both"/>
        <w:rPr>
          <w:sz w:val="24"/>
        </w:rPr>
      </w:pPr>
      <w:r>
        <w:rPr>
          <w:sz w:val="24"/>
        </w:rPr>
        <w:t>McCartney, K., Burchinal, M. R., &amp; Bub, K. L. (2006). Best practices in quantitative</w:t>
      </w:r>
      <w:r>
        <w:rPr>
          <w:spacing w:val="-31"/>
          <w:sz w:val="24"/>
        </w:rPr>
        <w:t xml:space="preserve"> </w:t>
      </w:r>
      <w:r>
        <w:rPr>
          <w:sz w:val="24"/>
        </w:rPr>
        <w:t xml:space="preserve">methods for developmentalists. </w:t>
      </w:r>
      <w:r>
        <w:rPr>
          <w:i/>
          <w:sz w:val="24"/>
        </w:rPr>
        <w:t>Monographs of the Society for Research in Child Development, 71</w:t>
      </w:r>
      <w:r>
        <w:rPr>
          <w:sz w:val="24"/>
        </w:rPr>
        <w:t>(3), i-145. Retrieved from</w:t>
      </w:r>
      <w:r>
        <w:rPr>
          <w:spacing w:val="-4"/>
          <w:sz w:val="24"/>
        </w:rPr>
        <w:t xml:space="preserve"> </w:t>
      </w:r>
      <w:hyperlink r:id="rId56">
        <w:r>
          <w:rPr>
            <w:sz w:val="24"/>
          </w:rPr>
          <w:t>http://www.jstor.org/stable/4121953.</w:t>
        </w:r>
      </w:hyperlink>
    </w:p>
    <w:p w14:paraId="64251D12" w14:textId="77777777" w:rsidR="00C75312" w:rsidRDefault="00BB293A">
      <w:pPr>
        <w:pStyle w:val="BodyText"/>
        <w:spacing w:line="480" w:lineRule="auto"/>
        <w:ind w:left="860" w:right="236" w:hanging="720"/>
        <w:jc w:val="both"/>
      </w:pPr>
      <w:r>
        <w:t xml:space="preserve">McDaniel, M. A., &amp; Einstein, G. O. (2000). Strategic and automatic processes in prospective memory retrieval: A </w:t>
      </w:r>
      <w:proofErr w:type="spellStart"/>
      <w:r>
        <w:t>multiprocess</w:t>
      </w:r>
      <w:proofErr w:type="spellEnd"/>
      <w:r>
        <w:t xml:space="preserve"> framework. </w:t>
      </w:r>
      <w:r>
        <w:rPr>
          <w:i/>
        </w:rPr>
        <w:t>Applied Cognitive Psychology, 14</w:t>
      </w:r>
      <w:r>
        <w:t>(7), S127-S144. doi:10.1002/acp.775</w:t>
      </w:r>
    </w:p>
    <w:p w14:paraId="7ED928A2" w14:textId="77777777" w:rsidR="00C75312" w:rsidRDefault="00C75312">
      <w:pPr>
        <w:spacing w:line="480" w:lineRule="auto"/>
        <w:jc w:val="both"/>
        <w:sectPr w:rsidR="00C75312">
          <w:pgSz w:w="11900" w:h="16840"/>
          <w:pgMar w:top="1160" w:right="1200" w:bottom="280" w:left="1300" w:header="720" w:footer="0" w:gutter="0"/>
          <w:cols w:space="720"/>
        </w:sectPr>
      </w:pPr>
    </w:p>
    <w:p w14:paraId="6BF8BAAC" w14:textId="77777777" w:rsidR="00C75312" w:rsidRDefault="00C75312">
      <w:pPr>
        <w:pStyle w:val="BodyText"/>
        <w:spacing w:before="9"/>
        <w:rPr>
          <w:sz w:val="15"/>
        </w:rPr>
      </w:pPr>
    </w:p>
    <w:p w14:paraId="401E4102" w14:textId="77777777" w:rsidR="00C75312" w:rsidRDefault="00BB293A">
      <w:pPr>
        <w:spacing w:before="90" w:line="480" w:lineRule="auto"/>
        <w:ind w:left="860" w:right="241" w:hanging="720"/>
        <w:jc w:val="both"/>
        <w:rPr>
          <w:sz w:val="24"/>
        </w:rPr>
      </w:pPr>
      <w:r>
        <w:rPr>
          <w:sz w:val="24"/>
        </w:rPr>
        <w:t xml:space="preserve">McDaniel, M. A., &amp; Einstein, G. O. (2007). </w:t>
      </w:r>
      <w:r>
        <w:rPr>
          <w:i/>
          <w:sz w:val="24"/>
        </w:rPr>
        <w:t>Prospective memory: An overview and synthesis of an emerging field</w:t>
      </w:r>
      <w:r>
        <w:rPr>
          <w:sz w:val="24"/>
        </w:rPr>
        <w:t>. Thousand Oaks, CA, US: Sage Publications.</w:t>
      </w:r>
    </w:p>
    <w:p w14:paraId="63B0D28D" w14:textId="77777777" w:rsidR="00C75312" w:rsidRDefault="00BB293A">
      <w:pPr>
        <w:pStyle w:val="BodyText"/>
        <w:spacing w:line="480" w:lineRule="auto"/>
        <w:ind w:left="860" w:right="236" w:hanging="720"/>
        <w:jc w:val="both"/>
      </w:pPr>
      <w:r>
        <w:t xml:space="preserve">McDaniel, M. A., Robinson-Riegler, B., &amp; Einstein, G. O. (1998). Prospective remembering: perceptually driven or conceptually driven processes? </w:t>
      </w:r>
      <w:r>
        <w:rPr>
          <w:i/>
        </w:rPr>
        <w:t>Memory &amp; Cognition, 26</w:t>
      </w:r>
      <w:r>
        <w:t>(1), 121-134. doi:10.3758/BF03211375</w:t>
      </w:r>
    </w:p>
    <w:p w14:paraId="118A497C" w14:textId="77777777" w:rsidR="00C75312" w:rsidRDefault="00BB293A">
      <w:pPr>
        <w:spacing w:line="480" w:lineRule="auto"/>
        <w:ind w:left="860" w:right="234" w:hanging="720"/>
        <w:jc w:val="both"/>
        <w:rPr>
          <w:sz w:val="24"/>
        </w:rPr>
      </w:pPr>
      <w:r>
        <w:rPr>
          <w:sz w:val="24"/>
        </w:rPr>
        <w:t xml:space="preserve">McGovern, C. W., &amp; Sigman, M. (2005). Continuity and change from early childhood to adolescence in autism. </w:t>
      </w:r>
      <w:r>
        <w:rPr>
          <w:i/>
          <w:sz w:val="24"/>
        </w:rPr>
        <w:t>Journal of Child Psychology and Psychiatry, 46</w:t>
      </w:r>
      <w:r>
        <w:rPr>
          <w:sz w:val="24"/>
        </w:rPr>
        <w:t>(4), 401-408.</w:t>
      </w:r>
    </w:p>
    <w:p w14:paraId="0131E0DC" w14:textId="77777777" w:rsidR="00C75312" w:rsidRDefault="00BB293A">
      <w:pPr>
        <w:pStyle w:val="BodyText"/>
        <w:spacing w:line="480" w:lineRule="auto"/>
        <w:ind w:left="860" w:right="235" w:hanging="720"/>
        <w:jc w:val="both"/>
      </w:pPr>
      <w:r>
        <w:t xml:space="preserve">Meier, B., &amp; Zimmermann, T. D. (2015). Loads and loads and loads: The influence of prospective load, retrospective load, and ongoing task load in prospective memory. </w:t>
      </w:r>
      <w:r>
        <w:rPr>
          <w:i/>
        </w:rPr>
        <w:t>Frontiers in Human Neuroscience, 9</w:t>
      </w:r>
      <w:r>
        <w:t>, 322-322. doi:10.3389/fnhum.2015.00322</w:t>
      </w:r>
    </w:p>
    <w:p w14:paraId="718BFDFC" w14:textId="77777777" w:rsidR="00C75312" w:rsidRDefault="00BB293A">
      <w:pPr>
        <w:pStyle w:val="BodyText"/>
        <w:spacing w:line="480" w:lineRule="auto"/>
        <w:ind w:left="860" w:right="235" w:hanging="720"/>
        <w:jc w:val="both"/>
      </w:pPr>
      <w:r>
        <w:t>Meissner, K., &amp; Wittmann, M. (2011). Body signals, cardiac awareness, and the perception</w:t>
      </w:r>
      <w:r>
        <w:rPr>
          <w:spacing w:val="-34"/>
        </w:rPr>
        <w:t xml:space="preserve"> </w:t>
      </w:r>
      <w:r>
        <w:t xml:space="preserve">of time. </w:t>
      </w:r>
      <w:r>
        <w:rPr>
          <w:i/>
        </w:rPr>
        <w:t>Biological Psychology, 86</w:t>
      </w:r>
      <w:r>
        <w:t>(3), 289-297.</w:t>
      </w:r>
      <w:r>
        <w:rPr>
          <w:spacing w:val="-2"/>
        </w:rPr>
        <w:t xml:space="preserve"> </w:t>
      </w:r>
      <w:r>
        <w:t>doi:10.1016/j.biopsycho.2011.01.001</w:t>
      </w:r>
    </w:p>
    <w:p w14:paraId="229B90E1" w14:textId="77777777" w:rsidR="00C75312" w:rsidRDefault="00BB293A">
      <w:pPr>
        <w:pStyle w:val="BodyText"/>
        <w:spacing w:before="1" w:line="480" w:lineRule="auto"/>
        <w:ind w:left="860" w:right="234" w:hanging="720"/>
        <w:jc w:val="both"/>
      </w:pPr>
      <w:proofErr w:type="spellStart"/>
      <w:r>
        <w:t>Mella</w:t>
      </w:r>
      <w:proofErr w:type="spellEnd"/>
      <w:r>
        <w:t xml:space="preserve">, N., Conty, L., &amp; </w:t>
      </w:r>
      <w:proofErr w:type="spellStart"/>
      <w:r>
        <w:t>Pouthas</w:t>
      </w:r>
      <w:proofErr w:type="spellEnd"/>
      <w:r>
        <w:t xml:space="preserve">, </w:t>
      </w:r>
      <w:r>
        <w:rPr>
          <w:spacing w:val="-3"/>
        </w:rPr>
        <w:t xml:space="preserve">V. </w:t>
      </w:r>
      <w:r>
        <w:t xml:space="preserve">(2011). The role </w:t>
      </w:r>
      <w:r>
        <w:rPr>
          <w:spacing w:val="-3"/>
        </w:rPr>
        <w:t xml:space="preserve">of </w:t>
      </w:r>
      <w:r>
        <w:t>physiological arousal in time perception:</w:t>
      </w:r>
      <w:r>
        <w:rPr>
          <w:spacing w:val="-10"/>
        </w:rPr>
        <w:t xml:space="preserve"> </w:t>
      </w:r>
      <w:r>
        <w:t>Psychophysiological</w:t>
      </w:r>
      <w:r>
        <w:rPr>
          <w:spacing w:val="-10"/>
        </w:rPr>
        <w:t xml:space="preserve"> </w:t>
      </w:r>
      <w:r>
        <w:t>evidence</w:t>
      </w:r>
      <w:r>
        <w:rPr>
          <w:spacing w:val="-11"/>
        </w:rPr>
        <w:t xml:space="preserve"> </w:t>
      </w:r>
      <w:r>
        <w:t>from</w:t>
      </w:r>
      <w:r>
        <w:rPr>
          <w:spacing w:val="-10"/>
        </w:rPr>
        <w:t xml:space="preserve"> </w:t>
      </w:r>
      <w:r>
        <w:t>an</w:t>
      </w:r>
      <w:r>
        <w:rPr>
          <w:spacing w:val="-10"/>
        </w:rPr>
        <w:t xml:space="preserve"> </w:t>
      </w:r>
      <w:r>
        <w:t>emotion</w:t>
      </w:r>
      <w:r>
        <w:rPr>
          <w:spacing w:val="-11"/>
        </w:rPr>
        <w:t xml:space="preserve"> </w:t>
      </w:r>
      <w:r>
        <w:t>regulation</w:t>
      </w:r>
      <w:r>
        <w:rPr>
          <w:spacing w:val="-11"/>
        </w:rPr>
        <w:t xml:space="preserve"> </w:t>
      </w:r>
      <w:r>
        <w:t>paradigm.</w:t>
      </w:r>
      <w:r>
        <w:rPr>
          <w:spacing w:val="-7"/>
        </w:rPr>
        <w:t xml:space="preserve"> </w:t>
      </w:r>
      <w:r>
        <w:rPr>
          <w:i/>
        </w:rPr>
        <w:t>Brain and Cognition, 75</w:t>
      </w:r>
      <w:r>
        <w:t>(2), 182-187.</w:t>
      </w:r>
      <w:r>
        <w:rPr>
          <w:spacing w:val="4"/>
        </w:rPr>
        <w:t xml:space="preserve"> </w:t>
      </w:r>
      <w:r>
        <w:t>doi:10.1016/j.bandc.2010.11.012</w:t>
      </w:r>
    </w:p>
    <w:p w14:paraId="4511CF25" w14:textId="77777777" w:rsidR="00C75312" w:rsidRDefault="00BB293A">
      <w:pPr>
        <w:pStyle w:val="BodyText"/>
        <w:spacing w:line="480" w:lineRule="auto"/>
        <w:ind w:left="860" w:right="234" w:hanging="720"/>
        <w:jc w:val="both"/>
      </w:pPr>
      <w:r>
        <w:t xml:space="preserve">Menon, V., &amp; Uddin, L. Q. (2010). Saliency, switching, attention and control: A network model of insula function. </w:t>
      </w:r>
      <w:r>
        <w:rPr>
          <w:i/>
        </w:rPr>
        <w:t>Brain Structure and Function, 214</w:t>
      </w:r>
      <w:r>
        <w:t>(5-6), 655-667. doi:10.1007/s00429-010-0262-0</w:t>
      </w:r>
    </w:p>
    <w:p w14:paraId="57449C40" w14:textId="77777777" w:rsidR="00C75312" w:rsidRDefault="00BB293A">
      <w:pPr>
        <w:pStyle w:val="BodyText"/>
        <w:spacing w:line="480" w:lineRule="auto"/>
        <w:ind w:left="860" w:right="236" w:hanging="720"/>
        <w:jc w:val="both"/>
      </w:pPr>
      <w:r>
        <w:t xml:space="preserve">Mervis, C. B., &amp; Klein-Tasman, </w:t>
      </w:r>
      <w:r>
        <w:rPr>
          <w:spacing w:val="-4"/>
        </w:rPr>
        <w:t xml:space="preserve">B. </w:t>
      </w:r>
      <w:r>
        <w:t>P. (2004). Methodological issues in group-matching designs:</w:t>
      </w:r>
      <w:r>
        <w:rPr>
          <w:spacing w:val="-15"/>
        </w:rPr>
        <w:t xml:space="preserve"> </w:t>
      </w:r>
      <w:r>
        <w:t>Alpha</w:t>
      </w:r>
      <w:r>
        <w:rPr>
          <w:spacing w:val="-16"/>
        </w:rPr>
        <w:t xml:space="preserve"> </w:t>
      </w:r>
      <w:r>
        <w:t>levels</w:t>
      </w:r>
      <w:r>
        <w:rPr>
          <w:spacing w:val="-18"/>
        </w:rPr>
        <w:t xml:space="preserve"> </w:t>
      </w:r>
      <w:r>
        <w:t>for</w:t>
      </w:r>
      <w:r>
        <w:rPr>
          <w:spacing w:val="-14"/>
        </w:rPr>
        <w:t xml:space="preserve"> </w:t>
      </w:r>
      <w:r>
        <w:t>control</w:t>
      </w:r>
      <w:r>
        <w:rPr>
          <w:spacing w:val="-15"/>
        </w:rPr>
        <w:t xml:space="preserve"> </w:t>
      </w:r>
      <w:r>
        <w:t>variable</w:t>
      </w:r>
      <w:r>
        <w:rPr>
          <w:spacing w:val="-16"/>
        </w:rPr>
        <w:t xml:space="preserve"> </w:t>
      </w:r>
      <w:r>
        <w:t>comparisons</w:t>
      </w:r>
      <w:r>
        <w:rPr>
          <w:spacing w:val="-18"/>
        </w:rPr>
        <w:t xml:space="preserve"> </w:t>
      </w:r>
      <w:r>
        <w:t>and</w:t>
      </w:r>
      <w:r>
        <w:rPr>
          <w:spacing w:val="-15"/>
        </w:rPr>
        <w:t xml:space="preserve"> </w:t>
      </w:r>
      <w:r>
        <w:t>measurement</w:t>
      </w:r>
      <w:r>
        <w:rPr>
          <w:spacing w:val="-15"/>
        </w:rPr>
        <w:t xml:space="preserve"> </w:t>
      </w:r>
      <w:r>
        <w:t>characteristics of</w:t>
      </w:r>
      <w:r>
        <w:rPr>
          <w:spacing w:val="-6"/>
        </w:rPr>
        <w:t xml:space="preserve"> </w:t>
      </w:r>
      <w:r>
        <w:t>control</w:t>
      </w:r>
      <w:r>
        <w:rPr>
          <w:spacing w:val="-6"/>
        </w:rPr>
        <w:t xml:space="preserve"> </w:t>
      </w:r>
      <w:r>
        <w:t>and</w:t>
      </w:r>
      <w:r>
        <w:rPr>
          <w:spacing w:val="-11"/>
        </w:rPr>
        <w:t xml:space="preserve"> </w:t>
      </w:r>
      <w:r>
        <w:t>target</w:t>
      </w:r>
      <w:r>
        <w:rPr>
          <w:spacing w:val="-11"/>
        </w:rPr>
        <w:t xml:space="preserve"> </w:t>
      </w:r>
      <w:r>
        <w:t>variables.</w:t>
      </w:r>
      <w:r>
        <w:rPr>
          <w:spacing w:val="-8"/>
        </w:rPr>
        <w:t xml:space="preserve"> </w:t>
      </w:r>
      <w:r>
        <w:rPr>
          <w:i/>
        </w:rPr>
        <w:t>Journal</w:t>
      </w:r>
      <w:r>
        <w:rPr>
          <w:i/>
          <w:spacing w:val="-6"/>
        </w:rPr>
        <w:t xml:space="preserve"> </w:t>
      </w:r>
      <w:r>
        <w:rPr>
          <w:i/>
          <w:spacing w:val="-3"/>
        </w:rPr>
        <w:t>of</w:t>
      </w:r>
      <w:r>
        <w:rPr>
          <w:i/>
          <w:spacing w:val="-11"/>
        </w:rPr>
        <w:t xml:space="preserve"> </w:t>
      </w:r>
      <w:r>
        <w:rPr>
          <w:i/>
        </w:rPr>
        <w:t>Autism</w:t>
      </w:r>
      <w:r>
        <w:rPr>
          <w:i/>
          <w:spacing w:val="-7"/>
        </w:rPr>
        <w:t xml:space="preserve"> </w:t>
      </w:r>
      <w:r>
        <w:rPr>
          <w:i/>
        </w:rPr>
        <w:t>and</w:t>
      </w:r>
      <w:r>
        <w:rPr>
          <w:i/>
          <w:spacing w:val="-7"/>
        </w:rPr>
        <w:t xml:space="preserve"> </w:t>
      </w:r>
      <w:r>
        <w:rPr>
          <w:i/>
        </w:rPr>
        <w:t>Developmental</w:t>
      </w:r>
      <w:r>
        <w:rPr>
          <w:i/>
          <w:spacing w:val="-6"/>
        </w:rPr>
        <w:t xml:space="preserve"> </w:t>
      </w:r>
      <w:r>
        <w:rPr>
          <w:i/>
        </w:rPr>
        <w:t>Disorders,</w:t>
      </w:r>
      <w:r>
        <w:rPr>
          <w:i/>
          <w:spacing w:val="-4"/>
        </w:rPr>
        <w:t xml:space="preserve"> </w:t>
      </w:r>
      <w:r>
        <w:rPr>
          <w:i/>
        </w:rPr>
        <w:t>34</w:t>
      </w:r>
      <w:r>
        <w:t>(1), 7-17.</w:t>
      </w:r>
      <w:r>
        <w:rPr>
          <w:spacing w:val="3"/>
        </w:rPr>
        <w:t xml:space="preserve"> </w:t>
      </w:r>
      <w:r>
        <w:t>doi:10.1023/B:Jadd.0000018069.69562.B8</w:t>
      </w:r>
    </w:p>
    <w:p w14:paraId="7E2B2CF8" w14:textId="77777777" w:rsidR="00C75312" w:rsidRDefault="00C75312">
      <w:pPr>
        <w:spacing w:line="480" w:lineRule="auto"/>
        <w:jc w:val="both"/>
        <w:sectPr w:rsidR="00C75312">
          <w:pgSz w:w="11900" w:h="16840"/>
          <w:pgMar w:top="1160" w:right="1200" w:bottom="280" w:left="1300" w:header="720" w:footer="0" w:gutter="0"/>
          <w:cols w:space="720"/>
        </w:sectPr>
      </w:pPr>
    </w:p>
    <w:p w14:paraId="5969319C" w14:textId="77777777" w:rsidR="00C75312" w:rsidRDefault="00C75312">
      <w:pPr>
        <w:pStyle w:val="BodyText"/>
        <w:spacing w:before="9"/>
        <w:rPr>
          <w:sz w:val="15"/>
        </w:rPr>
      </w:pPr>
    </w:p>
    <w:p w14:paraId="33A10FE7" w14:textId="77777777" w:rsidR="00C75312" w:rsidRDefault="00BB293A">
      <w:pPr>
        <w:pStyle w:val="BodyText"/>
        <w:spacing w:before="90" w:line="480" w:lineRule="auto"/>
        <w:ind w:left="860" w:right="236" w:hanging="720"/>
        <w:jc w:val="both"/>
      </w:pPr>
      <w:r>
        <w:t xml:space="preserve">Milosavljevic, B., Carter Leno, V., Simonoff, E., Baird, G., Pickles, A., Jones, C. R. G., . . . </w:t>
      </w:r>
      <w:proofErr w:type="spellStart"/>
      <w:r>
        <w:t>Happ</w:t>
      </w:r>
      <w:proofErr w:type="spellEnd"/>
      <w:r>
        <w:t xml:space="preserve">, F. (2016). Alexithymia in Adolescents with Autism Spectrum Disorder: Its Relationship to </w:t>
      </w:r>
      <w:proofErr w:type="spellStart"/>
      <w:r>
        <w:t>Internalising</w:t>
      </w:r>
      <w:proofErr w:type="spellEnd"/>
      <w:r>
        <w:t xml:space="preserve"> Difficulties, Sensory Modulation and Social Cognition. </w:t>
      </w:r>
      <w:r>
        <w:rPr>
          <w:i/>
        </w:rPr>
        <w:t>Journal of Autism and Developmental Disorders, 46</w:t>
      </w:r>
      <w:r>
        <w:t>(4), 1354-1367. doi:10.1007/s10803-015-2670-8</w:t>
      </w:r>
    </w:p>
    <w:p w14:paraId="44EBEFC7" w14:textId="77777777" w:rsidR="00C75312" w:rsidRDefault="00BB293A">
      <w:pPr>
        <w:pStyle w:val="BodyText"/>
        <w:spacing w:line="480" w:lineRule="auto"/>
        <w:ind w:left="860" w:right="235" w:hanging="720"/>
        <w:jc w:val="both"/>
      </w:pPr>
      <w:r>
        <w:t xml:space="preserve">Mioni, G., &amp; Stablum, F. (2014). Monitoring </w:t>
      </w:r>
      <w:proofErr w:type="spellStart"/>
      <w:r>
        <w:t>behaviour</w:t>
      </w:r>
      <w:proofErr w:type="spellEnd"/>
      <w:r>
        <w:t xml:space="preserve"> in a time-based prospective memory task:</w:t>
      </w:r>
      <w:r>
        <w:rPr>
          <w:spacing w:val="-10"/>
        </w:rPr>
        <w:t xml:space="preserve"> </w:t>
      </w:r>
      <w:r>
        <w:t>The</w:t>
      </w:r>
      <w:r>
        <w:rPr>
          <w:spacing w:val="-16"/>
        </w:rPr>
        <w:t xml:space="preserve"> </w:t>
      </w:r>
      <w:r>
        <w:t>involvement</w:t>
      </w:r>
      <w:r>
        <w:rPr>
          <w:spacing w:val="-14"/>
        </w:rPr>
        <w:t xml:space="preserve"> </w:t>
      </w:r>
      <w:r>
        <w:t>of</w:t>
      </w:r>
      <w:r>
        <w:rPr>
          <w:spacing w:val="-14"/>
        </w:rPr>
        <w:t xml:space="preserve"> </w:t>
      </w:r>
      <w:r>
        <w:t>executive</w:t>
      </w:r>
      <w:r>
        <w:rPr>
          <w:spacing w:val="-11"/>
        </w:rPr>
        <w:t xml:space="preserve"> </w:t>
      </w:r>
      <w:r>
        <w:t>functions</w:t>
      </w:r>
      <w:r>
        <w:rPr>
          <w:spacing w:val="-13"/>
        </w:rPr>
        <w:t xml:space="preserve"> </w:t>
      </w:r>
      <w:r>
        <w:t>and</w:t>
      </w:r>
      <w:r>
        <w:rPr>
          <w:spacing w:val="-14"/>
        </w:rPr>
        <w:t xml:space="preserve"> </w:t>
      </w:r>
      <w:r>
        <w:t>time</w:t>
      </w:r>
      <w:r>
        <w:rPr>
          <w:spacing w:val="-12"/>
        </w:rPr>
        <w:t xml:space="preserve"> </w:t>
      </w:r>
      <w:r>
        <w:t>perception.</w:t>
      </w:r>
      <w:r>
        <w:rPr>
          <w:spacing w:val="-17"/>
        </w:rPr>
        <w:t xml:space="preserve"> </w:t>
      </w:r>
      <w:r>
        <w:rPr>
          <w:i/>
        </w:rPr>
        <w:t>Memory,</w:t>
      </w:r>
      <w:r>
        <w:rPr>
          <w:i/>
          <w:spacing w:val="-8"/>
        </w:rPr>
        <w:t xml:space="preserve"> </w:t>
      </w:r>
      <w:r>
        <w:rPr>
          <w:i/>
        </w:rPr>
        <w:t>22</w:t>
      </w:r>
      <w:r>
        <w:t>(5),</w:t>
      </w:r>
      <w:r>
        <w:rPr>
          <w:spacing w:val="-12"/>
        </w:rPr>
        <w:t xml:space="preserve"> </w:t>
      </w:r>
      <w:r>
        <w:t>536- 552.</w:t>
      </w:r>
      <w:r>
        <w:rPr>
          <w:spacing w:val="3"/>
        </w:rPr>
        <w:t xml:space="preserve"> </w:t>
      </w:r>
      <w:r>
        <w:t>doi:10.1080/09658211.2013.801987</w:t>
      </w:r>
    </w:p>
    <w:p w14:paraId="2A5A7D7C" w14:textId="77777777" w:rsidR="00C75312" w:rsidRDefault="00BB293A">
      <w:pPr>
        <w:pStyle w:val="BodyText"/>
        <w:spacing w:line="480" w:lineRule="auto"/>
        <w:ind w:left="860" w:right="237" w:hanging="720"/>
        <w:jc w:val="both"/>
      </w:pPr>
      <w:r>
        <w:t xml:space="preserve">Mioni, G., Stablum, F., McClintock, S. M., &amp; Cantagallo, A. (2012). Time-based prospective memory in severe traumatic brain injury patients: the involvement of executive functions and time perception. </w:t>
      </w:r>
      <w:r>
        <w:rPr>
          <w:i/>
        </w:rPr>
        <w:t>Journal of the International Neuropsychological Society, 18</w:t>
      </w:r>
      <w:r>
        <w:t>(4), 697-705. doi:10.1017/S1355617712000306</w:t>
      </w:r>
    </w:p>
    <w:p w14:paraId="6C8CCFDE" w14:textId="77777777" w:rsidR="00C75312" w:rsidRDefault="00BB293A">
      <w:pPr>
        <w:pStyle w:val="BodyText"/>
        <w:spacing w:before="1" w:line="480" w:lineRule="auto"/>
        <w:ind w:left="860" w:right="234" w:hanging="720"/>
        <w:jc w:val="both"/>
      </w:pPr>
      <w:r>
        <w:t xml:space="preserve">Miyake, A., Friedman, N. P., Emerson, M. J., </w:t>
      </w:r>
      <w:proofErr w:type="spellStart"/>
      <w:r>
        <w:t>Witzki</w:t>
      </w:r>
      <w:proofErr w:type="spellEnd"/>
      <w:r>
        <w:t xml:space="preserve">, A. H., Howerter, A., &amp; Wager, T. D. (2000). The unity and diversity of executive functions and their contributions to complex "Frontal Lobe" tasks: a latent variable analysis. </w:t>
      </w:r>
      <w:r>
        <w:rPr>
          <w:i/>
        </w:rPr>
        <w:t>Cognitive Psychology, 41</w:t>
      </w:r>
      <w:r>
        <w:t>(1), 49-100. doi:10.1006/cogp.1999.0734</w:t>
      </w:r>
    </w:p>
    <w:p w14:paraId="710F5EF9" w14:textId="77777777" w:rsidR="00C75312" w:rsidRDefault="00BB293A">
      <w:pPr>
        <w:pStyle w:val="BodyText"/>
        <w:spacing w:line="480" w:lineRule="auto"/>
        <w:ind w:left="860" w:right="230" w:hanging="720"/>
        <w:jc w:val="both"/>
      </w:pPr>
      <w:proofErr w:type="spellStart"/>
      <w:r>
        <w:t>Mottron</w:t>
      </w:r>
      <w:proofErr w:type="spellEnd"/>
      <w:r>
        <w:t xml:space="preserve">, L. (2004). Matching strategies in cognitive research with individuals with high- functioning autism: Current practices, instrument biases, and recommendations. </w:t>
      </w:r>
      <w:r>
        <w:rPr>
          <w:i/>
        </w:rPr>
        <w:t>Journal of Autism and Developmental Disorders, 34</w:t>
      </w:r>
      <w:r>
        <w:t>(1), 19-27. doi:10.1023/B:Jadd.0000018070.88380.83</w:t>
      </w:r>
    </w:p>
    <w:p w14:paraId="75BB62E0" w14:textId="77777777" w:rsidR="00C75312" w:rsidRPr="002C3022" w:rsidRDefault="00BB293A">
      <w:pPr>
        <w:pStyle w:val="BodyText"/>
        <w:spacing w:line="480" w:lineRule="auto"/>
        <w:ind w:left="860" w:right="241" w:hanging="720"/>
        <w:jc w:val="both"/>
        <w:rPr>
          <w:lang w:val="it-IT"/>
        </w:rPr>
      </w:pPr>
      <w:r>
        <w:t xml:space="preserve">Nelson, H. E. (1976). A </w:t>
      </w:r>
      <w:proofErr w:type="spellStart"/>
      <w:r>
        <w:t>modificed</w:t>
      </w:r>
      <w:proofErr w:type="spellEnd"/>
      <w:r>
        <w:t xml:space="preserve"> card sorting test sensitive to frontal lobe defects. </w:t>
      </w:r>
      <w:r w:rsidRPr="002C3022">
        <w:rPr>
          <w:i/>
          <w:lang w:val="it-IT"/>
        </w:rPr>
        <w:t>Cortex, 12</w:t>
      </w:r>
      <w:r w:rsidRPr="002C3022">
        <w:rPr>
          <w:lang w:val="it-IT"/>
        </w:rPr>
        <w:t>(4), 313-324. doi:10.1016/S0010-9452(76)80035-4</w:t>
      </w:r>
    </w:p>
    <w:p w14:paraId="30CD2549" w14:textId="77777777" w:rsidR="00C75312" w:rsidRDefault="00BB293A">
      <w:pPr>
        <w:pStyle w:val="BodyText"/>
        <w:spacing w:line="480" w:lineRule="auto"/>
        <w:ind w:left="860" w:right="236" w:hanging="720"/>
        <w:jc w:val="both"/>
      </w:pPr>
      <w:r w:rsidRPr="002C3022">
        <w:rPr>
          <w:lang w:val="it-IT"/>
        </w:rPr>
        <w:t xml:space="preserve">Neroni, M. A., Gamboz, N., &amp; Brandimonte, M. a. (2014). </w:t>
      </w:r>
      <w:r>
        <w:t xml:space="preserve">Does episodic future thinking improve prospective remembering? </w:t>
      </w:r>
      <w:r>
        <w:rPr>
          <w:i/>
        </w:rPr>
        <w:t>Consciousness and Cognition, 23</w:t>
      </w:r>
      <w:r>
        <w:t>, 53-62. doi:10.1016/j.concog.2013.12.001</w:t>
      </w:r>
    </w:p>
    <w:p w14:paraId="491C2960" w14:textId="77777777" w:rsidR="00C75312" w:rsidRDefault="00C75312">
      <w:pPr>
        <w:spacing w:line="480" w:lineRule="auto"/>
        <w:jc w:val="both"/>
        <w:sectPr w:rsidR="00C75312">
          <w:pgSz w:w="11900" w:h="16840"/>
          <w:pgMar w:top="1160" w:right="1200" w:bottom="280" w:left="1300" w:header="720" w:footer="0" w:gutter="0"/>
          <w:cols w:space="720"/>
        </w:sectPr>
      </w:pPr>
    </w:p>
    <w:p w14:paraId="586C2921" w14:textId="77777777" w:rsidR="00C75312" w:rsidRDefault="00C75312">
      <w:pPr>
        <w:pStyle w:val="BodyText"/>
        <w:spacing w:before="9"/>
        <w:rPr>
          <w:sz w:val="15"/>
        </w:rPr>
      </w:pPr>
    </w:p>
    <w:p w14:paraId="4872CE59" w14:textId="77777777" w:rsidR="00C75312" w:rsidRDefault="00BB293A">
      <w:pPr>
        <w:pStyle w:val="BodyText"/>
        <w:spacing w:before="90"/>
        <w:ind w:left="140"/>
      </w:pPr>
      <w:r>
        <w:t xml:space="preserve">Nicholson, T., Williams, D. M., Grainger, C., Christensen, J. F., Calvo-Merino, B., &amp; </w:t>
      </w:r>
      <w:r>
        <w:rPr>
          <w:spacing w:val="4"/>
        </w:rPr>
        <w:t xml:space="preserve"> </w:t>
      </w:r>
      <w:proofErr w:type="spellStart"/>
      <w:r>
        <w:t>Gaigg</w:t>
      </w:r>
      <w:proofErr w:type="spellEnd"/>
      <w:r>
        <w:t>,</w:t>
      </w:r>
    </w:p>
    <w:p w14:paraId="776313BB" w14:textId="77777777" w:rsidR="00C75312" w:rsidRDefault="00C75312">
      <w:pPr>
        <w:pStyle w:val="BodyText"/>
      </w:pPr>
    </w:p>
    <w:p w14:paraId="2EF8E040" w14:textId="77777777" w:rsidR="00C75312" w:rsidRDefault="00BB293A">
      <w:pPr>
        <w:ind w:left="860"/>
        <w:jc w:val="both"/>
        <w:rPr>
          <w:sz w:val="24"/>
        </w:rPr>
      </w:pPr>
      <w:r>
        <w:rPr>
          <w:sz w:val="24"/>
        </w:rPr>
        <w:t>S.</w:t>
      </w:r>
      <w:r>
        <w:rPr>
          <w:spacing w:val="-7"/>
          <w:sz w:val="24"/>
        </w:rPr>
        <w:t xml:space="preserve"> </w:t>
      </w:r>
      <w:r>
        <w:rPr>
          <w:sz w:val="24"/>
        </w:rPr>
        <w:t>B.</w:t>
      </w:r>
      <w:r>
        <w:rPr>
          <w:spacing w:val="-12"/>
          <w:sz w:val="24"/>
        </w:rPr>
        <w:t xml:space="preserve"> </w:t>
      </w:r>
      <w:r>
        <w:rPr>
          <w:sz w:val="24"/>
        </w:rPr>
        <w:t>(2017).</w:t>
      </w:r>
      <w:r>
        <w:rPr>
          <w:spacing w:val="-11"/>
          <w:sz w:val="24"/>
        </w:rPr>
        <w:t xml:space="preserve"> </w:t>
      </w:r>
      <w:r>
        <w:rPr>
          <w:i/>
          <w:sz w:val="24"/>
        </w:rPr>
        <w:t>Interoceptive</w:t>
      </w:r>
      <w:r>
        <w:rPr>
          <w:i/>
          <w:spacing w:val="-11"/>
          <w:sz w:val="24"/>
        </w:rPr>
        <w:t xml:space="preserve"> </w:t>
      </w:r>
      <w:r>
        <w:rPr>
          <w:i/>
          <w:sz w:val="24"/>
        </w:rPr>
        <w:t>impairments</w:t>
      </w:r>
      <w:r>
        <w:rPr>
          <w:i/>
          <w:spacing w:val="-12"/>
          <w:sz w:val="24"/>
        </w:rPr>
        <w:t xml:space="preserve"> </w:t>
      </w:r>
      <w:r>
        <w:rPr>
          <w:i/>
          <w:sz w:val="24"/>
        </w:rPr>
        <w:t>do</w:t>
      </w:r>
      <w:r>
        <w:rPr>
          <w:i/>
          <w:spacing w:val="-9"/>
          <w:sz w:val="24"/>
        </w:rPr>
        <w:t xml:space="preserve"> </w:t>
      </w:r>
      <w:r>
        <w:rPr>
          <w:i/>
          <w:sz w:val="24"/>
        </w:rPr>
        <w:t>not</w:t>
      </w:r>
      <w:r>
        <w:rPr>
          <w:i/>
          <w:spacing w:val="-9"/>
          <w:sz w:val="24"/>
        </w:rPr>
        <w:t xml:space="preserve"> </w:t>
      </w:r>
      <w:r>
        <w:rPr>
          <w:i/>
          <w:sz w:val="24"/>
        </w:rPr>
        <w:t>lie</w:t>
      </w:r>
      <w:r>
        <w:rPr>
          <w:i/>
          <w:spacing w:val="-11"/>
          <w:sz w:val="24"/>
        </w:rPr>
        <w:t xml:space="preserve"> </w:t>
      </w:r>
      <w:r>
        <w:rPr>
          <w:i/>
          <w:sz w:val="24"/>
        </w:rPr>
        <w:t>at</w:t>
      </w:r>
      <w:r>
        <w:rPr>
          <w:i/>
          <w:spacing w:val="-8"/>
          <w:sz w:val="24"/>
        </w:rPr>
        <w:t xml:space="preserve"> </w:t>
      </w:r>
      <w:r>
        <w:rPr>
          <w:i/>
          <w:sz w:val="24"/>
        </w:rPr>
        <w:t>the</w:t>
      </w:r>
      <w:r>
        <w:rPr>
          <w:i/>
          <w:spacing w:val="-11"/>
          <w:sz w:val="24"/>
        </w:rPr>
        <w:t xml:space="preserve"> </w:t>
      </w:r>
      <w:r>
        <w:rPr>
          <w:i/>
          <w:sz w:val="24"/>
        </w:rPr>
        <w:t>heart</w:t>
      </w:r>
      <w:r>
        <w:rPr>
          <w:i/>
          <w:spacing w:val="-9"/>
          <w:sz w:val="24"/>
        </w:rPr>
        <w:t xml:space="preserve"> </w:t>
      </w:r>
      <w:r>
        <w:rPr>
          <w:i/>
          <w:sz w:val="24"/>
        </w:rPr>
        <w:t>of</w:t>
      </w:r>
      <w:r>
        <w:rPr>
          <w:i/>
          <w:spacing w:val="-8"/>
          <w:sz w:val="24"/>
        </w:rPr>
        <w:t xml:space="preserve"> </w:t>
      </w:r>
      <w:r>
        <w:rPr>
          <w:i/>
          <w:sz w:val="24"/>
        </w:rPr>
        <w:t>autism</w:t>
      </w:r>
      <w:r>
        <w:rPr>
          <w:i/>
          <w:spacing w:val="-10"/>
          <w:sz w:val="24"/>
        </w:rPr>
        <w:t xml:space="preserve"> </w:t>
      </w:r>
      <w:r>
        <w:rPr>
          <w:i/>
          <w:sz w:val="24"/>
        </w:rPr>
        <w:t>or</w:t>
      </w:r>
      <w:r>
        <w:rPr>
          <w:i/>
          <w:spacing w:val="-11"/>
          <w:sz w:val="24"/>
        </w:rPr>
        <w:t xml:space="preserve"> </w:t>
      </w:r>
      <w:r>
        <w:rPr>
          <w:i/>
          <w:sz w:val="24"/>
        </w:rPr>
        <w:t>alexithymia</w:t>
      </w:r>
      <w:r>
        <w:rPr>
          <w:sz w:val="24"/>
        </w:rPr>
        <w:t>.</w:t>
      </w:r>
    </w:p>
    <w:p w14:paraId="1CBFBFB5" w14:textId="77777777" w:rsidR="00C75312" w:rsidRDefault="00C75312">
      <w:pPr>
        <w:pStyle w:val="BodyText"/>
      </w:pPr>
    </w:p>
    <w:p w14:paraId="032A4F09" w14:textId="77777777" w:rsidR="00C75312" w:rsidRDefault="00BB293A">
      <w:pPr>
        <w:pStyle w:val="BodyText"/>
        <w:ind w:left="860"/>
      </w:pPr>
      <w:r>
        <w:t xml:space="preserve">Manuscript submitted for </w:t>
      </w:r>
      <w:proofErr w:type="spellStart"/>
      <w:r>
        <w:t>publicaton</w:t>
      </w:r>
      <w:proofErr w:type="spellEnd"/>
      <w:r>
        <w:t>.</w:t>
      </w:r>
    </w:p>
    <w:p w14:paraId="0926BC4D" w14:textId="77777777" w:rsidR="00C75312" w:rsidRDefault="00C75312">
      <w:pPr>
        <w:pStyle w:val="BodyText"/>
      </w:pPr>
    </w:p>
    <w:p w14:paraId="2E129A03" w14:textId="77777777" w:rsidR="00C75312" w:rsidRDefault="00BB293A">
      <w:pPr>
        <w:pStyle w:val="BodyText"/>
        <w:spacing w:line="480" w:lineRule="auto"/>
        <w:ind w:left="860" w:right="234" w:hanging="720"/>
        <w:jc w:val="both"/>
      </w:pPr>
      <w:proofErr w:type="spellStart"/>
      <w:r>
        <w:t>Niedźwieńska</w:t>
      </w:r>
      <w:proofErr w:type="spellEnd"/>
      <w:r>
        <w:t xml:space="preserve">, A., Janik, B., &amp; </w:t>
      </w:r>
      <w:proofErr w:type="spellStart"/>
      <w:r>
        <w:t>Jarczyńska</w:t>
      </w:r>
      <w:proofErr w:type="spellEnd"/>
      <w:r>
        <w:t>, A. (2013). Age-related differences in everyday prospective</w:t>
      </w:r>
      <w:r>
        <w:rPr>
          <w:spacing w:val="-13"/>
        </w:rPr>
        <w:t xml:space="preserve"> </w:t>
      </w:r>
      <w:r>
        <w:t>memory</w:t>
      </w:r>
      <w:r>
        <w:rPr>
          <w:spacing w:val="-11"/>
        </w:rPr>
        <w:t xml:space="preserve"> </w:t>
      </w:r>
      <w:r>
        <w:t>tasks:</w:t>
      </w:r>
      <w:r>
        <w:rPr>
          <w:spacing w:val="-15"/>
        </w:rPr>
        <w:t xml:space="preserve"> </w:t>
      </w:r>
      <w:r>
        <w:t>The</w:t>
      </w:r>
      <w:r>
        <w:rPr>
          <w:spacing w:val="-12"/>
        </w:rPr>
        <w:t xml:space="preserve"> </w:t>
      </w:r>
      <w:r>
        <w:t>role</w:t>
      </w:r>
      <w:r>
        <w:rPr>
          <w:spacing w:val="-13"/>
        </w:rPr>
        <w:t xml:space="preserve"> </w:t>
      </w:r>
      <w:r>
        <w:t>of</w:t>
      </w:r>
      <w:r>
        <w:rPr>
          <w:spacing w:val="-14"/>
        </w:rPr>
        <w:t xml:space="preserve"> </w:t>
      </w:r>
      <w:r>
        <w:t>planning</w:t>
      </w:r>
      <w:r>
        <w:rPr>
          <w:spacing w:val="-15"/>
        </w:rPr>
        <w:t xml:space="preserve"> </w:t>
      </w:r>
      <w:r>
        <w:t>and</w:t>
      </w:r>
      <w:r>
        <w:rPr>
          <w:spacing w:val="-11"/>
        </w:rPr>
        <w:t xml:space="preserve"> </w:t>
      </w:r>
      <w:r>
        <w:t>personal</w:t>
      </w:r>
      <w:r>
        <w:rPr>
          <w:spacing w:val="-10"/>
        </w:rPr>
        <w:t xml:space="preserve"> </w:t>
      </w:r>
      <w:r>
        <w:t>importance.</w:t>
      </w:r>
      <w:r>
        <w:rPr>
          <w:spacing w:val="-14"/>
        </w:rPr>
        <w:t xml:space="preserve"> </w:t>
      </w:r>
      <w:r>
        <w:rPr>
          <w:i/>
        </w:rPr>
        <w:t>International Journal of Psychology, 48</w:t>
      </w:r>
      <w:r>
        <w:t>(6), 1291-1302.</w:t>
      </w:r>
      <w:r>
        <w:rPr>
          <w:spacing w:val="6"/>
        </w:rPr>
        <w:t xml:space="preserve"> </w:t>
      </w:r>
      <w:r>
        <w:t>doi:10.1080/00207594.2012.752097</w:t>
      </w:r>
    </w:p>
    <w:p w14:paraId="1AAB2CDD" w14:textId="77777777" w:rsidR="00C75312" w:rsidRDefault="00BB293A">
      <w:pPr>
        <w:spacing w:line="480" w:lineRule="auto"/>
        <w:ind w:left="860" w:right="234" w:hanging="720"/>
        <w:jc w:val="both"/>
        <w:rPr>
          <w:sz w:val="24"/>
        </w:rPr>
      </w:pPr>
      <w:r>
        <w:rPr>
          <w:sz w:val="24"/>
        </w:rPr>
        <w:t xml:space="preserve">Nigro, G., </w:t>
      </w:r>
      <w:proofErr w:type="spellStart"/>
      <w:r>
        <w:rPr>
          <w:sz w:val="24"/>
        </w:rPr>
        <w:t>Brandimonte</w:t>
      </w:r>
      <w:proofErr w:type="spellEnd"/>
      <w:r>
        <w:rPr>
          <w:sz w:val="24"/>
        </w:rPr>
        <w:t xml:space="preserve">, M. a., Cicogna, P., &amp; Cosenza, M. (2014). Episodic future thinking as a predictor of children's prospective memory. </w:t>
      </w:r>
      <w:r>
        <w:rPr>
          <w:i/>
          <w:sz w:val="24"/>
        </w:rPr>
        <w:t>Journal of Experimental Child Psychology, 127</w:t>
      </w:r>
      <w:r>
        <w:rPr>
          <w:sz w:val="24"/>
        </w:rPr>
        <w:t>, 82-94. doi:10.1016/j.jecp.2013.10.013</w:t>
      </w:r>
    </w:p>
    <w:p w14:paraId="33E4E554" w14:textId="77777777" w:rsidR="00C75312" w:rsidRDefault="00BB293A">
      <w:pPr>
        <w:pStyle w:val="BodyText"/>
        <w:spacing w:line="480" w:lineRule="auto"/>
        <w:ind w:left="860" w:right="234" w:hanging="720"/>
        <w:jc w:val="both"/>
      </w:pPr>
      <w:r>
        <w:t xml:space="preserve">Nishiyama, T., Suzuki, M., Adachi, K., Sumi, S., Okada, K., Kishino, H., . . . Kanne, S. M. (2014). Comprehensive comparison of self-administered questionnaires for measuring quantitative autistic traits in adults. </w:t>
      </w:r>
      <w:r>
        <w:rPr>
          <w:i/>
        </w:rPr>
        <w:t>Journal of Autism and Developmental Disorders, 44</w:t>
      </w:r>
      <w:r>
        <w:t>(5), 993-1007. doi:10.1007/s10803-013-2020-7</w:t>
      </w:r>
    </w:p>
    <w:p w14:paraId="6F3E8AD6" w14:textId="77777777" w:rsidR="00C75312" w:rsidRDefault="00BB293A">
      <w:pPr>
        <w:pStyle w:val="BodyText"/>
        <w:spacing w:before="1" w:line="480" w:lineRule="auto"/>
        <w:ind w:left="860" w:right="234" w:hanging="720"/>
        <w:jc w:val="both"/>
      </w:pPr>
      <w:r>
        <w:t>Nowinski,</w:t>
      </w:r>
      <w:r>
        <w:rPr>
          <w:spacing w:val="-13"/>
        </w:rPr>
        <w:t xml:space="preserve"> </w:t>
      </w:r>
      <w:r>
        <w:t>J.</w:t>
      </w:r>
      <w:r>
        <w:rPr>
          <w:spacing w:val="-13"/>
        </w:rPr>
        <w:t xml:space="preserve"> </w:t>
      </w:r>
      <w:r>
        <w:t>L.,</w:t>
      </w:r>
      <w:r>
        <w:rPr>
          <w:spacing w:val="-17"/>
        </w:rPr>
        <w:t xml:space="preserve"> </w:t>
      </w:r>
      <w:r>
        <w:t>&amp;</w:t>
      </w:r>
      <w:r>
        <w:rPr>
          <w:spacing w:val="-15"/>
        </w:rPr>
        <w:t xml:space="preserve"> </w:t>
      </w:r>
      <w:r>
        <w:t>Dismukes,</w:t>
      </w:r>
      <w:r>
        <w:rPr>
          <w:spacing w:val="-13"/>
        </w:rPr>
        <w:t xml:space="preserve"> </w:t>
      </w:r>
      <w:r>
        <w:rPr>
          <w:spacing w:val="-3"/>
        </w:rPr>
        <w:t>K.</w:t>
      </w:r>
      <w:r>
        <w:rPr>
          <w:spacing w:val="-12"/>
        </w:rPr>
        <w:t xml:space="preserve"> </w:t>
      </w:r>
      <w:r>
        <w:t>R.</w:t>
      </w:r>
      <w:r>
        <w:rPr>
          <w:spacing w:val="-18"/>
        </w:rPr>
        <w:t xml:space="preserve"> </w:t>
      </w:r>
      <w:r>
        <w:t>(2005).</w:t>
      </w:r>
      <w:r>
        <w:rPr>
          <w:spacing w:val="-17"/>
        </w:rPr>
        <w:t xml:space="preserve"> </w:t>
      </w:r>
      <w:r>
        <w:t>Effects</w:t>
      </w:r>
      <w:r>
        <w:rPr>
          <w:spacing w:val="-18"/>
        </w:rPr>
        <w:t xml:space="preserve"> </w:t>
      </w:r>
      <w:r>
        <w:t>of</w:t>
      </w:r>
      <w:r>
        <w:rPr>
          <w:spacing w:val="-13"/>
        </w:rPr>
        <w:t xml:space="preserve"> </w:t>
      </w:r>
      <w:r>
        <w:t>ongoing</w:t>
      </w:r>
      <w:r>
        <w:rPr>
          <w:spacing w:val="-15"/>
        </w:rPr>
        <w:t xml:space="preserve"> </w:t>
      </w:r>
      <w:r>
        <w:t>task</w:t>
      </w:r>
      <w:r>
        <w:rPr>
          <w:spacing w:val="-14"/>
        </w:rPr>
        <w:t xml:space="preserve"> </w:t>
      </w:r>
      <w:r>
        <w:t>context</w:t>
      </w:r>
      <w:r>
        <w:rPr>
          <w:spacing w:val="-15"/>
        </w:rPr>
        <w:t xml:space="preserve"> </w:t>
      </w:r>
      <w:r>
        <w:t>and</w:t>
      </w:r>
      <w:r>
        <w:rPr>
          <w:spacing w:val="-15"/>
        </w:rPr>
        <w:t xml:space="preserve"> </w:t>
      </w:r>
      <w:r>
        <w:t>target</w:t>
      </w:r>
      <w:r>
        <w:rPr>
          <w:spacing w:val="-19"/>
        </w:rPr>
        <w:t xml:space="preserve"> </w:t>
      </w:r>
      <w:r>
        <w:t xml:space="preserve">typicality on prospective memory performance: The importance of associative cueing. </w:t>
      </w:r>
      <w:r>
        <w:rPr>
          <w:i/>
        </w:rPr>
        <w:t>Memory, 13</w:t>
      </w:r>
      <w:r>
        <w:t>(6), 649-657.</w:t>
      </w:r>
      <w:r>
        <w:rPr>
          <w:spacing w:val="3"/>
        </w:rPr>
        <w:t xml:space="preserve"> </w:t>
      </w:r>
      <w:r>
        <w:t>doi:10.1080/09658210444000313</w:t>
      </w:r>
    </w:p>
    <w:p w14:paraId="4D612898" w14:textId="77777777" w:rsidR="00C75312" w:rsidRDefault="00BB293A">
      <w:pPr>
        <w:pStyle w:val="BodyText"/>
        <w:spacing w:line="480" w:lineRule="auto"/>
        <w:ind w:left="860" w:right="236" w:hanging="720"/>
        <w:jc w:val="both"/>
      </w:pPr>
      <w:r>
        <w:t xml:space="preserve">Okuda, J., Fujii, T., </w:t>
      </w:r>
      <w:proofErr w:type="spellStart"/>
      <w:r>
        <w:t>Ohtake</w:t>
      </w:r>
      <w:proofErr w:type="spellEnd"/>
      <w:r>
        <w:t xml:space="preserve">, H., </w:t>
      </w:r>
      <w:proofErr w:type="spellStart"/>
      <w:r>
        <w:t>Tsukiura</w:t>
      </w:r>
      <w:proofErr w:type="spellEnd"/>
      <w:r>
        <w:t xml:space="preserve">, T., </w:t>
      </w:r>
      <w:proofErr w:type="spellStart"/>
      <w:r>
        <w:t>Yamadori</w:t>
      </w:r>
      <w:proofErr w:type="spellEnd"/>
      <w:r>
        <w:t xml:space="preserve">, A., Frith, </w:t>
      </w:r>
      <w:r>
        <w:rPr>
          <w:spacing w:val="-4"/>
        </w:rPr>
        <w:t xml:space="preserve">C. </w:t>
      </w:r>
      <w:r>
        <w:t xml:space="preserve">D., &amp; Burgess, P. </w:t>
      </w:r>
      <w:r>
        <w:rPr>
          <w:spacing w:val="-3"/>
        </w:rPr>
        <w:t xml:space="preserve">W. </w:t>
      </w:r>
      <w:r>
        <w:t>(2007).</w:t>
      </w:r>
      <w:r>
        <w:rPr>
          <w:spacing w:val="-7"/>
        </w:rPr>
        <w:t xml:space="preserve"> </w:t>
      </w:r>
      <w:r>
        <w:t>Differential</w:t>
      </w:r>
      <w:r>
        <w:rPr>
          <w:spacing w:val="-8"/>
        </w:rPr>
        <w:t xml:space="preserve"> </w:t>
      </w:r>
      <w:r>
        <w:t>involvement</w:t>
      </w:r>
      <w:r>
        <w:rPr>
          <w:spacing w:val="-9"/>
        </w:rPr>
        <w:t xml:space="preserve"> </w:t>
      </w:r>
      <w:r>
        <w:rPr>
          <w:spacing w:val="-3"/>
        </w:rPr>
        <w:t>of</w:t>
      </w:r>
      <w:r>
        <w:rPr>
          <w:spacing w:val="-7"/>
        </w:rPr>
        <w:t xml:space="preserve"> </w:t>
      </w:r>
      <w:r>
        <w:t>regions</w:t>
      </w:r>
      <w:r>
        <w:rPr>
          <w:spacing w:val="-11"/>
        </w:rPr>
        <w:t xml:space="preserve"> </w:t>
      </w:r>
      <w:r>
        <w:t>of</w:t>
      </w:r>
      <w:r>
        <w:rPr>
          <w:spacing w:val="-13"/>
        </w:rPr>
        <w:t xml:space="preserve"> </w:t>
      </w:r>
      <w:r>
        <w:t>rostral</w:t>
      </w:r>
      <w:r>
        <w:rPr>
          <w:spacing w:val="-8"/>
        </w:rPr>
        <w:t xml:space="preserve"> </w:t>
      </w:r>
      <w:r>
        <w:t>prefrontal</w:t>
      </w:r>
      <w:r>
        <w:rPr>
          <w:spacing w:val="-8"/>
        </w:rPr>
        <w:t xml:space="preserve"> </w:t>
      </w:r>
      <w:r>
        <w:t>cortex</w:t>
      </w:r>
      <w:r>
        <w:rPr>
          <w:spacing w:val="-13"/>
        </w:rPr>
        <w:t xml:space="preserve"> </w:t>
      </w:r>
      <w:r>
        <w:t>(Brodmann</w:t>
      </w:r>
      <w:r>
        <w:rPr>
          <w:spacing w:val="-10"/>
        </w:rPr>
        <w:t xml:space="preserve"> </w:t>
      </w:r>
      <w:r>
        <w:t>area</w:t>
      </w:r>
    </w:p>
    <w:p w14:paraId="235F2038" w14:textId="77777777" w:rsidR="00C75312" w:rsidRDefault="00BB293A">
      <w:pPr>
        <w:spacing w:line="480" w:lineRule="auto"/>
        <w:ind w:left="860" w:right="239"/>
        <w:jc w:val="both"/>
        <w:rPr>
          <w:sz w:val="24"/>
        </w:rPr>
      </w:pPr>
      <w:r>
        <w:rPr>
          <w:sz w:val="24"/>
        </w:rPr>
        <w:t xml:space="preserve">10) in time- and event-based prospective memory. </w:t>
      </w:r>
      <w:r>
        <w:rPr>
          <w:i/>
          <w:sz w:val="24"/>
        </w:rPr>
        <w:t>International Journal of Psychophysiology, 64</w:t>
      </w:r>
      <w:r>
        <w:rPr>
          <w:sz w:val="24"/>
        </w:rPr>
        <w:t>(3), 233-246. doi:10.1016/j.ijpsycho.2006.09.009</w:t>
      </w:r>
    </w:p>
    <w:p w14:paraId="1363C562" w14:textId="77777777" w:rsidR="00C75312" w:rsidRDefault="00BB293A">
      <w:pPr>
        <w:pStyle w:val="BodyText"/>
        <w:spacing w:line="480" w:lineRule="auto"/>
        <w:ind w:left="860" w:right="234" w:hanging="720"/>
        <w:jc w:val="both"/>
      </w:pPr>
      <w:r>
        <w:t xml:space="preserve">Olde </w:t>
      </w:r>
      <w:proofErr w:type="spellStart"/>
      <w:r>
        <w:t>Dubbelink</w:t>
      </w:r>
      <w:proofErr w:type="spellEnd"/>
      <w:r>
        <w:t xml:space="preserve">, L. M. E., &amp; Geurts, </w:t>
      </w:r>
      <w:r>
        <w:rPr>
          <w:spacing w:val="-3"/>
        </w:rPr>
        <w:t xml:space="preserve">H. </w:t>
      </w:r>
      <w:r>
        <w:t>M. (2017). Planning Skills in Autism Spectrum Disorder</w:t>
      </w:r>
      <w:r>
        <w:rPr>
          <w:spacing w:val="-11"/>
        </w:rPr>
        <w:t xml:space="preserve"> </w:t>
      </w:r>
      <w:r>
        <w:t>Across</w:t>
      </w:r>
      <w:r>
        <w:rPr>
          <w:spacing w:val="-14"/>
        </w:rPr>
        <w:t xml:space="preserve"> </w:t>
      </w:r>
      <w:r>
        <w:t>the</w:t>
      </w:r>
      <w:r>
        <w:rPr>
          <w:spacing w:val="-13"/>
        </w:rPr>
        <w:t xml:space="preserve"> </w:t>
      </w:r>
      <w:r>
        <w:t>Lifespan:</w:t>
      </w:r>
      <w:r>
        <w:rPr>
          <w:spacing w:val="-12"/>
        </w:rPr>
        <w:t xml:space="preserve"> </w:t>
      </w:r>
      <w:r>
        <w:t>A</w:t>
      </w:r>
      <w:r>
        <w:rPr>
          <w:spacing w:val="-12"/>
        </w:rPr>
        <w:t xml:space="preserve"> </w:t>
      </w:r>
      <w:r>
        <w:t>Meta-analysis</w:t>
      </w:r>
      <w:r>
        <w:rPr>
          <w:spacing w:val="-14"/>
        </w:rPr>
        <w:t xml:space="preserve"> </w:t>
      </w:r>
      <w:r>
        <w:t>and</w:t>
      </w:r>
      <w:r>
        <w:rPr>
          <w:spacing w:val="-8"/>
        </w:rPr>
        <w:t xml:space="preserve"> </w:t>
      </w:r>
      <w:r>
        <w:t>Meta-regression.</w:t>
      </w:r>
      <w:r>
        <w:rPr>
          <w:spacing w:val="-9"/>
        </w:rPr>
        <w:t xml:space="preserve"> </w:t>
      </w:r>
      <w:r>
        <w:rPr>
          <w:i/>
        </w:rPr>
        <w:t>Journal</w:t>
      </w:r>
      <w:r>
        <w:rPr>
          <w:i/>
          <w:spacing w:val="-11"/>
        </w:rPr>
        <w:t xml:space="preserve"> </w:t>
      </w:r>
      <w:r>
        <w:rPr>
          <w:i/>
        </w:rPr>
        <w:t>of</w:t>
      </w:r>
      <w:r>
        <w:rPr>
          <w:i/>
          <w:spacing w:val="-12"/>
        </w:rPr>
        <w:t xml:space="preserve"> </w:t>
      </w:r>
      <w:r>
        <w:rPr>
          <w:i/>
        </w:rPr>
        <w:t>Autism and Developmental Disorders, 47</w:t>
      </w:r>
      <w:r>
        <w:t>(4), 1148-1165.</w:t>
      </w:r>
      <w:r>
        <w:rPr>
          <w:spacing w:val="-9"/>
        </w:rPr>
        <w:t xml:space="preserve"> </w:t>
      </w:r>
      <w:r>
        <w:t>doi:10.1007/s10803-016-3013-0</w:t>
      </w:r>
    </w:p>
    <w:p w14:paraId="75980D8D" w14:textId="77777777" w:rsidR="00C75312" w:rsidRDefault="00C75312">
      <w:pPr>
        <w:spacing w:line="480" w:lineRule="auto"/>
        <w:jc w:val="both"/>
        <w:sectPr w:rsidR="00C75312">
          <w:pgSz w:w="11900" w:h="16840"/>
          <w:pgMar w:top="1160" w:right="1200" w:bottom="280" w:left="1300" w:header="720" w:footer="0" w:gutter="0"/>
          <w:cols w:space="720"/>
        </w:sectPr>
      </w:pPr>
    </w:p>
    <w:p w14:paraId="654CC8F7" w14:textId="77777777" w:rsidR="00C75312" w:rsidRDefault="00C75312">
      <w:pPr>
        <w:pStyle w:val="BodyText"/>
        <w:spacing w:before="9"/>
        <w:rPr>
          <w:sz w:val="15"/>
        </w:rPr>
      </w:pPr>
    </w:p>
    <w:p w14:paraId="4DC6978D" w14:textId="77777777" w:rsidR="00C75312" w:rsidRPr="002C3022" w:rsidRDefault="00BB293A">
      <w:pPr>
        <w:spacing w:before="90" w:line="480" w:lineRule="auto"/>
        <w:ind w:left="860" w:right="234" w:hanging="720"/>
        <w:jc w:val="both"/>
        <w:rPr>
          <w:sz w:val="24"/>
          <w:lang w:val="it-IT"/>
        </w:rPr>
      </w:pPr>
      <w:r>
        <w:rPr>
          <w:sz w:val="24"/>
        </w:rPr>
        <w:t>Olu-Lafe, O., Liederman, J., &amp; Tager-</w:t>
      </w:r>
      <w:proofErr w:type="spellStart"/>
      <w:r>
        <w:rPr>
          <w:sz w:val="24"/>
        </w:rPr>
        <w:t>Flusberg</w:t>
      </w:r>
      <w:proofErr w:type="spellEnd"/>
      <w:r>
        <w:rPr>
          <w:sz w:val="24"/>
        </w:rPr>
        <w:t xml:space="preserve">, H. (2014). Is the ability to integrate parts into wholes affected in autism spectrum disorder? </w:t>
      </w:r>
      <w:r w:rsidRPr="002C3022">
        <w:rPr>
          <w:i/>
          <w:sz w:val="24"/>
          <w:lang w:val="it-IT"/>
        </w:rPr>
        <w:t>Journal of Autism and Developmental Disorders, 44</w:t>
      </w:r>
      <w:r w:rsidRPr="002C3022">
        <w:rPr>
          <w:sz w:val="24"/>
          <w:lang w:val="it-IT"/>
        </w:rPr>
        <w:t>(10), 2652-2660. doi:10.1007/s10803-014-2120-z</w:t>
      </w:r>
    </w:p>
    <w:p w14:paraId="56B0E4AC" w14:textId="77777777" w:rsidR="00C75312" w:rsidRDefault="00BB293A">
      <w:pPr>
        <w:pStyle w:val="BodyText"/>
        <w:spacing w:line="480" w:lineRule="auto"/>
        <w:ind w:left="860" w:right="234" w:hanging="720"/>
        <w:jc w:val="both"/>
      </w:pPr>
      <w:r w:rsidRPr="002C3022">
        <w:rPr>
          <w:lang w:val="it-IT"/>
        </w:rPr>
        <w:t>Palermo,</w:t>
      </w:r>
      <w:r w:rsidRPr="002C3022">
        <w:rPr>
          <w:spacing w:val="-3"/>
          <w:lang w:val="it-IT"/>
        </w:rPr>
        <w:t xml:space="preserve"> </w:t>
      </w:r>
      <w:r w:rsidRPr="002C3022">
        <w:rPr>
          <w:lang w:val="it-IT"/>
        </w:rPr>
        <w:t>L.,</w:t>
      </w:r>
      <w:r w:rsidRPr="002C3022">
        <w:rPr>
          <w:spacing w:val="-8"/>
          <w:lang w:val="it-IT"/>
        </w:rPr>
        <w:t xml:space="preserve"> </w:t>
      </w:r>
      <w:r w:rsidRPr="002C3022">
        <w:rPr>
          <w:lang w:val="it-IT"/>
        </w:rPr>
        <w:t>Cinelli,</w:t>
      </w:r>
      <w:r w:rsidRPr="002C3022">
        <w:rPr>
          <w:spacing w:val="-3"/>
          <w:lang w:val="it-IT"/>
        </w:rPr>
        <w:t xml:space="preserve"> </w:t>
      </w:r>
      <w:r w:rsidRPr="002C3022">
        <w:rPr>
          <w:lang w:val="it-IT"/>
        </w:rPr>
        <w:t>M.</w:t>
      </w:r>
      <w:r w:rsidRPr="002C3022">
        <w:rPr>
          <w:spacing w:val="-2"/>
          <w:lang w:val="it-IT"/>
        </w:rPr>
        <w:t xml:space="preserve"> </w:t>
      </w:r>
      <w:r w:rsidRPr="002C3022">
        <w:rPr>
          <w:lang w:val="it-IT"/>
        </w:rPr>
        <w:t>C.,</w:t>
      </w:r>
      <w:r w:rsidRPr="002C3022">
        <w:rPr>
          <w:spacing w:val="-3"/>
          <w:lang w:val="it-IT"/>
        </w:rPr>
        <w:t xml:space="preserve"> </w:t>
      </w:r>
      <w:r w:rsidRPr="002C3022">
        <w:rPr>
          <w:lang w:val="it-IT"/>
        </w:rPr>
        <w:t>Piccardi,</w:t>
      </w:r>
      <w:r w:rsidRPr="002C3022">
        <w:rPr>
          <w:spacing w:val="-3"/>
          <w:lang w:val="it-IT"/>
        </w:rPr>
        <w:t xml:space="preserve"> </w:t>
      </w:r>
      <w:r w:rsidRPr="002C3022">
        <w:rPr>
          <w:lang w:val="it-IT"/>
        </w:rPr>
        <w:t>L.,</w:t>
      </w:r>
      <w:r w:rsidRPr="002C3022">
        <w:rPr>
          <w:spacing w:val="-8"/>
          <w:lang w:val="it-IT"/>
        </w:rPr>
        <w:t xml:space="preserve"> </w:t>
      </w:r>
      <w:r w:rsidRPr="002C3022">
        <w:rPr>
          <w:lang w:val="it-IT"/>
        </w:rPr>
        <w:t>Ciurli,</w:t>
      </w:r>
      <w:r w:rsidRPr="002C3022">
        <w:rPr>
          <w:spacing w:val="-7"/>
          <w:lang w:val="it-IT"/>
        </w:rPr>
        <w:t xml:space="preserve"> </w:t>
      </w:r>
      <w:r w:rsidRPr="002C3022">
        <w:rPr>
          <w:lang w:val="it-IT"/>
        </w:rPr>
        <w:t>P.,</w:t>
      </w:r>
      <w:r w:rsidRPr="002C3022">
        <w:rPr>
          <w:spacing w:val="-8"/>
          <w:lang w:val="it-IT"/>
        </w:rPr>
        <w:t xml:space="preserve"> </w:t>
      </w:r>
      <w:r w:rsidRPr="002C3022">
        <w:rPr>
          <w:lang w:val="it-IT"/>
        </w:rPr>
        <w:t>Incoccia,</w:t>
      </w:r>
      <w:r w:rsidRPr="002C3022">
        <w:rPr>
          <w:spacing w:val="-2"/>
          <w:lang w:val="it-IT"/>
        </w:rPr>
        <w:t xml:space="preserve"> </w:t>
      </w:r>
      <w:r w:rsidRPr="002C3022">
        <w:rPr>
          <w:lang w:val="it-IT"/>
        </w:rPr>
        <w:t>C.,</w:t>
      </w:r>
      <w:r w:rsidRPr="002C3022">
        <w:rPr>
          <w:spacing w:val="-8"/>
          <w:lang w:val="it-IT"/>
        </w:rPr>
        <w:t xml:space="preserve"> </w:t>
      </w:r>
      <w:r w:rsidRPr="002C3022">
        <w:rPr>
          <w:lang w:val="it-IT"/>
        </w:rPr>
        <w:t>Zompanti,</w:t>
      </w:r>
      <w:r w:rsidRPr="002C3022">
        <w:rPr>
          <w:spacing w:val="-3"/>
          <w:lang w:val="it-IT"/>
        </w:rPr>
        <w:t xml:space="preserve"> </w:t>
      </w:r>
      <w:r w:rsidRPr="002C3022">
        <w:rPr>
          <w:lang w:val="it-IT"/>
        </w:rPr>
        <w:t>L.,</w:t>
      </w:r>
      <w:r w:rsidRPr="002C3022">
        <w:rPr>
          <w:spacing w:val="-3"/>
          <w:lang w:val="it-IT"/>
        </w:rPr>
        <w:t xml:space="preserve"> </w:t>
      </w:r>
      <w:r w:rsidRPr="002C3022">
        <w:rPr>
          <w:lang w:val="it-IT"/>
        </w:rPr>
        <w:t>&amp;</w:t>
      </w:r>
      <w:r w:rsidRPr="002C3022">
        <w:rPr>
          <w:spacing w:val="-4"/>
          <w:lang w:val="it-IT"/>
        </w:rPr>
        <w:t xml:space="preserve"> </w:t>
      </w:r>
      <w:r w:rsidRPr="002C3022">
        <w:rPr>
          <w:lang w:val="it-IT"/>
        </w:rPr>
        <w:t>Guariglia,</w:t>
      </w:r>
      <w:r w:rsidRPr="002C3022">
        <w:rPr>
          <w:spacing w:val="-3"/>
          <w:lang w:val="it-IT"/>
        </w:rPr>
        <w:t xml:space="preserve"> </w:t>
      </w:r>
      <w:r w:rsidRPr="002C3022">
        <w:rPr>
          <w:lang w:val="it-IT"/>
        </w:rPr>
        <w:t xml:space="preserve">C. (2015). </w:t>
      </w:r>
      <w:r>
        <w:t xml:space="preserve">Women outperform men in remembering to remember. </w:t>
      </w:r>
      <w:r>
        <w:rPr>
          <w:i/>
        </w:rPr>
        <w:t>Quarterly Journal of Experimental Psychology</w:t>
      </w:r>
      <w:r>
        <w:t>, 1-10.</w:t>
      </w:r>
      <w:r>
        <w:rPr>
          <w:spacing w:val="9"/>
        </w:rPr>
        <w:t xml:space="preserve"> </w:t>
      </w:r>
      <w:r>
        <w:t>doi:10.1080/17470218.2015.1023734</w:t>
      </w:r>
    </w:p>
    <w:p w14:paraId="5B417C44" w14:textId="77777777" w:rsidR="00C75312" w:rsidRDefault="00BB293A">
      <w:pPr>
        <w:pStyle w:val="BodyText"/>
        <w:ind w:left="140"/>
        <w:jc w:val="both"/>
      </w:pPr>
      <w:r>
        <w:t>Parker, J. D. A., Taylor, G. J., &amp; Bagby, R. M. (2003). The 20-Item Toronto Alexithymia Scale:</w:t>
      </w:r>
    </w:p>
    <w:p w14:paraId="7A49181D" w14:textId="77777777" w:rsidR="00C75312" w:rsidRDefault="00C75312">
      <w:pPr>
        <w:pStyle w:val="BodyText"/>
      </w:pPr>
    </w:p>
    <w:p w14:paraId="612F0173" w14:textId="77777777" w:rsidR="00C75312" w:rsidRDefault="00BB293A">
      <w:pPr>
        <w:spacing w:line="480" w:lineRule="auto"/>
        <w:ind w:left="860" w:right="234"/>
        <w:jc w:val="both"/>
        <w:rPr>
          <w:sz w:val="24"/>
        </w:rPr>
      </w:pPr>
      <w:r>
        <w:rPr>
          <w:sz w:val="24"/>
        </w:rPr>
        <w:t xml:space="preserve">III. Reliability and factorial validity in a community population. </w:t>
      </w:r>
      <w:r>
        <w:rPr>
          <w:i/>
          <w:sz w:val="24"/>
        </w:rPr>
        <w:t>Journal of Psychosomatic Research, 55</w:t>
      </w:r>
      <w:r>
        <w:rPr>
          <w:sz w:val="24"/>
        </w:rPr>
        <w:t>(3), 269-275. doi:10.1016/S0022-3999(02)00578-0</w:t>
      </w:r>
    </w:p>
    <w:p w14:paraId="63578ECA" w14:textId="77777777" w:rsidR="00C75312" w:rsidRDefault="00BB293A">
      <w:pPr>
        <w:pStyle w:val="BodyText"/>
        <w:spacing w:line="480" w:lineRule="auto"/>
        <w:ind w:left="860" w:right="236" w:hanging="720"/>
        <w:jc w:val="both"/>
      </w:pPr>
      <w:proofErr w:type="spellStart"/>
      <w:r>
        <w:t>Pashler</w:t>
      </w:r>
      <w:proofErr w:type="spellEnd"/>
      <w:r>
        <w:t xml:space="preserve">, H., &amp; </w:t>
      </w:r>
      <w:proofErr w:type="spellStart"/>
      <w:r>
        <w:t>Wagenmakers</w:t>
      </w:r>
      <w:proofErr w:type="spellEnd"/>
      <w:r>
        <w:t xml:space="preserve">, E. J. (2012). Editors’ introduction to the special section on replicability in psychological science. </w:t>
      </w:r>
      <w:r>
        <w:rPr>
          <w:i/>
        </w:rPr>
        <w:t>Perspectives on Psychological Science, 7</w:t>
      </w:r>
      <w:r>
        <w:t>(6), 528-530. doi:10.1177/1745691612465253</w:t>
      </w:r>
    </w:p>
    <w:p w14:paraId="310DB872" w14:textId="77777777" w:rsidR="00C75312" w:rsidRDefault="00BB293A">
      <w:pPr>
        <w:pStyle w:val="BodyText"/>
        <w:spacing w:before="1" w:line="480" w:lineRule="auto"/>
        <w:ind w:left="860" w:right="234" w:hanging="720"/>
        <w:jc w:val="both"/>
      </w:pPr>
      <w:r>
        <w:t xml:space="preserve">Pearson, D. G., </w:t>
      </w:r>
      <w:proofErr w:type="spellStart"/>
      <w:r>
        <w:t>Deeprose</w:t>
      </w:r>
      <w:proofErr w:type="spellEnd"/>
      <w:r>
        <w:t>, C., Wallace-</w:t>
      </w:r>
      <w:proofErr w:type="spellStart"/>
      <w:r>
        <w:t>Hadrill</w:t>
      </w:r>
      <w:proofErr w:type="spellEnd"/>
      <w:r>
        <w:t xml:space="preserve">, S. M. a., Burnett Heyes, S., &amp; Holmes, E. a. (2013). Assessing mental imagery in clinical psychology: A review of imagery measures and a guiding framework. </w:t>
      </w:r>
      <w:r>
        <w:rPr>
          <w:i/>
        </w:rPr>
        <w:t>Clinical Psychology Review, 33</w:t>
      </w:r>
      <w:r>
        <w:t>(1), 1-23. doi:10.1016/j.cpr.2012.09.001</w:t>
      </w:r>
    </w:p>
    <w:p w14:paraId="7669B7D1" w14:textId="77777777" w:rsidR="00C75312" w:rsidRDefault="00BB293A">
      <w:pPr>
        <w:spacing w:line="480" w:lineRule="auto"/>
        <w:ind w:left="860" w:right="242" w:hanging="720"/>
        <w:jc w:val="both"/>
        <w:rPr>
          <w:sz w:val="24"/>
        </w:rPr>
      </w:pPr>
      <w:r>
        <w:rPr>
          <w:sz w:val="24"/>
        </w:rPr>
        <w:t xml:space="preserve">Peirce, J. W. (2007). </w:t>
      </w:r>
      <w:proofErr w:type="spellStart"/>
      <w:r>
        <w:rPr>
          <w:sz w:val="24"/>
        </w:rPr>
        <w:t>PsychoPy</w:t>
      </w:r>
      <w:proofErr w:type="spellEnd"/>
      <w:r>
        <w:rPr>
          <w:sz w:val="24"/>
        </w:rPr>
        <w:t xml:space="preserve">—Psychophysics software in Python. </w:t>
      </w:r>
      <w:r>
        <w:rPr>
          <w:i/>
          <w:sz w:val="24"/>
        </w:rPr>
        <w:t>Journal of Neuroscience Methods, 162</w:t>
      </w:r>
      <w:r>
        <w:rPr>
          <w:sz w:val="24"/>
        </w:rPr>
        <w:t>(1), 8-13. doi:10.1016/j.jneumeth.2006.11.017</w:t>
      </w:r>
    </w:p>
    <w:p w14:paraId="50BDB4ED" w14:textId="77777777" w:rsidR="00C75312" w:rsidRDefault="00BB293A">
      <w:pPr>
        <w:pStyle w:val="BodyText"/>
        <w:spacing w:line="480" w:lineRule="auto"/>
        <w:ind w:left="860" w:right="234" w:hanging="720"/>
        <w:jc w:val="both"/>
      </w:pPr>
      <w:r>
        <w:t xml:space="preserve">Pelli, D. G. (1997). The </w:t>
      </w:r>
      <w:proofErr w:type="spellStart"/>
      <w:r>
        <w:t>VideoToolbox</w:t>
      </w:r>
      <w:proofErr w:type="spellEnd"/>
      <w:r>
        <w:t xml:space="preserve"> software for visual psychophysics: Transforming numbers into movies. </w:t>
      </w:r>
      <w:r>
        <w:rPr>
          <w:i/>
        </w:rPr>
        <w:t>Spatial Vision, 10</w:t>
      </w:r>
      <w:r>
        <w:t>(4), 437-442. doi:10.1163/156856897x00366</w:t>
      </w:r>
    </w:p>
    <w:p w14:paraId="18D2C66F" w14:textId="77777777" w:rsidR="00C75312" w:rsidRPr="002C3022" w:rsidRDefault="00BB293A">
      <w:pPr>
        <w:spacing w:line="480" w:lineRule="auto"/>
        <w:ind w:left="860" w:right="238" w:hanging="720"/>
        <w:jc w:val="both"/>
        <w:rPr>
          <w:sz w:val="24"/>
          <w:lang w:val="fr-FR"/>
        </w:rPr>
      </w:pPr>
      <w:r>
        <w:rPr>
          <w:sz w:val="24"/>
        </w:rPr>
        <w:t xml:space="preserve">Penningroth, S. L., Scott, W. D., &amp; </w:t>
      </w:r>
      <w:proofErr w:type="spellStart"/>
      <w:r>
        <w:rPr>
          <w:sz w:val="24"/>
        </w:rPr>
        <w:t>Freuen</w:t>
      </w:r>
      <w:proofErr w:type="spellEnd"/>
      <w:r>
        <w:rPr>
          <w:sz w:val="24"/>
        </w:rPr>
        <w:t xml:space="preserve">, M. (2011). Social motivation in prospective memory: Higher importance ratings and reported performance rates for social tasks. </w:t>
      </w:r>
      <w:r w:rsidRPr="002C3022">
        <w:rPr>
          <w:i/>
          <w:sz w:val="24"/>
          <w:lang w:val="fr-FR"/>
        </w:rPr>
        <w:t>Canadian Journal of Experimental Psychology/Revue canadienne de psychologie expérimentale, 65</w:t>
      </w:r>
      <w:r w:rsidRPr="002C3022">
        <w:rPr>
          <w:sz w:val="24"/>
          <w:lang w:val="fr-FR"/>
        </w:rPr>
        <w:t>(1), 3-11. doi:10.1037/a0022841</w:t>
      </w:r>
    </w:p>
    <w:p w14:paraId="69135E19" w14:textId="77777777" w:rsidR="00C75312" w:rsidRPr="002C3022" w:rsidRDefault="00C75312">
      <w:pPr>
        <w:spacing w:line="480" w:lineRule="auto"/>
        <w:jc w:val="both"/>
        <w:rPr>
          <w:sz w:val="24"/>
          <w:lang w:val="fr-FR"/>
        </w:rPr>
        <w:sectPr w:rsidR="00C75312" w:rsidRPr="002C3022">
          <w:pgSz w:w="11900" w:h="16840"/>
          <w:pgMar w:top="1160" w:right="1200" w:bottom="280" w:left="1300" w:header="720" w:footer="0" w:gutter="0"/>
          <w:cols w:space="720"/>
        </w:sectPr>
      </w:pPr>
    </w:p>
    <w:p w14:paraId="270DD3C1" w14:textId="77777777" w:rsidR="00C75312" w:rsidRPr="002C3022" w:rsidRDefault="00C75312">
      <w:pPr>
        <w:pStyle w:val="BodyText"/>
        <w:spacing w:before="9"/>
        <w:rPr>
          <w:sz w:val="15"/>
          <w:lang w:val="fr-FR"/>
        </w:rPr>
      </w:pPr>
    </w:p>
    <w:p w14:paraId="58815174" w14:textId="77777777" w:rsidR="00C75312" w:rsidRDefault="00BB293A">
      <w:pPr>
        <w:pStyle w:val="BodyText"/>
        <w:spacing w:before="90" w:line="480" w:lineRule="auto"/>
        <w:ind w:left="860" w:right="235" w:hanging="720"/>
        <w:jc w:val="both"/>
      </w:pPr>
      <w:r>
        <w:t xml:space="preserve">Peterson, C. C., Wellman, H. M., &amp; Liu, D. (2005). Steps in theory-of-mind development for children with deafness or autism. </w:t>
      </w:r>
      <w:r>
        <w:rPr>
          <w:i/>
        </w:rPr>
        <w:t>Child Development, 76</w:t>
      </w:r>
      <w:r>
        <w:t>(2), 502-517. doi:10.1111/j.1467-8624.2005.00859.x</w:t>
      </w:r>
    </w:p>
    <w:p w14:paraId="741EADC6" w14:textId="77777777" w:rsidR="00C75312" w:rsidRDefault="00BB293A">
      <w:pPr>
        <w:pStyle w:val="BodyText"/>
        <w:spacing w:line="480" w:lineRule="auto"/>
        <w:ind w:left="860" w:right="243" w:hanging="720"/>
        <w:jc w:val="both"/>
      </w:pPr>
      <w:proofErr w:type="spellStart"/>
      <w:r>
        <w:t>Pollatos</w:t>
      </w:r>
      <w:proofErr w:type="spellEnd"/>
      <w:r>
        <w:t xml:space="preserve">, O., </w:t>
      </w:r>
      <w:proofErr w:type="spellStart"/>
      <w:r>
        <w:t>Laubrock</w:t>
      </w:r>
      <w:proofErr w:type="spellEnd"/>
      <w:r>
        <w:t xml:space="preserve">, J., &amp; Wittmann, M. (2014). Interoceptive focus shapes the experience of time. </w:t>
      </w:r>
      <w:proofErr w:type="spellStart"/>
      <w:r>
        <w:rPr>
          <w:i/>
        </w:rPr>
        <w:t>PLoS</w:t>
      </w:r>
      <w:proofErr w:type="spellEnd"/>
      <w:r>
        <w:rPr>
          <w:i/>
        </w:rPr>
        <w:t xml:space="preserve"> ONE, 9</w:t>
      </w:r>
      <w:r>
        <w:t>(1), 1-6. doi:10.1371/journal.pone.0086934</w:t>
      </w:r>
    </w:p>
    <w:p w14:paraId="57FD6E94" w14:textId="77777777" w:rsidR="00C75312" w:rsidRDefault="00BB293A">
      <w:pPr>
        <w:pStyle w:val="BodyText"/>
        <w:spacing w:line="480" w:lineRule="auto"/>
        <w:ind w:left="860" w:right="233" w:hanging="720"/>
        <w:jc w:val="both"/>
      </w:pPr>
      <w:proofErr w:type="spellStart"/>
      <w:r>
        <w:t>Pollatos</w:t>
      </w:r>
      <w:proofErr w:type="spellEnd"/>
      <w:r>
        <w:t xml:space="preserve">, O., Traut-Mattausch, E., Schroeder, H., &amp; </w:t>
      </w:r>
      <w:proofErr w:type="spellStart"/>
      <w:r>
        <w:t>Schandry</w:t>
      </w:r>
      <w:proofErr w:type="spellEnd"/>
      <w:r>
        <w:t xml:space="preserve">, </w:t>
      </w:r>
      <w:r>
        <w:rPr>
          <w:spacing w:val="-4"/>
        </w:rPr>
        <w:t xml:space="preserve">R. </w:t>
      </w:r>
      <w:r>
        <w:t xml:space="preserve">(2007). Interoceptive awareness mediates the relationship between anxiety and the intensity of unpleasant feelings. </w:t>
      </w:r>
      <w:r>
        <w:rPr>
          <w:i/>
        </w:rPr>
        <w:t>Journal of Anxiety Disorders, 21</w:t>
      </w:r>
      <w:r>
        <w:t>(7),</w:t>
      </w:r>
      <w:r>
        <w:rPr>
          <w:spacing w:val="56"/>
        </w:rPr>
        <w:t xml:space="preserve"> </w:t>
      </w:r>
      <w:r>
        <w:t>931-943.</w:t>
      </w:r>
    </w:p>
    <w:p w14:paraId="3088021A" w14:textId="77777777" w:rsidR="00C75312" w:rsidRDefault="00BB293A">
      <w:pPr>
        <w:pStyle w:val="BodyText"/>
        <w:ind w:left="860"/>
      </w:pPr>
      <w:r>
        <w:t>doi:10.1016/j.janxdis.2006.12.004</w:t>
      </w:r>
    </w:p>
    <w:p w14:paraId="6CC56D38" w14:textId="77777777" w:rsidR="00C75312" w:rsidRDefault="00C75312">
      <w:pPr>
        <w:pStyle w:val="BodyText"/>
      </w:pPr>
    </w:p>
    <w:p w14:paraId="6CFBEC03" w14:textId="77777777" w:rsidR="00C75312" w:rsidRDefault="00BB293A">
      <w:pPr>
        <w:tabs>
          <w:tab w:val="left" w:pos="1987"/>
          <w:tab w:val="left" w:pos="2760"/>
          <w:tab w:val="left" w:pos="3591"/>
          <w:tab w:val="left" w:pos="4517"/>
          <w:tab w:val="left" w:pos="5808"/>
          <w:tab w:val="left" w:pos="6384"/>
          <w:tab w:val="left" w:pos="8213"/>
          <w:tab w:val="left" w:pos="8779"/>
        </w:tabs>
        <w:spacing w:line="480" w:lineRule="auto"/>
        <w:ind w:left="860" w:right="236" w:hanging="720"/>
        <w:rPr>
          <w:sz w:val="24"/>
        </w:rPr>
      </w:pPr>
      <w:proofErr w:type="spellStart"/>
      <w:r>
        <w:rPr>
          <w:sz w:val="24"/>
        </w:rPr>
        <w:t>Pollatos</w:t>
      </w:r>
      <w:proofErr w:type="spellEnd"/>
      <w:r>
        <w:rPr>
          <w:sz w:val="24"/>
        </w:rPr>
        <w:t xml:space="preserve">, O., </w:t>
      </w:r>
      <w:proofErr w:type="spellStart"/>
      <w:r>
        <w:rPr>
          <w:sz w:val="24"/>
        </w:rPr>
        <w:t>Yeldesbay</w:t>
      </w:r>
      <w:proofErr w:type="spellEnd"/>
      <w:r>
        <w:rPr>
          <w:sz w:val="24"/>
        </w:rPr>
        <w:t xml:space="preserve">, A., </w:t>
      </w:r>
      <w:proofErr w:type="spellStart"/>
      <w:r>
        <w:rPr>
          <w:sz w:val="24"/>
        </w:rPr>
        <w:t>Pikovsky</w:t>
      </w:r>
      <w:proofErr w:type="spellEnd"/>
      <w:r>
        <w:rPr>
          <w:sz w:val="24"/>
        </w:rPr>
        <w:t>, A., &amp; Rosenblum, M. (2014). How much time has passed?</w:t>
      </w:r>
      <w:r>
        <w:rPr>
          <w:sz w:val="24"/>
        </w:rPr>
        <w:tab/>
        <w:t>Ask</w:t>
      </w:r>
      <w:r>
        <w:rPr>
          <w:sz w:val="24"/>
        </w:rPr>
        <w:tab/>
        <w:t>your</w:t>
      </w:r>
      <w:r>
        <w:rPr>
          <w:sz w:val="24"/>
        </w:rPr>
        <w:tab/>
        <w:t>heart.</w:t>
      </w:r>
      <w:r>
        <w:rPr>
          <w:sz w:val="24"/>
        </w:rPr>
        <w:tab/>
      </w:r>
      <w:r>
        <w:rPr>
          <w:i/>
          <w:sz w:val="24"/>
        </w:rPr>
        <w:t>Frontiers</w:t>
      </w:r>
      <w:r>
        <w:rPr>
          <w:i/>
          <w:sz w:val="24"/>
        </w:rPr>
        <w:tab/>
        <w:t>in</w:t>
      </w:r>
      <w:r>
        <w:rPr>
          <w:i/>
          <w:sz w:val="24"/>
        </w:rPr>
        <w:tab/>
        <w:t>Neurorobotics,</w:t>
      </w:r>
      <w:r>
        <w:rPr>
          <w:i/>
          <w:sz w:val="24"/>
        </w:rPr>
        <w:tab/>
        <w:t>8</w:t>
      </w:r>
      <w:r>
        <w:rPr>
          <w:sz w:val="24"/>
        </w:rPr>
        <w:t>,</w:t>
      </w:r>
      <w:r>
        <w:rPr>
          <w:sz w:val="24"/>
        </w:rPr>
        <w:tab/>
      </w:r>
      <w:r>
        <w:rPr>
          <w:spacing w:val="-4"/>
          <w:sz w:val="24"/>
        </w:rPr>
        <w:t>1-9.</w:t>
      </w:r>
    </w:p>
    <w:p w14:paraId="179A13DF" w14:textId="77777777" w:rsidR="00C75312" w:rsidRDefault="00BB293A">
      <w:pPr>
        <w:pStyle w:val="BodyText"/>
        <w:spacing w:before="1"/>
        <w:ind w:left="860"/>
      </w:pPr>
      <w:r>
        <w:t>doi:10.3389/fnbot.2014.00015</w:t>
      </w:r>
    </w:p>
    <w:p w14:paraId="0CF91154" w14:textId="77777777" w:rsidR="00C75312" w:rsidRDefault="00C75312">
      <w:pPr>
        <w:pStyle w:val="BodyText"/>
        <w:spacing w:before="11"/>
        <w:rPr>
          <w:sz w:val="23"/>
        </w:rPr>
      </w:pPr>
    </w:p>
    <w:p w14:paraId="4A1A89A6" w14:textId="77777777" w:rsidR="00C75312" w:rsidRDefault="00BB293A">
      <w:pPr>
        <w:pStyle w:val="BodyText"/>
        <w:spacing w:line="480" w:lineRule="auto"/>
        <w:ind w:left="860" w:right="234" w:hanging="720"/>
        <w:jc w:val="both"/>
      </w:pPr>
      <w:r>
        <w:t xml:space="preserve">Pugliese, C. E., Anthony, L. G., Strang, J. F., Dudley, K., Wallace, G. L., Naiman, D. Q., &amp; Kenworthy, L. (2016). Longitudinal examination of adaptive behavior in autism spectrum disorders: Influence of executive function. </w:t>
      </w:r>
      <w:r>
        <w:rPr>
          <w:i/>
        </w:rPr>
        <w:t>Journal of Autism and Developmental Disorders, 46</w:t>
      </w:r>
      <w:r>
        <w:t>(2), 467-477. doi:10.1007/s10803-015-2584-5</w:t>
      </w:r>
    </w:p>
    <w:p w14:paraId="771F7FBD" w14:textId="77777777" w:rsidR="00C75312" w:rsidRDefault="00BB293A">
      <w:pPr>
        <w:pStyle w:val="BodyText"/>
        <w:ind w:left="140"/>
        <w:jc w:val="both"/>
      </w:pPr>
      <w:r>
        <w:t>Raichle,</w:t>
      </w:r>
      <w:r>
        <w:rPr>
          <w:spacing w:val="11"/>
        </w:rPr>
        <w:t xml:space="preserve"> </w:t>
      </w:r>
      <w:r>
        <w:t>M.</w:t>
      </w:r>
      <w:r>
        <w:rPr>
          <w:spacing w:val="10"/>
        </w:rPr>
        <w:t xml:space="preserve"> </w:t>
      </w:r>
      <w:r>
        <w:t>E.,</w:t>
      </w:r>
      <w:r>
        <w:rPr>
          <w:spacing w:val="11"/>
        </w:rPr>
        <w:t xml:space="preserve"> </w:t>
      </w:r>
      <w:r>
        <w:t>MacLeod,</w:t>
      </w:r>
      <w:r>
        <w:rPr>
          <w:spacing w:val="11"/>
        </w:rPr>
        <w:t xml:space="preserve"> </w:t>
      </w:r>
      <w:r>
        <w:t>A.</w:t>
      </w:r>
      <w:r>
        <w:rPr>
          <w:spacing w:val="11"/>
        </w:rPr>
        <w:t xml:space="preserve"> </w:t>
      </w:r>
      <w:r>
        <w:t>M.,</w:t>
      </w:r>
      <w:r>
        <w:rPr>
          <w:spacing w:val="7"/>
        </w:rPr>
        <w:t xml:space="preserve"> </w:t>
      </w:r>
      <w:r>
        <w:t>Snyder,</w:t>
      </w:r>
      <w:r>
        <w:rPr>
          <w:spacing w:val="6"/>
        </w:rPr>
        <w:t xml:space="preserve"> </w:t>
      </w:r>
      <w:r>
        <w:t>A.</w:t>
      </w:r>
      <w:r>
        <w:rPr>
          <w:spacing w:val="6"/>
        </w:rPr>
        <w:t xml:space="preserve"> </w:t>
      </w:r>
      <w:r>
        <w:t>Z.,</w:t>
      </w:r>
      <w:r>
        <w:rPr>
          <w:spacing w:val="11"/>
        </w:rPr>
        <w:t xml:space="preserve"> </w:t>
      </w:r>
      <w:r>
        <w:t>Powers,</w:t>
      </w:r>
      <w:r>
        <w:rPr>
          <w:spacing w:val="11"/>
        </w:rPr>
        <w:t xml:space="preserve"> </w:t>
      </w:r>
      <w:r>
        <w:t>W.</w:t>
      </w:r>
      <w:r>
        <w:rPr>
          <w:spacing w:val="11"/>
        </w:rPr>
        <w:t xml:space="preserve"> </w:t>
      </w:r>
      <w:r>
        <w:t>J.,</w:t>
      </w:r>
      <w:r>
        <w:rPr>
          <w:spacing w:val="6"/>
        </w:rPr>
        <w:t xml:space="preserve"> </w:t>
      </w:r>
      <w:proofErr w:type="spellStart"/>
      <w:r>
        <w:t>Gusnard</w:t>
      </w:r>
      <w:proofErr w:type="spellEnd"/>
      <w:r>
        <w:t>,</w:t>
      </w:r>
      <w:r>
        <w:rPr>
          <w:spacing w:val="11"/>
        </w:rPr>
        <w:t xml:space="preserve"> </w:t>
      </w:r>
      <w:r>
        <w:t>D.</w:t>
      </w:r>
      <w:r>
        <w:rPr>
          <w:spacing w:val="6"/>
        </w:rPr>
        <w:t xml:space="preserve"> </w:t>
      </w:r>
      <w:r>
        <w:t>A.,</w:t>
      </w:r>
      <w:r>
        <w:rPr>
          <w:spacing w:val="11"/>
        </w:rPr>
        <w:t xml:space="preserve"> </w:t>
      </w:r>
      <w:r>
        <w:t>&amp;</w:t>
      </w:r>
      <w:r>
        <w:rPr>
          <w:spacing w:val="10"/>
        </w:rPr>
        <w:t xml:space="preserve"> </w:t>
      </w:r>
      <w:r>
        <w:t>Shulman,</w:t>
      </w:r>
    </w:p>
    <w:p w14:paraId="0E747F15" w14:textId="77777777" w:rsidR="00C75312" w:rsidRDefault="00C75312">
      <w:pPr>
        <w:pStyle w:val="BodyText"/>
      </w:pPr>
    </w:p>
    <w:p w14:paraId="263C0134" w14:textId="77777777" w:rsidR="00C75312" w:rsidRDefault="00BB293A">
      <w:pPr>
        <w:spacing w:line="480" w:lineRule="auto"/>
        <w:ind w:left="140" w:right="234" w:firstLine="720"/>
        <w:jc w:val="right"/>
        <w:rPr>
          <w:i/>
          <w:sz w:val="24"/>
        </w:rPr>
      </w:pPr>
      <w:r>
        <w:rPr>
          <w:sz w:val="24"/>
        </w:rPr>
        <w:t xml:space="preserve">G. L. (2001). A default mode </w:t>
      </w:r>
      <w:r>
        <w:rPr>
          <w:spacing w:val="-3"/>
          <w:sz w:val="24"/>
        </w:rPr>
        <w:t xml:space="preserve">of </w:t>
      </w:r>
      <w:r>
        <w:rPr>
          <w:sz w:val="24"/>
        </w:rPr>
        <w:t xml:space="preserve">brain function. </w:t>
      </w:r>
      <w:r>
        <w:rPr>
          <w:i/>
          <w:sz w:val="24"/>
        </w:rPr>
        <w:t>Proceedings of the</w:t>
      </w:r>
      <w:r>
        <w:rPr>
          <w:i/>
          <w:spacing w:val="44"/>
          <w:sz w:val="24"/>
        </w:rPr>
        <w:t xml:space="preserve"> </w:t>
      </w:r>
      <w:r>
        <w:rPr>
          <w:i/>
          <w:sz w:val="24"/>
        </w:rPr>
        <w:t>National</w:t>
      </w:r>
      <w:r>
        <w:rPr>
          <w:i/>
          <w:spacing w:val="1"/>
          <w:sz w:val="24"/>
        </w:rPr>
        <w:t xml:space="preserve"> </w:t>
      </w:r>
      <w:r>
        <w:rPr>
          <w:i/>
          <w:sz w:val="24"/>
        </w:rPr>
        <w:t>Academy of</w:t>
      </w:r>
      <w:r>
        <w:rPr>
          <w:i/>
          <w:spacing w:val="-9"/>
          <w:sz w:val="24"/>
        </w:rPr>
        <w:t xml:space="preserve"> </w:t>
      </w:r>
      <w:r>
        <w:rPr>
          <w:i/>
          <w:sz w:val="24"/>
        </w:rPr>
        <w:t>Sciences</w:t>
      </w:r>
      <w:r>
        <w:rPr>
          <w:i/>
          <w:spacing w:val="-11"/>
          <w:sz w:val="24"/>
        </w:rPr>
        <w:t xml:space="preserve"> </w:t>
      </w:r>
      <w:r>
        <w:rPr>
          <w:i/>
          <w:sz w:val="24"/>
        </w:rPr>
        <w:t>of</w:t>
      </w:r>
      <w:r>
        <w:rPr>
          <w:i/>
          <w:spacing w:val="-9"/>
          <w:sz w:val="24"/>
        </w:rPr>
        <w:t xml:space="preserve"> </w:t>
      </w:r>
      <w:r>
        <w:rPr>
          <w:i/>
          <w:sz w:val="24"/>
        </w:rPr>
        <w:t>the</w:t>
      </w:r>
      <w:r>
        <w:rPr>
          <w:i/>
          <w:spacing w:val="-10"/>
          <w:sz w:val="24"/>
        </w:rPr>
        <w:t xml:space="preserve"> </w:t>
      </w:r>
      <w:r>
        <w:rPr>
          <w:i/>
          <w:sz w:val="24"/>
        </w:rPr>
        <w:t>United</w:t>
      </w:r>
      <w:r>
        <w:rPr>
          <w:i/>
          <w:spacing w:val="-9"/>
          <w:sz w:val="24"/>
        </w:rPr>
        <w:t xml:space="preserve"> </w:t>
      </w:r>
      <w:r>
        <w:rPr>
          <w:i/>
          <w:sz w:val="24"/>
        </w:rPr>
        <w:t>States</w:t>
      </w:r>
      <w:r>
        <w:rPr>
          <w:i/>
          <w:spacing w:val="-12"/>
          <w:sz w:val="24"/>
        </w:rPr>
        <w:t xml:space="preserve"> </w:t>
      </w:r>
      <w:r>
        <w:rPr>
          <w:i/>
          <w:sz w:val="24"/>
        </w:rPr>
        <w:t>of</w:t>
      </w:r>
      <w:r>
        <w:rPr>
          <w:i/>
          <w:spacing w:val="-8"/>
          <w:sz w:val="24"/>
        </w:rPr>
        <w:t xml:space="preserve"> </w:t>
      </w:r>
      <w:r>
        <w:rPr>
          <w:i/>
          <w:sz w:val="24"/>
        </w:rPr>
        <w:t>America,</w:t>
      </w:r>
      <w:r>
        <w:rPr>
          <w:i/>
          <w:spacing w:val="-7"/>
          <w:sz w:val="24"/>
        </w:rPr>
        <w:t xml:space="preserve"> </w:t>
      </w:r>
      <w:r>
        <w:rPr>
          <w:i/>
          <w:sz w:val="24"/>
        </w:rPr>
        <w:t>98</w:t>
      </w:r>
      <w:r>
        <w:rPr>
          <w:sz w:val="24"/>
        </w:rPr>
        <w:t>(2),</w:t>
      </w:r>
      <w:r>
        <w:rPr>
          <w:spacing w:val="-11"/>
          <w:sz w:val="24"/>
        </w:rPr>
        <w:t xml:space="preserve"> </w:t>
      </w:r>
      <w:r>
        <w:rPr>
          <w:sz w:val="24"/>
        </w:rPr>
        <w:t>676-682.</w:t>
      </w:r>
      <w:r>
        <w:rPr>
          <w:spacing w:val="-6"/>
          <w:sz w:val="24"/>
        </w:rPr>
        <w:t xml:space="preserve"> </w:t>
      </w:r>
      <w:r>
        <w:rPr>
          <w:sz w:val="24"/>
        </w:rPr>
        <w:t xml:space="preserve">doi:10.1073/pnas.98.2.676 Ramírez, E., Ortega, </w:t>
      </w:r>
      <w:r>
        <w:rPr>
          <w:spacing w:val="-3"/>
          <w:sz w:val="24"/>
        </w:rPr>
        <w:t xml:space="preserve">A. </w:t>
      </w:r>
      <w:r>
        <w:rPr>
          <w:sz w:val="24"/>
        </w:rPr>
        <w:t xml:space="preserve">R., &amp; Reyes Del Paso, </w:t>
      </w:r>
      <w:r>
        <w:rPr>
          <w:spacing w:val="-3"/>
          <w:sz w:val="24"/>
        </w:rPr>
        <w:t xml:space="preserve">G. </w:t>
      </w:r>
      <w:r>
        <w:rPr>
          <w:sz w:val="24"/>
        </w:rPr>
        <w:t>A. (2015). Anxiety, attention,</w:t>
      </w:r>
      <w:r>
        <w:rPr>
          <w:spacing w:val="5"/>
          <w:sz w:val="24"/>
        </w:rPr>
        <w:t xml:space="preserve"> </w:t>
      </w:r>
      <w:r>
        <w:rPr>
          <w:sz w:val="24"/>
        </w:rPr>
        <w:t>and decision making:</w:t>
      </w:r>
      <w:r>
        <w:rPr>
          <w:spacing w:val="17"/>
          <w:sz w:val="24"/>
        </w:rPr>
        <w:t xml:space="preserve"> </w:t>
      </w:r>
      <w:r>
        <w:rPr>
          <w:sz w:val="24"/>
        </w:rPr>
        <w:t>The</w:t>
      </w:r>
      <w:r>
        <w:rPr>
          <w:spacing w:val="17"/>
          <w:sz w:val="24"/>
        </w:rPr>
        <w:t xml:space="preserve"> </w:t>
      </w:r>
      <w:r>
        <w:rPr>
          <w:sz w:val="24"/>
        </w:rPr>
        <w:t>moderating</w:t>
      </w:r>
      <w:r>
        <w:rPr>
          <w:spacing w:val="18"/>
          <w:sz w:val="24"/>
        </w:rPr>
        <w:t xml:space="preserve"> </w:t>
      </w:r>
      <w:r>
        <w:rPr>
          <w:sz w:val="24"/>
        </w:rPr>
        <w:t>role</w:t>
      </w:r>
      <w:r>
        <w:rPr>
          <w:spacing w:val="17"/>
          <w:sz w:val="24"/>
        </w:rPr>
        <w:t xml:space="preserve"> </w:t>
      </w:r>
      <w:r>
        <w:rPr>
          <w:spacing w:val="-3"/>
          <w:sz w:val="24"/>
        </w:rPr>
        <w:t>of</w:t>
      </w:r>
      <w:r>
        <w:rPr>
          <w:spacing w:val="22"/>
          <w:sz w:val="24"/>
        </w:rPr>
        <w:t xml:space="preserve"> </w:t>
      </w:r>
      <w:r>
        <w:rPr>
          <w:sz w:val="24"/>
        </w:rPr>
        <w:t>heart</w:t>
      </w:r>
      <w:r>
        <w:rPr>
          <w:spacing w:val="17"/>
          <w:sz w:val="24"/>
        </w:rPr>
        <w:t xml:space="preserve"> </w:t>
      </w:r>
      <w:r>
        <w:rPr>
          <w:sz w:val="24"/>
        </w:rPr>
        <w:t>rate</w:t>
      </w:r>
      <w:r>
        <w:rPr>
          <w:spacing w:val="17"/>
          <w:sz w:val="24"/>
        </w:rPr>
        <w:t xml:space="preserve"> </w:t>
      </w:r>
      <w:r>
        <w:rPr>
          <w:sz w:val="24"/>
        </w:rPr>
        <w:t>variability.</w:t>
      </w:r>
      <w:r>
        <w:rPr>
          <w:spacing w:val="16"/>
          <w:sz w:val="24"/>
        </w:rPr>
        <w:t xml:space="preserve"> </w:t>
      </w:r>
      <w:r>
        <w:rPr>
          <w:i/>
          <w:sz w:val="24"/>
        </w:rPr>
        <w:t>International</w:t>
      </w:r>
      <w:r>
        <w:rPr>
          <w:i/>
          <w:spacing w:val="18"/>
          <w:sz w:val="24"/>
        </w:rPr>
        <w:t xml:space="preserve"> </w:t>
      </w:r>
      <w:r>
        <w:rPr>
          <w:i/>
          <w:sz w:val="24"/>
        </w:rPr>
        <w:t>Journal</w:t>
      </w:r>
      <w:r>
        <w:rPr>
          <w:i/>
          <w:spacing w:val="18"/>
          <w:sz w:val="24"/>
        </w:rPr>
        <w:t xml:space="preserve"> </w:t>
      </w:r>
      <w:r>
        <w:rPr>
          <w:i/>
          <w:sz w:val="24"/>
        </w:rPr>
        <w:t>of</w:t>
      </w:r>
    </w:p>
    <w:p w14:paraId="6706E0AF" w14:textId="77777777" w:rsidR="00C75312" w:rsidRDefault="00BB293A">
      <w:pPr>
        <w:spacing w:before="1"/>
        <w:ind w:left="860"/>
        <w:rPr>
          <w:sz w:val="24"/>
        </w:rPr>
      </w:pPr>
      <w:r>
        <w:rPr>
          <w:i/>
          <w:sz w:val="24"/>
        </w:rPr>
        <w:t>Psychophysiology, 98</w:t>
      </w:r>
      <w:r>
        <w:rPr>
          <w:sz w:val="24"/>
        </w:rPr>
        <w:t>(3), 490-496. doi:10.1016/j.ijpsycho.2015.10.007</w:t>
      </w:r>
    </w:p>
    <w:p w14:paraId="0DE68DA4" w14:textId="77777777" w:rsidR="00C75312" w:rsidRDefault="00C75312">
      <w:pPr>
        <w:pStyle w:val="BodyText"/>
        <w:spacing w:before="11"/>
        <w:rPr>
          <w:sz w:val="23"/>
        </w:rPr>
      </w:pPr>
    </w:p>
    <w:p w14:paraId="60D48DEA" w14:textId="77777777" w:rsidR="00C75312" w:rsidRDefault="00BB293A">
      <w:pPr>
        <w:spacing w:line="480" w:lineRule="auto"/>
        <w:ind w:left="860" w:hanging="720"/>
        <w:rPr>
          <w:sz w:val="24"/>
        </w:rPr>
      </w:pPr>
      <w:r>
        <w:rPr>
          <w:sz w:val="24"/>
        </w:rPr>
        <w:t xml:space="preserve">Raven, J. (1939). </w:t>
      </w:r>
      <w:r>
        <w:rPr>
          <w:i/>
          <w:sz w:val="24"/>
        </w:rPr>
        <w:t>Progressive matrices: A perceptual test of intelligence</w:t>
      </w:r>
      <w:r>
        <w:rPr>
          <w:sz w:val="24"/>
        </w:rPr>
        <w:t>. Oxford: Oxford Psychologists Press Ltd.</w:t>
      </w:r>
    </w:p>
    <w:p w14:paraId="555532D5" w14:textId="77777777" w:rsidR="00C75312" w:rsidRDefault="00C75312">
      <w:pPr>
        <w:spacing w:line="480" w:lineRule="auto"/>
        <w:rPr>
          <w:sz w:val="24"/>
        </w:rPr>
        <w:sectPr w:rsidR="00C75312">
          <w:pgSz w:w="11900" w:h="16840"/>
          <w:pgMar w:top="1160" w:right="1200" w:bottom="280" w:left="1300" w:header="720" w:footer="0" w:gutter="0"/>
          <w:cols w:space="720"/>
        </w:sectPr>
      </w:pPr>
    </w:p>
    <w:p w14:paraId="408BF3A4" w14:textId="77777777" w:rsidR="00C75312" w:rsidRDefault="00C75312">
      <w:pPr>
        <w:pStyle w:val="BodyText"/>
        <w:spacing w:before="9"/>
        <w:rPr>
          <w:sz w:val="15"/>
        </w:rPr>
      </w:pPr>
    </w:p>
    <w:p w14:paraId="540EA162" w14:textId="77777777" w:rsidR="00C75312" w:rsidRDefault="00BB293A">
      <w:pPr>
        <w:pStyle w:val="BodyText"/>
        <w:spacing w:before="90" w:line="480" w:lineRule="auto"/>
        <w:ind w:left="860" w:right="236" w:hanging="720"/>
        <w:jc w:val="both"/>
      </w:pPr>
      <w:r>
        <w:t xml:space="preserve">Raz, N., Lindenberger, U., Rodrigue, K. M., Kennedy, K. M., Head, D., Williamson, A., . . . Acker, J. D. (2005). Regional brain changes in aging healthy adults: General trends, individual differences and modifiers. </w:t>
      </w:r>
      <w:r>
        <w:rPr>
          <w:i/>
        </w:rPr>
        <w:t>Cerebral Cortex, 15</w:t>
      </w:r>
      <w:r>
        <w:t>(11), 1676-1689. doi:10.1093/</w:t>
      </w:r>
      <w:proofErr w:type="spellStart"/>
      <w:r>
        <w:t>cercor</w:t>
      </w:r>
      <w:proofErr w:type="spellEnd"/>
      <w:r>
        <w:t>/bhi044</w:t>
      </w:r>
    </w:p>
    <w:p w14:paraId="50521F64" w14:textId="77777777" w:rsidR="00C75312" w:rsidRDefault="00BB293A">
      <w:pPr>
        <w:pStyle w:val="BodyText"/>
        <w:spacing w:line="480" w:lineRule="auto"/>
        <w:ind w:left="860" w:right="234" w:hanging="720"/>
        <w:jc w:val="both"/>
      </w:pPr>
      <w:r>
        <w:t xml:space="preserve">Redshaw, J., Henry, J. D., &amp; </w:t>
      </w:r>
      <w:proofErr w:type="spellStart"/>
      <w:r>
        <w:t>Suddendorf</w:t>
      </w:r>
      <w:proofErr w:type="spellEnd"/>
      <w:r>
        <w:t xml:space="preserve">, T. (2016). Disentangling the effect of event-based cues on children's time-based prospective memory performance. </w:t>
      </w:r>
      <w:r>
        <w:rPr>
          <w:i/>
        </w:rPr>
        <w:t>Journal of Experimental Child Psychology, 150</w:t>
      </w:r>
      <w:r>
        <w:t>, 130-140. doi:10.1016/j.jecp.2016.05.008</w:t>
      </w:r>
    </w:p>
    <w:p w14:paraId="798B23A7" w14:textId="77777777" w:rsidR="00C75312" w:rsidRDefault="00BB293A">
      <w:pPr>
        <w:spacing w:line="480" w:lineRule="auto"/>
        <w:ind w:left="860" w:right="236" w:hanging="720"/>
        <w:jc w:val="both"/>
        <w:rPr>
          <w:sz w:val="24"/>
        </w:rPr>
      </w:pPr>
      <w:r>
        <w:rPr>
          <w:sz w:val="24"/>
        </w:rPr>
        <w:t xml:space="preserve">Reed, P., &amp; McCarthy, J. (2012). Cross-modal attention-switching is impaired in autism spectrum disorders. </w:t>
      </w:r>
      <w:r>
        <w:rPr>
          <w:i/>
          <w:sz w:val="24"/>
        </w:rPr>
        <w:t>Journal of Autism and Developmental Disorders, 42</w:t>
      </w:r>
      <w:r>
        <w:rPr>
          <w:sz w:val="24"/>
        </w:rPr>
        <w:t>(6), 947-953. doi:10.1007/s10803-011-1324-8</w:t>
      </w:r>
    </w:p>
    <w:p w14:paraId="69E3C62F" w14:textId="77777777" w:rsidR="00C75312" w:rsidRDefault="00BB293A">
      <w:pPr>
        <w:pStyle w:val="BodyText"/>
        <w:spacing w:line="480" w:lineRule="auto"/>
        <w:ind w:left="860" w:right="236" w:hanging="720"/>
        <w:jc w:val="both"/>
      </w:pPr>
      <w:r>
        <w:t>Rendell,</w:t>
      </w:r>
      <w:r>
        <w:rPr>
          <w:spacing w:val="-8"/>
        </w:rPr>
        <w:t xml:space="preserve"> </w:t>
      </w:r>
      <w:r>
        <w:t>P.</w:t>
      </w:r>
      <w:r>
        <w:rPr>
          <w:spacing w:val="-13"/>
        </w:rPr>
        <w:t xml:space="preserve"> </w:t>
      </w:r>
      <w:r>
        <w:t>G.,</w:t>
      </w:r>
      <w:r>
        <w:rPr>
          <w:spacing w:val="-13"/>
        </w:rPr>
        <w:t xml:space="preserve"> </w:t>
      </w:r>
      <w:r>
        <w:t>&amp;</w:t>
      </w:r>
      <w:r>
        <w:rPr>
          <w:spacing w:val="-10"/>
        </w:rPr>
        <w:t xml:space="preserve"> </w:t>
      </w:r>
      <w:r>
        <w:t>Craik,</w:t>
      </w:r>
      <w:r>
        <w:rPr>
          <w:spacing w:val="-8"/>
        </w:rPr>
        <w:t xml:space="preserve"> </w:t>
      </w:r>
      <w:r>
        <w:t>F.</w:t>
      </w:r>
      <w:r>
        <w:rPr>
          <w:spacing w:val="-12"/>
        </w:rPr>
        <w:t xml:space="preserve"> </w:t>
      </w:r>
      <w:r>
        <w:t>I.</w:t>
      </w:r>
      <w:r>
        <w:rPr>
          <w:spacing w:val="-13"/>
        </w:rPr>
        <w:t xml:space="preserve"> </w:t>
      </w:r>
      <w:r>
        <w:t>M.</w:t>
      </w:r>
      <w:r>
        <w:rPr>
          <w:spacing w:val="-8"/>
        </w:rPr>
        <w:t xml:space="preserve"> </w:t>
      </w:r>
      <w:r>
        <w:t>(2000).</w:t>
      </w:r>
      <w:r>
        <w:rPr>
          <w:spacing w:val="-13"/>
        </w:rPr>
        <w:t xml:space="preserve"> </w:t>
      </w:r>
      <w:r>
        <w:t>Virtual</w:t>
      </w:r>
      <w:r>
        <w:rPr>
          <w:spacing w:val="-10"/>
        </w:rPr>
        <w:t xml:space="preserve"> </w:t>
      </w:r>
      <w:r>
        <w:t>week</w:t>
      </w:r>
      <w:r>
        <w:rPr>
          <w:spacing w:val="-11"/>
        </w:rPr>
        <w:t xml:space="preserve"> </w:t>
      </w:r>
      <w:r>
        <w:t>and</w:t>
      </w:r>
      <w:r>
        <w:rPr>
          <w:spacing w:val="-10"/>
        </w:rPr>
        <w:t xml:space="preserve"> </w:t>
      </w:r>
      <w:r>
        <w:t>actual</w:t>
      </w:r>
      <w:r>
        <w:rPr>
          <w:spacing w:val="-10"/>
        </w:rPr>
        <w:t xml:space="preserve"> </w:t>
      </w:r>
      <w:r>
        <w:t>week:</w:t>
      </w:r>
      <w:r>
        <w:rPr>
          <w:spacing w:val="-10"/>
        </w:rPr>
        <w:t xml:space="preserve"> </w:t>
      </w:r>
      <w:r>
        <w:t>Age-related</w:t>
      </w:r>
      <w:r>
        <w:rPr>
          <w:spacing w:val="-11"/>
        </w:rPr>
        <w:t xml:space="preserve"> </w:t>
      </w:r>
      <w:r>
        <w:t xml:space="preserve">differences in prospective memory. </w:t>
      </w:r>
      <w:r>
        <w:rPr>
          <w:i/>
        </w:rPr>
        <w:t>Applied Cognitive Psychology, 14</w:t>
      </w:r>
      <w:r>
        <w:t>(7), S43-S62. doi:10.1002/acp.770</w:t>
      </w:r>
    </w:p>
    <w:p w14:paraId="6236F77A" w14:textId="77777777" w:rsidR="00C75312" w:rsidRDefault="00BB293A">
      <w:pPr>
        <w:pStyle w:val="BodyText"/>
        <w:spacing w:before="1" w:line="480" w:lineRule="auto"/>
        <w:ind w:left="860" w:right="234" w:hanging="720"/>
        <w:jc w:val="both"/>
      </w:pPr>
      <w:r>
        <w:t xml:space="preserve">Rendell, P. G., &amp; Henry, J. D. (2009). A review of Virtual Week for prospective memory assessment: Clinical implications. </w:t>
      </w:r>
      <w:r>
        <w:rPr>
          <w:i/>
        </w:rPr>
        <w:t>Brain Impairment, 14</w:t>
      </w:r>
      <w:r>
        <w:t>(1), 14-22. doi:10.1375/brim.10.1.14</w:t>
      </w:r>
    </w:p>
    <w:p w14:paraId="71C0ED91" w14:textId="77777777" w:rsidR="00C75312" w:rsidRPr="002C3022" w:rsidRDefault="00BB293A">
      <w:pPr>
        <w:pStyle w:val="BodyText"/>
        <w:spacing w:line="480" w:lineRule="auto"/>
        <w:ind w:left="860" w:right="234" w:hanging="720"/>
        <w:jc w:val="both"/>
        <w:rPr>
          <w:lang w:val="fr-FR"/>
        </w:rPr>
      </w:pPr>
      <w:proofErr w:type="spellStart"/>
      <w:r>
        <w:t>Repovs</w:t>
      </w:r>
      <w:proofErr w:type="spellEnd"/>
      <w:r>
        <w:t xml:space="preserve">, G., &amp; Baddeley, A. (2006). The multi-component model of working memory: Explorations in experimental cognitive psychology. </w:t>
      </w:r>
      <w:r w:rsidRPr="002C3022">
        <w:rPr>
          <w:i/>
          <w:lang w:val="fr-FR"/>
        </w:rPr>
        <w:t>Neuroscience, 139</w:t>
      </w:r>
      <w:r w:rsidRPr="002C3022">
        <w:rPr>
          <w:lang w:val="fr-FR"/>
        </w:rPr>
        <w:t>(1), 5-21. doi:10.1016/j.neuroscience.2005.12.061</w:t>
      </w:r>
    </w:p>
    <w:p w14:paraId="1166C33F" w14:textId="77777777" w:rsidR="00C75312" w:rsidRDefault="00BB293A">
      <w:pPr>
        <w:spacing w:line="480" w:lineRule="auto"/>
        <w:ind w:left="860" w:right="234" w:hanging="720"/>
        <w:jc w:val="both"/>
        <w:rPr>
          <w:sz w:val="24"/>
        </w:rPr>
      </w:pPr>
      <w:r w:rsidRPr="002C3022">
        <w:rPr>
          <w:sz w:val="24"/>
          <w:lang w:val="fr-FR"/>
        </w:rPr>
        <w:t>Risko,</w:t>
      </w:r>
      <w:r w:rsidRPr="002C3022">
        <w:rPr>
          <w:spacing w:val="-9"/>
          <w:sz w:val="24"/>
          <w:lang w:val="fr-FR"/>
        </w:rPr>
        <w:t xml:space="preserve"> </w:t>
      </w:r>
      <w:r w:rsidRPr="002C3022">
        <w:rPr>
          <w:sz w:val="24"/>
          <w:lang w:val="fr-FR"/>
        </w:rPr>
        <w:t>E.</w:t>
      </w:r>
      <w:r w:rsidRPr="002C3022">
        <w:rPr>
          <w:spacing w:val="-13"/>
          <w:sz w:val="24"/>
          <w:lang w:val="fr-FR"/>
        </w:rPr>
        <w:t xml:space="preserve"> </w:t>
      </w:r>
      <w:r w:rsidRPr="002C3022">
        <w:rPr>
          <w:sz w:val="24"/>
          <w:lang w:val="fr-FR"/>
        </w:rPr>
        <w:t>F.,</w:t>
      </w:r>
      <w:r w:rsidRPr="002C3022">
        <w:rPr>
          <w:spacing w:val="-13"/>
          <w:sz w:val="24"/>
          <w:lang w:val="fr-FR"/>
        </w:rPr>
        <w:t xml:space="preserve"> </w:t>
      </w:r>
      <w:r w:rsidRPr="002C3022">
        <w:rPr>
          <w:sz w:val="24"/>
          <w:lang w:val="fr-FR"/>
        </w:rPr>
        <w:t>&amp;</w:t>
      </w:r>
      <w:r w:rsidRPr="002C3022">
        <w:rPr>
          <w:spacing w:val="-10"/>
          <w:sz w:val="24"/>
          <w:lang w:val="fr-FR"/>
        </w:rPr>
        <w:t xml:space="preserve"> </w:t>
      </w:r>
      <w:r w:rsidRPr="002C3022">
        <w:rPr>
          <w:sz w:val="24"/>
          <w:lang w:val="fr-FR"/>
        </w:rPr>
        <w:t>Gilbert,</w:t>
      </w:r>
      <w:r w:rsidRPr="002C3022">
        <w:rPr>
          <w:spacing w:val="-13"/>
          <w:sz w:val="24"/>
          <w:lang w:val="fr-FR"/>
        </w:rPr>
        <w:t xml:space="preserve"> </w:t>
      </w:r>
      <w:r w:rsidRPr="002C3022">
        <w:rPr>
          <w:sz w:val="24"/>
          <w:lang w:val="fr-FR"/>
        </w:rPr>
        <w:t>S.</w:t>
      </w:r>
      <w:r w:rsidRPr="002C3022">
        <w:rPr>
          <w:spacing w:val="-13"/>
          <w:sz w:val="24"/>
          <w:lang w:val="fr-FR"/>
        </w:rPr>
        <w:t xml:space="preserve"> </w:t>
      </w:r>
      <w:r w:rsidRPr="002C3022">
        <w:rPr>
          <w:sz w:val="24"/>
          <w:lang w:val="fr-FR"/>
        </w:rPr>
        <w:t>J.</w:t>
      </w:r>
      <w:r w:rsidRPr="002C3022">
        <w:rPr>
          <w:spacing w:val="-8"/>
          <w:sz w:val="24"/>
          <w:lang w:val="fr-FR"/>
        </w:rPr>
        <w:t xml:space="preserve"> </w:t>
      </w:r>
      <w:r w:rsidRPr="002C3022">
        <w:rPr>
          <w:sz w:val="24"/>
          <w:lang w:val="fr-FR"/>
        </w:rPr>
        <w:t>(2016).</w:t>
      </w:r>
      <w:r w:rsidRPr="002C3022">
        <w:rPr>
          <w:spacing w:val="-13"/>
          <w:sz w:val="24"/>
          <w:lang w:val="fr-FR"/>
        </w:rPr>
        <w:t xml:space="preserve"> </w:t>
      </w:r>
      <w:r>
        <w:rPr>
          <w:sz w:val="24"/>
        </w:rPr>
        <w:t>Cognitive</w:t>
      </w:r>
      <w:r>
        <w:rPr>
          <w:spacing w:val="-12"/>
          <w:sz w:val="24"/>
        </w:rPr>
        <w:t xml:space="preserve"> </w:t>
      </w:r>
      <w:r>
        <w:rPr>
          <w:sz w:val="24"/>
        </w:rPr>
        <w:t>offloading.</w:t>
      </w:r>
      <w:r>
        <w:rPr>
          <w:spacing w:val="-8"/>
          <w:sz w:val="24"/>
        </w:rPr>
        <w:t xml:space="preserve"> </w:t>
      </w:r>
      <w:r>
        <w:rPr>
          <w:i/>
          <w:sz w:val="24"/>
        </w:rPr>
        <w:t>Trends</w:t>
      </w:r>
      <w:r>
        <w:rPr>
          <w:i/>
          <w:spacing w:val="-13"/>
          <w:sz w:val="24"/>
        </w:rPr>
        <w:t xml:space="preserve"> </w:t>
      </w:r>
      <w:r>
        <w:rPr>
          <w:i/>
          <w:sz w:val="24"/>
        </w:rPr>
        <w:t>in</w:t>
      </w:r>
      <w:r>
        <w:rPr>
          <w:i/>
          <w:spacing w:val="-11"/>
          <w:sz w:val="24"/>
        </w:rPr>
        <w:t xml:space="preserve"> </w:t>
      </w:r>
      <w:r>
        <w:rPr>
          <w:i/>
          <w:sz w:val="24"/>
        </w:rPr>
        <w:t>Cognitive</w:t>
      </w:r>
      <w:r>
        <w:rPr>
          <w:i/>
          <w:spacing w:val="-12"/>
          <w:sz w:val="24"/>
        </w:rPr>
        <w:t xml:space="preserve"> </w:t>
      </w:r>
      <w:r>
        <w:rPr>
          <w:i/>
          <w:sz w:val="24"/>
        </w:rPr>
        <w:t>Sciences,</w:t>
      </w:r>
      <w:r>
        <w:rPr>
          <w:i/>
          <w:spacing w:val="-9"/>
          <w:sz w:val="24"/>
        </w:rPr>
        <w:t xml:space="preserve"> </w:t>
      </w:r>
      <w:r>
        <w:rPr>
          <w:i/>
          <w:sz w:val="24"/>
        </w:rPr>
        <w:t>20</w:t>
      </w:r>
      <w:r>
        <w:rPr>
          <w:sz w:val="24"/>
        </w:rPr>
        <w:t>(9), 676-688.</w:t>
      </w:r>
      <w:r>
        <w:rPr>
          <w:spacing w:val="3"/>
          <w:sz w:val="24"/>
        </w:rPr>
        <w:t xml:space="preserve"> </w:t>
      </w:r>
      <w:r>
        <w:rPr>
          <w:sz w:val="24"/>
        </w:rPr>
        <w:t>doi:10.1016/j.tics.2016.07.002</w:t>
      </w:r>
    </w:p>
    <w:p w14:paraId="2E5D0D32" w14:textId="77777777" w:rsidR="00C75312" w:rsidRDefault="00BB293A">
      <w:pPr>
        <w:spacing w:line="480" w:lineRule="auto"/>
        <w:ind w:left="860" w:right="237" w:hanging="720"/>
        <w:jc w:val="both"/>
        <w:rPr>
          <w:sz w:val="24"/>
        </w:rPr>
      </w:pPr>
      <w:r>
        <w:rPr>
          <w:sz w:val="24"/>
        </w:rPr>
        <w:t xml:space="preserve">Roth, R. M., </w:t>
      </w:r>
      <w:proofErr w:type="spellStart"/>
      <w:r>
        <w:rPr>
          <w:sz w:val="24"/>
        </w:rPr>
        <w:t>Isquith</w:t>
      </w:r>
      <w:proofErr w:type="spellEnd"/>
      <w:r>
        <w:rPr>
          <w:sz w:val="24"/>
        </w:rPr>
        <w:t xml:space="preserve">, P. K., &amp; Gioia, G. A. (2005). </w:t>
      </w:r>
      <w:proofErr w:type="spellStart"/>
      <w:r>
        <w:rPr>
          <w:i/>
          <w:sz w:val="24"/>
        </w:rPr>
        <w:t>Behaviour</w:t>
      </w:r>
      <w:proofErr w:type="spellEnd"/>
      <w:r>
        <w:rPr>
          <w:i/>
          <w:sz w:val="24"/>
        </w:rPr>
        <w:t xml:space="preserve"> Rating Inventory of Executive Function - Adult Version (BRIEF-A)</w:t>
      </w:r>
      <w:r>
        <w:rPr>
          <w:sz w:val="24"/>
        </w:rPr>
        <w:t>. Lutz, FL: Psychological Assessment Resources.</w:t>
      </w:r>
    </w:p>
    <w:p w14:paraId="42D011AD"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434303DF" w14:textId="77777777" w:rsidR="00C75312" w:rsidRDefault="00C75312">
      <w:pPr>
        <w:pStyle w:val="BodyText"/>
        <w:spacing w:before="9"/>
        <w:rPr>
          <w:sz w:val="15"/>
        </w:rPr>
      </w:pPr>
    </w:p>
    <w:p w14:paraId="7CF85CAC" w14:textId="77777777" w:rsidR="00C75312" w:rsidRDefault="00BB293A">
      <w:pPr>
        <w:pStyle w:val="BodyText"/>
        <w:spacing w:before="90" w:line="480" w:lineRule="auto"/>
        <w:ind w:left="860" w:right="239" w:hanging="720"/>
        <w:jc w:val="both"/>
      </w:pPr>
      <w:proofErr w:type="spellStart"/>
      <w:r>
        <w:t>Rouder</w:t>
      </w:r>
      <w:proofErr w:type="spellEnd"/>
      <w:r>
        <w:t xml:space="preserve">, J. N., Speckman, P. L., Sun, D. C., Morey, R. D., &amp; Iverson, G. (2009). Bayesian t tests for accepting and rejecting the null hypothesis. </w:t>
      </w:r>
      <w:r>
        <w:rPr>
          <w:i/>
        </w:rPr>
        <w:t>Psychonomic Bulletin &amp; Review, 16</w:t>
      </w:r>
      <w:r>
        <w:t>(2), 225-237. doi:10.3758/Pbr.16.2.225</w:t>
      </w:r>
    </w:p>
    <w:p w14:paraId="5F082A71" w14:textId="77777777" w:rsidR="00C75312" w:rsidRDefault="00BB293A">
      <w:pPr>
        <w:spacing w:line="480" w:lineRule="auto"/>
        <w:ind w:left="860" w:right="239" w:hanging="720"/>
        <w:jc w:val="both"/>
        <w:rPr>
          <w:sz w:val="24"/>
        </w:rPr>
      </w:pPr>
      <w:r>
        <w:rPr>
          <w:sz w:val="24"/>
        </w:rPr>
        <w:t xml:space="preserve">Salthouse, T. A. (2010). Selective review of cognitive aging. </w:t>
      </w:r>
      <w:r>
        <w:rPr>
          <w:i/>
          <w:sz w:val="24"/>
        </w:rPr>
        <w:t>Journal of the International Neuropsychological Society, 16</w:t>
      </w:r>
      <w:r>
        <w:rPr>
          <w:sz w:val="24"/>
        </w:rPr>
        <w:t>(05), 754-760. doi:10.1017/S1355617710000706</w:t>
      </w:r>
    </w:p>
    <w:p w14:paraId="575129E9" w14:textId="77777777" w:rsidR="00C75312" w:rsidRDefault="00BB293A">
      <w:pPr>
        <w:pStyle w:val="BodyText"/>
        <w:spacing w:line="480" w:lineRule="auto"/>
        <w:ind w:left="860" w:right="236" w:hanging="720"/>
        <w:jc w:val="both"/>
      </w:pPr>
      <w:r>
        <w:t>Salthouse,</w:t>
      </w:r>
      <w:r>
        <w:rPr>
          <w:spacing w:val="-9"/>
        </w:rPr>
        <w:t xml:space="preserve"> </w:t>
      </w:r>
      <w:r>
        <w:t>T.</w:t>
      </w:r>
      <w:r>
        <w:rPr>
          <w:spacing w:val="-14"/>
        </w:rPr>
        <w:t xml:space="preserve"> </w:t>
      </w:r>
      <w:r>
        <w:t>A.,</w:t>
      </w:r>
      <w:r>
        <w:rPr>
          <w:spacing w:val="-13"/>
        </w:rPr>
        <w:t xml:space="preserve"> </w:t>
      </w:r>
      <w:r>
        <w:t>Berish,</w:t>
      </w:r>
      <w:r>
        <w:rPr>
          <w:spacing w:val="-14"/>
        </w:rPr>
        <w:t xml:space="preserve"> </w:t>
      </w:r>
      <w:r>
        <w:t>D.</w:t>
      </w:r>
      <w:r>
        <w:rPr>
          <w:spacing w:val="-13"/>
        </w:rPr>
        <w:t xml:space="preserve"> </w:t>
      </w:r>
      <w:r>
        <w:t>E.,</w:t>
      </w:r>
      <w:r>
        <w:rPr>
          <w:spacing w:val="-13"/>
        </w:rPr>
        <w:t xml:space="preserve"> </w:t>
      </w:r>
      <w:r>
        <w:t>&amp;</w:t>
      </w:r>
      <w:r>
        <w:rPr>
          <w:spacing w:val="-16"/>
        </w:rPr>
        <w:t xml:space="preserve"> </w:t>
      </w:r>
      <w:r>
        <w:t>Siedlecki,</w:t>
      </w:r>
      <w:r>
        <w:rPr>
          <w:spacing w:val="-13"/>
        </w:rPr>
        <w:t xml:space="preserve"> </w:t>
      </w:r>
      <w:r>
        <w:t>K.</w:t>
      </w:r>
      <w:r>
        <w:rPr>
          <w:spacing w:val="-14"/>
        </w:rPr>
        <w:t xml:space="preserve"> </w:t>
      </w:r>
      <w:r>
        <w:t>L.</w:t>
      </w:r>
      <w:r>
        <w:rPr>
          <w:spacing w:val="-13"/>
        </w:rPr>
        <w:t xml:space="preserve"> </w:t>
      </w:r>
      <w:r>
        <w:t>(2004).</w:t>
      </w:r>
      <w:r>
        <w:rPr>
          <w:spacing w:val="-13"/>
        </w:rPr>
        <w:t xml:space="preserve"> </w:t>
      </w:r>
      <w:r>
        <w:t>Construct</w:t>
      </w:r>
      <w:r>
        <w:rPr>
          <w:spacing w:val="-11"/>
        </w:rPr>
        <w:t xml:space="preserve"> </w:t>
      </w:r>
      <w:r>
        <w:t>validity</w:t>
      </w:r>
      <w:r>
        <w:rPr>
          <w:spacing w:val="-12"/>
        </w:rPr>
        <w:t xml:space="preserve"> </w:t>
      </w:r>
      <w:r>
        <w:t>and</w:t>
      </w:r>
      <w:r>
        <w:rPr>
          <w:spacing w:val="-15"/>
        </w:rPr>
        <w:t xml:space="preserve"> </w:t>
      </w:r>
      <w:r>
        <w:t>age</w:t>
      </w:r>
      <w:r>
        <w:rPr>
          <w:spacing w:val="-16"/>
        </w:rPr>
        <w:t xml:space="preserve"> </w:t>
      </w:r>
      <w:r>
        <w:t xml:space="preserve">sensitivity of prospective memory. </w:t>
      </w:r>
      <w:r>
        <w:rPr>
          <w:i/>
        </w:rPr>
        <w:t>Memory &amp; Cognition, 32</w:t>
      </w:r>
      <w:r>
        <w:t>(7), 1133-1148. doi:10.3758/BF03196887</w:t>
      </w:r>
    </w:p>
    <w:p w14:paraId="5FC1A8F5" w14:textId="77777777" w:rsidR="00C75312" w:rsidRDefault="00BB293A">
      <w:pPr>
        <w:pStyle w:val="BodyText"/>
        <w:spacing w:line="480" w:lineRule="auto"/>
        <w:ind w:left="860" w:right="234" w:hanging="720"/>
        <w:jc w:val="both"/>
      </w:pPr>
      <w:r>
        <w:t>Samson,</w:t>
      </w:r>
      <w:r>
        <w:rPr>
          <w:spacing w:val="-3"/>
        </w:rPr>
        <w:t xml:space="preserve"> </w:t>
      </w:r>
      <w:r>
        <w:t>F.,</w:t>
      </w:r>
      <w:r>
        <w:rPr>
          <w:spacing w:val="-7"/>
        </w:rPr>
        <w:t xml:space="preserve"> </w:t>
      </w:r>
      <w:proofErr w:type="spellStart"/>
      <w:r>
        <w:t>Mottron</w:t>
      </w:r>
      <w:proofErr w:type="spellEnd"/>
      <w:r>
        <w:t>,</w:t>
      </w:r>
      <w:r>
        <w:rPr>
          <w:spacing w:val="-3"/>
        </w:rPr>
        <w:t xml:space="preserve"> </w:t>
      </w:r>
      <w:r>
        <w:t>L.,</w:t>
      </w:r>
      <w:r>
        <w:rPr>
          <w:spacing w:val="-2"/>
        </w:rPr>
        <w:t xml:space="preserve"> </w:t>
      </w:r>
      <w:proofErr w:type="spellStart"/>
      <w:r>
        <w:t>Soulières</w:t>
      </w:r>
      <w:proofErr w:type="spellEnd"/>
      <w:r>
        <w:t>,</w:t>
      </w:r>
      <w:r>
        <w:rPr>
          <w:spacing w:val="-7"/>
        </w:rPr>
        <w:t xml:space="preserve"> </w:t>
      </w:r>
      <w:r>
        <w:t>I.,</w:t>
      </w:r>
      <w:r>
        <w:rPr>
          <w:spacing w:val="-3"/>
        </w:rPr>
        <w:t xml:space="preserve"> </w:t>
      </w:r>
      <w:r>
        <w:t>&amp;</w:t>
      </w:r>
      <w:r>
        <w:rPr>
          <w:spacing w:val="-4"/>
        </w:rPr>
        <w:t xml:space="preserve"> </w:t>
      </w:r>
      <w:r>
        <w:t>Zeffiro,</w:t>
      </w:r>
      <w:r>
        <w:rPr>
          <w:spacing w:val="-2"/>
        </w:rPr>
        <w:t xml:space="preserve"> </w:t>
      </w:r>
      <w:r>
        <w:t>T.</w:t>
      </w:r>
      <w:r>
        <w:rPr>
          <w:spacing w:val="-3"/>
        </w:rPr>
        <w:t xml:space="preserve"> </w:t>
      </w:r>
      <w:r>
        <w:t>A.</w:t>
      </w:r>
      <w:r>
        <w:rPr>
          <w:spacing w:val="-2"/>
        </w:rPr>
        <w:t xml:space="preserve"> </w:t>
      </w:r>
      <w:r>
        <w:t>(2012).</w:t>
      </w:r>
      <w:r>
        <w:rPr>
          <w:spacing w:val="-7"/>
        </w:rPr>
        <w:t xml:space="preserve"> </w:t>
      </w:r>
      <w:r>
        <w:t>Enhanced</w:t>
      </w:r>
      <w:r>
        <w:rPr>
          <w:spacing w:val="-6"/>
        </w:rPr>
        <w:t xml:space="preserve"> </w:t>
      </w:r>
      <w:r>
        <w:t>visual</w:t>
      </w:r>
      <w:r>
        <w:rPr>
          <w:spacing w:val="-4"/>
        </w:rPr>
        <w:t xml:space="preserve"> </w:t>
      </w:r>
      <w:r>
        <w:t>functioning</w:t>
      </w:r>
      <w:r>
        <w:rPr>
          <w:spacing w:val="-5"/>
        </w:rPr>
        <w:t xml:space="preserve"> </w:t>
      </w:r>
      <w:r>
        <w:t xml:space="preserve">in autism: An ALE meta-analysis. </w:t>
      </w:r>
      <w:r>
        <w:rPr>
          <w:i/>
        </w:rPr>
        <w:t>Human Brain Mapping, 33</w:t>
      </w:r>
      <w:r>
        <w:t>(7), 1553-1581. doi:10.1002/hbm.21307</w:t>
      </w:r>
    </w:p>
    <w:p w14:paraId="237BACA0" w14:textId="77777777" w:rsidR="00C75312" w:rsidRDefault="00BB293A">
      <w:pPr>
        <w:pStyle w:val="BodyText"/>
        <w:spacing w:before="1" w:line="480" w:lineRule="auto"/>
        <w:ind w:left="860" w:right="241" w:hanging="720"/>
        <w:jc w:val="both"/>
      </w:pPr>
      <w:proofErr w:type="spellStart"/>
      <w:r>
        <w:t>Schandry</w:t>
      </w:r>
      <w:proofErr w:type="spellEnd"/>
      <w:r>
        <w:t xml:space="preserve">, R. (1981). Heart beat perception and emotional experience. </w:t>
      </w:r>
      <w:r>
        <w:rPr>
          <w:i/>
        </w:rPr>
        <w:t>Psychophysiology, 18</w:t>
      </w:r>
      <w:r>
        <w:t>(4), 483-488. doi:10.1111/j.1469-8986.1981.tb02486.x</w:t>
      </w:r>
    </w:p>
    <w:p w14:paraId="5A9A45FF" w14:textId="77777777" w:rsidR="00C75312" w:rsidRDefault="00BB293A">
      <w:pPr>
        <w:pStyle w:val="BodyText"/>
        <w:spacing w:line="480" w:lineRule="auto"/>
        <w:ind w:left="860" w:right="234" w:hanging="720"/>
        <w:jc w:val="both"/>
      </w:pPr>
      <w:r>
        <w:t xml:space="preserve">Schneider, W., Eschman, A., &amp; Zuccolotto, A. (2002). </w:t>
      </w:r>
      <w:r>
        <w:rPr>
          <w:i/>
        </w:rPr>
        <w:t>E-Prime User's Guide</w:t>
      </w:r>
      <w:r>
        <w:t>. Pittsburgh: Psychology Software Tools Inc.</w:t>
      </w:r>
    </w:p>
    <w:p w14:paraId="6B7C399A" w14:textId="77777777" w:rsidR="00C75312" w:rsidRPr="002C3022" w:rsidRDefault="00BB293A">
      <w:pPr>
        <w:pStyle w:val="BodyText"/>
        <w:spacing w:line="480" w:lineRule="auto"/>
        <w:ind w:left="860" w:right="234" w:hanging="720"/>
        <w:jc w:val="both"/>
        <w:rPr>
          <w:lang w:val="de-DE"/>
        </w:rPr>
      </w:pPr>
      <w:r w:rsidRPr="002C3022">
        <w:rPr>
          <w:lang w:val="de-DE"/>
        </w:rPr>
        <w:t xml:space="preserve">Schnitzspahn, K. M., Ihle, A., Henry, J. D., Rendell, P. G., &amp; Kliegel, M. (2011). </w:t>
      </w:r>
      <w:r>
        <w:t xml:space="preserve">The age- prospective memory-paradox: An exploration of possible mechanisms. </w:t>
      </w:r>
      <w:r w:rsidRPr="002C3022">
        <w:rPr>
          <w:i/>
          <w:lang w:val="de-DE"/>
        </w:rPr>
        <w:t>International Psychogeriatrics, 23</w:t>
      </w:r>
      <w:r w:rsidRPr="002C3022">
        <w:rPr>
          <w:lang w:val="de-DE"/>
        </w:rPr>
        <w:t>(4), 583-592. doi:10.1017/S1041610210001651</w:t>
      </w:r>
    </w:p>
    <w:p w14:paraId="17BAAD5A" w14:textId="77777777" w:rsidR="00C75312" w:rsidRDefault="00BB293A">
      <w:pPr>
        <w:pStyle w:val="BodyText"/>
        <w:spacing w:line="480" w:lineRule="auto"/>
        <w:ind w:left="860" w:right="234" w:hanging="720"/>
        <w:jc w:val="both"/>
      </w:pPr>
      <w:r w:rsidRPr="002C3022">
        <w:rPr>
          <w:lang w:val="de-DE"/>
        </w:rPr>
        <w:t xml:space="preserve">Schnitzspahn, K. M., Stahl, C., Zeintl, M., Kaller, C. P., &amp; Kliegel, M. (2013). </w:t>
      </w:r>
      <w:r>
        <w:t xml:space="preserve">The role of shifting, updating, and inhibition in prospective memory performance in young and older adults. </w:t>
      </w:r>
      <w:r>
        <w:rPr>
          <w:i/>
        </w:rPr>
        <w:t>Developmental Psychology, 49</w:t>
      </w:r>
      <w:r>
        <w:t>(8), 1544-1553. doi:10.1037/a0030579</w:t>
      </w:r>
    </w:p>
    <w:p w14:paraId="6F991874" w14:textId="77777777" w:rsidR="00C75312" w:rsidRDefault="00BB293A">
      <w:pPr>
        <w:spacing w:line="480" w:lineRule="auto"/>
        <w:ind w:left="860" w:right="233" w:hanging="720"/>
        <w:jc w:val="both"/>
        <w:rPr>
          <w:sz w:val="24"/>
        </w:rPr>
      </w:pPr>
      <w:proofErr w:type="spellStart"/>
      <w:r>
        <w:rPr>
          <w:sz w:val="24"/>
        </w:rPr>
        <w:t>Schopler</w:t>
      </w:r>
      <w:proofErr w:type="spellEnd"/>
      <w:r>
        <w:rPr>
          <w:sz w:val="24"/>
        </w:rPr>
        <w:t xml:space="preserve">, E., Reichler, R. J., DeVellis, R. F., &amp; Daly, K. (1980). Toward objective classification of childhood autism: Childhood Autism Rating Scale (CARS). </w:t>
      </w:r>
      <w:r>
        <w:rPr>
          <w:i/>
          <w:sz w:val="24"/>
        </w:rPr>
        <w:t>Journal of Autism and Developmental Disorders, 10</w:t>
      </w:r>
      <w:r>
        <w:rPr>
          <w:sz w:val="24"/>
        </w:rPr>
        <w:t>(1), 91-103. doi:10.1007/bf02408436</w:t>
      </w:r>
    </w:p>
    <w:p w14:paraId="5F4C1446"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04B29E45" w14:textId="77777777" w:rsidR="00C75312" w:rsidRDefault="00C75312">
      <w:pPr>
        <w:pStyle w:val="BodyText"/>
        <w:spacing w:before="9"/>
        <w:rPr>
          <w:sz w:val="15"/>
        </w:rPr>
      </w:pPr>
    </w:p>
    <w:p w14:paraId="536E7290" w14:textId="77777777" w:rsidR="00C75312" w:rsidRDefault="00BB293A">
      <w:pPr>
        <w:spacing w:before="90" w:line="480" w:lineRule="auto"/>
        <w:ind w:left="860" w:right="232" w:hanging="720"/>
        <w:jc w:val="both"/>
        <w:rPr>
          <w:sz w:val="24"/>
        </w:rPr>
      </w:pPr>
      <w:r>
        <w:rPr>
          <w:sz w:val="24"/>
        </w:rPr>
        <w:t>Scullin,</w:t>
      </w:r>
      <w:r>
        <w:rPr>
          <w:spacing w:val="-9"/>
          <w:sz w:val="24"/>
        </w:rPr>
        <w:t xml:space="preserve"> </w:t>
      </w:r>
      <w:r>
        <w:rPr>
          <w:sz w:val="24"/>
        </w:rPr>
        <w:t>M.</w:t>
      </w:r>
      <w:r>
        <w:rPr>
          <w:spacing w:val="-13"/>
          <w:sz w:val="24"/>
        </w:rPr>
        <w:t xml:space="preserve"> </w:t>
      </w:r>
      <w:r>
        <w:rPr>
          <w:sz w:val="24"/>
        </w:rPr>
        <w:t>K.,</w:t>
      </w:r>
      <w:r>
        <w:rPr>
          <w:spacing w:val="-8"/>
          <w:sz w:val="24"/>
        </w:rPr>
        <w:t xml:space="preserve"> </w:t>
      </w:r>
      <w:r>
        <w:rPr>
          <w:sz w:val="24"/>
        </w:rPr>
        <w:t>McDaniel,</w:t>
      </w:r>
      <w:r>
        <w:rPr>
          <w:spacing w:val="-9"/>
          <w:sz w:val="24"/>
        </w:rPr>
        <w:t xml:space="preserve"> </w:t>
      </w:r>
      <w:r>
        <w:rPr>
          <w:sz w:val="24"/>
        </w:rPr>
        <w:t>M.</w:t>
      </w:r>
      <w:r>
        <w:rPr>
          <w:spacing w:val="-13"/>
          <w:sz w:val="24"/>
        </w:rPr>
        <w:t xml:space="preserve"> </w:t>
      </w:r>
      <w:r>
        <w:rPr>
          <w:sz w:val="24"/>
        </w:rPr>
        <w:t>A.,</w:t>
      </w:r>
      <w:r>
        <w:rPr>
          <w:spacing w:val="-8"/>
          <w:sz w:val="24"/>
        </w:rPr>
        <w:t xml:space="preserve"> </w:t>
      </w:r>
      <w:r>
        <w:rPr>
          <w:sz w:val="24"/>
        </w:rPr>
        <w:t>Shelton,</w:t>
      </w:r>
      <w:r>
        <w:rPr>
          <w:spacing w:val="-9"/>
          <w:sz w:val="24"/>
        </w:rPr>
        <w:t xml:space="preserve"> </w:t>
      </w:r>
      <w:r>
        <w:rPr>
          <w:sz w:val="24"/>
        </w:rPr>
        <w:t>J.</w:t>
      </w:r>
      <w:r>
        <w:rPr>
          <w:spacing w:val="-13"/>
          <w:sz w:val="24"/>
        </w:rPr>
        <w:t xml:space="preserve"> </w:t>
      </w:r>
      <w:r>
        <w:rPr>
          <w:sz w:val="24"/>
        </w:rPr>
        <w:t>T.,</w:t>
      </w:r>
      <w:r>
        <w:rPr>
          <w:spacing w:val="-13"/>
          <w:sz w:val="24"/>
        </w:rPr>
        <w:t xml:space="preserve"> </w:t>
      </w:r>
      <w:r>
        <w:rPr>
          <w:sz w:val="24"/>
        </w:rPr>
        <w:t>&amp;</w:t>
      </w:r>
      <w:r>
        <w:rPr>
          <w:spacing w:val="-15"/>
          <w:sz w:val="24"/>
        </w:rPr>
        <w:t xml:space="preserve"> </w:t>
      </w:r>
      <w:r>
        <w:rPr>
          <w:sz w:val="24"/>
        </w:rPr>
        <w:t>Lee,</w:t>
      </w:r>
      <w:r>
        <w:rPr>
          <w:spacing w:val="-8"/>
          <w:sz w:val="24"/>
        </w:rPr>
        <w:t xml:space="preserve"> </w:t>
      </w:r>
      <w:r>
        <w:rPr>
          <w:sz w:val="24"/>
        </w:rPr>
        <w:t>J.</w:t>
      </w:r>
      <w:r>
        <w:rPr>
          <w:spacing w:val="-9"/>
          <w:sz w:val="24"/>
        </w:rPr>
        <w:t xml:space="preserve"> </w:t>
      </w:r>
      <w:r>
        <w:rPr>
          <w:sz w:val="24"/>
        </w:rPr>
        <w:t>H.</w:t>
      </w:r>
      <w:r>
        <w:rPr>
          <w:spacing w:val="-13"/>
          <w:sz w:val="24"/>
        </w:rPr>
        <w:t xml:space="preserve"> </w:t>
      </w:r>
      <w:r>
        <w:rPr>
          <w:sz w:val="24"/>
        </w:rPr>
        <w:t>(2010).</w:t>
      </w:r>
      <w:r>
        <w:rPr>
          <w:spacing w:val="-8"/>
          <w:sz w:val="24"/>
        </w:rPr>
        <w:t xml:space="preserve"> </w:t>
      </w:r>
      <w:r>
        <w:rPr>
          <w:sz w:val="24"/>
        </w:rPr>
        <w:t>Focal/</w:t>
      </w:r>
      <w:proofErr w:type="spellStart"/>
      <w:r>
        <w:rPr>
          <w:sz w:val="24"/>
        </w:rPr>
        <w:t>nonfocal</w:t>
      </w:r>
      <w:proofErr w:type="spellEnd"/>
      <w:r>
        <w:rPr>
          <w:spacing w:val="-11"/>
          <w:sz w:val="24"/>
        </w:rPr>
        <w:t xml:space="preserve"> </w:t>
      </w:r>
      <w:r>
        <w:rPr>
          <w:sz w:val="24"/>
        </w:rPr>
        <w:t>cue</w:t>
      </w:r>
      <w:r>
        <w:rPr>
          <w:spacing w:val="-12"/>
          <w:sz w:val="24"/>
        </w:rPr>
        <w:t xml:space="preserve"> </w:t>
      </w:r>
      <w:r>
        <w:rPr>
          <w:sz w:val="24"/>
        </w:rPr>
        <w:t xml:space="preserve">effects in prospective memory: Monitoring difficulty or different retrieval processes. </w:t>
      </w:r>
      <w:r>
        <w:rPr>
          <w:i/>
          <w:sz w:val="24"/>
        </w:rPr>
        <w:t>Journal of Experimental Psychology: Learning, Memory, and Cognition, 36</w:t>
      </w:r>
      <w:r>
        <w:rPr>
          <w:sz w:val="24"/>
        </w:rPr>
        <w:t>(3), 736-749. doi:10.1037/a0018971</w:t>
      </w:r>
    </w:p>
    <w:p w14:paraId="4F2DF2AD" w14:textId="77777777" w:rsidR="00C75312" w:rsidRDefault="00BB293A">
      <w:pPr>
        <w:pStyle w:val="BodyText"/>
        <w:spacing w:line="480" w:lineRule="auto"/>
        <w:ind w:left="860" w:right="236" w:hanging="720"/>
        <w:jc w:val="both"/>
      </w:pPr>
      <w:r>
        <w:t>Sellen,</w:t>
      </w:r>
      <w:r>
        <w:rPr>
          <w:spacing w:val="-3"/>
        </w:rPr>
        <w:t xml:space="preserve"> </w:t>
      </w:r>
      <w:r>
        <w:t>A.</w:t>
      </w:r>
      <w:r>
        <w:rPr>
          <w:spacing w:val="-2"/>
        </w:rPr>
        <w:t xml:space="preserve"> </w:t>
      </w:r>
      <w:r>
        <w:t>J.,</w:t>
      </w:r>
      <w:r>
        <w:rPr>
          <w:spacing w:val="-2"/>
        </w:rPr>
        <w:t xml:space="preserve"> </w:t>
      </w:r>
      <w:r>
        <w:t>Louie,</w:t>
      </w:r>
      <w:r>
        <w:rPr>
          <w:spacing w:val="-2"/>
        </w:rPr>
        <w:t xml:space="preserve"> </w:t>
      </w:r>
      <w:r>
        <w:t>G.,</w:t>
      </w:r>
      <w:r>
        <w:rPr>
          <w:spacing w:val="-2"/>
        </w:rPr>
        <w:t xml:space="preserve"> </w:t>
      </w:r>
      <w:r>
        <w:t>Harris,</w:t>
      </w:r>
      <w:r>
        <w:rPr>
          <w:spacing w:val="-2"/>
        </w:rPr>
        <w:t xml:space="preserve"> </w:t>
      </w:r>
      <w:r>
        <w:t>J.</w:t>
      </w:r>
      <w:r>
        <w:rPr>
          <w:spacing w:val="-7"/>
        </w:rPr>
        <w:t xml:space="preserve"> </w:t>
      </w:r>
      <w:r>
        <w:t>E.,</w:t>
      </w:r>
      <w:r>
        <w:rPr>
          <w:spacing w:val="-2"/>
        </w:rPr>
        <w:t xml:space="preserve"> </w:t>
      </w:r>
      <w:r>
        <w:t>&amp;</w:t>
      </w:r>
      <w:r>
        <w:rPr>
          <w:spacing w:val="-4"/>
        </w:rPr>
        <w:t xml:space="preserve"> </w:t>
      </w:r>
      <w:r>
        <w:t>Wilkins,</w:t>
      </w:r>
      <w:r>
        <w:rPr>
          <w:spacing w:val="-2"/>
        </w:rPr>
        <w:t xml:space="preserve"> </w:t>
      </w:r>
      <w:r>
        <w:rPr>
          <w:spacing w:val="-3"/>
        </w:rPr>
        <w:t>A.</w:t>
      </w:r>
      <w:r>
        <w:rPr>
          <w:spacing w:val="-7"/>
        </w:rPr>
        <w:t xml:space="preserve"> </w:t>
      </w:r>
      <w:r>
        <w:t>J.</w:t>
      </w:r>
      <w:r>
        <w:rPr>
          <w:spacing w:val="-2"/>
        </w:rPr>
        <w:t xml:space="preserve"> </w:t>
      </w:r>
      <w:r>
        <w:t>(1997).</w:t>
      </w:r>
      <w:r>
        <w:rPr>
          <w:spacing w:val="-3"/>
        </w:rPr>
        <w:t xml:space="preserve"> </w:t>
      </w:r>
      <w:r>
        <w:t>What</w:t>
      </w:r>
      <w:r>
        <w:rPr>
          <w:spacing w:val="-4"/>
        </w:rPr>
        <w:t xml:space="preserve"> </w:t>
      </w:r>
      <w:r>
        <w:t>brings</w:t>
      </w:r>
      <w:r>
        <w:rPr>
          <w:spacing w:val="-7"/>
        </w:rPr>
        <w:t xml:space="preserve"> </w:t>
      </w:r>
      <w:r>
        <w:t>intentions</w:t>
      </w:r>
      <w:r>
        <w:rPr>
          <w:spacing w:val="-7"/>
        </w:rPr>
        <w:t xml:space="preserve"> </w:t>
      </w:r>
      <w:r>
        <w:t>to</w:t>
      </w:r>
      <w:r>
        <w:rPr>
          <w:spacing w:val="-5"/>
        </w:rPr>
        <w:t xml:space="preserve"> </w:t>
      </w:r>
      <w:r>
        <w:t xml:space="preserve">mind? An in situ study of prospective memory. </w:t>
      </w:r>
      <w:r>
        <w:rPr>
          <w:i/>
        </w:rPr>
        <w:t>Memory, 5</w:t>
      </w:r>
      <w:r>
        <w:t>(4), 483-507. doi:10.1080/741941433</w:t>
      </w:r>
    </w:p>
    <w:p w14:paraId="30C3B40F" w14:textId="77777777" w:rsidR="00C75312" w:rsidRDefault="00BB293A">
      <w:pPr>
        <w:pStyle w:val="BodyText"/>
        <w:spacing w:line="480" w:lineRule="auto"/>
        <w:ind w:left="860" w:right="236" w:hanging="720"/>
        <w:jc w:val="both"/>
      </w:pPr>
      <w:r>
        <w:t xml:space="preserve">Shah, P., </w:t>
      </w:r>
      <w:proofErr w:type="spellStart"/>
      <w:r>
        <w:t>Catmur</w:t>
      </w:r>
      <w:proofErr w:type="spellEnd"/>
      <w:r>
        <w:t xml:space="preserve">, C., &amp; Bird, G. (2016). Emotional decision-making in autism spectrum disorder: The roles of interoception and alexithymia. </w:t>
      </w:r>
      <w:r>
        <w:rPr>
          <w:i/>
        </w:rPr>
        <w:t>Molecular Autism, 7</w:t>
      </w:r>
      <w:r>
        <w:t>(1), 43-43. doi:10.1186/s13229-016-0104-x</w:t>
      </w:r>
    </w:p>
    <w:p w14:paraId="5EDF7BCA" w14:textId="77777777" w:rsidR="00C75312" w:rsidRDefault="00BB293A">
      <w:pPr>
        <w:pStyle w:val="BodyText"/>
        <w:spacing w:line="480" w:lineRule="auto"/>
        <w:ind w:left="860" w:right="238" w:hanging="720"/>
        <w:jc w:val="both"/>
      </w:pPr>
      <w:r>
        <w:t xml:space="preserve">Shah, P., Hall, R., </w:t>
      </w:r>
      <w:proofErr w:type="spellStart"/>
      <w:r>
        <w:t>Catmur</w:t>
      </w:r>
      <w:proofErr w:type="spellEnd"/>
      <w:r>
        <w:t xml:space="preserve">, C., &amp; Bird, G. (2016). Alexithymia, not autism, is associated with impaired interoception. </w:t>
      </w:r>
      <w:r>
        <w:rPr>
          <w:i/>
        </w:rPr>
        <w:t>Cortex, 81</w:t>
      </w:r>
      <w:r>
        <w:t>(July), 215-220. doi:10.1016/j.cortex.2016.03.021</w:t>
      </w:r>
    </w:p>
    <w:p w14:paraId="3E9CD424" w14:textId="77777777" w:rsidR="00C75312" w:rsidRDefault="00BB293A">
      <w:pPr>
        <w:spacing w:before="1" w:line="480" w:lineRule="auto"/>
        <w:ind w:left="860" w:right="239" w:hanging="720"/>
        <w:jc w:val="both"/>
        <w:rPr>
          <w:sz w:val="24"/>
        </w:rPr>
      </w:pPr>
      <w:r>
        <w:rPr>
          <w:sz w:val="24"/>
        </w:rPr>
        <w:t xml:space="preserve">Shaked, M., &amp; </w:t>
      </w:r>
      <w:proofErr w:type="spellStart"/>
      <w:r>
        <w:rPr>
          <w:sz w:val="24"/>
        </w:rPr>
        <w:t>Yirmiya</w:t>
      </w:r>
      <w:proofErr w:type="spellEnd"/>
      <w:r>
        <w:rPr>
          <w:sz w:val="24"/>
        </w:rPr>
        <w:t xml:space="preserve">, N. (2004). Matching procedures in autism research: Evidence from meta-analytic studies. </w:t>
      </w:r>
      <w:r>
        <w:rPr>
          <w:i/>
          <w:sz w:val="24"/>
        </w:rPr>
        <w:t>Journal of Autism and Developmental Disorders, 34</w:t>
      </w:r>
      <w:r>
        <w:rPr>
          <w:sz w:val="24"/>
        </w:rPr>
        <w:t>(1), 35-40. doi:10.1023/B:JADD.0000018072.42845.83</w:t>
      </w:r>
    </w:p>
    <w:p w14:paraId="2183482A" w14:textId="77777777" w:rsidR="00C75312" w:rsidRDefault="00BB293A">
      <w:pPr>
        <w:spacing w:line="480" w:lineRule="auto"/>
        <w:ind w:left="860" w:right="237" w:hanging="720"/>
        <w:jc w:val="both"/>
        <w:rPr>
          <w:sz w:val="24"/>
        </w:rPr>
      </w:pPr>
      <w:r>
        <w:rPr>
          <w:sz w:val="24"/>
        </w:rPr>
        <w:t>Sheppard,</w:t>
      </w:r>
      <w:r>
        <w:rPr>
          <w:spacing w:val="-4"/>
          <w:sz w:val="24"/>
        </w:rPr>
        <w:t xml:space="preserve"> </w:t>
      </w:r>
      <w:r>
        <w:rPr>
          <w:spacing w:val="-3"/>
          <w:sz w:val="24"/>
        </w:rPr>
        <w:t xml:space="preserve">D. </w:t>
      </w:r>
      <w:r>
        <w:rPr>
          <w:sz w:val="24"/>
        </w:rPr>
        <w:t>P.,</w:t>
      </w:r>
      <w:r>
        <w:rPr>
          <w:spacing w:val="-8"/>
          <w:sz w:val="24"/>
        </w:rPr>
        <w:t xml:space="preserve"> </w:t>
      </w:r>
      <w:r>
        <w:rPr>
          <w:sz w:val="24"/>
        </w:rPr>
        <w:t>&amp;</w:t>
      </w:r>
      <w:r>
        <w:rPr>
          <w:spacing w:val="-6"/>
          <w:sz w:val="24"/>
        </w:rPr>
        <w:t xml:space="preserve"> </w:t>
      </w:r>
      <w:proofErr w:type="spellStart"/>
      <w:r>
        <w:rPr>
          <w:sz w:val="24"/>
        </w:rPr>
        <w:t>Altgassen</w:t>
      </w:r>
      <w:proofErr w:type="spellEnd"/>
      <w:r>
        <w:rPr>
          <w:sz w:val="24"/>
        </w:rPr>
        <w:t>,</w:t>
      </w:r>
      <w:r>
        <w:rPr>
          <w:spacing w:val="-3"/>
          <w:sz w:val="24"/>
        </w:rPr>
        <w:t xml:space="preserve"> </w:t>
      </w:r>
      <w:r>
        <w:rPr>
          <w:sz w:val="24"/>
        </w:rPr>
        <w:t>M.</w:t>
      </w:r>
      <w:r>
        <w:rPr>
          <w:spacing w:val="-8"/>
          <w:sz w:val="24"/>
        </w:rPr>
        <w:t xml:space="preserve"> </w:t>
      </w:r>
      <w:r>
        <w:rPr>
          <w:sz w:val="24"/>
        </w:rPr>
        <w:t>(2016).</w:t>
      </w:r>
      <w:r>
        <w:rPr>
          <w:spacing w:val="-4"/>
          <w:sz w:val="24"/>
        </w:rPr>
        <w:t xml:space="preserve"> </w:t>
      </w:r>
      <w:r>
        <w:rPr>
          <w:i/>
          <w:sz w:val="24"/>
        </w:rPr>
        <w:t>Sensory</w:t>
      </w:r>
      <w:r>
        <w:rPr>
          <w:i/>
          <w:spacing w:val="-7"/>
          <w:sz w:val="24"/>
        </w:rPr>
        <w:t xml:space="preserve"> </w:t>
      </w:r>
      <w:r>
        <w:rPr>
          <w:i/>
          <w:sz w:val="24"/>
        </w:rPr>
        <w:t>salience</w:t>
      </w:r>
      <w:r>
        <w:rPr>
          <w:i/>
          <w:spacing w:val="-7"/>
          <w:sz w:val="24"/>
        </w:rPr>
        <w:t xml:space="preserve"> </w:t>
      </w:r>
      <w:r>
        <w:rPr>
          <w:i/>
          <w:sz w:val="24"/>
        </w:rPr>
        <w:t>and</w:t>
      </w:r>
      <w:r>
        <w:rPr>
          <w:i/>
          <w:spacing w:val="-6"/>
          <w:sz w:val="24"/>
        </w:rPr>
        <w:t xml:space="preserve"> </w:t>
      </w:r>
      <w:r>
        <w:rPr>
          <w:i/>
          <w:sz w:val="24"/>
        </w:rPr>
        <w:t>prospective</w:t>
      </w:r>
      <w:r>
        <w:rPr>
          <w:i/>
          <w:spacing w:val="-7"/>
          <w:sz w:val="24"/>
        </w:rPr>
        <w:t xml:space="preserve"> </w:t>
      </w:r>
      <w:r>
        <w:rPr>
          <w:i/>
          <w:sz w:val="24"/>
        </w:rPr>
        <w:t>memory</w:t>
      </w:r>
      <w:r>
        <w:rPr>
          <w:i/>
          <w:spacing w:val="-8"/>
          <w:sz w:val="24"/>
        </w:rPr>
        <w:t xml:space="preserve"> </w:t>
      </w:r>
      <w:r>
        <w:rPr>
          <w:i/>
          <w:sz w:val="24"/>
        </w:rPr>
        <w:t>in</w:t>
      </w:r>
      <w:r>
        <w:rPr>
          <w:i/>
          <w:spacing w:val="-6"/>
          <w:sz w:val="24"/>
        </w:rPr>
        <w:t xml:space="preserve"> </w:t>
      </w:r>
      <w:r>
        <w:rPr>
          <w:i/>
          <w:sz w:val="24"/>
        </w:rPr>
        <w:t>autistic children</w:t>
      </w:r>
      <w:r>
        <w:rPr>
          <w:sz w:val="24"/>
        </w:rPr>
        <w:t>. Paper presented at the International Conference on Memory,</w:t>
      </w:r>
      <w:r>
        <w:rPr>
          <w:spacing w:val="-1"/>
          <w:sz w:val="24"/>
        </w:rPr>
        <w:t xml:space="preserve"> </w:t>
      </w:r>
      <w:r>
        <w:rPr>
          <w:sz w:val="24"/>
        </w:rPr>
        <w:t>Budapest.</w:t>
      </w:r>
    </w:p>
    <w:p w14:paraId="447439FD" w14:textId="77777777" w:rsidR="00C75312" w:rsidRDefault="00BB293A">
      <w:pPr>
        <w:spacing w:line="480" w:lineRule="auto"/>
        <w:ind w:left="860" w:right="236" w:hanging="720"/>
        <w:jc w:val="both"/>
        <w:rPr>
          <w:sz w:val="24"/>
        </w:rPr>
      </w:pPr>
      <w:r>
        <w:rPr>
          <w:sz w:val="24"/>
        </w:rPr>
        <w:t xml:space="preserve">Sheppard, D. P., </w:t>
      </w:r>
      <w:proofErr w:type="spellStart"/>
      <w:r>
        <w:rPr>
          <w:sz w:val="24"/>
        </w:rPr>
        <w:t>Kvavilashvili</w:t>
      </w:r>
      <w:proofErr w:type="spellEnd"/>
      <w:r>
        <w:rPr>
          <w:sz w:val="24"/>
        </w:rPr>
        <w:t xml:space="preserve">, L., &amp; Ryder, N. (2016). Event-based prospective memory in mildly and severely autistic children. </w:t>
      </w:r>
      <w:r>
        <w:rPr>
          <w:i/>
          <w:sz w:val="24"/>
        </w:rPr>
        <w:t>Research in Developmental Disabilities, 49-50</w:t>
      </w:r>
      <w:r>
        <w:rPr>
          <w:sz w:val="24"/>
        </w:rPr>
        <w:t>, 22-33. doi:10.1016/j.ridd.2015.09.018</w:t>
      </w:r>
    </w:p>
    <w:p w14:paraId="39E18ABC" w14:textId="77777777" w:rsidR="00C75312" w:rsidRDefault="00BB293A">
      <w:pPr>
        <w:pStyle w:val="BodyText"/>
        <w:spacing w:line="480" w:lineRule="auto"/>
        <w:ind w:left="860" w:right="235" w:hanging="720"/>
        <w:jc w:val="both"/>
      </w:pPr>
      <w:r>
        <w:t xml:space="preserve">Smith, G., Della Sala, S., </w:t>
      </w:r>
      <w:proofErr w:type="spellStart"/>
      <w:r>
        <w:t>Logie</w:t>
      </w:r>
      <w:proofErr w:type="spellEnd"/>
      <w:r>
        <w:t xml:space="preserve">, R. H., &amp; Maylor, E. A. (2000). Prospective and retrospective memory in normal ageing and dementia: A questionnaire study. </w:t>
      </w:r>
      <w:r>
        <w:rPr>
          <w:i/>
        </w:rPr>
        <w:t>Memory, 8</w:t>
      </w:r>
      <w:r>
        <w:t>(5), 311- 321.</w:t>
      </w:r>
    </w:p>
    <w:p w14:paraId="1C941063" w14:textId="77777777" w:rsidR="00C75312" w:rsidRDefault="00BB293A">
      <w:pPr>
        <w:pStyle w:val="BodyText"/>
        <w:spacing w:line="480" w:lineRule="auto"/>
        <w:ind w:left="860" w:right="239" w:hanging="720"/>
        <w:jc w:val="both"/>
        <w:rPr>
          <w:i/>
        </w:rPr>
      </w:pPr>
      <w:r>
        <w:t xml:space="preserve">Smith, </w:t>
      </w:r>
      <w:r>
        <w:rPr>
          <w:spacing w:val="-4"/>
        </w:rPr>
        <w:t xml:space="preserve">R. </w:t>
      </w:r>
      <w:r>
        <w:t>E. (2003). The cost of remembering to remember in event-based prospective memory:</w:t>
      </w:r>
      <w:r>
        <w:rPr>
          <w:spacing w:val="-16"/>
        </w:rPr>
        <w:t xml:space="preserve"> </w:t>
      </w:r>
      <w:r>
        <w:t>Investigating</w:t>
      </w:r>
      <w:r>
        <w:rPr>
          <w:spacing w:val="-15"/>
        </w:rPr>
        <w:t xml:space="preserve"> </w:t>
      </w:r>
      <w:r>
        <w:t>the</w:t>
      </w:r>
      <w:r>
        <w:rPr>
          <w:spacing w:val="-20"/>
        </w:rPr>
        <w:t xml:space="preserve"> </w:t>
      </w:r>
      <w:r>
        <w:t>capacity</w:t>
      </w:r>
      <w:r>
        <w:rPr>
          <w:spacing w:val="-16"/>
        </w:rPr>
        <w:t xml:space="preserve"> </w:t>
      </w:r>
      <w:r>
        <w:t>demands</w:t>
      </w:r>
      <w:r>
        <w:rPr>
          <w:spacing w:val="-18"/>
        </w:rPr>
        <w:t xml:space="preserve"> </w:t>
      </w:r>
      <w:r>
        <w:t>of</w:t>
      </w:r>
      <w:r>
        <w:rPr>
          <w:spacing w:val="-14"/>
        </w:rPr>
        <w:t xml:space="preserve"> </w:t>
      </w:r>
      <w:r>
        <w:t>delayed</w:t>
      </w:r>
      <w:r>
        <w:rPr>
          <w:spacing w:val="-15"/>
        </w:rPr>
        <w:t xml:space="preserve"> </w:t>
      </w:r>
      <w:r>
        <w:t>intention</w:t>
      </w:r>
      <w:r>
        <w:rPr>
          <w:spacing w:val="-15"/>
        </w:rPr>
        <w:t xml:space="preserve"> </w:t>
      </w:r>
      <w:r>
        <w:t>performance.</w:t>
      </w:r>
      <w:r>
        <w:rPr>
          <w:spacing w:val="-13"/>
        </w:rPr>
        <w:t xml:space="preserve"> </w:t>
      </w:r>
      <w:r>
        <w:rPr>
          <w:i/>
        </w:rPr>
        <w:t>Journal</w:t>
      </w:r>
    </w:p>
    <w:p w14:paraId="77456161" w14:textId="77777777" w:rsidR="00C75312" w:rsidRDefault="00C75312">
      <w:pPr>
        <w:spacing w:line="480" w:lineRule="auto"/>
        <w:jc w:val="both"/>
        <w:sectPr w:rsidR="00C75312">
          <w:pgSz w:w="11900" w:h="16840"/>
          <w:pgMar w:top="1160" w:right="1200" w:bottom="280" w:left="1300" w:header="720" w:footer="0" w:gutter="0"/>
          <w:cols w:space="720"/>
        </w:sectPr>
      </w:pPr>
    </w:p>
    <w:p w14:paraId="3BB5C804" w14:textId="77777777" w:rsidR="00C75312" w:rsidRDefault="00C75312">
      <w:pPr>
        <w:pStyle w:val="BodyText"/>
        <w:spacing w:before="9"/>
        <w:rPr>
          <w:i/>
          <w:sz w:val="15"/>
        </w:rPr>
      </w:pPr>
    </w:p>
    <w:p w14:paraId="47C70C02" w14:textId="77777777" w:rsidR="00C75312" w:rsidRDefault="00BB293A">
      <w:pPr>
        <w:spacing w:before="90" w:line="480" w:lineRule="auto"/>
        <w:ind w:left="860" w:right="241"/>
        <w:rPr>
          <w:sz w:val="24"/>
        </w:rPr>
      </w:pPr>
      <w:r>
        <w:rPr>
          <w:i/>
          <w:sz w:val="24"/>
        </w:rPr>
        <w:t>of Experimental Psychology: Learning, Memory, and Cognition, 29</w:t>
      </w:r>
      <w:r>
        <w:rPr>
          <w:sz w:val="24"/>
        </w:rPr>
        <w:t>(3), 347-361. doi:10.1037/0278-7393.29.3.347</w:t>
      </w:r>
    </w:p>
    <w:p w14:paraId="3A24784D" w14:textId="77777777" w:rsidR="00C75312" w:rsidRDefault="00BB293A">
      <w:pPr>
        <w:pStyle w:val="BodyText"/>
        <w:ind w:left="140"/>
      </w:pPr>
      <w:r>
        <w:t>Smith, R. E. (2017). Chapter Six - Prospective Memory in Context. In B. H. Ross (Ed.),</w:t>
      </w:r>
    </w:p>
    <w:p w14:paraId="2427F811" w14:textId="77777777" w:rsidR="00C75312" w:rsidRDefault="00C75312">
      <w:pPr>
        <w:pStyle w:val="BodyText"/>
      </w:pPr>
    </w:p>
    <w:p w14:paraId="2C6472B4" w14:textId="77777777" w:rsidR="00C75312" w:rsidRDefault="00BB293A">
      <w:pPr>
        <w:ind w:left="860"/>
        <w:rPr>
          <w:sz w:val="24"/>
        </w:rPr>
      </w:pPr>
      <w:r>
        <w:rPr>
          <w:i/>
          <w:sz w:val="24"/>
        </w:rPr>
        <w:t xml:space="preserve">Psychology of Learning and Motivation </w:t>
      </w:r>
      <w:r>
        <w:rPr>
          <w:sz w:val="24"/>
        </w:rPr>
        <w:t>(Vol. 66, pp. 211-249): Academic Press.</w:t>
      </w:r>
    </w:p>
    <w:p w14:paraId="249124A8" w14:textId="77777777" w:rsidR="00C75312" w:rsidRDefault="00C75312">
      <w:pPr>
        <w:pStyle w:val="BodyText"/>
      </w:pPr>
    </w:p>
    <w:p w14:paraId="6F37FC86" w14:textId="77777777" w:rsidR="00C75312" w:rsidRDefault="00BB293A">
      <w:pPr>
        <w:spacing w:line="480" w:lineRule="auto"/>
        <w:ind w:left="860" w:right="235" w:hanging="720"/>
        <w:jc w:val="both"/>
        <w:rPr>
          <w:sz w:val="24"/>
        </w:rPr>
      </w:pPr>
      <w:r>
        <w:rPr>
          <w:sz w:val="24"/>
        </w:rPr>
        <w:t>Smith,</w:t>
      </w:r>
      <w:r>
        <w:rPr>
          <w:spacing w:val="-13"/>
          <w:sz w:val="24"/>
        </w:rPr>
        <w:t xml:space="preserve"> </w:t>
      </w:r>
      <w:r>
        <w:rPr>
          <w:sz w:val="24"/>
        </w:rPr>
        <w:t>R.</w:t>
      </w:r>
      <w:r>
        <w:rPr>
          <w:spacing w:val="-12"/>
          <w:sz w:val="24"/>
        </w:rPr>
        <w:t xml:space="preserve"> </w:t>
      </w:r>
      <w:r>
        <w:rPr>
          <w:sz w:val="24"/>
        </w:rPr>
        <w:t>E.,</w:t>
      </w:r>
      <w:r>
        <w:rPr>
          <w:spacing w:val="-13"/>
          <w:sz w:val="24"/>
        </w:rPr>
        <w:t xml:space="preserve"> </w:t>
      </w:r>
      <w:r>
        <w:rPr>
          <w:sz w:val="24"/>
        </w:rPr>
        <w:t>&amp;</w:t>
      </w:r>
      <w:r>
        <w:rPr>
          <w:spacing w:val="-9"/>
          <w:sz w:val="24"/>
        </w:rPr>
        <w:t xml:space="preserve"> </w:t>
      </w:r>
      <w:r>
        <w:rPr>
          <w:sz w:val="24"/>
        </w:rPr>
        <w:t>Bayen,</w:t>
      </w:r>
      <w:r>
        <w:rPr>
          <w:spacing w:val="-13"/>
          <w:sz w:val="24"/>
        </w:rPr>
        <w:t xml:space="preserve"> </w:t>
      </w:r>
      <w:r>
        <w:rPr>
          <w:sz w:val="24"/>
        </w:rPr>
        <w:t>U.</w:t>
      </w:r>
      <w:r>
        <w:rPr>
          <w:spacing w:val="-12"/>
          <w:sz w:val="24"/>
        </w:rPr>
        <w:t xml:space="preserve"> </w:t>
      </w:r>
      <w:r>
        <w:rPr>
          <w:sz w:val="24"/>
        </w:rPr>
        <w:t>J.</w:t>
      </w:r>
      <w:r>
        <w:rPr>
          <w:spacing w:val="-13"/>
          <w:sz w:val="24"/>
        </w:rPr>
        <w:t xml:space="preserve"> </w:t>
      </w:r>
      <w:r>
        <w:rPr>
          <w:sz w:val="24"/>
        </w:rPr>
        <w:t>(2004).</w:t>
      </w:r>
      <w:r>
        <w:rPr>
          <w:spacing w:val="-12"/>
          <w:sz w:val="24"/>
        </w:rPr>
        <w:t xml:space="preserve"> </w:t>
      </w:r>
      <w:r>
        <w:rPr>
          <w:sz w:val="24"/>
        </w:rPr>
        <w:t>A</w:t>
      </w:r>
      <w:r>
        <w:rPr>
          <w:spacing w:val="-11"/>
          <w:sz w:val="24"/>
        </w:rPr>
        <w:t xml:space="preserve"> </w:t>
      </w:r>
      <w:r>
        <w:rPr>
          <w:sz w:val="24"/>
        </w:rPr>
        <w:t>multinomial</w:t>
      </w:r>
      <w:r>
        <w:rPr>
          <w:spacing w:val="-14"/>
          <w:sz w:val="24"/>
        </w:rPr>
        <w:t xml:space="preserve"> </w:t>
      </w:r>
      <w:r>
        <w:rPr>
          <w:sz w:val="24"/>
        </w:rPr>
        <w:t>model</w:t>
      </w:r>
      <w:r>
        <w:rPr>
          <w:spacing w:val="-10"/>
          <w:sz w:val="24"/>
        </w:rPr>
        <w:t xml:space="preserve"> </w:t>
      </w:r>
      <w:r>
        <w:rPr>
          <w:sz w:val="24"/>
        </w:rPr>
        <w:t>of</w:t>
      </w:r>
      <w:r>
        <w:rPr>
          <w:spacing w:val="-13"/>
          <w:sz w:val="24"/>
        </w:rPr>
        <w:t xml:space="preserve"> </w:t>
      </w:r>
      <w:r>
        <w:rPr>
          <w:sz w:val="24"/>
        </w:rPr>
        <w:t>event-based</w:t>
      </w:r>
      <w:r>
        <w:rPr>
          <w:spacing w:val="-11"/>
          <w:sz w:val="24"/>
        </w:rPr>
        <w:t xml:space="preserve"> </w:t>
      </w:r>
      <w:r>
        <w:rPr>
          <w:sz w:val="24"/>
        </w:rPr>
        <w:t>prospective</w:t>
      </w:r>
      <w:r>
        <w:rPr>
          <w:spacing w:val="-11"/>
          <w:sz w:val="24"/>
        </w:rPr>
        <w:t xml:space="preserve"> </w:t>
      </w:r>
      <w:r>
        <w:rPr>
          <w:sz w:val="24"/>
        </w:rPr>
        <w:t xml:space="preserve">memory. </w:t>
      </w:r>
      <w:r>
        <w:rPr>
          <w:i/>
          <w:sz w:val="24"/>
        </w:rPr>
        <w:t>Journal of Experimental Psychology: Learning, Memory, and Cognition, 30</w:t>
      </w:r>
      <w:r>
        <w:rPr>
          <w:sz w:val="24"/>
        </w:rPr>
        <w:t>(4), 756- 777.</w:t>
      </w:r>
      <w:r>
        <w:rPr>
          <w:spacing w:val="3"/>
          <w:sz w:val="24"/>
        </w:rPr>
        <w:t xml:space="preserve"> </w:t>
      </w:r>
      <w:r>
        <w:rPr>
          <w:sz w:val="24"/>
        </w:rPr>
        <w:t>doi:10.1037/0278-7393.30.4.756</w:t>
      </w:r>
    </w:p>
    <w:p w14:paraId="51DF830F" w14:textId="77777777" w:rsidR="00C75312" w:rsidRDefault="00BB293A">
      <w:pPr>
        <w:pStyle w:val="BodyText"/>
        <w:spacing w:line="480" w:lineRule="auto"/>
        <w:ind w:left="860" w:right="234" w:hanging="720"/>
        <w:jc w:val="both"/>
      </w:pPr>
      <w:r>
        <w:t xml:space="preserve">Smith, R. E., &amp; Bayen, U. J. (2005). The effects of working memory resource availability on prospective memory - A formal modeling approach. </w:t>
      </w:r>
      <w:r>
        <w:rPr>
          <w:i/>
        </w:rPr>
        <w:t>Experimental Psychology, 52</w:t>
      </w:r>
      <w:r>
        <w:t>(4), 243-256. doi:10.1027/1618-3169.52.4.243</w:t>
      </w:r>
    </w:p>
    <w:p w14:paraId="06B3C353" w14:textId="77777777" w:rsidR="00C75312" w:rsidRDefault="00BB293A">
      <w:pPr>
        <w:pStyle w:val="BodyText"/>
        <w:spacing w:line="480" w:lineRule="auto"/>
        <w:ind w:left="860" w:right="233" w:hanging="720"/>
        <w:jc w:val="both"/>
      </w:pPr>
      <w:r>
        <w:t xml:space="preserve">Spreng, R. N., &amp; Grady, C. L. (2009). Patterns of brain activity supporting autobiographical memory, prospection, and theory of mind, and their relationship to the default mode network. </w:t>
      </w:r>
      <w:r>
        <w:rPr>
          <w:i/>
        </w:rPr>
        <w:t>Journal of Cognitive Neuroscience, 22</w:t>
      </w:r>
      <w:r>
        <w:t>(6), 1112-1123.</w:t>
      </w:r>
    </w:p>
    <w:p w14:paraId="3958F7B5" w14:textId="77777777" w:rsidR="00C75312" w:rsidRDefault="00BB293A">
      <w:pPr>
        <w:pStyle w:val="BodyText"/>
        <w:spacing w:before="1" w:line="480" w:lineRule="auto"/>
        <w:ind w:left="860" w:right="236" w:hanging="720"/>
        <w:jc w:val="both"/>
      </w:pPr>
      <w:r>
        <w:t xml:space="preserve">Stavropoulos, K. K. M., &amp; Carver, L. J. (2014). Reward anticipation and processing of social versus nonsocial stimuli in children with and without autism spectrum disorders. </w:t>
      </w:r>
      <w:r>
        <w:rPr>
          <w:i/>
        </w:rPr>
        <w:t>Journal of Child Psychology and Psychiatry, 55</w:t>
      </w:r>
      <w:r>
        <w:t>(12), 1398-1408. doi:10.1111/jcpp.12270</w:t>
      </w:r>
    </w:p>
    <w:p w14:paraId="2523A935" w14:textId="77777777" w:rsidR="00C75312" w:rsidRDefault="00BB293A">
      <w:pPr>
        <w:spacing w:line="480" w:lineRule="auto"/>
        <w:ind w:left="860" w:right="244" w:hanging="720"/>
        <w:jc w:val="both"/>
        <w:rPr>
          <w:sz w:val="24"/>
        </w:rPr>
      </w:pPr>
      <w:r>
        <w:rPr>
          <w:sz w:val="24"/>
        </w:rPr>
        <w:t xml:space="preserve">Stroop, J. </w:t>
      </w:r>
      <w:r>
        <w:rPr>
          <w:spacing w:val="-4"/>
          <w:sz w:val="24"/>
        </w:rPr>
        <w:t xml:space="preserve">R. </w:t>
      </w:r>
      <w:r>
        <w:rPr>
          <w:sz w:val="24"/>
        </w:rPr>
        <w:t xml:space="preserve">(1935). Studies </w:t>
      </w:r>
      <w:r>
        <w:rPr>
          <w:spacing w:val="-3"/>
          <w:sz w:val="24"/>
        </w:rPr>
        <w:t xml:space="preserve">of </w:t>
      </w:r>
      <w:r>
        <w:rPr>
          <w:sz w:val="24"/>
        </w:rPr>
        <w:t xml:space="preserve">interference in serial verbal reactions. </w:t>
      </w:r>
      <w:r>
        <w:rPr>
          <w:i/>
          <w:sz w:val="24"/>
        </w:rPr>
        <w:t>Journal of experimental psychology, 18</w:t>
      </w:r>
      <w:r>
        <w:rPr>
          <w:sz w:val="24"/>
        </w:rPr>
        <w:t>(6), 643-662. doi:10.1037/h0054651</w:t>
      </w:r>
    </w:p>
    <w:p w14:paraId="641F108C" w14:textId="77777777" w:rsidR="00C75312" w:rsidRDefault="00BB293A">
      <w:pPr>
        <w:pStyle w:val="BodyText"/>
        <w:spacing w:line="480" w:lineRule="auto"/>
        <w:ind w:left="860" w:right="234" w:hanging="720"/>
        <w:jc w:val="both"/>
      </w:pPr>
      <w:r>
        <w:t xml:space="preserve">Suarez, M. A. (2012). Sensory processing in children with autism spectrum disorders and impact on functioning. </w:t>
      </w:r>
      <w:r>
        <w:rPr>
          <w:i/>
        </w:rPr>
        <w:t>Pediatric Clinics of North America, 59</w:t>
      </w:r>
      <w:r>
        <w:t>(1), 203-214. doi:10.1016/j.pcl.2011.10.012</w:t>
      </w:r>
    </w:p>
    <w:p w14:paraId="16CAB0D7" w14:textId="77777777" w:rsidR="00C75312" w:rsidRDefault="00BB293A">
      <w:pPr>
        <w:pStyle w:val="BodyText"/>
        <w:spacing w:line="480" w:lineRule="auto"/>
        <w:ind w:left="860" w:right="234" w:hanging="720"/>
        <w:jc w:val="both"/>
      </w:pPr>
      <w:r>
        <w:t xml:space="preserve">Szelag, E., Kowalska, J., Galkowski, T., &amp; Pöppel, E. (2004). Temporal processing deficits in high-functioning children with autism. </w:t>
      </w:r>
      <w:r>
        <w:rPr>
          <w:i/>
        </w:rPr>
        <w:t xml:space="preserve">British </w:t>
      </w:r>
      <w:proofErr w:type="spellStart"/>
      <w:r>
        <w:rPr>
          <w:i/>
        </w:rPr>
        <w:t>Jouranl</w:t>
      </w:r>
      <w:proofErr w:type="spellEnd"/>
      <w:r>
        <w:rPr>
          <w:i/>
        </w:rPr>
        <w:t xml:space="preserve"> of Psychology, 95</w:t>
      </w:r>
      <w:r>
        <w:t>(3), 269-282. doi:10.1348/0007126041528167</w:t>
      </w:r>
    </w:p>
    <w:p w14:paraId="78EEE3BF" w14:textId="77777777" w:rsidR="00C75312" w:rsidRDefault="00C75312">
      <w:pPr>
        <w:spacing w:line="480" w:lineRule="auto"/>
        <w:jc w:val="both"/>
        <w:sectPr w:rsidR="00C75312">
          <w:pgSz w:w="11900" w:h="16840"/>
          <w:pgMar w:top="1160" w:right="1200" w:bottom="280" w:left="1300" w:header="720" w:footer="0" w:gutter="0"/>
          <w:cols w:space="720"/>
        </w:sectPr>
      </w:pPr>
    </w:p>
    <w:p w14:paraId="7FA406B3" w14:textId="77777777" w:rsidR="00C75312" w:rsidRDefault="00C75312">
      <w:pPr>
        <w:pStyle w:val="BodyText"/>
        <w:spacing w:before="9"/>
        <w:rPr>
          <w:sz w:val="15"/>
        </w:rPr>
      </w:pPr>
    </w:p>
    <w:p w14:paraId="52A20C05" w14:textId="77777777" w:rsidR="00C75312" w:rsidRDefault="00BB293A">
      <w:pPr>
        <w:spacing w:before="90" w:line="480" w:lineRule="auto"/>
        <w:ind w:left="860" w:right="238" w:hanging="720"/>
        <w:jc w:val="both"/>
        <w:rPr>
          <w:sz w:val="24"/>
        </w:rPr>
      </w:pPr>
      <w:r>
        <w:rPr>
          <w:sz w:val="24"/>
        </w:rPr>
        <w:t xml:space="preserve">Taylor, G. J. (2000). Recent developments in alexithymia theory and research. </w:t>
      </w:r>
      <w:r>
        <w:rPr>
          <w:i/>
          <w:sz w:val="24"/>
        </w:rPr>
        <w:t>Canadian Journal of Psychiatry, 45</w:t>
      </w:r>
      <w:r>
        <w:rPr>
          <w:sz w:val="24"/>
        </w:rPr>
        <w:t>(2), 134-142. doi:10.1177/070674370004500203</w:t>
      </w:r>
    </w:p>
    <w:p w14:paraId="2DB3F38F" w14:textId="77777777" w:rsidR="00C75312" w:rsidRDefault="00BB293A">
      <w:pPr>
        <w:pStyle w:val="BodyText"/>
        <w:spacing w:line="480" w:lineRule="auto"/>
        <w:ind w:left="860" w:right="234" w:hanging="720"/>
        <w:jc w:val="both"/>
      </w:pPr>
      <w:r>
        <w:t xml:space="preserve">Terrett, G., Rendell, P. G., Raponi-Saunders, S., Henry, J. D., Bailey, P. E., &amp; </w:t>
      </w:r>
      <w:proofErr w:type="spellStart"/>
      <w:r>
        <w:t>Altgassen</w:t>
      </w:r>
      <w:proofErr w:type="spellEnd"/>
      <w:r>
        <w:t xml:space="preserve">, M. (2013). Episodic future thinking in children with autism spectrum disorder. </w:t>
      </w:r>
      <w:r>
        <w:rPr>
          <w:i/>
        </w:rPr>
        <w:t>Journal of Autism and Developmental Disorders, 43</w:t>
      </w:r>
      <w:r>
        <w:t>(11), 2558-2568. doi:10.1007/s10803-013- 1806-y</w:t>
      </w:r>
    </w:p>
    <w:p w14:paraId="6B938352" w14:textId="77777777" w:rsidR="00C75312" w:rsidRDefault="00BB293A">
      <w:pPr>
        <w:pStyle w:val="BodyText"/>
        <w:ind w:left="140"/>
        <w:jc w:val="both"/>
      </w:pPr>
      <w:r>
        <w:t xml:space="preserve">Terrett, G., Rose, N. S., Henry, J. D., Bailey, P. E., </w:t>
      </w:r>
      <w:proofErr w:type="spellStart"/>
      <w:r>
        <w:t>Altgassen</w:t>
      </w:r>
      <w:proofErr w:type="spellEnd"/>
      <w:r>
        <w:t>, M., Phillips, L. H., . . . Rendell,</w:t>
      </w:r>
    </w:p>
    <w:p w14:paraId="1521E0D8" w14:textId="77777777" w:rsidR="00C75312" w:rsidRDefault="00C75312">
      <w:pPr>
        <w:pStyle w:val="BodyText"/>
      </w:pPr>
    </w:p>
    <w:p w14:paraId="4FBB8247" w14:textId="77777777" w:rsidR="00C75312" w:rsidRDefault="00BB293A">
      <w:pPr>
        <w:spacing w:line="480" w:lineRule="auto"/>
        <w:ind w:left="860" w:right="233"/>
        <w:jc w:val="both"/>
        <w:rPr>
          <w:sz w:val="24"/>
        </w:rPr>
      </w:pPr>
      <w:r>
        <w:rPr>
          <w:sz w:val="24"/>
        </w:rPr>
        <w:t xml:space="preserve">P. G. (2016). The relationship between prospective memory and episodic future thinking in younger and older adulthood. </w:t>
      </w:r>
      <w:r>
        <w:rPr>
          <w:i/>
          <w:sz w:val="24"/>
        </w:rPr>
        <w:t>The Quarterly Journal of Experimental Psychology, 69</w:t>
      </w:r>
      <w:r>
        <w:rPr>
          <w:sz w:val="24"/>
        </w:rPr>
        <w:t>(2), 310-323. doi:10.1080/17470218.2015.1054294</w:t>
      </w:r>
    </w:p>
    <w:p w14:paraId="6781C664" w14:textId="77777777" w:rsidR="00C75312" w:rsidRDefault="00BB293A">
      <w:pPr>
        <w:pStyle w:val="BodyText"/>
        <w:spacing w:line="480" w:lineRule="auto"/>
        <w:ind w:left="860" w:right="241" w:hanging="720"/>
        <w:jc w:val="both"/>
      </w:pPr>
      <w:r>
        <w:t xml:space="preserve">Terry, W. S. (1988). Everyday Forgetting: Data from a diary study. </w:t>
      </w:r>
      <w:r>
        <w:rPr>
          <w:i/>
        </w:rPr>
        <w:t>Psychological Reports, 62</w:t>
      </w:r>
      <w:r>
        <w:t>(1), 299-303. doi:10.2466/pr0.1988.62.1.299</w:t>
      </w:r>
    </w:p>
    <w:p w14:paraId="78A4DA0B" w14:textId="77777777" w:rsidR="00C75312" w:rsidRDefault="00BB293A">
      <w:pPr>
        <w:spacing w:before="1" w:line="480" w:lineRule="auto"/>
        <w:ind w:left="860" w:right="242" w:hanging="720"/>
        <w:jc w:val="both"/>
        <w:rPr>
          <w:sz w:val="24"/>
        </w:rPr>
      </w:pPr>
      <w:r>
        <w:rPr>
          <w:sz w:val="24"/>
        </w:rPr>
        <w:t>Tong,</w:t>
      </w:r>
      <w:r>
        <w:rPr>
          <w:spacing w:val="-3"/>
          <w:sz w:val="24"/>
        </w:rPr>
        <w:t xml:space="preserve"> </w:t>
      </w:r>
      <w:r>
        <w:rPr>
          <w:sz w:val="24"/>
        </w:rPr>
        <w:t>F.</w:t>
      </w:r>
      <w:r>
        <w:rPr>
          <w:spacing w:val="-2"/>
          <w:sz w:val="24"/>
        </w:rPr>
        <w:t xml:space="preserve"> </w:t>
      </w:r>
      <w:r>
        <w:rPr>
          <w:sz w:val="24"/>
        </w:rPr>
        <w:t>(2013).</w:t>
      </w:r>
      <w:r>
        <w:rPr>
          <w:spacing w:val="-3"/>
          <w:sz w:val="24"/>
        </w:rPr>
        <w:t xml:space="preserve"> </w:t>
      </w:r>
      <w:r>
        <w:rPr>
          <w:sz w:val="24"/>
        </w:rPr>
        <w:t>Imagery</w:t>
      </w:r>
      <w:r>
        <w:rPr>
          <w:spacing w:val="-5"/>
          <w:sz w:val="24"/>
        </w:rPr>
        <w:t xml:space="preserve"> </w:t>
      </w:r>
      <w:r>
        <w:rPr>
          <w:sz w:val="24"/>
        </w:rPr>
        <w:t>and</w:t>
      </w:r>
      <w:r>
        <w:rPr>
          <w:spacing w:val="-5"/>
          <w:sz w:val="24"/>
        </w:rPr>
        <w:t xml:space="preserve"> </w:t>
      </w:r>
      <w:r>
        <w:rPr>
          <w:sz w:val="24"/>
        </w:rPr>
        <w:t>visual</w:t>
      </w:r>
      <w:r>
        <w:rPr>
          <w:spacing w:val="-4"/>
          <w:sz w:val="24"/>
        </w:rPr>
        <w:t xml:space="preserve"> </w:t>
      </w:r>
      <w:r>
        <w:rPr>
          <w:sz w:val="24"/>
        </w:rPr>
        <w:t>working</w:t>
      </w:r>
      <w:r>
        <w:rPr>
          <w:spacing w:val="-6"/>
          <w:sz w:val="24"/>
        </w:rPr>
        <w:t xml:space="preserve"> </w:t>
      </w:r>
      <w:r>
        <w:rPr>
          <w:sz w:val="24"/>
        </w:rPr>
        <w:t>memory:</w:t>
      </w:r>
      <w:r>
        <w:rPr>
          <w:spacing w:val="-4"/>
          <w:sz w:val="24"/>
        </w:rPr>
        <w:t xml:space="preserve"> </w:t>
      </w:r>
      <w:r>
        <w:rPr>
          <w:sz w:val="24"/>
        </w:rPr>
        <w:t>one</w:t>
      </w:r>
      <w:r>
        <w:rPr>
          <w:spacing w:val="-6"/>
          <w:sz w:val="24"/>
        </w:rPr>
        <w:t xml:space="preserve"> </w:t>
      </w:r>
      <w:r>
        <w:rPr>
          <w:sz w:val="24"/>
        </w:rPr>
        <w:t>and</w:t>
      </w:r>
      <w:r>
        <w:rPr>
          <w:spacing w:val="-5"/>
          <w:sz w:val="24"/>
        </w:rPr>
        <w:t xml:space="preserve"> </w:t>
      </w:r>
      <w:r>
        <w:rPr>
          <w:sz w:val="24"/>
        </w:rPr>
        <w:t>the</w:t>
      </w:r>
      <w:r>
        <w:rPr>
          <w:spacing w:val="-7"/>
          <w:sz w:val="24"/>
        </w:rPr>
        <w:t xml:space="preserve"> </w:t>
      </w:r>
      <w:r>
        <w:rPr>
          <w:sz w:val="24"/>
        </w:rPr>
        <w:t>same?</w:t>
      </w:r>
      <w:r>
        <w:rPr>
          <w:spacing w:val="-6"/>
          <w:sz w:val="24"/>
        </w:rPr>
        <w:t xml:space="preserve"> </w:t>
      </w:r>
      <w:r>
        <w:rPr>
          <w:i/>
          <w:sz w:val="24"/>
        </w:rPr>
        <w:t>Trends</w:t>
      </w:r>
      <w:r>
        <w:rPr>
          <w:i/>
          <w:spacing w:val="-7"/>
          <w:sz w:val="24"/>
        </w:rPr>
        <w:t xml:space="preserve"> </w:t>
      </w:r>
      <w:r>
        <w:rPr>
          <w:i/>
          <w:sz w:val="24"/>
        </w:rPr>
        <w:t>in</w:t>
      </w:r>
      <w:r>
        <w:rPr>
          <w:i/>
          <w:spacing w:val="-1"/>
          <w:sz w:val="24"/>
        </w:rPr>
        <w:t xml:space="preserve"> </w:t>
      </w:r>
      <w:r>
        <w:rPr>
          <w:i/>
          <w:sz w:val="24"/>
        </w:rPr>
        <w:t>Cognitive Sciences, 17</w:t>
      </w:r>
      <w:r>
        <w:rPr>
          <w:sz w:val="24"/>
        </w:rPr>
        <w:t>(10), 489-490.</w:t>
      </w:r>
      <w:r>
        <w:rPr>
          <w:spacing w:val="6"/>
          <w:sz w:val="24"/>
        </w:rPr>
        <w:t xml:space="preserve"> </w:t>
      </w:r>
      <w:r>
        <w:rPr>
          <w:sz w:val="24"/>
        </w:rPr>
        <w:t>doi:10.1016/j.tics.2013.08.005</w:t>
      </w:r>
    </w:p>
    <w:p w14:paraId="674DD187" w14:textId="77777777" w:rsidR="00C75312" w:rsidRDefault="00BB293A">
      <w:pPr>
        <w:pStyle w:val="BodyText"/>
        <w:spacing w:line="480" w:lineRule="auto"/>
        <w:ind w:left="860" w:right="234" w:hanging="720"/>
        <w:jc w:val="both"/>
      </w:pPr>
      <w:r>
        <w:t xml:space="preserve">Towgood, K. J., </w:t>
      </w:r>
      <w:proofErr w:type="spellStart"/>
      <w:r>
        <w:t>Meuwese</w:t>
      </w:r>
      <w:proofErr w:type="spellEnd"/>
      <w:r>
        <w:t xml:space="preserve">, J. D. I., Gilbert, S. J., Turner, M. S., &amp; Burgess, P. W. (2009). Advantages of the multiple case series approach to the study of cognitive deficits in autism spectrum disorder. </w:t>
      </w:r>
      <w:proofErr w:type="spellStart"/>
      <w:r>
        <w:rPr>
          <w:i/>
        </w:rPr>
        <w:t>Neuropsychologia</w:t>
      </w:r>
      <w:proofErr w:type="spellEnd"/>
      <w:r>
        <w:rPr>
          <w:i/>
        </w:rPr>
        <w:t>, 47</w:t>
      </w:r>
      <w:r>
        <w:t>(13), 2981-2988. doi:10.1016/j.neuropsychologia.2009.06.028</w:t>
      </w:r>
    </w:p>
    <w:p w14:paraId="2F6C19DC" w14:textId="77777777" w:rsidR="00C75312" w:rsidRDefault="00BB293A">
      <w:pPr>
        <w:spacing w:line="480" w:lineRule="auto"/>
        <w:ind w:left="860" w:right="239" w:hanging="720"/>
        <w:jc w:val="both"/>
        <w:rPr>
          <w:sz w:val="24"/>
        </w:rPr>
      </w:pPr>
      <w:r>
        <w:rPr>
          <w:sz w:val="24"/>
        </w:rPr>
        <w:t>Tsakiris, M., &amp; Critchley, H. (2016). Interoception beyond homeostasis: affect, cognition and mental</w:t>
      </w:r>
      <w:r>
        <w:rPr>
          <w:spacing w:val="-5"/>
          <w:sz w:val="24"/>
        </w:rPr>
        <w:t xml:space="preserve"> </w:t>
      </w:r>
      <w:r>
        <w:rPr>
          <w:sz w:val="24"/>
        </w:rPr>
        <w:t>health.</w:t>
      </w:r>
      <w:r>
        <w:rPr>
          <w:spacing w:val="-3"/>
          <w:sz w:val="24"/>
        </w:rPr>
        <w:t xml:space="preserve"> </w:t>
      </w:r>
      <w:r>
        <w:rPr>
          <w:i/>
          <w:sz w:val="24"/>
        </w:rPr>
        <w:t>Philosophical</w:t>
      </w:r>
      <w:r>
        <w:rPr>
          <w:i/>
          <w:spacing w:val="-5"/>
          <w:sz w:val="24"/>
        </w:rPr>
        <w:t xml:space="preserve"> </w:t>
      </w:r>
      <w:r>
        <w:rPr>
          <w:i/>
          <w:sz w:val="24"/>
        </w:rPr>
        <w:t>Transactions</w:t>
      </w:r>
      <w:r>
        <w:rPr>
          <w:i/>
          <w:spacing w:val="-7"/>
          <w:sz w:val="24"/>
        </w:rPr>
        <w:t xml:space="preserve"> </w:t>
      </w:r>
      <w:r>
        <w:rPr>
          <w:i/>
          <w:sz w:val="24"/>
        </w:rPr>
        <w:t>of</w:t>
      </w:r>
      <w:r>
        <w:rPr>
          <w:i/>
          <w:spacing w:val="-5"/>
          <w:sz w:val="24"/>
        </w:rPr>
        <w:t xml:space="preserve"> </w:t>
      </w:r>
      <w:r>
        <w:rPr>
          <w:i/>
          <w:sz w:val="24"/>
        </w:rPr>
        <w:t>the</w:t>
      </w:r>
      <w:r>
        <w:rPr>
          <w:i/>
          <w:spacing w:val="-7"/>
          <w:sz w:val="24"/>
        </w:rPr>
        <w:t xml:space="preserve"> </w:t>
      </w:r>
      <w:r>
        <w:rPr>
          <w:i/>
          <w:sz w:val="24"/>
        </w:rPr>
        <w:t>Royal</w:t>
      </w:r>
      <w:r>
        <w:rPr>
          <w:i/>
          <w:spacing w:val="-4"/>
          <w:sz w:val="24"/>
        </w:rPr>
        <w:t xml:space="preserve"> </w:t>
      </w:r>
      <w:r>
        <w:rPr>
          <w:i/>
          <w:sz w:val="24"/>
        </w:rPr>
        <w:t>Society</w:t>
      </w:r>
      <w:r>
        <w:rPr>
          <w:i/>
          <w:spacing w:val="-7"/>
          <w:sz w:val="24"/>
        </w:rPr>
        <w:t xml:space="preserve"> </w:t>
      </w:r>
      <w:r>
        <w:rPr>
          <w:i/>
          <w:sz w:val="24"/>
        </w:rPr>
        <w:t>B:</w:t>
      </w:r>
      <w:r>
        <w:rPr>
          <w:i/>
          <w:spacing w:val="-4"/>
          <w:sz w:val="24"/>
        </w:rPr>
        <w:t xml:space="preserve"> </w:t>
      </w:r>
      <w:r>
        <w:rPr>
          <w:i/>
          <w:sz w:val="24"/>
        </w:rPr>
        <w:t>Biological</w:t>
      </w:r>
      <w:r>
        <w:rPr>
          <w:i/>
          <w:spacing w:val="-4"/>
          <w:sz w:val="24"/>
        </w:rPr>
        <w:t xml:space="preserve"> </w:t>
      </w:r>
      <w:r>
        <w:rPr>
          <w:i/>
          <w:sz w:val="24"/>
        </w:rPr>
        <w:t>Sciences, 371</w:t>
      </w:r>
      <w:r>
        <w:rPr>
          <w:sz w:val="24"/>
        </w:rPr>
        <w:t>(1708), 20160002-20160002.</w:t>
      </w:r>
      <w:r>
        <w:rPr>
          <w:spacing w:val="3"/>
          <w:sz w:val="24"/>
        </w:rPr>
        <w:t xml:space="preserve"> </w:t>
      </w:r>
      <w:r>
        <w:rPr>
          <w:sz w:val="24"/>
        </w:rPr>
        <w:t>doi:10.1098/rstb.2016.0002</w:t>
      </w:r>
    </w:p>
    <w:p w14:paraId="6128E363" w14:textId="77777777" w:rsidR="00C75312" w:rsidRDefault="00BB293A">
      <w:pPr>
        <w:pStyle w:val="BodyText"/>
        <w:spacing w:line="480" w:lineRule="auto"/>
        <w:ind w:left="860" w:right="245" w:hanging="720"/>
        <w:jc w:val="both"/>
      </w:pPr>
      <w:r>
        <w:t xml:space="preserve">Uddin, L. Q. (2011). The self in autism: An emerging view from neuroimaging. </w:t>
      </w:r>
      <w:proofErr w:type="spellStart"/>
      <w:r>
        <w:rPr>
          <w:i/>
        </w:rPr>
        <w:t>Neurocase</w:t>
      </w:r>
      <w:proofErr w:type="spellEnd"/>
      <w:r>
        <w:rPr>
          <w:i/>
        </w:rPr>
        <w:t>, 17</w:t>
      </w:r>
      <w:r>
        <w:t>(3), 201-208. doi:10.1080/13554794.2010.509320</w:t>
      </w:r>
    </w:p>
    <w:p w14:paraId="78A83E54" w14:textId="77777777" w:rsidR="00C75312" w:rsidRDefault="00C75312">
      <w:pPr>
        <w:spacing w:line="480" w:lineRule="auto"/>
        <w:jc w:val="both"/>
        <w:sectPr w:rsidR="00C75312">
          <w:pgSz w:w="11900" w:h="16840"/>
          <w:pgMar w:top="1160" w:right="1200" w:bottom="280" w:left="1300" w:header="720" w:footer="0" w:gutter="0"/>
          <w:cols w:space="720"/>
        </w:sectPr>
      </w:pPr>
    </w:p>
    <w:p w14:paraId="696C15E6" w14:textId="77777777" w:rsidR="00C75312" w:rsidRDefault="00C75312">
      <w:pPr>
        <w:pStyle w:val="BodyText"/>
        <w:spacing w:before="9"/>
        <w:rPr>
          <w:sz w:val="15"/>
        </w:rPr>
      </w:pPr>
    </w:p>
    <w:p w14:paraId="7290FC48" w14:textId="77777777" w:rsidR="00C75312" w:rsidRDefault="00BB293A">
      <w:pPr>
        <w:spacing w:before="90" w:line="480" w:lineRule="auto"/>
        <w:ind w:left="860" w:right="240" w:hanging="720"/>
        <w:jc w:val="both"/>
        <w:rPr>
          <w:sz w:val="24"/>
        </w:rPr>
      </w:pPr>
      <w:r>
        <w:rPr>
          <w:sz w:val="24"/>
        </w:rPr>
        <w:t>Uddin,</w:t>
      </w:r>
      <w:r>
        <w:rPr>
          <w:spacing w:val="-4"/>
          <w:sz w:val="24"/>
        </w:rPr>
        <w:t xml:space="preserve"> </w:t>
      </w:r>
      <w:r>
        <w:rPr>
          <w:sz w:val="24"/>
        </w:rPr>
        <w:t>L.</w:t>
      </w:r>
      <w:r>
        <w:rPr>
          <w:spacing w:val="-3"/>
          <w:sz w:val="24"/>
        </w:rPr>
        <w:t xml:space="preserve"> </w:t>
      </w:r>
      <w:r>
        <w:rPr>
          <w:sz w:val="24"/>
        </w:rPr>
        <w:t>Q.,</w:t>
      </w:r>
      <w:r>
        <w:rPr>
          <w:spacing w:val="-3"/>
          <w:sz w:val="24"/>
        </w:rPr>
        <w:t xml:space="preserve"> </w:t>
      </w:r>
      <w:r>
        <w:rPr>
          <w:sz w:val="24"/>
        </w:rPr>
        <w:t>&amp;</w:t>
      </w:r>
      <w:r>
        <w:rPr>
          <w:spacing w:val="-9"/>
          <w:sz w:val="24"/>
        </w:rPr>
        <w:t xml:space="preserve"> </w:t>
      </w:r>
      <w:r>
        <w:rPr>
          <w:sz w:val="24"/>
        </w:rPr>
        <w:t>Menon,</w:t>
      </w:r>
      <w:r>
        <w:rPr>
          <w:spacing w:val="-3"/>
          <w:sz w:val="24"/>
        </w:rPr>
        <w:t xml:space="preserve"> </w:t>
      </w:r>
      <w:r>
        <w:rPr>
          <w:sz w:val="24"/>
        </w:rPr>
        <w:t>V.</w:t>
      </w:r>
      <w:r>
        <w:rPr>
          <w:spacing w:val="-8"/>
          <w:sz w:val="24"/>
        </w:rPr>
        <w:t xml:space="preserve"> </w:t>
      </w:r>
      <w:r>
        <w:rPr>
          <w:sz w:val="24"/>
        </w:rPr>
        <w:t>(2009).</w:t>
      </w:r>
      <w:r>
        <w:rPr>
          <w:spacing w:val="-3"/>
          <w:sz w:val="24"/>
        </w:rPr>
        <w:t xml:space="preserve"> </w:t>
      </w:r>
      <w:r>
        <w:rPr>
          <w:sz w:val="24"/>
        </w:rPr>
        <w:t>The</w:t>
      </w:r>
      <w:r>
        <w:rPr>
          <w:spacing w:val="-7"/>
          <w:sz w:val="24"/>
        </w:rPr>
        <w:t xml:space="preserve"> </w:t>
      </w:r>
      <w:r>
        <w:rPr>
          <w:sz w:val="24"/>
        </w:rPr>
        <w:t>anterior</w:t>
      </w:r>
      <w:r>
        <w:rPr>
          <w:spacing w:val="-4"/>
          <w:sz w:val="24"/>
        </w:rPr>
        <w:t xml:space="preserve"> </w:t>
      </w:r>
      <w:r>
        <w:rPr>
          <w:sz w:val="24"/>
        </w:rPr>
        <w:t>insula</w:t>
      </w:r>
      <w:r>
        <w:rPr>
          <w:spacing w:val="-7"/>
          <w:sz w:val="24"/>
        </w:rPr>
        <w:t xml:space="preserve"> </w:t>
      </w:r>
      <w:r>
        <w:rPr>
          <w:sz w:val="24"/>
        </w:rPr>
        <w:t>in</w:t>
      </w:r>
      <w:r>
        <w:rPr>
          <w:spacing w:val="-6"/>
          <w:sz w:val="24"/>
        </w:rPr>
        <w:t xml:space="preserve"> </w:t>
      </w:r>
      <w:r>
        <w:rPr>
          <w:sz w:val="24"/>
        </w:rPr>
        <w:t>autism:</w:t>
      </w:r>
      <w:r>
        <w:rPr>
          <w:spacing w:val="-5"/>
          <w:sz w:val="24"/>
        </w:rPr>
        <w:t xml:space="preserve"> </w:t>
      </w:r>
      <w:r>
        <w:rPr>
          <w:sz w:val="24"/>
        </w:rPr>
        <w:t>Under-connected</w:t>
      </w:r>
      <w:r>
        <w:rPr>
          <w:spacing w:val="-5"/>
          <w:sz w:val="24"/>
        </w:rPr>
        <w:t xml:space="preserve"> </w:t>
      </w:r>
      <w:r>
        <w:rPr>
          <w:sz w:val="24"/>
        </w:rPr>
        <w:t>and</w:t>
      </w:r>
      <w:r>
        <w:rPr>
          <w:spacing w:val="-6"/>
          <w:sz w:val="24"/>
        </w:rPr>
        <w:t xml:space="preserve"> </w:t>
      </w:r>
      <w:r>
        <w:rPr>
          <w:sz w:val="24"/>
        </w:rPr>
        <w:t xml:space="preserve">under- examined. </w:t>
      </w:r>
      <w:r>
        <w:rPr>
          <w:i/>
          <w:sz w:val="24"/>
        </w:rPr>
        <w:t>Neuroscience and Biobehavioral Reviews, 33</w:t>
      </w:r>
      <w:r>
        <w:rPr>
          <w:sz w:val="24"/>
        </w:rPr>
        <w:t>(8), 1198-1203. doi:10.1016/j.neubiorev.2009.06.002.</w:t>
      </w:r>
    </w:p>
    <w:p w14:paraId="3F2B4D4B" w14:textId="77777777" w:rsidR="00C75312" w:rsidRDefault="00BB293A">
      <w:pPr>
        <w:spacing w:line="480" w:lineRule="auto"/>
        <w:ind w:left="860" w:right="234" w:hanging="720"/>
        <w:jc w:val="both"/>
        <w:rPr>
          <w:sz w:val="24"/>
        </w:rPr>
      </w:pPr>
      <w:r>
        <w:rPr>
          <w:sz w:val="24"/>
        </w:rPr>
        <w:t>Umeda,</w:t>
      </w:r>
      <w:r>
        <w:rPr>
          <w:spacing w:val="-3"/>
          <w:sz w:val="24"/>
        </w:rPr>
        <w:t xml:space="preserve"> </w:t>
      </w:r>
      <w:r>
        <w:rPr>
          <w:sz w:val="24"/>
        </w:rPr>
        <w:t>S.,</w:t>
      </w:r>
      <w:r>
        <w:rPr>
          <w:spacing w:val="-13"/>
          <w:sz w:val="24"/>
        </w:rPr>
        <w:t xml:space="preserve"> </w:t>
      </w:r>
      <w:proofErr w:type="spellStart"/>
      <w:r>
        <w:rPr>
          <w:sz w:val="24"/>
        </w:rPr>
        <w:t>Tochizawa</w:t>
      </w:r>
      <w:proofErr w:type="spellEnd"/>
      <w:r>
        <w:rPr>
          <w:sz w:val="24"/>
        </w:rPr>
        <w:t>,</w:t>
      </w:r>
      <w:r>
        <w:rPr>
          <w:spacing w:val="-8"/>
          <w:sz w:val="24"/>
        </w:rPr>
        <w:t xml:space="preserve"> </w:t>
      </w:r>
      <w:r>
        <w:rPr>
          <w:sz w:val="24"/>
        </w:rPr>
        <w:t>S.,</w:t>
      </w:r>
      <w:r>
        <w:rPr>
          <w:spacing w:val="-7"/>
          <w:sz w:val="24"/>
        </w:rPr>
        <w:t xml:space="preserve"> </w:t>
      </w:r>
      <w:r>
        <w:rPr>
          <w:sz w:val="24"/>
        </w:rPr>
        <w:t>Shibata,</w:t>
      </w:r>
      <w:r>
        <w:rPr>
          <w:spacing w:val="-8"/>
          <w:sz w:val="24"/>
        </w:rPr>
        <w:t xml:space="preserve"> </w:t>
      </w:r>
      <w:r>
        <w:rPr>
          <w:sz w:val="24"/>
        </w:rPr>
        <w:t>M.,</w:t>
      </w:r>
      <w:r>
        <w:rPr>
          <w:spacing w:val="-8"/>
          <w:sz w:val="24"/>
        </w:rPr>
        <w:t xml:space="preserve"> </w:t>
      </w:r>
      <w:r>
        <w:rPr>
          <w:sz w:val="24"/>
        </w:rPr>
        <w:t>&amp;</w:t>
      </w:r>
      <w:r>
        <w:rPr>
          <w:spacing w:val="-10"/>
          <w:sz w:val="24"/>
        </w:rPr>
        <w:t xml:space="preserve"> </w:t>
      </w:r>
      <w:r>
        <w:rPr>
          <w:sz w:val="24"/>
        </w:rPr>
        <w:t>Terasawa,</w:t>
      </w:r>
      <w:r>
        <w:rPr>
          <w:spacing w:val="-3"/>
          <w:sz w:val="24"/>
        </w:rPr>
        <w:t xml:space="preserve"> Y.</w:t>
      </w:r>
      <w:r>
        <w:rPr>
          <w:spacing w:val="-7"/>
          <w:sz w:val="24"/>
        </w:rPr>
        <w:t xml:space="preserve"> </w:t>
      </w:r>
      <w:r>
        <w:rPr>
          <w:sz w:val="24"/>
        </w:rPr>
        <w:t>(2016).</w:t>
      </w:r>
      <w:r>
        <w:rPr>
          <w:spacing w:val="-8"/>
          <w:sz w:val="24"/>
        </w:rPr>
        <w:t xml:space="preserve"> </w:t>
      </w:r>
      <w:r>
        <w:rPr>
          <w:sz w:val="24"/>
        </w:rPr>
        <w:t>Prospective</w:t>
      </w:r>
      <w:r>
        <w:rPr>
          <w:spacing w:val="-12"/>
          <w:sz w:val="24"/>
        </w:rPr>
        <w:t xml:space="preserve"> </w:t>
      </w:r>
      <w:r>
        <w:rPr>
          <w:sz w:val="24"/>
        </w:rPr>
        <w:t>memory</w:t>
      </w:r>
      <w:r>
        <w:rPr>
          <w:spacing w:val="-10"/>
          <w:sz w:val="24"/>
        </w:rPr>
        <w:t xml:space="preserve"> </w:t>
      </w:r>
      <w:r>
        <w:rPr>
          <w:sz w:val="24"/>
        </w:rPr>
        <w:t xml:space="preserve">mediated by interoceptive accuracy: A psychophysiological approach. </w:t>
      </w:r>
      <w:r>
        <w:rPr>
          <w:i/>
          <w:sz w:val="24"/>
        </w:rPr>
        <w:t>Philosophical Transactions of the Royal Society B, 371</w:t>
      </w:r>
      <w:r>
        <w:rPr>
          <w:sz w:val="24"/>
        </w:rPr>
        <w:t>(1708).</w:t>
      </w:r>
      <w:r>
        <w:rPr>
          <w:spacing w:val="-4"/>
          <w:sz w:val="24"/>
        </w:rPr>
        <w:t xml:space="preserve"> </w:t>
      </w:r>
      <w:r>
        <w:rPr>
          <w:sz w:val="24"/>
        </w:rPr>
        <w:t>doi:10.1098/rstb.2016.0005</w:t>
      </w:r>
    </w:p>
    <w:p w14:paraId="7B4108E4" w14:textId="77777777" w:rsidR="00C75312" w:rsidRDefault="00BB293A">
      <w:pPr>
        <w:pStyle w:val="BodyText"/>
        <w:spacing w:line="480" w:lineRule="auto"/>
        <w:ind w:left="860" w:right="239" w:hanging="720"/>
        <w:jc w:val="both"/>
      </w:pPr>
      <w:r>
        <w:t xml:space="preserve">Underwood, </w:t>
      </w:r>
      <w:r>
        <w:rPr>
          <w:spacing w:val="-3"/>
        </w:rPr>
        <w:t xml:space="preserve">A. </w:t>
      </w:r>
      <w:r>
        <w:t xml:space="preserve">G., Guynn, M. J., &amp; Cohen, </w:t>
      </w:r>
      <w:r>
        <w:rPr>
          <w:spacing w:val="-4"/>
        </w:rPr>
        <w:t xml:space="preserve">A.-L. </w:t>
      </w:r>
      <w:r>
        <w:t xml:space="preserve">(2015). The future orientation </w:t>
      </w:r>
      <w:r>
        <w:rPr>
          <w:spacing w:val="-3"/>
        </w:rPr>
        <w:t xml:space="preserve">of </w:t>
      </w:r>
      <w:r>
        <w:t>past memory:</w:t>
      </w:r>
      <w:r>
        <w:rPr>
          <w:spacing w:val="-10"/>
        </w:rPr>
        <w:t xml:space="preserve"> </w:t>
      </w:r>
      <w:r>
        <w:t>The</w:t>
      </w:r>
      <w:r>
        <w:rPr>
          <w:spacing w:val="-12"/>
        </w:rPr>
        <w:t xml:space="preserve"> </w:t>
      </w:r>
      <w:r>
        <w:t>role</w:t>
      </w:r>
      <w:r>
        <w:rPr>
          <w:spacing w:val="-11"/>
        </w:rPr>
        <w:t xml:space="preserve"> </w:t>
      </w:r>
      <w:r>
        <w:t>of</w:t>
      </w:r>
      <w:r>
        <w:rPr>
          <w:spacing w:val="-9"/>
        </w:rPr>
        <w:t xml:space="preserve"> </w:t>
      </w:r>
      <w:r>
        <w:t>BA</w:t>
      </w:r>
      <w:r>
        <w:rPr>
          <w:spacing w:val="-5"/>
        </w:rPr>
        <w:t xml:space="preserve"> </w:t>
      </w:r>
      <w:r>
        <w:t>10</w:t>
      </w:r>
      <w:r>
        <w:rPr>
          <w:spacing w:val="-11"/>
        </w:rPr>
        <w:t xml:space="preserve"> </w:t>
      </w:r>
      <w:r>
        <w:t>in</w:t>
      </w:r>
      <w:r>
        <w:rPr>
          <w:spacing w:val="-11"/>
        </w:rPr>
        <w:t xml:space="preserve"> </w:t>
      </w:r>
      <w:r>
        <w:t>prospective</w:t>
      </w:r>
      <w:r>
        <w:rPr>
          <w:spacing w:val="-6"/>
        </w:rPr>
        <w:t xml:space="preserve"> </w:t>
      </w:r>
      <w:r>
        <w:t>and</w:t>
      </w:r>
      <w:r>
        <w:rPr>
          <w:spacing w:val="-11"/>
        </w:rPr>
        <w:t xml:space="preserve"> </w:t>
      </w:r>
      <w:r>
        <w:t>retrospective</w:t>
      </w:r>
      <w:r>
        <w:rPr>
          <w:spacing w:val="-7"/>
        </w:rPr>
        <w:t xml:space="preserve"> </w:t>
      </w:r>
      <w:r>
        <w:t>retrieval</w:t>
      </w:r>
      <w:r>
        <w:rPr>
          <w:spacing w:val="-4"/>
        </w:rPr>
        <w:t xml:space="preserve"> </w:t>
      </w:r>
      <w:r>
        <w:t>modes.</w:t>
      </w:r>
      <w:r>
        <w:rPr>
          <w:spacing w:val="-8"/>
        </w:rPr>
        <w:t xml:space="preserve"> </w:t>
      </w:r>
      <w:r>
        <w:rPr>
          <w:i/>
        </w:rPr>
        <w:t>Frontiers in Human Neuroscience, 9</w:t>
      </w:r>
      <w:r>
        <w:t>, 1-12.</w:t>
      </w:r>
      <w:r>
        <w:rPr>
          <w:spacing w:val="12"/>
        </w:rPr>
        <w:t xml:space="preserve"> </w:t>
      </w:r>
      <w:r>
        <w:t>doi:10.3389/fnhum.2015.00668</w:t>
      </w:r>
    </w:p>
    <w:p w14:paraId="08FEFA15" w14:textId="77777777" w:rsidR="00C75312" w:rsidRDefault="00BB293A">
      <w:pPr>
        <w:spacing w:line="480" w:lineRule="auto"/>
        <w:ind w:left="860" w:right="234" w:hanging="720"/>
        <w:jc w:val="both"/>
        <w:rPr>
          <w:sz w:val="24"/>
        </w:rPr>
      </w:pPr>
      <w:proofErr w:type="spellStart"/>
      <w:r>
        <w:rPr>
          <w:sz w:val="24"/>
        </w:rPr>
        <w:t>Uttl</w:t>
      </w:r>
      <w:proofErr w:type="spellEnd"/>
      <w:r>
        <w:rPr>
          <w:sz w:val="24"/>
        </w:rPr>
        <w:t xml:space="preserve">, B. (2006). Age-related changes in event-cued visual and auditory prospective memory proper. </w:t>
      </w:r>
      <w:r>
        <w:rPr>
          <w:i/>
          <w:sz w:val="24"/>
        </w:rPr>
        <w:t>Aging, Neuropsychology, and Cognition: A Journal on Normal and Dysfunctional Development, 13</w:t>
      </w:r>
      <w:r>
        <w:rPr>
          <w:sz w:val="24"/>
        </w:rPr>
        <w:t>(2), 141-172. doi:10.1080/138255890969618</w:t>
      </w:r>
    </w:p>
    <w:p w14:paraId="38CCB6CB" w14:textId="77777777" w:rsidR="00C75312" w:rsidRDefault="00BB293A">
      <w:pPr>
        <w:pStyle w:val="BodyText"/>
        <w:spacing w:before="1" w:line="480" w:lineRule="auto"/>
        <w:ind w:left="860" w:right="241" w:hanging="720"/>
        <w:jc w:val="both"/>
      </w:pPr>
      <w:proofErr w:type="spellStart"/>
      <w:r>
        <w:t>Uttl</w:t>
      </w:r>
      <w:proofErr w:type="spellEnd"/>
      <w:r>
        <w:t>,</w:t>
      </w:r>
      <w:r>
        <w:rPr>
          <w:spacing w:val="-9"/>
        </w:rPr>
        <w:t xml:space="preserve"> </w:t>
      </w:r>
      <w:r>
        <w:t>B.</w:t>
      </w:r>
      <w:r>
        <w:rPr>
          <w:spacing w:val="-8"/>
        </w:rPr>
        <w:t xml:space="preserve"> </w:t>
      </w:r>
      <w:r>
        <w:t>(2008).</w:t>
      </w:r>
      <w:r>
        <w:rPr>
          <w:spacing w:val="-9"/>
        </w:rPr>
        <w:t xml:space="preserve"> </w:t>
      </w:r>
      <w:r>
        <w:t>Transparent</w:t>
      </w:r>
      <w:r>
        <w:rPr>
          <w:spacing w:val="-5"/>
        </w:rPr>
        <w:t xml:space="preserve"> </w:t>
      </w:r>
      <w:r>
        <w:t>meta-analysis</w:t>
      </w:r>
      <w:r>
        <w:rPr>
          <w:spacing w:val="-9"/>
        </w:rPr>
        <w:t xml:space="preserve"> </w:t>
      </w:r>
      <w:r>
        <w:t>of</w:t>
      </w:r>
      <w:r>
        <w:rPr>
          <w:spacing w:val="-9"/>
        </w:rPr>
        <w:t xml:space="preserve"> </w:t>
      </w:r>
      <w:r>
        <w:t>prospective</w:t>
      </w:r>
      <w:r>
        <w:rPr>
          <w:spacing w:val="-8"/>
        </w:rPr>
        <w:t xml:space="preserve"> </w:t>
      </w:r>
      <w:r>
        <w:t>memory</w:t>
      </w:r>
      <w:r>
        <w:rPr>
          <w:spacing w:val="-11"/>
        </w:rPr>
        <w:t xml:space="preserve"> </w:t>
      </w:r>
      <w:r>
        <w:t>and</w:t>
      </w:r>
      <w:r>
        <w:rPr>
          <w:spacing w:val="-11"/>
        </w:rPr>
        <w:t xml:space="preserve"> </w:t>
      </w:r>
      <w:r>
        <w:t>aging.</w:t>
      </w:r>
      <w:r>
        <w:rPr>
          <w:spacing w:val="-13"/>
        </w:rPr>
        <w:t xml:space="preserve"> </w:t>
      </w:r>
      <w:proofErr w:type="spellStart"/>
      <w:r>
        <w:rPr>
          <w:i/>
        </w:rPr>
        <w:t>PLoS</w:t>
      </w:r>
      <w:proofErr w:type="spellEnd"/>
      <w:r>
        <w:rPr>
          <w:i/>
          <w:spacing w:val="-11"/>
        </w:rPr>
        <w:t xml:space="preserve"> </w:t>
      </w:r>
      <w:r>
        <w:rPr>
          <w:i/>
        </w:rPr>
        <w:t>ONE,</w:t>
      </w:r>
      <w:r>
        <w:rPr>
          <w:i/>
          <w:spacing w:val="-9"/>
        </w:rPr>
        <w:t xml:space="preserve"> </w:t>
      </w:r>
      <w:r>
        <w:rPr>
          <w:i/>
        </w:rPr>
        <w:t>3</w:t>
      </w:r>
      <w:r>
        <w:t>(2), e1568.</w:t>
      </w:r>
      <w:r>
        <w:rPr>
          <w:spacing w:val="3"/>
        </w:rPr>
        <w:t xml:space="preserve"> </w:t>
      </w:r>
      <w:r>
        <w:t>doi:10.1371/journal.pone.0001568</w:t>
      </w:r>
    </w:p>
    <w:p w14:paraId="208D684F" w14:textId="77777777" w:rsidR="00C75312" w:rsidRDefault="00BB293A">
      <w:pPr>
        <w:pStyle w:val="BodyText"/>
        <w:spacing w:line="480" w:lineRule="auto"/>
        <w:ind w:left="860" w:right="239" w:hanging="720"/>
        <w:jc w:val="both"/>
      </w:pPr>
      <w:proofErr w:type="spellStart"/>
      <w:r>
        <w:t>Uttl</w:t>
      </w:r>
      <w:proofErr w:type="spellEnd"/>
      <w:r>
        <w:t xml:space="preserve">, B. (2011). Transparent meta-analysis: Does aging spare prospective memory with focal vs. non-focal cues? </w:t>
      </w:r>
      <w:proofErr w:type="spellStart"/>
      <w:r>
        <w:rPr>
          <w:i/>
        </w:rPr>
        <w:t>PLoS</w:t>
      </w:r>
      <w:proofErr w:type="spellEnd"/>
      <w:r>
        <w:rPr>
          <w:i/>
        </w:rPr>
        <w:t xml:space="preserve"> ONE, 6</w:t>
      </w:r>
      <w:r>
        <w:t>(2), e16618. doi:10.1371/journal.pone.0016618</w:t>
      </w:r>
    </w:p>
    <w:p w14:paraId="6BE75B04" w14:textId="77777777" w:rsidR="00C75312" w:rsidRDefault="00BB293A">
      <w:pPr>
        <w:spacing w:line="480" w:lineRule="auto"/>
        <w:ind w:left="860" w:right="234" w:hanging="720"/>
        <w:jc w:val="both"/>
        <w:rPr>
          <w:sz w:val="24"/>
        </w:rPr>
      </w:pPr>
      <w:proofErr w:type="spellStart"/>
      <w:r>
        <w:rPr>
          <w:sz w:val="24"/>
        </w:rPr>
        <w:t>Uttl</w:t>
      </w:r>
      <w:proofErr w:type="spellEnd"/>
      <w:r>
        <w:rPr>
          <w:sz w:val="24"/>
        </w:rPr>
        <w:t xml:space="preserve">, B., &amp; </w:t>
      </w:r>
      <w:proofErr w:type="spellStart"/>
      <w:r>
        <w:rPr>
          <w:sz w:val="24"/>
        </w:rPr>
        <w:t>Kibreab</w:t>
      </w:r>
      <w:proofErr w:type="spellEnd"/>
      <w:r>
        <w:rPr>
          <w:sz w:val="24"/>
        </w:rPr>
        <w:t xml:space="preserve">, M. (2011). Self-report measures of prospective memory are reliable but not valid. </w:t>
      </w:r>
      <w:r>
        <w:rPr>
          <w:i/>
          <w:sz w:val="24"/>
        </w:rPr>
        <w:t>Canadian Journal of Experimental Psychology, 65</w:t>
      </w:r>
      <w:r>
        <w:rPr>
          <w:sz w:val="24"/>
        </w:rPr>
        <w:t>(1), 57-68. doi:10.1037/a0022843</w:t>
      </w:r>
    </w:p>
    <w:p w14:paraId="259B8AC3" w14:textId="77777777" w:rsidR="00C75312" w:rsidRDefault="00BB293A">
      <w:pPr>
        <w:pStyle w:val="BodyText"/>
        <w:spacing w:line="480" w:lineRule="auto"/>
        <w:ind w:left="860" w:right="236" w:hanging="720"/>
        <w:jc w:val="both"/>
      </w:pPr>
      <w:proofErr w:type="spellStart"/>
      <w:r>
        <w:t>Uttl</w:t>
      </w:r>
      <w:proofErr w:type="spellEnd"/>
      <w:r>
        <w:t xml:space="preserve">, B., White, C. A., Gonzalez, D. W., </w:t>
      </w:r>
      <w:proofErr w:type="spellStart"/>
      <w:r>
        <w:t>McDouall</w:t>
      </w:r>
      <w:proofErr w:type="spellEnd"/>
      <w:r>
        <w:t xml:space="preserve">, J., &amp; Leonard, C. A. (2013). Prospective memory, personality, and individual differences. </w:t>
      </w:r>
      <w:r>
        <w:rPr>
          <w:i/>
        </w:rPr>
        <w:t>Frontiers in Psychology, 4</w:t>
      </w:r>
      <w:r>
        <w:t>, 1-15. doi:10.3389/fpsyg.2013.00130</w:t>
      </w:r>
    </w:p>
    <w:p w14:paraId="5B271A4E" w14:textId="77777777" w:rsidR="00C75312" w:rsidRDefault="00BB293A">
      <w:pPr>
        <w:pStyle w:val="BodyText"/>
        <w:spacing w:line="480" w:lineRule="auto"/>
        <w:ind w:left="860" w:right="235" w:hanging="720"/>
        <w:jc w:val="both"/>
      </w:pPr>
      <w:r w:rsidRPr="002C3022">
        <w:rPr>
          <w:lang w:val="nl-NL"/>
        </w:rPr>
        <w:t>van</w:t>
      </w:r>
      <w:r w:rsidRPr="002C3022">
        <w:rPr>
          <w:spacing w:val="-6"/>
          <w:lang w:val="nl-NL"/>
        </w:rPr>
        <w:t xml:space="preserve"> </w:t>
      </w:r>
      <w:r w:rsidRPr="002C3022">
        <w:rPr>
          <w:lang w:val="nl-NL"/>
        </w:rPr>
        <w:t>Heijst,</w:t>
      </w:r>
      <w:r w:rsidRPr="002C3022">
        <w:rPr>
          <w:spacing w:val="-3"/>
          <w:lang w:val="nl-NL"/>
        </w:rPr>
        <w:t xml:space="preserve"> </w:t>
      </w:r>
      <w:r w:rsidRPr="002C3022">
        <w:rPr>
          <w:spacing w:val="-4"/>
          <w:lang w:val="nl-NL"/>
        </w:rPr>
        <w:t>B.</w:t>
      </w:r>
      <w:r w:rsidRPr="002C3022">
        <w:rPr>
          <w:spacing w:val="-7"/>
          <w:lang w:val="nl-NL"/>
        </w:rPr>
        <w:t xml:space="preserve"> </w:t>
      </w:r>
      <w:r w:rsidRPr="002C3022">
        <w:rPr>
          <w:lang w:val="nl-NL"/>
        </w:rPr>
        <w:t>F.,</w:t>
      </w:r>
      <w:r w:rsidRPr="002C3022">
        <w:rPr>
          <w:spacing w:val="-8"/>
          <w:lang w:val="nl-NL"/>
        </w:rPr>
        <w:t xml:space="preserve"> </w:t>
      </w:r>
      <w:r w:rsidRPr="002C3022">
        <w:rPr>
          <w:lang w:val="nl-NL"/>
        </w:rPr>
        <w:t>&amp;</w:t>
      </w:r>
      <w:r w:rsidRPr="002C3022">
        <w:rPr>
          <w:spacing w:val="-5"/>
          <w:lang w:val="nl-NL"/>
        </w:rPr>
        <w:t xml:space="preserve"> </w:t>
      </w:r>
      <w:r w:rsidRPr="002C3022">
        <w:rPr>
          <w:lang w:val="nl-NL"/>
        </w:rPr>
        <w:t>Geurts,</w:t>
      </w:r>
      <w:r w:rsidRPr="002C3022">
        <w:rPr>
          <w:spacing w:val="-2"/>
          <w:lang w:val="nl-NL"/>
        </w:rPr>
        <w:t xml:space="preserve"> </w:t>
      </w:r>
      <w:r w:rsidRPr="002C3022">
        <w:rPr>
          <w:spacing w:val="-3"/>
          <w:lang w:val="nl-NL"/>
        </w:rPr>
        <w:t>H.</w:t>
      </w:r>
      <w:r w:rsidRPr="002C3022">
        <w:rPr>
          <w:spacing w:val="-8"/>
          <w:lang w:val="nl-NL"/>
        </w:rPr>
        <w:t xml:space="preserve"> </w:t>
      </w:r>
      <w:r w:rsidRPr="002C3022">
        <w:rPr>
          <w:lang w:val="nl-NL"/>
        </w:rPr>
        <w:t>M.</w:t>
      </w:r>
      <w:r w:rsidRPr="002C3022">
        <w:rPr>
          <w:spacing w:val="-8"/>
          <w:lang w:val="nl-NL"/>
        </w:rPr>
        <w:t xml:space="preserve"> </w:t>
      </w:r>
      <w:r w:rsidRPr="002C3022">
        <w:rPr>
          <w:lang w:val="nl-NL"/>
        </w:rPr>
        <w:t>(2015).</w:t>
      </w:r>
      <w:r w:rsidRPr="002C3022">
        <w:rPr>
          <w:spacing w:val="-2"/>
          <w:lang w:val="nl-NL"/>
        </w:rPr>
        <w:t xml:space="preserve"> </w:t>
      </w:r>
      <w:r>
        <w:t>Quality</w:t>
      </w:r>
      <w:r>
        <w:rPr>
          <w:spacing w:val="-15"/>
        </w:rPr>
        <w:t xml:space="preserve"> </w:t>
      </w:r>
      <w:r>
        <w:t>of</w:t>
      </w:r>
      <w:r>
        <w:rPr>
          <w:spacing w:val="-3"/>
        </w:rPr>
        <w:t xml:space="preserve"> </w:t>
      </w:r>
      <w:r>
        <w:t>life</w:t>
      </w:r>
      <w:r>
        <w:rPr>
          <w:spacing w:val="-7"/>
        </w:rPr>
        <w:t xml:space="preserve"> </w:t>
      </w:r>
      <w:r>
        <w:t>in</w:t>
      </w:r>
      <w:r>
        <w:rPr>
          <w:spacing w:val="-10"/>
        </w:rPr>
        <w:t xml:space="preserve"> </w:t>
      </w:r>
      <w:r>
        <w:t>autism</w:t>
      </w:r>
      <w:r>
        <w:rPr>
          <w:spacing w:val="-10"/>
        </w:rPr>
        <w:t xml:space="preserve"> </w:t>
      </w:r>
      <w:r>
        <w:t>across</w:t>
      </w:r>
      <w:r>
        <w:rPr>
          <w:spacing w:val="-7"/>
        </w:rPr>
        <w:t xml:space="preserve"> </w:t>
      </w:r>
      <w:r>
        <w:t>the</w:t>
      </w:r>
      <w:r>
        <w:rPr>
          <w:spacing w:val="-7"/>
        </w:rPr>
        <w:t xml:space="preserve"> </w:t>
      </w:r>
      <w:r>
        <w:t>lifespan:</w:t>
      </w:r>
      <w:r>
        <w:rPr>
          <w:spacing w:val="-5"/>
        </w:rPr>
        <w:t xml:space="preserve"> </w:t>
      </w:r>
      <w:r>
        <w:t>A</w:t>
      </w:r>
      <w:r>
        <w:rPr>
          <w:spacing w:val="-10"/>
        </w:rPr>
        <w:t xml:space="preserve"> </w:t>
      </w:r>
      <w:r>
        <w:t xml:space="preserve">meta- analysis. </w:t>
      </w:r>
      <w:r>
        <w:rPr>
          <w:i/>
        </w:rPr>
        <w:t>Autism, 19</w:t>
      </w:r>
      <w:r>
        <w:t>(2), 158-167.</w:t>
      </w:r>
      <w:r>
        <w:rPr>
          <w:spacing w:val="9"/>
        </w:rPr>
        <w:t xml:space="preserve"> </w:t>
      </w:r>
      <w:r>
        <w:t>doi:10.1177/1362361313517053</w:t>
      </w:r>
    </w:p>
    <w:p w14:paraId="0628F669" w14:textId="77777777" w:rsidR="00C75312" w:rsidRDefault="00C75312">
      <w:pPr>
        <w:spacing w:line="480" w:lineRule="auto"/>
        <w:jc w:val="both"/>
        <w:sectPr w:rsidR="00C75312">
          <w:pgSz w:w="11900" w:h="16840"/>
          <w:pgMar w:top="1160" w:right="1200" w:bottom="280" w:left="1300" w:header="720" w:footer="0" w:gutter="0"/>
          <w:cols w:space="720"/>
        </w:sectPr>
      </w:pPr>
    </w:p>
    <w:p w14:paraId="6C81C5FA" w14:textId="77777777" w:rsidR="00C75312" w:rsidRDefault="00C75312">
      <w:pPr>
        <w:pStyle w:val="BodyText"/>
        <w:spacing w:before="9"/>
        <w:rPr>
          <w:sz w:val="15"/>
        </w:rPr>
      </w:pPr>
    </w:p>
    <w:p w14:paraId="4994EBA0" w14:textId="77777777" w:rsidR="00C75312" w:rsidRDefault="00BB293A">
      <w:pPr>
        <w:pStyle w:val="BodyText"/>
        <w:spacing w:before="90" w:line="480" w:lineRule="auto"/>
        <w:ind w:left="860" w:right="234" w:hanging="720"/>
        <w:jc w:val="both"/>
      </w:pPr>
      <w:r>
        <w:t xml:space="preserve">Vanneste, S., Baudouin, A., </w:t>
      </w:r>
      <w:proofErr w:type="spellStart"/>
      <w:r>
        <w:t>Bouazzaoui</w:t>
      </w:r>
      <w:proofErr w:type="spellEnd"/>
      <w:r>
        <w:t xml:space="preserve">, B., &amp; </w:t>
      </w:r>
      <w:proofErr w:type="spellStart"/>
      <w:r>
        <w:t>Taconnat</w:t>
      </w:r>
      <w:proofErr w:type="spellEnd"/>
      <w:r>
        <w:t>, L. (2016). Age-related differences in</w:t>
      </w:r>
      <w:r>
        <w:rPr>
          <w:spacing w:val="-6"/>
        </w:rPr>
        <w:t xml:space="preserve"> </w:t>
      </w:r>
      <w:r>
        <w:t>time-based</w:t>
      </w:r>
      <w:r>
        <w:rPr>
          <w:spacing w:val="-5"/>
        </w:rPr>
        <w:t xml:space="preserve"> </w:t>
      </w:r>
      <w:r>
        <w:t>prospective</w:t>
      </w:r>
      <w:r>
        <w:rPr>
          <w:spacing w:val="-6"/>
        </w:rPr>
        <w:t xml:space="preserve"> </w:t>
      </w:r>
      <w:r>
        <w:t>memory:</w:t>
      </w:r>
      <w:r>
        <w:rPr>
          <w:spacing w:val="-9"/>
        </w:rPr>
        <w:t xml:space="preserve"> </w:t>
      </w:r>
      <w:r>
        <w:t>The</w:t>
      </w:r>
      <w:r>
        <w:rPr>
          <w:spacing w:val="-11"/>
        </w:rPr>
        <w:t xml:space="preserve"> </w:t>
      </w:r>
      <w:r>
        <w:t>role</w:t>
      </w:r>
      <w:r>
        <w:rPr>
          <w:spacing w:val="-11"/>
        </w:rPr>
        <w:t xml:space="preserve"> </w:t>
      </w:r>
      <w:r>
        <w:t>of</w:t>
      </w:r>
      <w:r>
        <w:rPr>
          <w:spacing w:val="-8"/>
        </w:rPr>
        <w:t xml:space="preserve"> </w:t>
      </w:r>
      <w:r>
        <w:t>time</w:t>
      </w:r>
      <w:r>
        <w:rPr>
          <w:spacing w:val="-7"/>
        </w:rPr>
        <w:t xml:space="preserve"> </w:t>
      </w:r>
      <w:r>
        <w:t>estimation</w:t>
      </w:r>
      <w:r>
        <w:rPr>
          <w:spacing w:val="-5"/>
        </w:rPr>
        <w:t xml:space="preserve"> </w:t>
      </w:r>
      <w:r>
        <w:t>in</w:t>
      </w:r>
      <w:r>
        <w:rPr>
          <w:spacing w:val="-10"/>
        </w:rPr>
        <w:t xml:space="preserve"> </w:t>
      </w:r>
      <w:r>
        <w:t>the</w:t>
      </w:r>
      <w:r>
        <w:rPr>
          <w:spacing w:val="-11"/>
        </w:rPr>
        <w:t xml:space="preserve"> </w:t>
      </w:r>
      <w:r>
        <w:t>clock</w:t>
      </w:r>
      <w:r>
        <w:rPr>
          <w:spacing w:val="-5"/>
        </w:rPr>
        <w:t xml:space="preserve"> </w:t>
      </w:r>
      <w:r>
        <w:t xml:space="preserve">monitoring strategy. </w:t>
      </w:r>
      <w:r>
        <w:rPr>
          <w:i/>
        </w:rPr>
        <w:t>Memory, 24</w:t>
      </w:r>
      <w:r>
        <w:t>(6), 812-825.</w:t>
      </w:r>
      <w:r>
        <w:rPr>
          <w:spacing w:val="8"/>
        </w:rPr>
        <w:t xml:space="preserve"> </w:t>
      </w:r>
      <w:r>
        <w:t>doi:10.1080/09658211.2015.1054837</w:t>
      </w:r>
    </w:p>
    <w:p w14:paraId="712030DD" w14:textId="77777777" w:rsidR="00C75312" w:rsidRDefault="00BB293A">
      <w:pPr>
        <w:spacing w:line="480" w:lineRule="auto"/>
        <w:ind w:left="860" w:right="234" w:hanging="720"/>
        <w:jc w:val="both"/>
        <w:rPr>
          <w:sz w:val="24"/>
        </w:rPr>
      </w:pPr>
      <w:r>
        <w:rPr>
          <w:sz w:val="24"/>
        </w:rPr>
        <w:t xml:space="preserve">Verbruggen, F., &amp; Logan, G. D. (2008). Automatic and controlled response inhibition: Associative learning in the go/no-go and stop-signal paradigms. </w:t>
      </w:r>
      <w:r>
        <w:rPr>
          <w:i/>
          <w:sz w:val="24"/>
        </w:rPr>
        <w:t>Journal of Experimental Psychology: General, 137</w:t>
      </w:r>
      <w:r>
        <w:rPr>
          <w:sz w:val="24"/>
        </w:rPr>
        <w:t>(4), 649-672. doi:10.1037/a0013170</w:t>
      </w:r>
    </w:p>
    <w:p w14:paraId="7AFF8305" w14:textId="77777777" w:rsidR="00C75312" w:rsidRDefault="00BB293A">
      <w:pPr>
        <w:pStyle w:val="BodyText"/>
        <w:ind w:left="140"/>
        <w:jc w:val="both"/>
      </w:pPr>
      <w:r>
        <w:t xml:space="preserve">Voigt, B., Mahy, C. E. V., Ellis, J., </w:t>
      </w:r>
      <w:proofErr w:type="spellStart"/>
      <w:r>
        <w:t>Schnitzspahn</w:t>
      </w:r>
      <w:proofErr w:type="spellEnd"/>
      <w:r>
        <w:t xml:space="preserve">, K. M., Ivonne, K., </w:t>
      </w:r>
      <w:proofErr w:type="spellStart"/>
      <w:r>
        <w:t>Altgassen</w:t>
      </w:r>
      <w:proofErr w:type="spellEnd"/>
      <w:r>
        <w:t xml:space="preserve">, M., &amp; </w:t>
      </w:r>
      <w:proofErr w:type="spellStart"/>
      <w:r>
        <w:t>Kliegel</w:t>
      </w:r>
      <w:proofErr w:type="spellEnd"/>
      <w:r>
        <w:t>,</w:t>
      </w:r>
    </w:p>
    <w:p w14:paraId="37525705" w14:textId="77777777" w:rsidR="00C75312" w:rsidRDefault="00C75312">
      <w:pPr>
        <w:pStyle w:val="BodyText"/>
      </w:pPr>
    </w:p>
    <w:p w14:paraId="6CE12C90" w14:textId="77777777" w:rsidR="00C75312" w:rsidRDefault="00BB293A">
      <w:pPr>
        <w:pStyle w:val="BodyText"/>
        <w:spacing w:line="480" w:lineRule="auto"/>
        <w:ind w:left="860" w:right="233"/>
        <w:jc w:val="both"/>
      </w:pPr>
      <w:r>
        <w:t>M.</w:t>
      </w:r>
      <w:r>
        <w:rPr>
          <w:spacing w:val="-2"/>
        </w:rPr>
        <w:t xml:space="preserve"> </w:t>
      </w:r>
      <w:r>
        <w:t>(2014).</w:t>
      </w:r>
      <w:r>
        <w:rPr>
          <w:spacing w:val="-7"/>
        </w:rPr>
        <w:t xml:space="preserve"> </w:t>
      </w:r>
      <w:r>
        <w:t>The</w:t>
      </w:r>
      <w:r>
        <w:rPr>
          <w:spacing w:val="-11"/>
        </w:rPr>
        <w:t xml:space="preserve"> </w:t>
      </w:r>
      <w:r>
        <w:t>development</w:t>
      </w:r>
      <w:r>
        <w:rPr>
          <w:spacing w:val="-3"/>
        </w:rPr>
        <w:t xml:space="preserve"> of </w:t>
      </w:r>
      <w:r>
        <w:t>time-based</w:t>
      </w:r>
      <w:r>
        <w:rPr>
          <w:spacing w:val="-5"/>
        </w:rPr>
        <w:t xml:space="preserve"> </w:t>
      </w:r>
      <w:r>
        <w:t>prospective</w:t>
      </w:r>
      <w:r>
        <w:rPr>
          <w:spacing w:val="-5"/>
        </w:rPr>
        <w:t xml:space="preserve"> </w:t>
      </w:r>
      <w:r>
        <w:t>memory</w:t>
      </w:r>
      <w:r>
        <w:rPr>
          <w:spacing w:val="-10"/>
        </w:rPr>
        <w:t xml:space="preserve"> </w:t>
      </w:r>
      <w:r>
        <w:t>in</w:t>
      </w:r>
      <w:r>
        <w:rPr>
          <w:spacing w:val="-10"/>
        </w:rPr>
        <w:t xml:space="preserve"> </w:t>
      </w:r>
      <w:r>
        <w:t>childhood:</w:t>
      </w:r>
      <w:r>
        <w:rPr>
          <w:spacing w:val="-8"/>
        </w:rPr>
        <w:t xml:space="preserve"> </w:t>
      </w:r>
      <w:r>
        <w:t>The</w:t>
      </w:r>
      <w:r>
        <w:rPr>
          <w:spacing w:val="-11"/>
        </w:rPr>
        <w:t xml:space="preserve"> </w:t>
      </w:r>
      <w:r>
        <w:t xml:space="preserve">role of working memory updating. </w:t>
      </w:r>
      <w:r>
        <w:rPr>
          <w:i/>
        </w:rPr>
        <w:t>Developmental Psychology, 50</w:t>
      </w:r>
      <w:r>
        <w:t>(10), 2393-2404. doi:10.1037/a0037491</w:t>
      </w:r>
    </w:p>
    <w:p w14:paraId="157770AC" w14:textId="77777777" w:rsidR="00C75312" w:rsidRDefault="00BB293A">
      <w:pPr>
        <w:pStyle w:val="BodyText"/>
        <w:spacing w:line="480" w:lineRule="auto"/>
        <w:ind w:left="860" w:right="236" w:hanging="720"/>
        <w:jc w:val="both"/>
      </w:pPr>
      <w:r>
        <w:t>Volle, E., Gonen-</w:t>
      </w:r>
      <w:proofErr w:type="spellStart"/>
      <w:r>
        <w:t>Yaacovi</w:t>
      </w:r>
      <w:proofErr w:type="spellEnd"/>
      <w:r>
        <w:t>, G., de Lacy Costello, A., Gilbert, S. J., &amp; Burgess, P. W. (2011). The</w:t>
      </w:r>
      <w:r>
        <w:rPr>
          <w:spacing w:val="-16"/>
        </w:rPr>
        <w:t xml:space="preserve"> </w:t>
      </w:r>
      <w:r>
        <w:t>role</w:t>
      </w:r>
      <w:r>
        <w:rPr>
          <w:spacing w:val="-16"/>
        </w:rPr>
        <w:t xml:space="preserve"> </w:t>
      </w:r>
      <w:r>
        <w:rPr>
          <w:spacing w:val="-3"/>
        </w:rPr>
        <w:t>of</w:t>
      </w:r>
      <w:r>
        <w:rPr>
          <w:spacing w:val="-18"/>
        </w:rPr>
        <w:t xml:space="preserve"> </w:t>
      </w:r>
      <w:r>
        <w:t>rostral</w:t>
      </w:r>
      <w:r>
        <w:rPr>
          <w:spacing w:val="-15"/>
        </w:rPr>
        <w:t xml:space="preserve"> </w:t>
      </w:r>
      <w:r>
        <w:t>prefrontal</w:t>
      </w:r>
      <w:r>
        <w:rPr>
          <w:spacing w:val="-15"/>
        </w:rPr>
        <w:t xml:space="preserve"> </w:t>
      </w:r>
      <w:r>
        <w:t>cortex</w:t>
      </w:r>
      <w:r>
        <w:rPr>
          <w:spacing w:val="-19"/>
        </w:rPr>
        <w:t xml:space="preserve"> </w:t>
      </w:r>
      <w:r>
        <w:t>in</w:t>
      </w:r>
      <w:r>
        <w:rPr>
          <w:spacing w:val="-15"/>
        </w:rPr>
        <w:t xml:space="preserve"> </w:t>
      </w:r>
      <w:r>
        <w:t>prospective</w:t>
      </w:r>
      <w:r>
        <w:rPr>
          <w:spacing w:val="-21"/>
        </w:rPr>
        <w:t xml:space="preserve"> </w:t>
      </w:r>
      <w:r>
        <w:t>memory:</w:t>
      </w:r>
      <w:r>
        <w:rPr>
          <w:spacing w:val="-14"/>
        </w:rPr>
        <w:t xml:space="preserve"> </w:t>
      </w:r>
      <w:r>
        <w:t>A</w:t>
      </w:r>
      <w:r>
        <w:rPr>
          <w:spacing w:val="-16"/>
        </w:rPr>
        <w:t xml:space="preserve"> </w:t>
      </w:r>
      <w:r>
        <w:t>voxel-based</w:t>
      </w:r>
      <w:r>
        <w:rPr>
          <w:spacing w:val="-15"/>
        </w:rPr>
        <w:t xml:space="preserve"> </w:t>
      </w:r>
      <w:r>
        <w:t>lesion</w:t>
      </w:r>
      <w:r>
        <w:rPr>
          <w:spacing w:val="-14"/>
        </w:rPr>
        <w:t xml:space="preserve"> </w:t>
      </w:r>
      <w:r>
        <w:t xml:space="preserve">study. </w:t>
      </w:r>
      <w:proofErr w:type="spellStart"/>
      <w:r>
        <w:rPr>
          <w:i/>
        </w:rPr>
        <w:t>Neuropsychologia</w:t>
      </w:r>
      <w:proofErr w:type="spellEnd"/>
      <w:r>
        <w:rPr>
          <w:i/>
        </w:rPr>
        <w:t>, 49</w:t>
      </w:r>
      <w:r>
        <w:t>(8), 2185-2198.</w:t>
      </w:r>
      <w:r>
        <w:rPr>
          <w:spacing w:val="1"/>
        </w:rPr>
        <w:t xml:space="preserve"> </w:t>
      </w:r>
      <w:r>
        <w:t>doi:10.1016/j.neuropsychologia.2011.02.045</w:t>
      </w:r>
    </w:p>
    <w:p w14:paraId="222A40BE" w14:textId="77777777" w:rsidR="00C75312" w:rsidRDefault="00BB293A">
      <w:pPr>
        <w:spacing w:before="1"/>
        <w:ind w:left="140"/>
        <w:jc w:val="both"/>
        <w:rPr>
          <w:sz w:val="24"/>
        </w:rPr>
      </w:pPr>
      <w:r>
        <w:rPr>
          <w:sz w:val="24"/>
        </w:rPr>
        <w:t xml:space="preserve">Von Wieser, F. (1893). </w:t>
      </w:r>
      <w:r>
        <w:rPr>
          <w:i/>
          <w:sz w:val="24"/>
        </w:rPr>
        <w:t>Natural value</w:t>
      </w:r>
      <w:r>
        <w:rPr>
          <w:sz w:val="24"/>
        </w:rPr>
        <w:t>. New York: MacMillan.</w:t>
      </w:r>
    </w:p>
    <w:p w14:paraId="4A026CB9" w14:textId="77777777" w:rsidR="00C75312" w:rsidRDefault="00C75312">
      <w:pPr>
        <w:pStyle w:val="BodyText"/>
        <w:spacing w:before="11"/>
        <w:rPr>
          <w:sz w:val="23"/>
        </w:rPr>
      </w:pPr>
    </w:p>
    <w:p w14:paraId="5A11DBC8" w14:textId="77777777" w:rsidR="00C75312" w:rsidRDefault="00BB293A">
      <w:pPr>
        <w:pStyle w:val="BodyText"/>
        <w:spacing w:line="480" w:lineRule="auto"/>
        <w:ind w:left="860" w:right="236" w:hanging="720"/>
        <w:jc w:val="both"/>
      </w:pPr>
      <w:proofErr w:type="spellStart"/>
      <w:r>
        <w:t>Wagenmakers</w:t>
      </w:r>
      <w:proofErr w:type="spellEnd"/>
      <w:r>
        <w:t>, E.-J., Love, J., Marsman, M., Jamil, T., Ly, A., Verhagen, J., . . . Morey, R.</w:t>
      </w:r>
      <w:r>
        <w:rPr>
          <w:spacing w:val="-29"/>
        </w:rPr>
        <w:t xml:space="preserve"> </w:t>
      </w:r>
      <w:r>
        <w:t xml:space="preserve">D. (2017). Bayesian inference for psychology. Part II: Example applications with JASP. </w:t>
      </w:r>
      <w:r>
        <w:rPr>
          <w:i/>
        </w:rPr>
        <w:t>Psychonomic Bulletin &amp; Review</w:t>
      </w:r>
      <w:r>
        <w:t>.</w:t>
      </w:r>
      <w:r>
        <w:rPr>
          <w:spacing w:val="2"/>
        </w:rPr>
        <w:t xml:space="preserve"> </w:t>
      </w:r>
      <w:r>
        <w:t>doi:10.3758/s13423-017-1323-7</w:t>
      </w:r>
    </w:p>
    <w:p w14:paraId="7A297B0B" w14:textId="77777777" w:rsidR="00C75312" w:rsidRDefault="00BB293A">
      <w:pPr>
        <w:pStyle w:val="BodyText"/>
        <w:spacing w:line="480" w:lineRule="auto"/>
        <w:ind w:left="860" w:right="236" w:hanging="720"/>
        <w:jc w:val="both"/>
      </w:pPr>
      <w:proofErr w:type="spellStart"/>
      <w:r>
        <w:t>Wagenmakers</w:t>
      </w:r>
      <w:proofErr w:type="spellEnd"/>
      <w:r>
        <w:t xml:space="preserve">, E.-J., Marsman, M., Jamil, T., Ly, A., Verhagen, J., Love, J., . . . Morey, R. </w:t>
      </w:r>
      <w:r>
        <w:rPr>
          <w:spacing w:val="-3"/>
        </w:rPr>
        <w:t xml:space="preserve">D. </w:t>
      </w:r>
      <w:r>
        <w:t>(2017).</w:t>
      </w:r>
      <w:r>
        <w:rPr>
          <w:spacing w:val="-7"/>
        </w:rPr>
        <w:t xml:space="preserve"> </w:t>
      </w:r>
      <w:r>
        <w:t>Bayesian</w:t>
      </w:r>
      <w:r>
        <w:rPr>
          <w:spacing w:val="-10"/>
        </w:rPr>
        <w:t xml:space="preserve"> </w:t>
      </w:r>
      <w:r>
        <w:t>inference</w:t>
      </w:r>
      <w:r>
        <w:rPr>
          <w:spacing w:val="-11"/>
        </w:rPr>
        <w:t xml:space="preserve"> </w:t>
      </w:r>
      <w:r>
        <w:t>for</w:t>
      </w:r>
      <w:r>
        <w:rPr>
          <w:spacing w:val="-12"/>
        </w:rPr>
        <w:t xml:space="preserve"> </w:t>
      </w:r>
      <w:r>
        <w:t>psychology.</w:t>
      </w:r>
      <w:r>
        <w:rPr>
          <w:spacing w:val="-7"/>
        </w:rPr>
        <w:t xml:space="preserve"> </w:t>
      </w:r>
      <w:r>
        <w:t>Part</w:t>
      </w:r>
      <w:r>
        <w:rPr>
          <w:spacing w:val="-14"/>
        </w:rPr>
        <w:t xml:space="preserve"> </w:t>
      </w:r>
      <w:r>
        <w:t>I:</w:t>
      </w:r>
      <w:r>
        <w:rPr>
          <w:spacing w:val="-13"/>
        </w:rPr>
        <w:t xml:space="preserve"> </w:t>
      </w:r>
      <w:r>
        <w:t>Theoretical</w:t>
      </w:r>
      <w:r>
        <w:rPr>
          <w:spacing w:val="-9"/>
        </w:rPr>
        <w:t xml:space="preserve"> </w:t>
      </w:r>
      <w:r>
        <w:t>advantages</w:t>
      </w:r>
      <w:r>
        <w:rPr>
          <w:spacing w:val="-12"/>
        </w:rPr>
        <w:t xml:space="preserve"> </w:t>
      </w:r>
      <w:r>
        <w:t>and</w:t>
      </w:r>
      <w:r>
        <w:rPr>
          <w:spacing w:val="-10"/>
        </w:rPr>
        <w:t xml:space="preserve"> </w:t>
      </w:r>
      <w:r>
        <w:t xml:space="preserve">practical ramifications. </w:t>
      </w:r>
      <w:r>
        <w:rPr>
          <w:i/>
        </w:rPr>
        <w:t>Psychonomic Bulletin &amp; Review</w:t>
      </w:r>
      <w:r>
        <w:t>.</w:t>
      </w:r>
      <w:r>
        <w:rPr>
          <w:spacing w:val="-9"/>
        </w:rPr>
        <w:t xml:space="preserve"> </w:t>
      </w:r>
      <w:r>
        <w:t>doi:10.3758/s13423-017-1343-3</w:t>
      </w:r>
    </w:p>
    <w:p w14:paraId="24624AB6" w14:textId="77777777" w:rsidR="00C75312" w:rsidRDefault="00BB293A">
      <w:pPr>
        <w:spacing w:line="480" w:lineRule="auto"/>
        <w:ind w:left="860" w:right="231" w:hanging="720"/>
        <w:jc w:val="both"/>
        <w:rPr>
          <w:sz w:val="24"/>
        </w:rPr>
      </w:pPr>
      <w:r w:rsidRPr="002C3022">
        <w:rPr>
          <w:sz w:val="24"/>
          <w:lang w:val="de-DE"/>
        </w:rPr>
        <w:t xml:space="preserve">Waldum, E. R., &amp; Sahakyan, L. (2013). </w:t>
      </w:r>
      <w:r>
        <w:rPr>
          <w:sz w:val="24"/>
        </w:rPr>
        <w:t xml:space="preserve">A role for memory in prospective timing informs timing in prospective memory. </w:t>
      </w:r>
      <w:r>
        <w:rPr>
          <w:i/>
          <w:sz w:val="24"/>
        </w:rPr>
        <w:t>Journal of experimental psychology. General, 142</w:t>
      </w:r>
      <w:r>
        <w:rPr>
          <w:sz w:val="24"/>
        </w:rPr>
        <w:t>(3), 809-826. doi:10.1037/a0030113</w:t>
      </w:r>
    </w:p>
    <w:p w14:paraId="69D8E961" w14:textId="77777777" w:rsidR="00C75312" w:rsidRDefault="00BB293A">
      <w:pPr>
        <w:spacing w:before="1" w:line="480" w:lineRule="auto"/>
        <w:ind w:left="860" w:right="238" w:hanging="720"/>
        <w:jc w:val="both"/>
        <w:rPr>
          <w:sz w:val="24"/>
        </w:rPr>
      </w:pPr>
      <w:r>
        <w:rPr>
          <w:sz w:val="24"/>
        </w:rPr>
        <w:t xml:space="preserve">Wallace, G. L., &amp; </w:t>
      </w:r>
      <w:proofErr w:type="spellStart"/>
      <w:r>
        <w:rPr>
          <w:sz w:val="24"/>
        </w:rPr>
        <w:t>Happé</w:t>
      </w:r>
      <w:proofErr w:type="spellEnd"/>
      <w:r>
        <w:rPr>
          <w:sz w:val="24"/>
        </w:rPr>
        <w:t xml:space="preserve">, F. (2008). Time perception in autism spectrum disorders. </w:t>
      </w:r>
      <w:r>
        <w:rPr>
          <w:i/>
          <w:sz w:val="24"/>
        </w:rPr>
        <w:t>Research in Autism Spectrum Disorders, 2</w:t>
      </w:r>
      <w:r>
        <w:rPr>
          <w:sz w:val="24"/>
        </w:rPr>
        <w:t>(3), 447-455. doi:10.1016/j.rasd.2007.09.005</w:t>
      </w:r>
    </w:p>
    <w:p w14:paraId="417E1018"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1C3C4B1A" w14:textId="77777777" w:rsidR="00C75312" w:rsidRDefault="00C75312">
      <w:pPr>
        <w:pStyle w:val="BodyText"/>
        <w:spacing w:before="9"/>
        <w:rPr>
          <w:sz w:val="15"/>
        </w:rPr>
      </w:pPr>
    </w:p>
    <w:p w14:paraId="5019EAE1" w14:textId="77777777" w:rsidR="00C75312" w:rsidRDefault="00BB293A">
      <w:pPr>
        <w:pStyle w:val="BodyText"/>
        <w:spacing w:before="90" w:line="480" w:lineRule="auto"/>
        <w:ind w:left="860" w:right="233" w:hanging="720"/>
        <w:jc w:val="both"/>
      </w:pPr>
      <w:r>
        <w:t xml:space="preserve">Walter, S., &amp; Meier, B. (2014). How important is importance for prospective memory? A review. </w:t>
      </w:r>
      <w:r>
        <w:rPr>
          <w:i/>
        </w:rPr>
        <w:t>Frontiers in Psychology, 5</w:t>
      </w:r>
      <w:r>
        <w:t>, 657-657. doi:10.3389/fpsyg.2014.00657</w:t>
      </w:r>
    </w:p>
    <w:p w14:paraId="0D5489B1" w14:textId="77777777" w:rsidR="00C75312" w:rsidRDefault="00BB293A">
      <w:pPr>
        <w:pStyle w:val="BodyText"/>
        <w:spacing w:line="480" w:lineRule="auto"/>
        <w:ind w:left="860" w:right="236" w:hanging="720"/>
        <w:jc w:val="both"/>
      </w:pPr>
      <w:r>
        <w:t xml:space="preserve">Wang, L. J., </w:t>
      </w:r>
      <w:proofErr w:type="spellStart"/>
      <w:r>
        <w:t>Altgassen</w:t>
      </w:r>
      <w:proofErr w:type="spellEnd"/>
      <w:r>
        <w:t xml:space="preserve">, M., Liu, W., Xiong, W. R., Akgun, C., &amp; </w:t>
      </w:r>
      <w:proofErr w:type="spellStart"/>
      <w:r>
        <w:t>Kliegel</w:t>
      </w:r>
      <w:proofErr w:type="spellEnd"/>
      <w:r>
        <w:t xml:space="preserve">, M. (2011). Prospective memory across adolescence: The effects of age and cue focality. </w:t>
      </w:r>
      <w:r>
        <w:rPr>
          <w:i/>
        </w:rPr>
        <w:t>Developmental Psychology, 47</w:t>
      </w:r>
      <w:r>
        <w:t>(1), 226-232. doi:10.1037/a0021306</w:t>
      </w:r>
    </w:p>
    <w:p w14:paraId="7F32F781" w14:textId="77777777" w:rsidR="00C75312" w:rsidRDefault="00BB293A">
      <w:pPr>
        <w:pStyle w:val="BodyText"/>
        <w:spacing w:line="480" w:lineRule="auto"/>
        <w:ind w:left="860" w:right="234" w:hanging="720"/>
        <w:jc w:val="both"/>
      </w:pPr>
      <w:r>
        <w:t>Wang,</w:t>
      </w:r>
      <w:r>
        <w:rPr>
          <w:spacing w:val="-13"/>
        </w:rPr>
        <w:t xml:space="preserve"> </w:t>
      </w:r>
      <w:r>
        <w:t>Y.,</w:t>
      </w:r>
      <w:r>
        <w:rPr>
          <w:spacing w:val="-16"/>
        </w:rPr>
        <w:t xml:space="preserve"> </w:t>
      </w:r>
      <w:r>
        <w:t>Cao,</w:t>
      </w:r>
      <w:r>
        <w:rPr>
          <w:spacing w:val="-12"/>
        </w:rPr>
        <w:t xml:space="preserve"> </w:t>
      </w:r>
      <w:r>
        <w:t>X.-y.,</w:t>
      </w:r>
      <w:r>
        <w:rPr>
          <w:spacing w:val="-13"/>
        </w:rPr>
        <w:t xml:space="preserve"> </w:t>
      </w:r>
      <w:r>
        <w:t>Cui,</w:t>
      </w:r>
      <w:r>
        <w:rPr>
          <w:spacing w:val="-12"/>
        </w:rPr>
        <w:t xml:space="preserve"> </w:t>
      </w:r>
      <w:r>
        <w:t>J.-f.,</w:t>
      </w:r>
      <w:r>
        <w:rPr>
          <w:spacing w:val="-16"/>
        </w:rPr>
        <w:t xml:space="preserve"> </w:t>
      </w:r>
      <w:r>
        <w:t>Shum,</w:t>
      </w:r>
      <w:r>
        <w:rPr>
          <w:spacing w:val="-13"/>
        </w:rPr>
        <w:t xml:space="preserve"> </w:t>
      </w:r>
      <w:r>
        <w:rPr>
          <w:spacing w:val="-3"/>
        </w:rPr>
        <w:t>D.</w:t>
      </w:r>
      <w:r>
        <w:rPr>
          <w:spacing w:val="-12"/>
        </w:rPr>
        <w:t xml:space="preserve"> </w:t>
      </w:r>
      <w:r>
        <w:rPr>
          <w:spacing w:val="-3"/>
        </w:rPr>
        <w:t>H.</w:t>
      </w:r>
      <w:r>
        <w:rPr>
          <w:spacing w:val="-12"/>
        </w:rPr>
        <w:t xml:space="preserve"> </w:t>
      </w:r>
      <w:r>
        <w:t>K.,</w:t>
      </w:r>
      <w:r>
        <w:rPr>
          <w:spacing w:val="-12"/>
        </w:rPr>
        <w:t xml:space="preserve"> </w:t>
      </w:r>
      <w:r>
        <w:t>&amp;</w:t>
      </w:r>
      <w:r>
        <w:rPr>
          <w:spacing w:val="-18"/>
        </w:rPr>
        <w:t xml:space="preserve"> </w:t>
      </w:r>
      <w:r>
        <w:t>Chan,</w:t>
      </w:r>
      <w:r>
        <w:rPr>
          <w:spacing w:val="-13"/>
        </w:rPr>
        <w:t xml:space="preserve"> </w:t>
      </w:r>
      <w:r>
        <w:t>R.</w:t>
      </w:r>
      <w:r>
        <w:rPr>
          <w:spacing w:val="-12"/>
        </w:rPr>
        <w:t xml:space="preserve"> </w:t>
      </w:r>
      <w:r>
        <w:t>C.</w:t>
      </w:r>
      <w:r>
        <w:rPr>
          <w:spacing w:val="-12"/>
        </w:rPr>
        <w:t xml:space="preserve"> </w:t>
      </w:r>
      <w:r>
        <w:t>K.</w:t>
      </w:r>
      <w:r>
        <w:rPr>
          <w:spacing w:val="-17"/>
        </w:rPr>
        <w:t xml:space="preserve"> </w:t>
      </w:r>
      <w:r>
        <w:t>(2013).</w:t>
      </w:r>
      <w:r>
        <w:rPr>
          <w:spacing w:val="-16"/>
        </w:rPr>
        <w:t xml:space="preserve"> </w:t>
      </w:r>
      <w:r>
        <w:t>The</w:t>
      </w:r>
      <w:r>
        <w:rPr>
          <w:spacing w:val="-15"/>
        </w:rPr>
        <w:t xml:space="preserve"> </w:t>
      </w:r>
      <w:r>
        <w:t>relation</w:t>
      </w:r>
      <w:r>
        <w:rPr>
          <w:spacing w:val="-14"/>
        </w:rPr>
        <w:t xml:space="preserve"> </w:t>
      </w:r>
      <w:r>
        <w:t>between prospective</w:t>
      </w:r>
      <w:r>
        <w:rPr>
          <w:spacing w:val="-12"/>
        </w:rPr>
        <w:t xml:space="preserve"> </w:t>
      </w:r>
      <w:r>
        <w:t>memory</w:t>
      </w:r>
      <w:r>
        <w:rPr>
          <w:spacing w:val="-10"/>
        </w:rPr>
        <w:t xml:space="preserve"> </w:t>
      </w:r>
      <w:r>
        <w:t>and</w:t>
      </w:r>
      <w:r>
        <w:rPr>
          <w:spacing w:val="-10"/>
        </w:rPr>
        <w:t xml:space="preserve"> </w:t>
      </w:r>
      <w:r>
        <w:t>working</w:t>
      </w:r>
      <w:r>
        <w:rPr>
          <w:spacing w:val="-10"/>
        </w:rPr>
        <w:t xml:space="preserve"> </w:t>
      </w:r>
      <w:r>
        <w:t>memory:</w:t>
      </w:r>
      <w:r>
        <w:rPr>
          <w:spacing w:val="-14"/>
        </w:rPr>
        <w:t xml:space="preserve"> </w:t>
      </w:r>
      <w:r>
        <w:t>Evidence</w:t>
      </w:r>
      <w:r>
        <w:rPr>
          <w:spacing w:val="-11"/>
        </w:rPr>
        <w:t xml:space="preserve"> </w:t>
      </w:r>
      <w:r>
        <w:t>from</w:t>
      </w:r>
      <w:r>
        <w:rPr>
          <w:spacing w:val="-9"/>
        </w:rPr>
        <w:t xml:space="preserve"> </w:t>
      </w:r>
      <w:r>
        <w:t>event-related</w:t>
      </w:r>
      <w:r>
        <w:rPr>
          <w:spacing w:val="-10"/>
        </w:rPr>
        <w:t xml:space="preserve"> </w:t>
      </w:r>
      <w:r>
        <w:t>potential</w:t>
      </w:r>
      <w:r>
        <w:rPr>
          <w:spacing w:val="-9"/>
        </w:rPr>
        <w:t xml:space="preserve"> </w:t>
      </w:r>
      <w:r>
        <w:t xml:space="preserve">data. </w:t>
      </w:r>
      <w:proofErr w:type="spellStart"/>
      <w:r>
        <w:rPr>
          <w:i/>
        </w:rPr>
        <w:t>PsyCh</w:t>
      </w:r>
      <w:proofErr w:type="spellEnd"/>
      <w:r>
        <w:rPr>
          <w:i/>
        </w:rPr>
        <w:t xml:space="preserve"> Journal, 2</w:t>
      </w:r>
      <w:r>
        <w:t>(2), 113-121.</w:t>
      </w:r>
      <w:r>
        <w:rPr>
          <w:spacing w:val="8"/>
        </w:rPr>
        <w:t xml:space="preserve"> </w:t>
      </w:r>
      <w:r>
        <w:t>doi:10.1002/pchj.24</w:t>
      </w:r>
    </w:p>
    <w:p w14:paraId="614E1682" w14:textId="77777777" w:rsidR="00C75312" w:rsidRDefault="00BB293A">
      <w:pPr>
        <w:spacing w:line="480" w:lineRule="auto"/>
        <w:ind w:left="860" w:right="234" w:hanging="720"/>
        <w:jc w:val="both"/>
        <w:rPr>
          <w:sz w:val="24"/>
        </w:rPr>
      </w:pPr>
      <w:r>
        <w:rPr>
          <w:sz w:val="24"/>
        </w:rPr>
        <w:t xml:space="preserve">Wechsler, D. (1999). </w:t>
      </w:r>
      <w:r>
        <w:rPr>
          <w:i/>
          <w:sz w:val="24"/>
        </w:rPr>
        <w:t>Wechsler Abbreviated Scale of Intelligence (WASI)</w:t>
      </w:r>
      <w:r>
        <w:rPr>
          <w:sz w:val="24"/>
        </w:rPr>
        <w:t>. San Antonio, TX: Psychological Corporation.</w:t>
      </w:r>
    </w:p>
    <w:p w14:paraId="0BC262CE" w14:textId="77777777" w:rsidR="00C75312" w:rsidRDefault="00BB293A">
      <w:pPr>
        <w:ind w:left="140"/>
        <w:jc w:val="both"/>
        <w:rPr>
          <w:sz w:val="24"/>
        </w:rPr>
      </w:pPr>
      <w:r>
        <w:rPr>
          <w:sz w:val="24"/>
        </w:rPr>
        <w:t xml:space="preserve">Wechsler, D. (2011). </w:t>
      </w:r>
      <w:r>
        <w:rPr>
          <w:i/>
          <w:sz w:val="24"/>
        </w:rPr>
        <w:t>Wechsler Abbreviated Scale of Intelligence-Second Edition (WASI-II)</w:t>
      </w:r>
      <w:r>
        <w:rPr>
          <w:sz w:val="24"/>
        </w:rPr>
        <w:t>.</w:t>
      </w:r>
    </w:p>
    <w:p w14:paraId="3B5529B1" w14:textId="77777777" w:rsidR="00C75312" w:rsidRDefault="00C75312">
      <w:pPr>
        <w:pStyle w:val="BodyText"/>
      </w:pPr>
    </w:p>
    <w:p w14:paraId="4D2D2F43" w14:textId="77777777" w:rsidR="00C75312" w:rsidRDefault="00BB293A">
      <w:pPr>
        <w:pStyle w:val="BodyText"/>
        <w:spacing w:before="1"/>
        <w:ind w:left="860"/>
      </w:pPr>
      <w:r>
        <w:t>San Antonio, TX: NCS Pearson.</w:t>
      </w:r>
    </w:p>
    <w:p w14:paraId="597AED83" w14:textId="77777777" w:rsidR="00C75312" w:rsidRDefault="00C75312">
      <w:pPr>
        <w:pStyle w:val="BodyText"/>
        <w:spacing w:before="11"/>
        <w:rPr>
          <w:sz w:val="23"/>
        </w:rPr>
      </w:pPr>
    </w:p>
    <w:p w14:paraId="5BF6A210" w14:textId="77777777" w:rsidR="00C75312" w:rsidRDefault="00BB293A">
      <w:pPr>
        <w:pStyle w:val="BodyText"/>
        <w:spacing w:line="480" w:lineRule="auto"/>
        <w:ind w:left="860" w:right="236" w:hanging="720"/>
        <w:jc w:val="both"/>
      </w:pPr>
      <w:r>
        <w:t xml:space="preserve">Werner, N. S., Peres, I., Duschek, S., &amp; </w:t>
      </w:r>
      <w:proofErr w:type="spellStart"/>
      <w:r>
        <w:t>Schandry</w:t>
      </w:r>
      <w:proofErr w:type="spellEnd"/>
      <w:r>
        <w:t xml:space="preserve">, R. (2010). Implicit memory for emotional words is modulated by cardiac perception. </w:t>
      </w:r>
      <w:r>
        <w:rPr>
          <w:i/>
        </w:rPr>
        <w:t>Biological Psychology, 85</w:t>
      </w:r>
      <w:r>
        <w:t>(3), 370-376. doi:10.1016/j.biopsycho.2010.08.008</w:t>
      </w:r>
    </w:p>
    <w:p w14:paraId="1FB43A19" w14:textId="77777777" w:rsidR="00C75312" w:rsidRDefault="00BB293A">
      <w:pPr>
        <w:spacing w:line="480" w:lineRule="auto"/>
        <w:ind w:left="860" w:right="234" w:hanging="720"/>
        <w:jc w:val="both"/>
        <w:rPr>
          <w:sz w:val="24"/>
        </w:rPr>
      </w:pPr>
      <w:r>
        <w:rPr>
          <w:sz w:val="24"/>
        </w:rPr>
        <w:t xml:space="preserve">West, R. (2008). The cognitive neuroscience of prospective memory. In M. </w:t>
      </w:r>
      <w:proofErr w:type="spellStart"/>
      <w:r>
        <w:rPr>
          <w:sz w:val="24"/>
        </w:rPr>
        <w:t>Kliegel</w:t>
      </w:r>
      <w:proofErr w:type="spellEnd"/>
      <w:r>
        <w:rPr>
          <w:sz w:val="24"/>
        </w:rPr>
        <w:t xml:space="preserve"> &amp; M. A. McDaniel (Eds.), </w:t>
      </w:r>
      <w:r>
        <w:rPr>
          <w:i/>
          <w:sz w:val="24"/>
        </w:rPr>
        <w:t xml:space="preserve">Prospective memory: Cognitive, neuroscience, developmental, and applied perspectives </w:t>
      </w:r>
      <w:r>
        <w:rPr>
          <w:sz w:val="24"/>
        </w:rPr>
        <w:t>(pp. 261-282). New York: Taylor and Francis.</w:t>
      </w:r>
    </w:p>
    <w:p w14:paraId="60259557" w14:textId="77777777" w:rsidR="00C75312" w:rsidRDefault="00BB293A">
      <w:pPr>
        <w:spacing w:line="480" w:lineRule="auto"/>
        <w:ind w:left="860" w:right="235" w:hanging="720"/>
        <w:jc w:val="both"/>
        <w:rPr>
          <w:sz w:val="24"/>
        </w:rPr>
      </w:pPr>
      <w:r>
        <w:rPr>
          <w:sz w:val="24"/>
        </w:rPr>
        <w:t xml:space="preserve">White, S. J. (2013). The Triple I Hypothesis: Taking another('s) perspective on executive dysfunction in autism. </w:t>
      </w:r>
      <w:r>
        <w:rPr>
          <w:i/>
          <w:sz w:val="24"/>
        </w:rPr>
        <w:t>Journal of Autism and Developmental Disorders, 43</w:t>
      </w:r>
      <w:r>
        <w:rPr>
          <w:sz w:val="24"/>
        </w:rPr>
        <w:t>(1), 114- 121. doi:10.1007/s10803-012-1550-8</w:t>
      </w:r>
    </w:p>
    <w:p w14:paraId="1CDF16A8" w14:textId="77777777" w:rsidR="00C75312" w:rsidRDefault="00BB293A">
      <w:pPr>
        <w:pStyle w:val="BodyText"/>
        <w:spacing w:before="1" w:line="480" w:lineRule="auto"/>
        <w:ind w:left="860" w:right="236" w:hanging="720"/>
        <w:jc w:val="both"/>
      </w:pPr>
      <w:r>
        <w:t xml:space="preserve">White, S. J., Frith, U., Milne, E., Rosen, S., Swettenham, J., &amp; Ramus, F. (2006). A double dissociation between sensorimotor impairments and reading disability: A comparison of autistic and dyslexic children. </w:t>
      </w:r>
      <w:r>
        <w:rPr>
          <w:i/>
        </w:rPr>
        <w:t>Cognitive Neuropsychology, 23</w:t>
      </w:r>
      <w:r>
        <w:t>(5), 748-761. doi:10.1080/02643290500438607</w:t>
      </w:r>
    </w:p>
    <w:p w14:paraId="3574DBA9" w14:textId="77777777" w:rsidR="00C75312" w:rsidRDefault="00C75312">
      <w:pPr>
        <w:spacing w:line="480" w:lineRule="auto"/>
        <w:jc w:val="both"/>
        <w:sectPr w:rsidR="00C75312">
          <w:pgSz w:w="11900" w:h="16840"/>
          <w:pgMar w:top="1160" w:right="1200" w:bottom="280" w:left="1300" w:header="720" w:footer="0" w:gutter="0"/>
          <w:cols w:space="720"/>
        </w:sectPr>
      </w:pPr>
    </w:p>
    <w:p w14:paraId="5F1BB7D0" w14:textId="77777777" w:rsidR="00C75312" w:rsidRDefault="00C75312">
      <w:pPr>
        <w:pStyle w:val="BodyText"/>
        <w:spacing w:before="9"/>
        <w:rPr>
          <w:sz w:val="15"/>
        </w:rPr>
      </w:pPr>
    </w:p>
    <w:p w14:paraId="45678319" w14:textId="77777777" w:rsidR="00C75312" w:rsidRDefault="00BB293A">
      <w:pPr>
        <w:pStyle w:val="BodyText"/>
        <w:spacing w:before="90" w:line="480" w:lineRule="auto"/>
        <w:ind w:left="860" w:right="236" w:hanging="720"/>
        <w:jc w:val="both"/>
      </w:pPr>
      <w:r>
        <w:t xml:space="preserve">Williams, D. M.  (2010). Theory of own mind in autism. </w:t>
      </w:r>
      <w:r>
        <w:rPr>
          <w:i/>
        </w:rPr>
        <w:t>Autism, 14</w:t>
      </w:r>
      <w:r>
        <w:t>(5), 474-494. doi:10.1177/1362361310366314</w:t>
      </w:r>
    </w:p>
    <w:p w14:paraId="2F1D3C6F" w14:textId="77777777" w:rsidR="00C75312" w:rsidRDefault="00BB293A">
      <w:pPr>
        <w:pStyle w:val="BodyText"/>
        <w:spacing w:line="480" w:lineRule="auto"/>
        <w:ind w:left="860" w:right="237" w:hanging="720"/>
        <w:jc w:val="both"/>
      </w:pPr>
      <w:r>
        <w:t>Williams, D. M., Bergstrom, Z., &amp; Grainger, C. (2016). Metacognitive monitoring and the hypercorrection effect in autism and the general population : Relation to autism (</w:t>
      </w:r>
      <w:r>
        <w:rPr>
          <w:spacing w:val="5"/>
        </w:rPr>
        <w:t xml:space="preserve"> </w:t>
      </w:r>
      <w:r>
        <w:t>-like</w:t>
      </w:r>
    </w:p>
    <w:p w14:paraId="0FA44CD0" w14:textId="77777777" w:rsidR="00C75312" w:rsidRDefault="00BB293A">
      <w:pPr>
        <w:pStyle w:val="BodyText"/>
        <w:spacing w:line="480" w:lineRule="auto"/>
        <w:ind w:left="140" w:right="243" w:firstLine="720"/>
        <w:jc w:val="both"/>
      </w:pPr>
      <w:r>
        <w:t xml:space="preserve">) traits and mindreading. </w:t>
      </w:r>
      <w:r>
        <w:rPr>
          <w:i/>
        </w:rPr>
        <w:t>Autism</w:t>
      </w:r>
      <w:r>
        <w:t>(November), 1-12. doi:10.1177/1362361316680178 Williams,</w:t>
      </w:r>
      <w:r>
        <w:rPr>
          <w:spacing w:val="10"/>
        </w:rPr>
        <w:t xml:space="preserve"> </w:t>
      </w:r>
      <w:r>
        <w:t>D.</w:t>
      </w:r>
      <w:r>
        <w:rPr>
          <w:spacing w:val="10"/>
        </w:rPr>
        <w:t xml:space="preserve"> </w:t>
      </w:r>
      <w:r>
        <w:t>M.,</w:t>
      </w:r>
      <w:r>
        <w:rPr>
          <w:spacing w:val="10"/>
        </w:rPr>
        <w:t xml:space="preserve"> </w:t>
      </w:r>
      <w:r>
        <w:t>Boucher,</w:t>
      </w:r>
      <w:r>
        <w:rPr>
          <w:spacing w:val="10"/>
        </w:rPr>
        <w:t xml:space="preserve"> </w:t>
      </w:r>
      <w:r>
        <w:t>J.,</w:t>
      </w:r>
      <w:r>
        <w:rPr>
          <w:spacing w:val="11"/>
        </w:rPr>
        <w:t xml:space="preserve"> </w:t>
      </w:r>
      <w:r>
        <w:t>Lind,</w:t>
      </w:r>
      <w:r>
        <w:rPr>
          <w:spacing w:val="10"/>
        </w:rPr>
        <w:t xml:space="preserve"> </w:t>
      </w:r>
      <w:r>
        <w:t>S.</w:t>
      </w:r>
      <w:r>
        <w:rPr>
          <w:spacing w:val="10"/>
        </w:rPr>
        <w:t xml:space="preserve"> </w:t>
      </w:r>
      <w:r>
        <w:t>E.,</w:t>
      </w:r>
      <w:r>
        <w:rPr>
          <w:spacing w:val="5"/>
        </w:rPr>
        <w:t xml:space="preserve"> </w:t>
      </w:r>
      <w:r>
        <w:t>&amp;</w:t>
      </w:r>
      <w:r>
        <w:rPr>
          <w:spacing w:val="9"/>
        </w:rPr>
        <w:t xml:space="preserve"> </w:t>
      </w:r>
      <w:r>
        <w:t>Jarrold,</w:t>
      </w:r>
      <w:r>
        <w:rPr>
          <w:spacing w:val="10"/>
        </w:rPr>
        <w:t xml:space="preserve"> </w:t>
      </w:r>
      <w:r>
        <w:t>C.</w:t>
      </w:r>
      <w:r>
        <w:rPr>
          <w:spacing w:val="5"/>
        </w:rPr>
        <w:t xml:space="preserve"> </w:t>
      </w:r>
      <w:r>
        <w:t>(2013).</w:t>
      </w:r>
      <w:r>
        <w:rPr>
          <w:spacing w:val="6"/>
        </w:rPr>
        <w:t xml:space="preserve"> </w:t>
      </w:r>
      <w:r>
        <w:t>Time-based</w:t>
      </w:r>
      <w:r>
        <w:rPr>
          <w:spacing w:val="8"/>
        </w:rPr>
        <w:t xml:space="preserve"> </w:t>
      </w:r>
      <w:r>
        <w:t>and</w:t>
      </w:r>
      <w:r>
        <w:rPr>
          <w:spacing w:val="9"/>
        </w:rPr>
        <w:t xml:space="preserve"> </w:t>
      </w:r>
      <w:r>
        <w:t>event-based</w:t>
      </w:r>
    </w:p>
    <w:p w14:paraId="2D237CEA" w14:textId="77777777" w:rsidR="00C75312" w:rsidRDefault="00BB293A">
      <w:pPr>
        <w:spacing w:line="480" w:lineRule="auto"/>
        <w:ind w:left="860" w:right="238"/>
        <w:jc w:val="both"/>
        <w:rPr>
          <w:sz w:val="24"/>
        </w:rPr>
      </w:pPr>
      <w:r>
        <w:rPr>
          <w:sz w:val="24"/>
        </w:rPr>
        <w:t xml:space="preserve">prospective memory in autism spectrum disorder: The roles of executive function and theory of mind, and time-estimation. </w:t>
      </w:r>
      <w:r>
        <w:rPr>
          <w:i/>
          <w:sz w:val="24"/>
        </w:rPr>
        <w:t>Journal of Autism and Developmental</w:t>
      </w:r>
      <w:r>
        <w:rPr>
          <w:i/>
          <w:spacing w:val="-37"/>
          <w:sz w:val="24"/>
        </w:rPr>
        <w:t xml:space="preserve"> </w:t>
      </w:r>
      <w:r>
        <w:rPr>
          <w:i/>
          <w:sz w:val="24"/>
        </w:rPr>
        <w:t>Disorders, 43</w:t>
      </w:r>
      <w:r>
        <w:rPr>
          <w:sz w:val="24"/>
        </w:rPr>
        <w:t>(7), 1555-1567.</w:t>
      </w:r>
      <w:r>
        <w:rPr>
          <w:spacing w:val="3"/>
          <w:sz w:val="24"/>
        </w:rPr>
        <w:t xml:space="preserve"> </w:t>
      </w:r>
      <w:r>
        <w:rPr>
          <w:sz w:val="24"/>
        </w:rPr>
        <w:t>doi:10.1007/s10803-012-1703-9.</w:t>
      </w:r>
    </w:p>
    <w:p w14:paraId="457BDD12" w14:textId="77777777" w:rsidR="00C75312" w:rsidRDefault="00BB293A">
      <w:pPr>
        <w:pStyle w:val="BodyText"/>
        <w:spacing w:line="480" w:lineRule="auto"/>
        <w:ind w:left="860" w:right="234" w:hanging="720"/>
        <w:jc w:val="both"/>
      </w:pPr>
      <w:r>
        <w:t xml:space="preserve">Williams, D. M., &amp; </w:t>
      </w:r>
      <w:proofErr w:type="spellStart"/>
      <w:r>
        <w:t>Happé</w:t>
      </w:r>
      <w:proofErr w:type="spellEnd"/>
      <w:r>
        <w:t xml:space="preserve">, F. (2009). What did I say? Versus what did I think? Attributing false beliefs to </w:t>
      </w:r>
      <w:proofErr w:type="spellStart"/>
      <w:r>
        <w:t>self amongst</w:t>
      </w:r>
      <w:proofErr w:type="spellEnd"/>
      <w:r>
        <w:t xml:space="preserve"> children with and without autism. </w:t>
      </w:r>
      <w:r>
        <w:rPr>
          <w:i/>
        </w:rPr>
        <w:t>Journal of Autism and Developmental Disorders, 39</w:t>
      </w:r>
      <w:r>
        <w:t>(6), 865-873. doi:10.1007/s10803-009-0695-6</w:t>
      </w:r>
    </w:p>
    <w:p w14:paraId="3BDCE0FE" w14:textId="77777777" w:rsidR="00C75312" w:rsidRDefault="00BB293A">
      <w:pPr>
        <w:pStyle w:val="BodyText"/>
        <w:spacing w:before="1" w:line="480" w:lineRule="auto"/>
        <w:ind w:left="860" w:right="240" w:hanging="720"/>
        <w:jc w:val="both"/>
      </w:pPr>
      <w:r>
        <w:t xml:space="preserve">Williams, D. M., &amp; </w:t>
      </w:r>
      <w:proofErr w:type="spellStart"/>
      <w:r>
        <w:t>Happé</w:t>
      </w:r>
      <w:proofErr w:type="spellEnd"/>
      <w:r>
        <w:t xml:space="preserve">, F. (2010). Representing intentions in self and other: studies of autism and typical development. </w:t>
      </w:r>
      <w:r>
        <w:rPr>
          <w:i/>
        </w:rPr>
        <w:t>Developmental Science, 13</w:t>
      </w:r>
      <w:r>
        <w:t>(2), 307-319. doi:10.1111/j.1467-7687.2009.00885.x</w:t>
      </w:r>
    </w:p>
    <w:p w14:paraId="23B047DE" w14:textId="77777777" w:rsidR="00C75312" w:rsidRDefault="00BB293A">
      <w:pPr>
        <w:pStyle w:val="BodyText"/>
        <w:spacing w:line="480" w:lineRule="auto"/>
        <w:ind w:left="860" w:right="238" w:hanging="720"/>
        <w:jc w:val="both"/>
      </w:pPr>
      <w:r>
        <w:t xml:space="preserve">Williams, D. M., &amp; Jarrold, C. (2013). Assessing planning and set-shifting abilities in autism: Are experimenter-administered and </w:t>
      </w:r>
      <w:proofErr w:type="spellStart"/>
      <w:r>
        <w:t>computerised</w:t>
      </w:r>
      <w:proofErr w:type="spellEnd"/>
      <w:r>
        <w:t xml:space="preserve"> versions of tasks equivalent?</w:t>
      </w:r>
      <w:r>
        <w:rPr>
          <w:spacing w:val="-40"/>
        </w:rPr>
        <w:t xml:space="preserve"> </w:t>
      </w:r>
      <w:r>
        <w:rPr>
          <w:i/>
        </w:rPr>
        <w:t>Autism Research, 6</w:t>
      </w:r>
      <w:r>
        <w:t>(6), 461-467.</w:t>
      </w:r>
      <w:r>
        <w:rPr>
          <w:spacing w:val="7"/>
        </w:rPr>
        <w:t xml:space="preserve"> </w:t>
      </w:r>
      <w:r>
        <w:t>doi:10.1002/aur.1311</w:t>
      </w:r>
    </w:p>
    <w:p w14:paraId="3CC1D016" w14:textId="77777777" w:rsidR="00C75312" w:rsidRDefault="00BB293A">
      <w:pPr>
        <w:pStyle w:val="BodyText"/>
        <w:spacing w:line="480" w:lineRule="auto"/>
        <w:ind w:left="860" w:right="234" w:hanging="720"/>
        <w:jc w:val="both"/>
      </w:pPr>
      <w:r>
        <w:t xml:space="preserve">Williams, D. M., Jarrold, C., Grainger, C., &amp; Lind, S. E. (2014). Diminished time-based, but undiminished event-based, prospective memory among intellectually high-functioning adults with autism spectrum disorder: Relation to working memory ability. </w:t>
      </w:r>
      <w:r>
        <w:rPr>
          <w:i/>
        </w:rPr>
        <w:t>Neuropsychology, 28</w:t>
      </w:r>
      <w:r>
        <w:t>(1), 30-42. doi:10.1037/neu0000008</w:t>
      </w:r>
    </w:p>
    <w:p w14:paraId="7258BDEC" w14:textId="77777777" w:rsidR="00C75312" w:rsidRDefault="00BB293A">
      <w:pPr>
        <w:pStyle w:val="BodyText"/>
        <w:spacing w:line="480" w:lineRule="auto"/>
        <w:ind w:left="860" w:right="241" w:hanging="720"/>
        <w:jc w:val="both"/>
      </w:pPr>
      <w:r>
        <w:t xml:space="preserve">Williams, D. M., Peng, C., &amp; Wallace, G. L. (2016). Verbal thinking and inner speech use in autism spectrum disorder. </w:t>
      </w:r>
      <w:r>
        <w:rPr>
          <w:i/>
        </w:rPr>
        <w:t>Neuropsychology Review, 26</w:t>
      </w:r>
      <w:r>
        <w:t>(4), 394-419. doi:10.1007/s11065-016-9328-y</w:t>
      </w:r>
    </w:p>
    <w:p w14:paraId="517AF015" w14:textId="77777777" w:rsidR="00C75312" w:rsidRDefault="00C75312">
      <w:pPr>
        <w:spacing w:line="480" w:lineRule="auto"/>
        <w:jc w:val="both"/>
        <w:sectPr w:rsidR="00C75312">
          <w:pgSz w:w="11900" w:h="16840"/>
          <w:pgMar w:top="1160" w:right="1200" w:bottom="280" w:left="1300" w:header="720" w:footer="0" w:gutter="0"/>
          <w:cols w:space="720"/>
        </w:sectPr>
      </w:pPr>
    </w:p>
    <w:p w14:paraId="74593E73" w14:textId="77777777" w:rsidR="00C75312" w:rsidRDefault="00C75312">
      <w:pPr>
        <w:pStyle w:val="BodyText"/>
        <w:spacing w:before="9"/>
        <w:rPr>
          <w:sz w:val="15"/>
        </w:rPr>
      </w:pPr>
    </w:p>
    <w:p w14:paraId="1EBDC667" w14:textId="77777777" w:rsidR="00C75312" w:rsidRDefault="00BB293A">
      <w:pPr>
        <w:spacing w:before="90"/>
        <w:ind w:left="140"/>
        <w:rPr>
          <w:sz w:val="24"/>
        </w:rPr>
      </w:pPr>
      <w:r>
        <w:rPr>
          <w:sz w:val="24"/>
        </w:rPr>
        <w:t xml:space="preserve">Wilson, B. A., &amp; Baddeley, A. (1991). </w:t>
      </w:r>
      <w:r>
        <w:rPr>
          <w:i/>
          <w:sz w:val="24"/>
        </w:rPr>
        <w:t xml:space="preserve">The </w:t>
      </w:r>
      <w:proofErr w:type="spellStart"/>
      <w:r>
        <w:rPr>
          <w:i/>
          <w:sz w:val="24"/>
        </w:rPr>
        <w:t>Rivermead</w:t>
      </w:r>
      <w:proofErr w:type="spellEnd"/>
      <w:r>
        <w:rPr>
          <w:i/>
          <w:sz w:val="24"/>
        </w:rPr>
        <w:t xml:space="preserve"> </w:t>
      </w:r>
      <w:proofErr w:type="spellStart"/>
      <w:r>
        <w:rPr>
          <w:i/>
          <w:sz w:val="24"/>
        </w:rPr>
        <w:t>Behavioural</w:t>
      </w:r>
      <w:proofErr w:type="spellEnd"/>
      <w:r>
        <w:rPr>
          <w:i/>
          <w:sz w:val="24"/>
        </w:rPr>
        <w:t xml:space="preserve"> Memory Test </w:t>
      </w:r>
      <w:r>
        <w:rPr>
          <w:sz w:val="24"/>
        </w:rPr>
        <w:t>(2nd ed.).</w:t>
      </w:r>
    </w:p>
    <w:p w14:paraId="7171245F" w14:textId="77777777" w:rsidR="00C75312" w:rsidRDefault="00C75312">
      <w:pPr>
        <w:pStyle w:val="BodyText"/>
      </w:pPr>
    </w:p>
    <w:p w14:paraId="1C8D513E" w14:textId="77777777" w:rsidR="00C75312" w:rsidRDefault="00BB293A">
      <w:pPr>
        <w:pStyle w:val="BodyText"/>
        <w:ind w:left="860"/>
      </w:pPr>
      <w:r>
        <w:t>Bury St Edmunds, UK: Thames Valley Test Company.</w:t>
      </w:r>
    </w:p>
    <w:p w14:paraId="74726D65" w14:textId="77777777" w:rsidR="00C75312" w:rsidRDefault="00C75312">
      <w:pPr>
        <w:pStyle w:val="BodyText"/>
      </w:pPr>
    </w:p>
    <w:p w14:paraId="64DBAC88" w14:textId="77777777" w:rsidR="00C75312" w:rsidRDefault="00BB293A">
      <w:pPr>
        <w:spacing w:line="480" w:lineRule="auto"/>
        <w:ind w:left="860" w:right="234" w:hanging="720"/>
        <w:jc w:val="both"/>
        <w:rPr>
          <w:sz w:val="24"/>
        </w:rPr>
      </w:pPr>
      <w:r>
        <w:rPr>
          <w:sz w:val="24"/>
        </w:rPr>
        <w:t xml:space="preserve">Wittmann, M. (2009). The inner experience of time. </w:t>
      </w:r>
      <w:r>
        <w:rPr>
          <w:i/>
          <w:sz w:val="24"/>
        </w:rPr>
        <w:t>Philosophical transactions of the Royal Society of London. Series B, Biological sciences, 364</w:t>
      </w:r>
      <w:r>
        <w:rPr>
          <w:sz w:val="24"/>
        </w:rPr>
        <w:t>(1525), 1955-1967. doi:10.1098/rstb.2009.0003</w:t>
      </w:r>
    </w:p>
    <w:p w14:paraId="5A76CC86" w14:textId="77777777" w:rsidR="00C75312" w:rsidRPr="002C3022" w:rsidRDefault="00BB293A">
      <w:pPr>
        <w:pStyle w:val="BodyText"/>
        <w:spacing w:line="480" w:lineRule="auto"/>
        <w:ind w:left="860" w:right="240" w:hanging="720"/>
        <w:jc w:val="both"/>
        <w:rPr>
          <w:lang w:val="fr-FR"/>
        </w:rPr>
      </w:pPr>
      <w:r>
        <w:t xml:space="preserve">Wittmann, M. (2013). The inner sense of time: How the brain creates a representation of duration. </w:t>
      </w:r>
      <w:r w:rsidRPr="002C3022">
        <w:rPr>
          <w:i/>
          <w:lang w:val="fr-FR"/>
        </w:rPr>
        <w:t>Nature Reviews Neuroscience, 14</w:t>
      </w:r>
      <w:r w:rsidRPr="002C3022">
        <w:rPr>
          <w:lang w:val="fr-FR"/>
        </w:rPr>
        <w:t>(3), 217-223. doi:10.1038/nrn3452</w:t>
      </w:r>
    </w:p>
    <w:p w14:paraId="1A9118D5" w14:textId="77777777" w:rsidR="00C75312" w:rsidRDefault="00BB293A">
      <w:pPr>
        <w:pStyle w:val="BodyText"/>
        <w:spacing w:line="480" w:lineRule="auto"/>
        <w:ind w:left="860" w:right="239" w:hanging="720"/>
        <w:jc w:val="both"/>
      </w:pPr>
      <w:r w:rsidRPr="002C3022">
        <w:rPr>
          <w:lang w:val="fr-FR"/>
        </w:rPr>
        <w:t xml:space="preserve">Wojcik, D. Z., Moulin, C. J., &amp; Souchay, C. (2013). </w:t>
      </w:r>
      <w:r>
        <w:t xml:space="preserve">Metamemory in children with autism: Exploring "feeling-of-knowing" in episodic and semantic memory. </w:t>
      </w:r>
      <w:r>
        <w:rPr>
          <w:i/>
        </w:rPr>
        <w:t>Neuropsychology, 27</w:t>
      </w:r>
      <w:r>
        <w:t>(1), 19-27. doi:10.1037/a0030526</w:t>
      </w:r>
    </w:p>
    <w:p w14:paraId="4B726949" w14:textId="77777777" w:rsidR="00C75312" w:rsidRDefault="00BB293A">
      <w:pPr>
        <w:pStyle w:val="BodyText"/>
        <w:spacing w:line="480" w:lineRule="auto"/>
        <w:ind w:left="860" w:right="233" w:hanging="720"/>
        <w:jc w:val="both"/>
      </w:pPr>
      <w:r>
        <w:t>Woodbury-Smith,</w:t>
      </w:r>
      <w:r>
        <w:rPr>
          <w:spacing w:val="-9"/>
        </w:rPr>
        <w:t xml:space="preserve"> </w:t>
      </w:r>
      <w:r>
        <w:t>M.</w:t>
      </w:r>
      <w:r>
        <w:rPr>
          <w:spacing w:val="-9"/>
        </w:rPr>
        <w:t xml:space="preserve"> </w:t>
      </w:r>
      <w:r>
        <w:t>R.,</w:t>
      </w:r>
      <w:r>
        <w:rPr>
          <w:spacing w:val="-9"/>
        </w:rPr>
        <w:t xml:space="preserve"> </w:t>
      </w:r>
      <w:r>
        <w:t>Robinson,</w:t>
      </w:r>
      <w:r>
        <w:rPr>
          <w:spacing w:val="-9"/>
        </w:rPr>
        <w:t xml:space="preserve"> </w:t>
      </w:r>
      <w:r>
        <w:t>J.,</w:t>
      </w:r>
      <w:r>
        <w:rPr>
          <w:spacing w:val="-8"/>
        </w:rPr>
        <w:t xml:space="preserve"> </w:t>
      </w:r>
      <w:r>
        <w:t>Wheelwright,</w:t>
      </w:r>
      <w:r>
        <w:rPr>
          <w:spacing w:val="-9"/>
        </w:rPr>
        <w:t xml:space="preserve"> </w:t>
      </w:r>
      <w:r>
        <w:t>S.,</w:t>
      </w:r>
      <w:r>
        <w:rPr>
          <w:spacing w:val="-9"/>
        </w:rPr>
        <w:t xml:space="preserve"> </w:t>
      </w:r>
      <w:r>
        <w:t>&amp;</w:t>
      </w:r>
      <w:r>
        <w:rPr>
          <w:spacing w:val="-11"/>
        </w:rPr>
        <w:t xml:space="preserve"> </w:t>
      </w:r>
      <w:r>
        <w:t>Baron-Cohen,</w:t>
      </w:r>
      <w:r>
        <w:rPr>
          <w:spacing w:val="-8"/>
        </w:rPr>
        <w:t xml:space="preserve"> </w:t>
      </w:r>
      <w:r>
        <w:t>S.</w:t>
      </w:r>
      <w:r>
        <w:rPr>
          <w:spacing w:val="-14"/>
        </w:rPr>
        <w:t xml:space="preserve"> </w:t>
      </w:r>
      <w:r>
        <w:t>(2005).</w:t>
      </w:r>
      <w:r>
        <w:rPr>
          <w:spacing w:val="-9"/>
        </w:rPr>
        <w:t xml:space="preserve"> </w:t>
      </w:r>
      <w:r>
        <w:t xml:space="preserve">Screening adults for Asperger Syndrome using the AQ: A preliminary study </w:t>
      </w:r>
      <w:r>
        <w:rPr>
          <w:spacing w:val="-3"/>
        </w:rPr>
        <w:t xml:space="preserve">of </w:t>
      </w:r>
      <w:r>
        <w:t xml:space="preserve">its diagnostic validity in clinical practice. </w:t>
      </w:r>
      <w:r>
        <w:rPr>
          <w:i/>
        </w:rPr>
        <w:t xml:space="preserve">Journal </w:t>
      </w:r>
      <w:r>
        <w:rPr>
          <w:i/>
          <w:spacing w:val="-3"/>
        </w:rPr>
        <w:t xml:space="preserve">of </w:t>
      </w:r>
      <w:r>
        <w:rPr>
          <w:i/>
        </w:rPr>
        <w:t>Autism and Developmental Disorders, 35</w:t>
      </w:r>
      <w:r>
        <w:t>(3), 331-335.</w:t>
      </w:r>
      <w:r>
        <w:rPr>
          <w:spacing w:val="3"/>
        </w:rPr>
        <w:t xml:space="preserve"> </w:t>
      </w:r>
      <w:r>
        <w:t>doi:10.1007/s10803-005-3300-7</w:t>
      </w:r>
    </w:p>
    <w:p w14:paraId="7F3E016A" w14:textId="77777777" w:rsidR="00C75312" w:rsidRDefault="00BB293A">
      <w:pPr>
        <w:pStyle w:val="BodyText"/>
        <w:spacing w:before="1" w:line="480" w:lineRule="auto"/>
        <w:ind w:left="860" w:right="236" w:hanging="720"/>
        <w:jc w:val="both"/>
      </w:pPr>
      <w:r>
        <w:t>Woods,</w:t>
      </w:r>
      <w:r>
        <w:rPr>
          <w:spacing w:val="-3"/>
        </w:rPr>
        <w:t xml:space="preserve"> </w:t>
      </w:r>
      <w:r>
        <w:t>S.</w:t>
      </w:r>
      <w:r>
        <w:rPr>
          <w:spacing w:val="-7"/>
        </w:rPr>
        <w:t xml:space="preserve"> </w:t>
      </w:r>
      <w:r>
        <w:t>P.,</w:t>
      </w:r>
      <w:r>
        <w:rPr>
          <w:spacing w:val="-8"/>
        </w:rPr>
        <w:t xml:space="preserve"> </w:t>
      </w:r>
      <w:proofErr w:type="spellStart"/>
      <w:r>
        <w:t>Weinborn</w:t>
      </w:r>
      <w:proofErr w:type="spellEnd"/>
      <w:r>
        <w:t>,</w:t>
      </w:r>
      <w:r>
        <w:rPr>
          <w:spacing w:val="-2"/>
        </w:rPr>
        <w:t xml:space="preserve"> </w:t>
      </w:r>
      <w:r>
        <w:t>M.,</w:t>
      </w:r>
      <w:r>
        <w:rPr>
          <w:spacing w:val="-7"/>
        </w:rPr>
        <w:t xml:space="preserve"> </w:t>
      </w:r>
      <w:r>
        <w:t>Li,</w:t>
      </w:r>
      <w:r>
        <w:rPr>
          <w:spacing w:val="-3"/>
        </w:rPr>
        <w:t xml:space="preserve"> Y.</w:t>
      </w:r>
      <w:r>
        <w:rPr>
          <w:spacing w:val="-7"/>
        </w:rPr>
        <w:t xml:space="preserve"> </w:t>
      </w:r>
      <w:r>
        <w:t>R.,</w:t>
      </w:r>
      <w:r>
        <w:rPr>
          <w:spacing w:val="-7"/>
        </w:rPr>
        <w:t xml:space="preserve"> </w:t>
      </w:r>
      <w:r>
        <w:t>Hodgson,</w:t>
      </w:r>
      <w:r>
        <w:rPr>
          <w:spacing w:val="-8"/>
        </w:rPr>
        <w:t xml:space="preserve"> </w:t>
      </w:r>
      <w:r>
        <w:t>E.,</w:t>
      </w:r>
      <w:r>
        <w:rPr>
          <w:spacing w:val="-7"/>
        </w:rPr>
        <w:t xml:space="preserve"> </w:t>
      </w:r>
      <w:r>
        <w:t>Ng,</w:t>
      </w:r>
      <w:r>
        <w:rPr>
          <w:spacing w:val="-7"/>
        </w:rPr>
        <w:t xml:space="preserve"> </w:t>
      </w:r>
      <w:r>
        <w:t>A.</w:t>
      </w:r>
      <w:r>
        <w:rPr>
          <w:spacing w:val="-7"/>
        </w:rPr>
        <w:t xml:space="preserve"> </w:t>
      </w:r>
      <w:r>
        <w:t>R.</w:t>
      </w:r>
      <w:r>
        <w:rPr>
          <w:spacing w:val="-8"/>
        </w:rPr>
        <w:t xml:space="preserve"> </w:t>
      </w:r>
      <w:r>
        <w:t>J.,</w:t>
      </w:r>
      <w:r>
        <w:rPr>
          <w:spacing w:val="-7"/>
        </w:rPr>
        <w:t xml:space="preserve"> </w:t>
      </w:r>
      <w:r>
        <w:t>&amp;</w:t>
      </w:r>
      <w:r>
        <w:rPr>
          <w:spacing w:val="-9"/>
        </w:rPr>
        <w:t xml:space="preserve"> </w:t>
      </w:r>
      <w:r>
        <w:t>Bucks,</w:t>
      </w:r>
      <w:r>
        <w:rPr>
          <w:spacing w:val="-3"/>
        </w:rPr>
        <w:t xml:space="preserve"> </w:t>
      </w:r>
      <w:r>
        <w:rPr>
          <w:spacing w:val="-4"/>
        </w:rPr>
        <w:t>R.</w:t>
      </w:r>
      <w:r>
        <w:rPr>
          <w:spacing w:val="-2"/>
        </w:rPr>
        <w:t xml:space="preserve"> </w:t>
      </w:r>
      <w:r>
        <w:t>S.</w:t>
      </w:r>
      <w:r>
        <w:rPr>
          <w:spacing w:val="-7"/>
        </w:rPr>
        <w:t xml:space="preserve"> </w:t>
      </w:r>
      <w:r>
        <w:t>(2015).</w:t>
      </w:r>
      <w:r>
        <w:rPr>
          <w:spacing w:val="-8"/>
        </w:rPr>
        <w:t xml:space="preserve"> </w:t>
      </w:r>
      <w:r>
        <w:t xml:space="preserve">Does prospective memory influence quality of life in community-dwelling older adults? </w:t>
      </w:r>
      <w:r>
        <w:rPr>
          <w:i/>
        </w:rPr>
        <w:t>Aging, Neuropsychology, and Cognition, 22</w:t>
      </w:r>
      <w:r>
        <w:t>(6),</w:t>
      </w:r>
      <w:r>
        <w:rPr>
          <w:spacing w:val="39"/>
        </w:rPr>
        <w:t xml:space="preserve"> </w:t>
      </w:r>
      <w:r>
        <w:t>679-692.</w:t>
      </w:r>
    </w:p>
    <w:p w14:paraId="08C92EEE" w14:textId="77777777" w:rsidR="00C75312" w:rsidRDefault="00BB293A">
      <w:pPr>
        <w:pStyle w:val="BodyText"/>
        <w:ind w:left="860"/>
      </w:pPr>
      <w:r>
        <w:t>doi:10.1080/13825585.2015.1027651</w:t>
      </w:r>
    </w:p>
    <w:p w14:paraId="291A17D6" w14:textId="77777777" w:rsidR="00C75312" w:rsidRDefault="00C75312">
      <w:pPr>
        <w:pStyle w:val="BodyText"/>
      </w:pPr>
    </w:p>
    <w:p w14:paraId="69112922" w14:textId="77777777" w:rsidR="00C75312" w:rsidRDefault="00BB293A">
      <w:pPr>
        <w:pStyle w:val="BodyText"/>
        <w:spacing w:line="480" w:lineRule="auto"/>
        <w:ind w:left="860" w:right="234" w:hanging="720"/>
        <w:jc w:val="both"/>
      </w:pPr>
      <w:r>
        <w:t xml:space="preserve">Woods, S. P., </w:t>
      </w:r>
      <w:proofErr w:type="spellStart"/>
      <w:r>
        <w:t>Weinborn</w:t>
      </w:r>
      <w:proofErr w:type="spellEnd"/>
      <w:r>
        <w:t xml:space="preserve">, M., </w:t>
      </w:r>
      <w:proofErr w:type="spellStart"/>
      <w:r>
        <w:t>Velnoweth</w:t>
      </w:r>
      <w:proofErr w:type="spellEnd"/>
      <w:r>
        <w:t xml:space="preserve">, A., Rooney, A., &amp; Bucks, R. S. (2012). Memory for intentions is uniquely associated with instrumental activities </w:t>
      </w:r>
      <w:r>
        <w:rPr>
          <w:spacing w:val="-3"/>
        </w:rPr>
        <w:t xml:space="preserve">of </w:t>
      </w:r>
      <w:r>
        <w:t>daily living in healthy older</w:t>
      </w:r>
      <w:r>
        <w:rPr>
          <w:spacing w:val="-10"/>
        </w:rPr>
        <w:t xml:space="preserve"> </w:t>
      </w:r>
      <w:r>
        <w:t>adults.</w:t>
      </w:r>
      <w:r>
        <w:rPr>
          <w:spacing w:val="-13"/>
        </w:rPr>
        <w:t xml:space="preserve"> </w:t>
      </w:r>
      <w:r>
        <w:rPr>
          <w:i/>
        </w:rPr>
        <w:t>Journal</w:t>
      </w:r>
      <w:r>
        <w:rPr>
          <w:i/>
          <w:spacing w:val="-15"/>
        </w:rPr>
        <w:t xml:space="preserve"> </w:t>
      </w:r>
      <w:r>
        <w:rPr>
          <w:i/>
        </w:rPr>
        <w:t>of</w:t>
      </w:r>
      <w:r>
        <w:rPr>
          <w:i/>
          <w:spacing w:val="-15"/>
        </w:rPr>
        <w:t xml:space="preserve"> </w:t>
      </w:r>
      <w:r>
        <w:rPr>
          <w:i/>
        </w:rPr>
        <w:t>the</w:t>
      </w:r>
      <w:r>
        <w:rPr>
          <w:i/>
          <w:spacing w:val="-16"/>
        </w:rPr>
        <w:t xml:space="preserve"> </w:t>
      </w:r>
      <w:r>
        <w:rPr>
          <w:i/>
        </w:rPr>
        <w:t>International</w:t>
      </w:r>
      <w:r>
        <w:rPr>
          <w:i/>
          <w:spacing w:val="-15"/>
        </w:rPr>
        <w:t xml:space="preserve"> </w:t>
      </w:r>
      <w:r>
        <w:rPr>
          <w:i/>
        </w:rPr>
        <w:t>Neuropsychological</w:t>
      </w:r>
      <w:r>
        <w:rPr>
          <w:i/>
          <w:spacing w:val="-11"/>
        </w:rPr>
        <w:t xml:space="preserve"> </w:t>
      </w:r>
      <w:r>
        <w:rPr>
          <w:i/>
        </w:rPr>
        <w:t>Society,</w:t>
      </w:r>
      <w:r>
        <w:rPr>
          <w:i/>
          <w:spacing w:val="-13"/>
        </w:rPr>
        <w:t xml:space="preserve"> </w:t>
      </w:r>
      <w:r>
        <w:rPr>
          <w:i/>
        </w:rPr>
        <w:t>18</w:t>
      </w:r>
      <w:r>
        <w:t>(01),</w:t>
      </w:r>
      <w:r>
        <w:rPr>
          <w:spacing w:val="-13"/>
        </w:rPr>
        <w:t xml:space="preserve"> </w:t>
      </w:r>
      <w:r>
        <w:t>134-138. doi:10.1017/S1355617711001263</w:t>
      </w:r>
    </w:p>
    <w:p w14:paraId="5263E6A0" w14:textId="77777777" w:rsidR="00C75312" w:rsidRDefault="00BB293A">
      <w:pPr>
        <w:spacing w:line="480" w:lineRule="auto"/>
        <w:ind w:left="860" w:right="239" w:hanging="720"/>
        <w:jc w:val="both"/>
        <w:rPr>
          <w:sz w:val="24"/>
        </w:rPr>
      </w:pPr>
      <w:r>
        <w:rPr>
          <w:sz w:val="24"/>
        </w:rPr>
        <w:t xml:space="preserve">World Health Organization. (2006). </w:t>
      </w:r>
      <w:r>
        <w:rPr>
          <w:i/>
          <w:sz w:val="24"/>
        </w:rPr>
        <w:t>International statistical classification of diseases and related health problems: 10th revision</w:t>
      </w:r>
      <w:r>
        <w:rPr>
          <w:sz w:val="24"/>
        </w:rPr>
        <w:t>. Geneva: World Health Organization.</w:t>
      </w:r>
    </w:p>
    <w:p w14:paraId="5D9369D4" w14:textId="77777777" w:rsidR="00C75312" w:rsidRDefault="00C75312">
      <w:pPr>
        <w:spacing w:line="480" w:lineRule="auto"/>
        <w:jc w:val="both"/>
        <w:rPr>
          <w:sz w:val="24"/>
        </w:rPr>
        <w:sectPr w:rsidR="00C75312">
          <w:pgSz w:w="11900" w:h="16840"/>
          <w:pgMar w:top="1160" w:right="1200" w:bottom="280" w:left="1300" w:header="720" w:footer="0" w:gutter="0"/>
          <w:cols w:space="720"/>
        </w:sectPr>
      </w:pPr>
    </w:p>
    <w:p w14:paraId="7B4FE4D2" w14:textId="77777777" w:rsidR="00C75312" w:rsidRDefault="00C75312">
      <w:pPr>
        <w:pStyle w:val="BodyText"/>
        <w:spacing w:before="9"/>
        <w:rPr>
          <w:sz w:val="15"/>
        </w:rPr>
      </w:pPr>
    </w:p>
    <w:p w14:paraId="430A4154" w14:textId="77777777" w:rsidR="00C75312" w:rsidRDefault="00BB293A">
      <w:pPr>
        <w:pStyle w:val="BodyText"/>
        <w:spacing w:before="90" w:line="480" w:lineRule="auto"/>
        <w:ind w:left="860" w:right="234" w:hanging="720"/>
        <w:jc w:val="both"/>
      </w:pPr>
      <w:r>
        <w:t xml:space="preserve">Yang, T.-x., Wang, Y., Lin, H., Zheng, L.-n., &amp; Chan, R. C. </w:t>
      </w:r>
      <w:r>
        <w:rPr>
          <w:spacing w:val="-3"/>
        </w:rPr>
        <w:t xml:space="preserve">K. </w:t>
      </w:r>
      <w:r>
        <w:t>(2013). Impact of the aging process</w:t>
      </w:r>
      <w:r>
        <w:rPr>
          <w:spacing w:val="-9"/>
        </w:rPr>
        <w:t xml:space="preserve"> </w:t>
      </w:r>
      <w:r>
        <w:t>on</w:t>
      </w:r>
      <w:r>
        <w:rPr>
          <w:spacing w:val="-7"/>
        </w:rPr>
        <w:t xml:space="preserve"> </w:t>
      </w:r>
      <w:r>
        <w:t>event-,</w:t>
      </w:r>
      <w:r>
        <w:rPr>
          <w:spacing w:val="-3"/>
        </w:rPr>
        <w:t xml:space="preserve"> </w:t>
      </w:r>
      <w:r>
        <w:t>time-,</w:t>
      </w:r>
      <w:r>
        <w:rPr>
          <w:spacing w:val="-4"/>
        </w:rPr>
        <w:t xml:space="preserve"> </w:t>
      </w:r>
      <w:r>
        <w:t>and</w:t>
      </w:r>
      <w:r>
        <w:rPr>
          <w:spacing w:val="-7"/>
        </w:rPr>
        <w:t xml:space="preserve"> </w:t>
      </w:r>
      <w:r>
        <w:t>activity-based</w:t>
      </w:r>
      <w:r>
        <w:rPr>
          <w:spacing w:val="-6"/>
        </w:rPr>
        <w:t xml:space="preserve"> </w:t>
      </w:r>
      <w:r>
        <w:t>prospective</w:t>
      </w:r>
      <w:r>
        <w:rPr>
          <w:spacing w:val="-8"/>
        </w:rPr>
        <w:t xml:space="preserve"> </w:t>
      </w:r>
      <w:r>
        <w:t>memory.</w:t>
      </w:r>
      <w:r>
        <w:rPr>
          <w:spacing w:val="-8"/>
        </w:rPr>
        <w:t xml:space="preserve"> </w:t>
      </w:r>
      <w:proofErr w:type="spellStart"/>
      <w:r>
        <w:rPr>
          <w:i/>
        </w:rPr>
        <w:t>PsyCh</w:t>
      </w:r>
      <w:proofErr w:type="spellEnd"/>
      <w:r>
        <w:rPr>
          <w:i/>
          <w:spacing w:val="-7"/>
        </w:rPr>
        <w:t xml:space="preserve"> </w:t>
      </w:r>
      <w:r>
        <w:rPr>
          <w:i/>
        </w:rPr>
        <w:t>Journal,</w:t>
      </w:r>
      <w:r>
        <w:rPr>
          <w:i/>
          <w:spacing w:val="-3"/>
        </w:rPr>
        <w:t xml:space="preserve"> </w:t>
      </w:r>
      <w:r>
        <w:rPr>
          <w:i/>
        </w:rPr>
        <w:t>2</w:t>
      </w:r>
      <w:r>
        <w:t>(1), 63-73.</w:t>
      </w:r>
      <w:r>
        <w:rPr>
          <w:spacing w:val="3"/>
        </w:rPr>
        <w:t xml:space="preserve"> </w:t>
      </w:r>
      <w:r>
        <w:t>doi:10.1002/pchj.19</w:t>
      </w:r>
    </w:p>
    <w:p w14:paraId="7B7902DD" w14:textId="77777777" w:rsidR="00C75312" w:rsidRPr="002C3022" w:rsidRDefault="00BB293A">
      <w:pPr>
        <w:pStyle w:val="BodyText"/>
        <w:spacing w:line="480" w:lineRule="auto"/>
        <w:ind w:left="860" w:right="236" w:hanging="720"/>
        <w:jc w:val="both"/>
        <w:rPr>
          <w:lang w:val="de-DE"/>
        </w:rPr>
      </w:pPr>
      <w:r>
        <w:t xml:space="preserve">Yi, L., Fan, Y., Joseph, L., Huang, D., Wang, X., Li, J., &amp; Zou, X. (2014). Event-based prospective memory in children with autism spectrum disorder: The role of executive function. </w:t>
      </w:r>
      <w:r w:rsidRPr="002C3022">
        <w:rPr>
          <w:i/>
          <w:lang w:val="de-DE"/>
        </w:rPr>
        <w:t>Research in Autism Spectrum Disorders, 8</w:t>
      </w:r>
      <w:r w:rsidRPr="002C3022">
        <w:rPr>
          <w:lang w:val="de-DE"/>
        </w:rPr>
        <w:t>(6), 654-660. doi:10.1016/j.rasd.2014.03.005</w:t>
      </w:r>
    </w:p>
    <w:p w14:paraId="6C6FBFD5" w14:textId="77777777" w:rsidR="00C75312" w:rsidRDefault="00BB293A">
      <w:pPr>
        <w:pStyle w:val="BodyText"/>
        <w:spacing w:line="480" w:lineRule="auto"/>
        <w:ind w:left="860" w:right="236" w:hanging="720"/>
        <w:jc w:val="both"/>
      </w:pPr>
      <w:r w:rsidRPr="002C3022">
        <w:rPr>
          <w:lang w:val="de-DE"/>
        </w:rPr>
        <w:t xml:space="preserve">Zuber, S., Kliegel, M., &amp; Ihle, </w:t>
      </w:r>
      <w:r w:rsidRPr="002C3022">
        <w:rPr>
          <w:spacing w:val="-3"/>
          <w:lang w:val="de-DE"/>
        </w:rPr>
        <w:t xml:space="preserve">A. </w:t>
      </w:r>
      <w:r w:rsidRPr="002C3022">
        <w:rPr>
          <w:lang w:val="de-DE"/>
        </w:rPr>
        <w:t xml:space="preserve">(2016). </w:t>
      </w:r>
      <w:r>
        <w:t>An individual difference perspective on focal</w:t>
      </w:r>
      <w:r>
        <w:rPr>
          <w:spacing w:val="-36"/>
        </w:rPr>
        <w:t xml:space="preserve"> </w:t>
      </w:r>
      <w:r>
        <w:t xml:space="preserve">versus </w:t>
      </w:r>
      <w:proofErr w:type="spellStart"/>
      <w:r>
        <w:t>nonfocal</w:t>
      </w:r>
      <w:proofErr w:type="spellEnd"/>
      <w:r>
        <w:t xml:space="preserve"> prospective memory. </w:t>
      </w:r>
      <w:r>
        <w:rPr>
          <w:i/>
        </w:rPr>
        <w:t>Memory &amp; Cognition</w:t>
      </w:r>
      <w:r>
        <w:t>, 1-12. doi:10.3758/s13421-016- 0628-5</w:t>
      </w:r>
    </w:p>
    <w:sectPr w:rsidR="00C75312">
      <w:pgSz w:w="11900" w:h="16840"/>
      <w:pgMar w:top="1160" w:right="1200" w:bottom="280" w:left="13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9424C" w14:textId="77777777" w:rsidR="00BB293A" w:rsidRDefault="00BB293A">
      <w:r>
        <w:separator/>
      </w:r>
    </w:p>
  </w:endnote>
  <w:endnote w:type="continuationSeparator" w:id="0">
    <w:p w14:paraId="12AD1D25" w14:textId="77777777" w:rsidR="00BB293A" w:rsidRDefault="00BB2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DB2C0" w14:textId="77777777" w:rsidR="00BB293A" w:rsidRDefault="00BB293A">
      <w:r>
        <w:separator/>
      </w:r>
    </w:p>
  </w:footnote>
  <w:footnote w:type="continuationSeparator" w:id="0">
    <w:p w14:paraId="66AF8CBC" w14:textId="77777777" w:rsidR="00BB293A" w:rsidRDefault="00BB2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C0867" w14:textId="77777777" w:rsidR="00C75312" w:rsidRDefault="00BB293A">
    <w:pPr>
      <w:pStyle w:val="BodyText"/>
      <w:spacing w:line="14" w:lineRule="auto"/>
      <w:rPr>
        <w:sz w:val="20"/>
      </w:rPr>
    </w:pPr>
    <w:r>
      <w:pict w14:anchorId="4B0EED4F">
        <v:line id="_x0000_s1075" style="position:absolute;z-index:-260643840;mso-position-horizontal-relative:page;mso-position-vertical-relative:page" from="70.55pt,50.65pt" to="524.65pt,50.65pt" strokecolor="#bfbfbf" strokeweight="1.44pt">
          <w10:wrap anchorx="page" anchory="page"/>
        </v:line>
      </w:pict>
    </w:r>
    <w:r>
      <w:pict w14:anchorId="16B2BC34">
        <v:shapetype id="_x0000_t202" coordsize="21600,21600" o:spt="202" path="m,l,21600r21600,l21600,xe">
          <v:stroke joinstyle="miter"/>
          <v:path gradientshapeok="t" o:connecttype="rect"/>
        </v:shapetype>
        <v:shape id="_x0000_s1074" type="#_x0000_t202" style="position:absolute;margin-left:71pt;margin-top:34.75pt;width:80.95pt;height:14.25pt;z-index:-260642816;mso-position-horizontal-relative:page;mso-position-vertical-relative:page" filled="f" stroked="f">
          <v:textbox inset="0,0,0,0">
            <w:txbxContent>
              <w:p w14:paraId="76B77BC4" w14:textId="77777777" w:rsidR="00C75312" w:rsidRDefault="00BB293A">
                <w:pPr>
                  <w:spacing w:before="11"/>
                  <w:ind w:left="20"/>
                </w:pPr>
                <w:r>
                  <w:rPr>
                    <w:color w:val="BFBFBF"/>
                  </w:rPr>
                  <w:t>Table of Contents</w:t>
                </w:r>
              </w:p>
            </w:txbxContent>
          </v:textbox>
          <w10:wrap anchorx="page" anchory="page"/>
        </v:shape>
      </w:pict>
    </w:r>
    <w:r>
      <w:pict w14:anchorId="61EADBD3">
        <v:shape id="_x0000_s1073" type="#_x0000_t202" style="position:absolute;margin-left:505.1pt;margin-top:34.75pt;width:21.2pt;height:14.25pt;z-index:-260641792;mso-position-horizontal-relative:page;mso-position-vertical-relative:page" filled="f" stroked="f">
          <v:textbox inset="0,0,0,0">
            <w:txbxContent>
              <w:p w14:paraId="32C49130" w14:textId="77777777" w:rsidR="00C75312" w:rsidRDefault="00BB293A">
                <w:pPr>
                  <w:spacing w:before="11"/>
                  <w:ind w:left="60"/>
                </w:pPr>
                <w:r>
                  <w:fldChar w:fldCharType="begin"/>
                </w:r>
                <w:r>
                  <w:rPr>
                    <w:color w:val="BFBFBF"/>
                  </w:rPr>
                  <w:instrText xml:space="preserve"> PAGE  \* ROMAN </w:instrText>
                </w:r>
                <w:r>
                  <w:fldChar w:fldCharType="separate"/>
                </w:r>
                <w:r>
                  <w:t>VII</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26498" w14:textId="77777777" w:rsidR="00C75312" w:rsidRDefault="00BB293A">
    <w:pPr>
      <w:pStyle w:val="BodyText"/>
      <w:spacing w:line="14" w:lineRule="auto"/>
      <w:rPr>
        <w:sz w:val="20"/>
      </w:rPr>
    </w:pPr>
    <w:r>
      <w:pict w14:anchorId="2C5A31CF">
        <v:line id="_x0000_s1051" style="position:absolute;z-index:-260619264;mso-position-horizontal-relative:page;mso-position-vertical-relative:page" from="70.55pt,50.65pt" to="524.65pt,50.65pt" strokecolor="#bfbfbf" strokeweight="1.44pt">
          <w10:wrap anchorx="page" anchory="page"/>
        </v:line>
      </w:pict>
    </w:r>
    <w:r>
      <w:pict w14:anchorId="1B35A1B3">
        <v:shapetype id="_x0000_t202" coordsize="21600,21600" o:spt="202" path="m,l,21600r21600,l21600,xe">
          <v:stroke joinstyle="miter"/>
          <v:path gradientshapeok="t" o:connecttype="rect"/>
        </v:shapetype>
        <v:shape id="_x0000_s1050" type="#_x0000_t202" style="position:absolute;margin-left:71pt;margin-top:34.75pt;width:171.5pt;height:14.25pt;z-index:-260618240;mso-position-horizontal-relative:page;mso-position-vertical-relative:page" filled="f" stroked="f">
          <v:textbox inset="0,0,0,0">
            <w:txbxContent>
              <w:p w14:paraId="3B8F931D" w14:textId="77777777" w:rsidR="00C75312" w:rsidRDefault="00BB293A">
                <w:pPr>
                  <w:spacing w:before="11"/>
                  <w:ind w:left="20"/>
                </w:pPr>
                <w:r>
                  <w:rPr>
                    <w:color w:val="BFBFBF"/>
                  </w:rPr>
                  <w:t>Chapter 1: Introduction to PM in ASD</w:t>
                </w:r>
              </w:p>
            </w:txbxContent>
          </v:textbox>
          <w10:wrap anchorx="page" anchory="page"/>
        </v:shape>
      </w:pict>
    </w:r>
    <w:r>
      <w:pict w14:anchorId="73891F26">
        <v:shape id="_x0000_s1049" type="#_x0000_t202" style="position:absolute;margin-left:509.4pt;margin-top:34.75pt;width:17.05pt;height:14.25pt;z-index:-260617216;mso-position-horizontal-relative:page;mso-position-vertical-relative:page" filled="f" stroked="f">
          <v:textbox inset="0,0,0,0">
            <w:txbxContent>
              <w:p w14:paraId="6A8F9182" w14:textId="77777777" w:rsidR="00C75312" w:rsidRDefault="00BB293A">
                <w:pPr>
                  <w:spacing w:before="11"/>
                  <w:ind w:left="60"/>
                </w:pPr>
                <w:r>
                  <w:fldChar w:fldCharType="begin"/>
                </w:r>
                <w:r>
                  <w:rPr>
                    <w:color w:val="BFBFBF"/>
                  </w:rPr>
                  <w:instrText xml:space="preserve"> PAGE </w:instrText>
                </w:r>
                <w:r>
                  <w:fldChar w:fldCharType="separate"/>
                </w:r>
                <w:r>
                  <w:t>23</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79B2" w14:textId="77777777" w:rsidR="00C75312" w:rsidRDefault="00C7531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DEDA" w14:textId="77777777" w:rsidR="00C75312" w:rsidRDefault="00BB293A">
    <w:pPr>
      <w:pStyle w:val="BodyText"/>
      <w:spacing w:line="14" w:lineRule="auto"/>
      <w:rPr>
        <w:sz w:val="20"/>
      </w:rPr>
    </w:pPr>
    <w:r>
      <w:pict w14:anchorId="6E7CEDD0">
        <v:line id="_x0000_s1048" style="position:absolute;z-index:-260616192;mso-position-horizontal-relative:page;mso-position-vertical-relative:page" from="70.55pt,50.65pt" to="524.65pt,50.65pt" strokecolor="#bfbfbf" strokeweight="1.44pt">
          <w10:wrap anchorx="page" anchory="page"/>
        </v:line>
      </w:pict>
    </w:r>
    <w:r>
      <w:pict w14:anchorId="49BC2BE3">
        <v:shapetype id="_x0000_t202" coordsize="21600,21600" o:spt="202" path="m,l,21600r21600,l21600,xe">
          <v:stroke joinstyle="miter"/>
          <v:path gradientshapeok="t" o:connecttype="rect"/>
        </v:shapetype>
        <v:shape id="_x0000_s1047" type="#_x0000_t202" style="position:absolute;margin-left:71pt;margin-top:34.75pt;width:174.9pt;height:14.25pt;z-index:-260615168;mso-position-horizontal-relative:page;mso-position-vertical-relative:page" filled="f" stroked="f">
          <v:textbox inset="0,0,0,0">
            <w:txbxContent>
              <w:p w14:paraId="1B3D6BD3" w14:textId="77777777" w:rsidR="00C75312" w:rsidRDefault="00BB293A">
                <w:pPr>
                  <w:spacing w:before="11"/>
                  <w:ind w:left="20"/>
                </w:pPr>
                <w:r>
                  <w:rPr>
                    <w:color w:val="BFBFBF"/>
                  </w:rPr>
                  <w:t>Chapter 2: Role of PM focality in ASD</w:t>
                </w:r>
              </w:p>
            </w:txbxContent>
          </v:textbox>
          <w10:wrap anchorx="page" anchory="page"/>
        </v:shape>
      </w:pict>
    </w:r>
    <w:r>
      <w:pict w14:anchorId="52EC8FE3">
        <v:shape id="_x0000_s1046" type="#_x0000_t202" style="position:absolute;margin-left:509.4pt;margin-top:34.75pt;width:17.05pt;height:14.25pt;z-index:-260614144;mso-position-horizontal-relative:page;mso-position-vertical-relative:page" filled="f" stroked="f">
          <v:textbox inset="0,0,0,0">
            <w:txbxContent>
              <w:p w14:paraId="1E8CB0CB" w14:textId="77777777" w:rsidR="00C75312" w:rsidRDefault="00BB293A">
                <w:pPr>
                  <w:spacing w:before="11"/>
                  <w:ind w:left="60"/>
                </w:pPr>
                <w:r>
                  <w:fldChar w:fldCharType="begin"/>
                </w:r>
                <w:r>
                  <w:rPr>
                    <w:color w:val="BFBFBF"/>
                  </w:rPr>
                  <w:instrText xml:space="preserve"> PAGE </w:instrText>
                </w:r>
                <w:r>
                  <w:fldChar w:fldCharType="separate"/>
                </w:r>
                <w:r>
                  <w:t>45</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DE85" w14:textId="77777777" w:rsidR="00C75312" w:rsidRDefault="00BB293A">
    <w:pPr>
      <w:pStyle w:val="BodyText"/>
      <w:spacing w:line="14" w:lineRule="auto"/>
      <w:rPr>
        <w:sz w:val="20"/>
      </w:rPr>
    </w:pPr>
    <w:r>
      <w:pict w14:anchorId="5858CAEF">
        <v:line id="_x0000_s1045" style="position:absolute;z-index:-260613120;mso-position-horizontal-relative:page;mso-position-vertical-relative:page" from="70.55pt,50.65pt" to="524.4pt,50.65pt" strokecolor="#bfbfbf" strokeweight="1.44pt">
          <w10:wrap anchorx="page" anchory="page"/>
        </v:line>
      </w:pict>
    </w:r>
    <w:r>
      <w:pict w14:anchorId="616E1A00">
        <v:shapetype id="_x0000_t202" coordsize="21600,21600" o:spt="202" path="m,l,21600r21600,l21600,xe">
          <v:stroke joinstyle="miter"/>
          <v:path gradientshapeok="t" o:connecttype="rect"/>
        </v:shapetype>
        <v:shape id="_x0000_s1044" type="#_x0000_t202" style="position:absolute;margin-left:71pt;margin-top:35pt;width:206.55pt;height:14.25pt;z-index:-260612096;mso-position-horizontal-relative:page;mso-position-vertical-relative:page" filled="f" stroked="f">
          <v:textbox inset="0,0,0,0">
            <w:txbxContent>
              <w:p w14:paraId="0B4CA90C" w14:textId="77777777" w:rsidR="00C75312" w:rsidRDefault="00BB293A">
                <w:pPr>
                  <w:spacing w:before="11"/>
                  <w:ind w:left="20"/>
                </w:pPr>
                <w:r>
                  <w:rPr>
                    <w:color w:val="BFBFBF"/>
                  </w:rPr>
                  <w:t>Chapter 3: Processing demands in PM in ASD</w:t>
                </w:r>
              </w:p>
            </w:txbxContent>
          </v:textbox>
          <w10:wrap anchorx="page" anchory="page"/>
        </v:shape>
      </w:pict>
    </w:r>
    <w:r>
      <w:pict w14:anchorId="57E85069">
        <v:shape id="_x0000_s1043" type="#_x0000_t202" style="position:absolute;margin-left:509.15pt;margin-top:35pt;width:17.05pt;height:14.25pt;z-index:-260611072;mso-position-horizontal-relative:page;mso-position-vertical-relative:page" filled="f" stroked="f">
          <v:textbox inset="0,0,0,0">
            <w:txbxContent>
              <w:p w14:paraId="23AB69A7" w14:textId="77777777" w:rsidR="00C75312" w:rsidRDefault="00BB293A">
                <w:pPr>
                  <w:spacing w:before="11"/>
                  <w:ind w:left="60"/>
                </w:pPr>
                <w:r>
                  <w:fldChar w:fldCharType="begin"/>
                </w:r>
                <w:r>
                  <w:rPr>
                    <w:color w:val="BFBFBF"/>
                  </w:rPr>
                  <w:instrText xml:space="preserve"> PAGE </w:instrText>
                </w:r>
                <w:r>
                  <w:fldChar w:fldCharType="separate"/>
                </w:r>
                <w:r>
                  <w:t>69</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362B" w14:textId="77777777" w:rsidR="00C75312" w:rsidRDefault="00BB293A">
    <w:pPr>
      <w:pStyle w:val="BodyText"/>
      <w:spacing w:line="14" w:lineRule="auto"/>
      <w:rPr>
        <w:sz w:val="20"/>
      </w:rPr>
    </w:pPr>
    <w:r>
      <w:pict w14:anchorId="0661A0E4">
        <v:line id="_x0000_s1042" style="position:absolute;z-index:-260610048;mso-position-horizontal-relative:page;mso-position-vertical-relative:page" from="70.55pt,50.65pt" to="524.4pt,50.65pt" strokecolor="#bfbfbf" strokeweight="1.44pt">
          <w10:wrap anchorx="page" anchory="page"/>
        </v:line>
      </w:pict>
    </w:r>
    <w:r>
      <w:pict w14:anchorId="6A660F03">
        <v:shapetype id="_x0000_t202" coordsize="21600,21600" o:spt="202" path="m,l,21600r21600,l21600,xe">
          <v:stroke joinstyle="miter"/>
          <v:path gradientshapeok="t" o:connecttype="rect"/>
        </v:shapetype>
        <v:shape id="_x0000_s1041" type="#_x0000_t202" style="position:absolute;margin-left:71pt;margin-top:35pt;width:167.9pt;height:14.25pt;z-index:-260609024;mso-position-horizontal-relative:page;mso-position-vertical-relative:page" filled="f" stroked="f">
          <v:textbox inset="0,0,0,0">
            <w:txbxContent>
              <w:p w14:paraId="7743B730" w14:textId="77777777" w:rsidR="00C75312" w:rsidRDefault="00BB293A">
                <w:pPr>
                  <w:spacing w:before="11"/>
                  <w:ind w:left="20"/>
                </w:pPr>
                <w:r>
                  <w:rPr>
                    <w:color w:val="BFBFBF"/>
                  </w:rPr>
                  <w:t>Chapter 4: Importance of PM in ASD</w:t>
                </w:r>
              </w:p>
            </w:txbxContent>
          </v:textbox>
          <w10:wrap anchorx="page" anchory="page"/>
        </v:shape>
      </w:pict>
    </w:r>
    <w:r>
      <w:pict w14:anchorId="685ACB2A">
        <v:shape id="_x0000_s1040" type="#_x0000_t202" style="position:absolute;margin-left:503.65pt;margin-top:35pt;width:22.6pt;height:14.25pt;z-index:-260608000;mso-position-horizontal-relative:page;mso-position-vertical-relative:page" filled="f" stroked="f">
          <v:textbox inset="0,0,0,0">
            <w:txbxContent>
              <w:p w14:paraId="19973465" w14:textId="77777777" w:rsidR="00C75312" w:rsidRDefault="00BB293A">
                <w:pPr>
                  <w:spacing w:before="11"/>
                  <w:ind w:left="60"/>
                </w:pPr>
                <w:r>
                  <w:fldChar w:fldCharType="begin"/>
                </w:r>
                <w:r>
                  <w:rPr>
                    <w:color w:val="BFBFBF"/>
                  </w:rPr>
                  <w:instrText xml:space="preserve"> PAGE </w:instrText>
                </w:r>
                <w:r>
                  <w:fldChar w:fldCharType="separate"/>
                </w:r>
                <w:r>
                  <w:t>100</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7B87" w14:textId="77777777" w:rsidR="00C75312" w:rsidRDefault="00BB293A">
    <w:pPr>
      <w:pStyle w:val="BodyText"/>
      <w:spacing w:line="14" w:lineRule="auto"/>
      <w:rPr>
        <w:sz w:val="20"/>
      </w:rPr>
    </w:pPr>
    <w:r>
      <w:pict w14:anchorId="7E310BBB">
        <v:line id="_x0000_s1039" style="position:absolute;z-index:-260606976;mso-position-horizontal-relative:page;mso-position-vertical-relative:page" from="70.55pt,50.65pt" to="524.65pt,50.65pt" strokecolor="#bfbfbf" strokeweight="1.44pt">
          <w10:wrap anchorx="page" anchory="page"/>
        </v:line>
      </w:pict>
    </w:r>
    <w:r>
      <w:pict w14:anchorId="3A9C0057">
        <v:shapetype id="_x0000_t202" coordsize="21600,21600" o:spt="202" path="m,l,21600r21600,l21600,xe">
          <v:stroke joinstyle="miter"/>
          <v:path gradientshapeok="t" o:connecttype="rect"/>
        </v:shapetype>
        <v:shape id="_x0000_s1038" type="#_x0000_t202" style="position:absolute;margin-left:71pt;margin-top:34.75pt;width:181.05pt;height:14.25pt;z-index:-260605952;mso-position-horizontal-relative:page;mso-position-vertical-relative:page" filled="f" stroked="f">
          <v:textbox inset="0,0,0,0">
            <w:txbxContent>
              <w:p w14:paraId="1C7A0500" w14:textId="77777777" w:rsidR="00C75312" w:rsidRDefault="00BB293A">
                <w:pPr>
                  <w:spacing w:before="11"/>
                  <w:ind w:left="20"/>
                </w:pPr>
                <w:r>
                  <w:rPr>
                    <w:color w:val="BFBFBF"/>
                  </w:rPr>
                  <w:t>Chapter 5: Cognitive components of PM</w:t>
                </w:r>
              </w:p>
            </w:txbxContent>
          </v:textbox>
          <w10:wrap anchorx="page" anchory="page"/>
        </v:shape>
      </w:pict>
    </w:r>
    <w:r>
      <w:pict w14:anchorId="0DC5E9BE">
        <v:shape id="_x0000_s1037" type="#_x0000_t202" style="position:absolute;margin-left:503.9pt;margin-top:34.75pt;width:22.6pt;height:14.25pt;z-index:-260604928;mso-position-horizontal-relative:page;mso-position-vertical-relative:page" filled="f" stroked="f">
          <v:textbox inset="0,0,0,0">
            <w:txbxContent>
              <w:p w14:paraId="0067EFFE" w14:textId="77777777" w:rsidR="00C75312" w:rsidRDefault="00BB293A">
                <w:pPr>
                  <w:spacing w:before="11"/>
                  <w:ind w:left="60"/>
                </w:pPr>
                <w:r>
                  <w:fldChar w:fldCharType="begin"/>
                </w:r>
                <w:r>
                  <w:rPr>
                    <w:color w:val="BFBFBF"/>
                  </w:rPr>
                  <w:instrText xml:space="preserve"> PAGE </w:instrText>
                </w:r>
                <w:r>
                  <w:fldChar w:fldCharType="separate"/>
                </w:r>
                <w:r>
                  <w:t>123</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0B870" w14:textId="77777777" w:rsidR="00C75312" w:rsidRDefault="00C7531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5126" w14:textId="77777777" w:rsidR="00C75312" w:rsidRDefault="00BB293A">
    <w:pPr>
      <w:pStyle w:val="BodyText"/>
      <w:spacing w:line="14" w:lineRule="auto"/>
      <w:rPr>
        <w:sz w:val="20"/>
      </w:rPr>
    </w:pPr>
    <w:r>
      <w:pict w14:anchorId="7CA4D338">
        <v:line id="_x0000_s1036" style="position:absolute;z-index:-260603904;mso-position-horizontal-relative:page;mso-position-vertical-relative:page" from="70.55pt,50.65pt" to="524.65pt,50.65pt" strokecolor="#bfbfbf" strokeweight="1.44pt">
          <w10:wrap anchorx="page" anchory="page"/>
        </v:line>
      </w:pict>
    </w:r>
    <w:r>
      <w:pict w14:anchorId="5A480A32">
        <v:shapetype id="_x0000_t202" coordsize="21600,21600" o:spt="202" path="m,l,21600r21600,l21600,xe">
          <v:stroke joinstyle="miter"/>
          <v:path gradientshapeok="t" o:connecttype="rect"/>
        </v:shapetype>
        <v:shape id="_x0000_s1035" type="#_x0000_t202" style="position:absolute;margin-left:71pt;margin-top:34.75pt;width:181.05pt;height:14.25pt;z-index:-260602880;mso-position-horizontal-relative:page;mso-position-vertical-relative:page" filled="f" stroked="f">
          <v:textbox inset="0,0,0,0">
            <w:txbxContent>
              <w:p w14:paraId="63FBD106" w14:textId="77777777" w:rsidR="00C75312" w:rsidRDefault="00BB293A">
                <w:pPr>
                  <w:spacing w:before="11"/>
                  <w:ind w:left="20"/>
                </w:pPr>
                <w:r>
                  <w:rPr>
                    <w:color w:val="BFBFBF"/>
                  </w:rPr>
                  <w:t>Chapter 5: Cognitive components of PM</w:t>
                </w:r>
              </w:p>
            </w:txbxContent>
          </v:textbox>
          <w10:wrap anchorx="page" anchory="page"/>
        </v:shape>
      </w:pict>
    </w:r>
    <w:r>
      <w:pict w14:anchorId="18BC0DF0">
        <v:shape id="_x0000_s1034" type="#_x0000_t202" style="position:absolute;margin-left:503.9pt;margin-top:34.75pt;width:22.6pt;height:14.25pt;z-index:-260601856;mso-position-horizontal-relative:page;mso-position-vertical-relative:page" filled="f" stroked="f">
          <v:textbox inset="0,0,0,0">
            <w:txbxContent>
              <w:p w14:paraId="56A6BB6A" w14:textId="77777777" w:rsidR="00C75312" w:rsidRDefault="00BB293A">
                <w:pPr>
                  <w:spacing w:before="11"/>
                  <w:ind w:left="60"/>
                </w:pPr>
                <w:r>
                  <w:fldChar w:fldCharType="begin"/>
                </w:r>
                <w:r>
                  <w:rPr>
                    <w:color w:val="BFBFBF"/>
                  </w:rPr>
                  <w:instrText xml:space="preserve"> PAGE </w:instrText>
                </w:r>
                <w:r>
                  <w:fldChar w:fldCharType="separate"/>
                </w:r>
                <w:r>
                  <w:t>141</w:t>
                </w:r>
                <w: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E93C" w14:textId="77777777" w:rsidR="00C75312" w:rsidRDefault="00BB293A">
    <w:pPr>
      <w:pStyle w:val="BodyText"/>
      <w:spacing w:line="14" w:lineRule="auto"/>
      <w:rPr>
        <w:sz w:val="20"/>
      </w:rPr>
    </w:pPr>
    <w:r>
      <w:pict w14:anchorId="016F67A3">
        <v:line id="_x0000_s1033" style="position:absolute;z-index:-260600832;mso-position-horizontal-relative:page;mso-position-vertical-relative:page" from="70.55pt,50.65pt" to="524.65pt,50.65pt" strokecolor="#bfbfbf" strokeweight="1.44pt">
          <w10:wrap anchorx="page" anchory="page"/>
        </v:line>
      </w:pict>
    </w:r>
    <w:r>
      <w:pict w14:anchorId="29E79B94">
        <v:shapetype id="_x0000_t202" coordsize="21600,21600" o:spt="202" path="m,l,21600r21600,l21600,xe">
          <v:stroke joinstyle="miter"/>
          <v:path gradientshapeok="t" o:connecttype="rect"/>
        </v:shapetype>
        <v:shape id="_x0000_s1032" type="#_x0000_t202" style="position:absolute;margin-left:71pt;margin-top:34.75pt;width:134.5pt;height:14.25pt;z-index:-260599808;mso-position-horizontal-relative:page;mso-position-vertical-relative:page" filled="f" stroked="f">
          <v:textbox inset="0,0,0,0">
            <w:txbxContent>
              <w:p w14:paraId="5DC38E81" w14:textId="77777777" w:rsidR="00C75312" w:rsidRDefault="00BB293A">
                <w:pPr>
                  <w:spacing w:before="11"/>
                  <w:ind w:left="20"/>
                </w:pPr>
                <w:r>
                  <w:rPr>
                    <w:color w:val="BFBFBF"/>
                  </w:rPr>
                  <w:t>Chapter 6: General discussion</w:t>
                </w:r>
              </w:p>
            </w:txbxContent>
          </v:textbox>
          <w10:wrap anchorx="page" anchory="page"/>
        </v:shape>
      </w:pict>
    </w:r>
    <w:r>
      <w:pict w14:anchorId="35483B8F">
        <v:shape id="_x0000_s1031" type="#_x0000_t202" style="position:absolute;margin-left:503.9pt;margin-top:34.75pt;width:22.6pt;height:14.25pt;z-index:-260598784;mso-position-horizontal-relative:page;mso-position-vertical-relative:page" filled="f" stroked="f">
          <v:textbox inset="0,0,0,0">
            <w:txbxContent>
              <w:p w14:paraId="2E4EF094" w14:textId="77777777" w:rsidR="00C75312" w:rsidRDefault="00BB293A">
                <w:pPr>
                  <w:spacing w:before="11"/>
                  <w:ind w:left="60"/>
                </w:pPr>
                <w:r>
                  <w:fldChar w:fldCharType="begin"/>
                </w:r>
                <w:r>
                  <w:rPr>
                    <w:color w:val="BFBFBF"/>
                  </w:rPr>
                  <w:instrText xml:space="preserve"> PAGE </w:instrText>
                </w:r>
                <w:r>
                  <w:fldChar w:fldCharType="separate"/>
                </w:r>
                <w:r>
                  <w:t>147</w:t>
                </w:r>
                <w: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045C" w14:textId="77777777" w:rsidR="00C75312" w:rsidRDefault="00BB293A">
    <w:pPr>
      <w:pStyle w:val="BodyText"/>
      <w:spacing w:line="14" w:lineRule="auto"/>
      <w:rPr>
        <w:sz w:val="20"/>
      </w:rPr>
    </w:pPr>
    <w:r>
      <w:pict w14:anchorId="2F21A42B">
        <v:line id="_x0000_s1030" style="position:absolute;z-index:-260597760;mso-position-horizontal-relative:page;mso-position-vertical-relative:page" from="70.55pt,50.65pt" to="524.4pt,50.65pt" strokecolor="#bfbfbf" strokeweight="1.44pt">
          <w10:wrap anchorx="page" anchory="page"/>
        </v:line>
      </w:pict>
    </w:r>
    <w:r>
      <w:pict w14:anchorId="38A3E531">
        <v:shapetype id="_x0000_t202" coordsize="21600,21600" o:spt="202" path="m,l,21600r21600,l21600,xe">
          <v:stroke joinstyle="miter"/>
          <v:path gradientshapeok="t" o:connecttype="rect"/>
        </v:shapetype>
        <v:shape id="_x0000_s1029" type="#_x0000_t202" style="position:absolute;margin-left:71pt;margin-top:35pt;width:53.85pt;height:14.25pt;z-index:-260596736;mso-position-horizontal-relative:page;mso-position-vertical-relative:page" filled="f" stroked="f">
          <v:textbox inset="0,0,0,0">
            <w:txbxContent>
              <w:p w14:paraId="5CD2C9D3" w14:textId="77777777" w:rsidR="00C75312" w:rsidRDefault="00BB293A">
                <w:pPr>
                  <w:spacing w:before="11"/>
                  <w:ind w:left="20"/>
                </w:pPr>
                <w:r>
                  <w:rPr>
                    <w:color w:val="BFBFBF"/>
                  </w:rPr>
                  <w:t>Appendices</w:t>
                </w:r>
              </w:p>
            </w:txbxContent>
          </v:textbox>
          <w10:wrap anchorx="page" anchory="page"/>
        </v:shape>
      </w:pict>
    </w:r>
    <w:r>
      <w:pict w14:anchorId="029C69A6">
        <v:shape id="_x0000_s1028" type="#_x0000_t202" style="position:absolute;margin-left:503.65pt;margin-top:35pt;width:22.8pt;height:14.25pt;z-index:-260595712;mso-position-horizontal-relative:page;mso-position-vertical-relative:page" filled="f" stroked="f">
          <v:textbox inset="0,0,0,0">
            <w:txbxContent>
              <w:p w14:paraId="0D01852C" w14:textId="77777777" w:rsidR="00C75312" w:rsidRDefault="00BB293A">
                <w:pPr>
                  <w:spacing w:before="11"/>
                  <w:ind w:left="60"/>
                </w:pPr>
                <w:r>
                  <w:fldChar w:fldCharType="begin"/>
                </w:r>
                <w:r>
                  <w:rPr>
                    <w:color w:val="BFBFBF"/>
                  </w:rPr>
                  <w:instrText xml:space="preserve"> PAGE </w:instrText>
                </w:r>
                <w:r>
                  <w:fldChar w:fldCharType="separate"/>
                </w:r>
                <w:r>
                  <w:t>166</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ED71" w14:textId="77777777" w:rsidR="00C75312" w:rsidRDefault="00BB293A">
    <w:pPr>
      <w:pStyle w:val="BodyText"/>
      <w:spacing w:line="14" w:lineRule="auto"/>
      <w:rPr>
        <w:sz w:val="20"/>
      </w:rPr>
    </w:pPr>
    <w:r>
      <w:pict w14:anchorId="0A000BB1">
        <v:line id="_x0000_s1072" style="position:absolute;z-index:-260640768;mso-position-horizontal-relative:page;mso-position-vertical-relative:page" from="70.55pt,50.65pt" to="524.65pt,50.65pt" strokecolor="#bfbfbf" strokeweight="1.44pt">
          <w10:wrap anchorx="page" anchory="page"/>
        </v:line>
      </w:pict>
    </w:r>
    <w:r>
      <w:pict w14:anchorId="3ECD3734">
        <v:shapetype id="_x0000_t202" coordsize="21600,21600" o:spt="202" path="m,l,21600r21600,l21600,xe">
          <v:stroke joinstyle="miter"/>
          <v:path gradientshapeok="t" o:connecttype="rect"/>
        </v:shapetype>
        <v:shape id="_x0000_s1071" type="#_x0000_t202" style="position:absolute;margin-left:71pt;margin-top:34.75pt;width:66.8pt;height:14.25pt;z-index:-260639744;mso-position-horizontal-relative:page;mso-position-vertical-relative:page" filled="f" stroked="f">
          <v:textbox inset="0,0,0,0">
            <w:txbxContent>
              <w:p w14:paraId="12846E93" w14:textId="77777777" w:rsidR="00C75312" w:rsidRDefault="00BB293A">
                <w:pPr>
                  <w:spacing w:before="11"/>
                  <w:ind w:left="20"/>
                </w:pPr>
                <w:r>
                  <w:rPr>
                    <w:color w:val="BFBFBF"/>
                  </w:rPr>
                  <w:t>List of Figures</w:t>
                </w:r>
              </w:p>
            </w:txbxContent>
          </v:textbox>
          <w10:wrap anchorx="page" anchory="page"/>
        </v:shape>
      </w:pict>
    </w:r>
    <w:r>
      <w:pict w14:anchorId="61CB9EAE">
        <v:shape id="_x0000_s1070" type="#_x0000_t202" style="position:absolute;margin-left:501.5pt;margin-top:34.75pt;width:24.85pt;height:14.25pt;z-index:-260638720;mso-position-horizontal-relative:page;mso-position-vertical-relative:page" filled="f" stroked="f">
          <v:textbox inset="0,0,0,0">
            <w:txbxContent>
              <w:p w14:paraId="02671915" w14:textId="77777777" w:rsidR="00C75312" w:rsidRDefault="00BB293A">
                <w:pPr>
                  <w:spacing w:before="11"/>
                  <w:ind w:left="60"/>
                </w:pPr>
                <w:r>
                  <w:fldChar w:fldCharType="begin"/>
                </w:r>
                <w:r>
                  <w:rPr>
                    <w:color w:val="BFBFBF"/>
                  </w:rPr>
                  <w:instrText xml:space="preserve"> PAGE  \* ROMAN </w:instrText>
                </w:r>
                <w:r>
                  <w:fldChar w:fldCharType="separate"/>
                </w:r>
                <w:r>
                  <w:t>VIII</w:t>
                </w:r>
                <w: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2AC8" w14:textId="77777777" w:rsidR="00C75312" w:rsidRDefault="00BB293A">
    <w:pPr>
      <w:pStyle w:val="BodyText"/>
      <w:spacing w:line="14" w:lineRule="auto"/>
      <w:rPr>
        <w:sz w:val="20"/>
      </w:rPr>
    </w:pPr>
    <w:r>
      <w:pict w14:anchorId="458DC332">
        <v:line id="_x0000_s1027" style="position:absolute;z-index:-260594688;mso-position-horizontal-relative:page;mso-position-vertical-relative:page" from="70.55pt,50.65pt" to="524.4pt,50.65pt" strokecolor="#bfbfbf" strokeweight="1.44pt">
          <w10:wrap anchorx="page" anchory="page"/>
        </v:line>
      </w:pict>
    </w:r>
    <w:r>
      <w:pict w14:anchorId="6A86305A">
        <v:shapetype id="_x0000_t202" coordsize="21600,21600" o:spt="202" path="m,l,21600r21600,l21600,xe">
          <v:stroke joinstyle="miter"/>
          <v:path gradientshapeok="t" o:connecttype="rect"/>
        </v:shapetype>
        <v:shape id="_x0000_s1026" type="#_x0000_t202" style="position:absolute;margin-left:71pt;margin-top:35pt;width:50.7pt;height:14.25pt;z-index:-260593664;mso-position-horizontal-relative:page;mso-position-vertical-relative:page" filled="f" stroked="f">
          <v:textbox inset="0,0,0,0">
            <w:txbxContent>
              <w:p w14:paraId="5CA5838F" w14:textId="77777777" w:rsidR="00C75312" w:rsidRDefault="00BB293A">
                <w:pPr>
                  <w:spacing w:before="11"/>
                  <w:ind w:left="20"/>
                </w:pPr>
                <w:r>
                  <w:rPr>
                    <w:color w:val="BFBFBF"/>
                  </w:rPr>
                  <w:t>References</w:t>
                </w:r>
              </w:p>
            </w:txbxContent>
          </v:textbox>
          <w10:wrap anchorx="page" anchory="page"/>
        </v:shape>
      </w:pict>
    </w:r>
    <w:r>
      <w:pict w14:anchorId="38F9DFB6">
        <v:shape id="_x0000_s1025" type="#_x0000_t202" style="position:absolute;margin-left:503.65pt;margin-top:35pt;width:22.6pt;height:14.25pt;z-index:-260592640;mso-position-horizontal-relative:page;mso-position-vertical-relative:page" filled="f" stroked="f">
          <v:textbox inset="0,0,0,0">
            <w:txbxContent>
              <w:p w14:paraId="3A74B5D0" w14:textId="77777777" w:rsidR="00C75312" w:rsidRDefault="00BB293A">
                <w:pPr>
                  <w:spacing w:before="11"/>
                  <w:ind w:left="60"/>
                </w:pPr>
                <w:r>
                  <w:fldChar w:fldCharType="begin"/>
                </w:r>
                <w:r>
                  <w:rPr>
                    <w:color w:val="BFBFBF"/>
                  </w:rPr>
                  <w:instrText xml:space="preserve"> PAGE </w:instrText>
                </w:r>
                <w:r>
                  <w:fldChar w:fldCharType="separate"/>
                </w:r>
                <w:r>
                  <w:t>176</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2325" w14:textId="77777777" w:rsidR="00C75312" w:rsidRDefault="00BB293A">
    <w:pPr>
      <w:pStyle w:val="BodyText"/>
      <w:spacing w:line="14" w:lineRule="auto"/>
      <w:rPr>
        <w:sz w:val="20"/>
      </w:rPr>
    </w:pPr>
    <w:r>
      <w:pict w14:anchorId="5B935C6A">
        <v:line id="_x0000_s1069" style="position:absolute;z-index:-260637696;mso-position-horizontal-relative:page;mso-position-vertical-relative:page" from="70.55pt,50.65pt" to="524.65pt,50.65pt" strokecolor="#bfbfbf" strokeweight="1.44pt">
          <w10:wrap anchorx="page" anchory="page"/>
        </v:line>
      </w:pict>
    </w:r>
    <w:r>
      <w:pict w14:anchorId="3F4D3B3B">
        <v:shapetype id="_x0000_t202" coordsize="21600,21600" o:spt="202" path="m,l,21600r21600,l21600,xe">
          <v:stroke joinstyle="miter"/>
          <v:path gradientshapeok="t" o:connecttype="rect"/>
        </v:shapetype>
        <v:shape id="_x0000_s1068" type="#_x0000_t202" style="position:absolute;margin-left:71pt;margin-top:34.75pt;width:63.2pt;height:14.25pt;z-index:-260636672;mso-position-horizontal-relative:page;mso-position-vertical-relative:page" filled="f" stroked="f">
          <v:textbox inset="0,0,0,0">
            <w:txbxContent>
              <w:p w14:paraId="7233CAB0" w14:textId="77777777" w:rsidR="00C75312" w:rsidRDefault="00BB293A">
                <w:pPr>
                  <w:spacing w:before="11"/>
                  <w:ind w:left="20"/>
                </w:pPr>
                <w:r>
                  <w:rPr>
                    <w:color w:val="BFBFBF"/>
                  </w:rPr>
                  <w:t>List of Tables</w:t>
                </w:r>
              </w:p>
            </w:txbxContent>
          </v:textbox>
          <w10:wrap anchorx="page" anchory="page"/>
        </v:shape>
      </w:pict>
    </w:r>
    <w:r>
      <w:pict w14:anchorId="10E60F6B">
        <v:shape id="_x0000_s1067" type="#_x0000_t202" style="position:absolute;margin-left:505.1pt;margin-top:34.75pt;width:21.2pt;height:14.25pt;z-index:-260635648;mso-position-horizontal-relative:page;mso-position-vertical-relative:page" filled="f" stroked="f">
          <v:textbox inset="0,0,0,0">
            <w:txbxContent>
              <w:p w14:paraId="694CC036" w14:textId="77777777" w:rsidR="00C75312" w:rsidRDefault="00BB293A">
                <w:pPr>
                  <w:spacing w:before="11"/>
                  <w:ind w:left="60"/>
                </w:pPr>
                <w:r>
                  <w:fldChar w:fldCharType="begin"/>
                </w:r>
                <w:r>
                  <w:rPr>
                    <w:color w:val="BFBFBF"/>
                  </w:rPr>
                  <w:instrText xml:space="preserve"> PAGE  \* ROMAN </w:instrText>
                </w:r>
                <w:r>
                  <w:fldChar w:fldCharType="separate"/>
                </w:r>
                <w:r>
                  <w:t>XII</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3E3C4" w14:textId="77777777" w:rsidR="00C75312" w:rsidRDefault="00BB293A">
    <w:pPr>
      <w:pStyle w:val="BodyText"/>
      <w:spacing w:line="14" w:lineRule="auto"/>
      <w:rPr>
        <w:sz w:val="20"/>
      </w:rPr>
    </w:pPr>
    <w:r>
      <w:pict w14:anchorId="64EA2C33">
        <v:line id="_x0000_s1066" style="position:absolute;z-index:-260634624;mso-position-horizontal-relative:page;mso-position-vertical-relative:page" from="70.55pt,50.65pt" to="524.65pt,50.65pt" strokecolor="#bfbfbf" strokeweight="1.44pt">
          <w10:wrap anchorx="page" anchory="page"/>
        </v:line>
      </w:pict>
    </w:r>
    <w:r>
      <w:pict w14:anchorId="06AE8070">
        <v:shapetype id="_x0000_t202" coordsize="21600,21600" o:spt="202" path="m,l,21600r21600,l21600,xe">
          <v:stroke joinstyle="miter"/>
          <v:path gradientshapeok="t" o:connecttype="rect"/>
        </v:shapetype>
        <v:shape id="_x0000_s1065" type="#_x0000_t202" style="position:absolute;margin-left:71pt;margin-top:34.75pt;width:96.3pt;height:14.25pt;z-index:-260633600;mso-position-horizontal-relative:page;mso-position-vertical-relative:page" filled="f" stroked="f">
          <v:textbox inset="0,0,0,0">
            <w:txbxContent>
              <w:p w14:paraId="26E12BE4" w14:textId="77777777" w:rsidR="00C75312" w:rsidRDefault="00BB293A">
                <w:pPr>
                  <w:spacing w:before="11"/>
                  <w:ind w:left="20"/>
                </w:pPr>
                <w:r>
                  <w:rPr>
                    <w:color w:val="BFBFBF"/>
                  </w:rPr>
                  <w:t>List of Abbreviations</w:t>
                </w:r>
              </w:p>
            </w:txbxContent>
          </v:textbox>
          <w10:wrap anchorx="page" anchory="page"/>
        </v:shape>
      </w:pict>
    </w:r>
    <w:r>
      <w:pict w14:anchorId="6F820F58">
        <v:shape id="_x0000_s1064" type="#_x0000_t202" style="position:absolute;margin-left:503.5pt;margin-top:34.75pt;width:20.85pt;height:14.25pt;z-index:-260632576;mso-position-horizontal-relative:page;mso-position-vertical-relative:page" filled="f" stroked="f">
          <v:textbox inset="0,0,0,0">
            <w:txbxContent>
              <w:p w14:paraId="4A7735AB" w14:textId="77777777" w:rsidR="00C75312" w:rsidRDefault="00BB293A">
                <w:pPr>
                  <w:spacing w:before="11"/>
                  <w:ind w:left="20"/>
                </w:pPr>
                <w:r>
                  <w:rPr>
                    <w:color w:val="BFBFBF"/>
                  </w:rPr>
                  <w:t>XIII</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5D36" w14:textId="77777777" w:rsidR="00C75312" w:rsidRDefault="00BB293A">
    <w:pPr>
      <w:pStyle w:val="BodyText"/>
      <w:spacing w:line="14" w:lineRule="auto"/>
      <w:rPr>
        <w:sz w:val="20"/>
      </w:rPr>
    </w:pPr>
    <w:r>
      <w:pict w14:anchorId="6B9387D2">
        <v:line id="_x0000_s1063" style="position:absolute;z-index:-260631552;mso-position-horizontal-relative:page;mso-position-vertical-relative:page" from="70.55pt,50.65pt" to="524.65pt,50.65pt" strokecolor="#bfbfbf" strokeweight="1.44pt">
          <w10:wrap anchorx="page" anchory="page"/>
        </v:line>
      </w:pict>
    </w:r>
    <w:r>
      <w:pict w14:anchorId="15CE7003">
        <v:shapetype id="_x0000_t202" coordsize="21600,21600" o:spt="202" path="m,l,21600r21600,l21600,xe">
          <v:stroke joinstyle="miter"/>
          <v:path gradientshapeok="t" o:connecttype="rect"/>
        </v:shapetype>
        <v:shape id="_x0000_s1062" type="#_x0000_t202" style="position:absolute;margin-left:71pt;margin-top:34.75pt;width:39.15pt;height:14.25pt;z-index:-260630528;mso-position-horizontal-relative:page;mso-position-vertical-relative:page" filled="f" stroked="f">
          <v:textbox inset="0,0,0,0">
            <w:txbxContent>
              <w:p w14:paraId="345F4F95" w14:textId="77777777" w:rsidR="00C75312" w:rsidRDefault="00BB293A">
                <w:pPr>
                  <w:spacing w:before="11"/>
                  <w:ind w:left="20"/>
                </w:pPr>
                <w:r>
                  <w:rPr>
                    <w:color w:val="BFBFBF"/>
                  </w:rPr>
                  <w:t>Abstract</w:t>
                </w:r>
              </w:p>
            </w:txbxContent>
          </v:textbox>
          <w10:wrap anchorx="page" anchory="page"/>
        </v:shape>
      </w:pict>
    </w:r>
    <w:r>
      <w:pict w14:anchorId="2BABEC26">
        <v:shape id="_x0000_s1061" type="#_x0000_t202" style="position:absolute;margin-left:502.75pt;margin-top:34.75pt;width:21.5pt;height:14.25pt;z-index:-260629504;mso-position-horizontal-relative:page;mso-position-vertical-relative:page" filled="f" stroked="f">
          <v:textbox inset="0,0,0,0">
            <w:txbxContent>
              <w:p w14:paraId="19DB5DC8" w14:textId="77777777" w:rsidR="00C75312" w:rsidRDefault="00BB293A">
                <w:pPr>
                  <w:spacing w:before="11"/>
                  <w:ind w:left="20"/>
                </w:pPr>
                <w:r>
                  <w:rPr>
                    <w:color w:val="BFBFBF"/>
                  </w:rPr>
                  <w:t>XIV</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98FDF" w14:textId="77777777" w:rsidR="00C75312" w:rsidRDefault="00BB293A">
    <w:pPr>
      <w:pStyle w:val="BodyText"/>
      <w:spacing w:line="14" w:lineRule="auto"/>
      <w:rPr>
        <w:sz w:val="20"/>
      </w:rPr>
    </w:pPr>
    <w:r>
      <w:pict w14:anchorId="7D8F2519">
        <v:line id="_x0000_s1060" style="position:absolute;z-index:-260628480;mso-position-horizontal-relative:page;mso-position-vertical-relative:page" from="70.55pt,50.65pt" to="524.65pt,50.65pt" strokecolor="#bfbfbf" strokeweight="1.44pt">
          <w10:wrap anchorx="page" anchory="page"/>
        </v:line>
      </w:pict>
    </w:r>
    <w:r>
      <w:pict w14:anchorId="778F323B">
        <v:shapetype id="_x0000_t202" coordsize="21600,21600" o:spt="202" path="m,l,21600r21600,l21600,xe">
          <v:stroke joinstyle="miter"/>
          <v:path gradientshapeok="t" o:connecttype="rect"/>
        </v:shapetype>
        <v:shape id="_x0000_s1059" type="#_x0000_t202" style="position:absolute;margin-left:71pt;margin-top:34.75pt;width:171.5pt;height:14.25pt;z-index:-260627456;mso-position-horizontal-relative:page;mso-position-vertical-relative:page" filled="f" stroked="f">
          <v:textbox inset="0,0,0,0">
            <w:txbxContent>
              <w:p w14:paraId="7460FB1D" w14:textId="77777777" w:rsidR="00C75312" w:rsidRDefault="00BB293A">
                <w:pPr>
                  <w:spacing w:before="11"/>
                  <w:ind w:left="20"/>
                </w:pPr>
                <w:r>
                  <w:rPr>
                    <w:color w:val="BFBFBF"/>
                  </w:rPr>
                  <w:t>Chapter 1: Introduction to PM in ASD</w:t>
                </w:r>
              </w:p>
            </w:txbxContent>
          </v:textbox>
          <w10:wrap anchorx="page" anchory="page"/>
        </v:shape>
      </w:pict>
    </w:r>
    <w:r>
      <w:pict w14:anchorId="4B86EEE7">
        <v:shape id="_x0000_s1058" type="#_x0000_t202" style="position:absolute;margin-left:509.4pt;margin-top:34.75pt;width:17.05pt;height:14.25pt;z-index:-260626432;mso-position-horizontal-relative:page;mso-position-vertical-relative:page" filled="f" stroked="f">
          <v:textbox inset="0,0,0,0">
            <w:txbxContent>
              <w:p w14:paraId="40AF9E34" w14:textId="77777777" w:rsidR="00C75312" w:rsidRDefault="00BB293A">
                <w:pPr>
                  <w:spacing w:before="11"/>
                  <w:ind w:left="60"/>
                </w:pPr>
                <w:r>
                  <w:fldChar w:fldCharType="begin"/>
                </w:r>
                <w:r>
                  <w:rPr>
                    <w:color w:val="BFBFBF"/>
                  </w:rPr>
                  <w:instrText xml:space="preserve"> PAGE </w:instrText>
                </w:r>
                <w:r>
                  <w:fldChar w:fldCharType="separate"/>
                </w:r>
                <w:r>
                  <w:t>10</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1CFED" w14:textId="77777777" w:rsidR="00C75312" w:rsidRDefault="00BB293A">
    <w:pPr>
      <w:pStyle w:val="BodyText"/>
      <w:spacing w:line="14" w:lineRule="auto"/>
      <w:rPr>
        <w:sz w:val="20"/>
      </w:rPr>
    </w:pPr>
    <w:r>
      <w:pict w14:anchorId="1287FC4C">
        <v:line id="_x0000_s1057" style="position:absolute;z-index:-260625408;mso-position-horizontal-relative:page;mso-position-vertical-relative:page" from="70.55pt,50.65pt" to="771.35pt,50.65pt" strokecolor="#bfbfbf" strokeweight="1.44pt">
          <w10:wrap anchorx="page" anchory="page"/>
        </v:line>
      </w:pict>
    </w:r>
    <w:r>
      <w:pict w14:anchorId="05E6A410">
        <v:shapetype id="_x0000_t202" coordsize="21600,21600" o:spt="202" path="m,l,21600r21600,l21600,xe">
          <v:stroke joinstyle="miter"/>
          <v:path gradientshapeok="t" o:connecttype="rect"/>
        </v:shapetype>
        <v:shape id="_x0000_s1056" type="#_x0000_t202" style="position:absolute;margin-left:71pt;margin-top:35pt;width:171.5pt;height:14.25pt;z-index:-260624384;mso-position-horizontal-relative:page;mso-position-vertical-relative:page" filled="f" stroked="f">
          <v:textbox inset="0,0,0,0">
            <w:txbxContent>
              <w:p w14:paraId="578082F9" w14:textId="77777777" w:rsidR="00C75312" w:rsidRDefault="00BB293A">
                <w:pPr>
                  <w:spacing w:before="11"/>
                  <w:ind w:left="20"/>
                </w:pPr>
                <w:r>
                  <w:rPr>
                    <w:color w:val="BFBFBF"/>
                  </w:rPr>
                  <w:t>Chapter 1: Introduction to PM in ASD</w:t>
                </w:r>
              </w:p>
            </w:txbxContent>
          </v:textbox>
          <w10:wrap anchorx="page" anchory="page"/>
        </v:shape>
      </w:pict>
    </w:r>
    <w:r>
      <w:pict w14:anchorId="7C30B2FB">
        <v:shape id="_x0000_s1055" type="#_x0000_t202" style="position:absolute;margin-left:756.1pt;margin-top:35pt;width:17.05pt;height:14.25pt;z-index:-260623360;mso-position-horizontal-relative:page;mso-position-vertical-relative:page" filled="f" stroked="f">
          <v:textbox inset="0,0,0,0">
            <w:txbxContent>
              <w:p w14:paraId="01845CBE" w14:textId="77777777" w:rsidR="00C75312" w:rsidRDefault="00BB293A">
                <w:pPr>
                  <w:spacing w:before="11"/>
                  <w:ind w:left="60"/>
                </w:pPr>
                <w:r>
                  <w:fldChar w:fldCharType="begin"/>
                </w:r>
                <w:r>
                  <w:rPr>
                    <w:color w:val="BFBFBF"/>
                  </w:rPr>
                  <w:instrText xml:space="preserve"> PAGE </w:instrText>
                </w:r>
                <w:r>
                  <w:fldChar w:fldCharType="separate"/>
                </w:r>
                <w:r>
                  <w:t>11</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15D24" w14:textId="77777777" w:rsidR="00C75312" w:rsidRDefault="00BB293A">
    <w:pPr>
      <w:pStyle w:val="BodyText"/>
      <w:spacing w:line="14" w:lineRule="auto"/>
      <w:rPr>
        <w:sz w:val="20"/>
      </w:rPr>
    </w:pPr>
    <w:r>
      <w:pict w14:anchorId="734F37B9">
        <v:line id="_x0000_s1054" style="position:absolute;z-index:-260622336;mso-position-horizontal-relative:page;mso-position-vertical-relative:page" from="70.55pt,50.65pt" to="524.65pt,50.65pt" strokecolor="#bfbfbf" strokeweight="1.44pt">
          <w10:wrap anchorx="page" anchory="page"/>
        </v:line>
      </w:pict>
    </w:r>
    <w:r>
      <w:pict w14:anchorId="4119ADD1">
        <v:shapetype id="_x0000_t202" coordsize="21600,21600" o:spt="202" path="m,l,21600r21600,l21600,xe">
          <v:stroke joinstyle="miter"/>
          <v:path gradientshapeok="t" o:connecttype="rect"/>
        </v:shapetype>
        <v:shape id="_x0000_s1053" type="#_x0000_t202" style="position:absolute;margin-left:71pt;margin-top:34.75pt;width:171.5pt;height:14.25pt;z-index:-260621312;mso-position-horizontal-relative:page;mso-position-vertical-relative:page" filled="f" stroked="f">
          <v:textbox inset="0,0,0,0">
            <w:txbxContent>
              <w:p w14:paraId="1FFCD4A1" w14:textId="77777777" w:rsidR="00C75312" w:rsidRDefault="00BB293A">
                <w:pPr>
                  <w:spacing w:before="11"/>
                  <w:ind w:left="20"/>
                </w:pPr>
                <w:r>
                  <w:rPr>
                    <w:color w:val="BFBFBF"/>
                  </w:rPr>
                  <w:t>Chapter 1: Introduction to PM in ASD</w:t>
                </w:r>
              </w:p>
            </w:txbxContent>
          </v:textbox>
          <w10:wrap anchorx="page" anchory="page"/>
        </v:shape>
      </w:pict>
    </w:r>
    <w:r>
      <w:pict w14:anchorId="112DFD46">
        <v:shape id="_x0000_s1052" type="#_x0000_t202" style="position:absolute;margin-left:509.4pt;margin-top:34.75pt;width:17.05pt;height:14.25pt;z-index:-260620288;mso-position-horizontal-relative:page;mso-position-vertical-relative:page" filled="f" stroked="f">
          <v:textbox inset="0,0,0,0">
            <w:txbxContent>
              <w:p w14:paraId="607515B4" w14:textId="77777777" w:rsidR="00C75312" w:rsidRDefault="00BB293A">
                <w:pPr>
                  <w:spacing w:before="11"/>
                  <w:ind w:left="60"/>
                </w:pPr>
                <w:r>
                  <w:fldChar w:fldCharType="begin"/>
                </w:r>
                <w:r>
                  <w:rPr>
                    <w:color w:val="BFBFBF"/>
                  </w:rPr>
                  <w:instrText xml:space="preserve"> PAGE </w:instrText>
                </w:r>
                <w:r>
                  <w:fldChar w:fldCharType="separate"/>
                </w:r>
                <w:r>
                  <w:t>14</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0253B" w14:textId="77777777" w:rsidR="00C75312" w:rsidRDefault="00C7531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67853"/>
    <w:multiLevelType w:val="hybridMultilevel"/>
    <w:tmpl w:val="D9DEB968"/>
    <w:lvl w:ilvl="0" w:tplc="40267AB2">
      <w:start w:val="1"/>
      <w:numFmt w:val="decimal"/>
      <w:lvlText w:val="%1"/>
      <w:lvlJc w:val="left"/>
      <w:pPr>
        <w:ind w:left="100" w:hanging="269"/>
        <w:jc w:val="left"/>
      </w:pPr>
      <w:rPr>
        <w:rFonts w:ascii="Times New Roman" w:eastAsia="Times New Roman" w:hAnsi="Times New Roman" w:cs="Times New Roman" w:hint="default"/>
        <w:spacing w:val="-12"/>
        <w:w w:val="100"/>
        <w:sz w:val="24"/>
        <w:szCs w:val="24"/>
      </w:rPr>
    </w:lvl>
    <w:lvl w:ilvl="1" w:tplc="9F6C85A2">
      <w:numFmt w:val="bullet"/>
      <w:lvlText w:val="•"/>
      <w:lvlJc w:val="left"/>
      <w:pPr>
        <w:ind w:left="1014" w:hanging="269"/>
      </w:pPr>
      <w:rPr>
        <w:rFonts w:hint="default"/>
      </w:rPr>
    </w:lvl>
    <w:lvl w:ilvl="2" w:tplc="05A61930">
      <w:numFmt w:val="bullet"/>
      <w:lvlText w:val="•"/>
      <w:lvlJc w:val="left"/>
      <w:pPr>
        <w:ind w:left="1928" w:hanging="269"/>
      </w:pPr>
      <w:rPr>
        <w:rFonts w:hint="default"/>
      </w:rPr>
    </w:lvl>
    <w:lvl w:ilvl="3" w:tplc="85EC438C">
      <w:numFmt w:val="bullet"/>
      <w:lvlText w:val="•"/>
      <w:lvlJc w:val="left"/>
      <w:pPr>
        <w:ind w:left="2842" w:hanging="269"/>
      </w:pPr>
      <w:rPr>
        <w:rFonts w:hint="default"/>
      </w:rPr>
    </w:lvl>
    <w:lvl w:ilvl="4" w:tplc="B9F45302">
      <w:numFmt w:val="bullet"/>
      <w:lvlText w:val="•"/>
      <w:lvlJc w:val="left"/>
      <w:pPr>
        <w:ind w:left="3756" w:hanging="269"/>
      </w:pPr>
      <w:rPr>
        <w:rFonts w:hint="default"/>
      </w:rPr>
    </w:lvl>
    <w:lvl w:ilvl="5" w:tplc="C708077E">
      <w:numFmt w:val="bullet"/>
      <w:lvlText w:val="•"/>
      <w:lvlJc w:val="left"/>
      <w:pPr>
        <w:ind w:left="4670" w:hanging="269"/>
      </w:pPr>
      <w:rPr>
        <w:rFonts w:hint="default"/>
      </w:rPr>
    </w:lvl>
    <w:lvl w:ilvl="6" w:tplc="A9BAB21C">
      <w:numFmt w:val="bullet"/>
      <w:lvlText w:val="•"/>
      <w:lvlJc w:val="left"/>
      <w:pPr>
        <w:ind w:left="5584" w:hanging="269"/>
      </w:pPr>
      <w:rPr>
        <w:rFonts w:hint="default"/>
      </w:rPr>
    </w:lvl>
    <w:lvl w:ilvl="7" w:tplc="88A0FB00">
      <w:numFmt w:val="bullet"/>
      <w:lvlText w:val="•"/>
      <w:lvlJc w:val="left"/>
      <w:pPr>
        <w:ind w:left="6498" w:hanging="269"/>
      </w:pPr>
      <w:rPr>
        <w:rFonts w:hint="default"/>
      </w:rPr>
    </w:lvl>
    <w:lvl w:ilvl="8" w:tplc="F7D666D0">
      <w:numFmt w:val="bullet"/>
      <w:lvlText w:val="•"/>
      <w:lvlJc w:val="left"/>
      <w:pPr>
        <w:ind w:left="7412" w:hanging="269"/>
      </w:pPr>
      <w:rPr>
        <w:rFonts w:hint="default"/>
      </w:rPr>
    </w:lvl>
  </w:abstractNum>
  <w:abstractNum w:abstractNumId="1" w15:restartNumberingAfterBreak="0">
    <w:nsid w:val="2A1F2C1B"/>
    <w:multiLevelType w:val="hybridMultilevel"/>
    <w:tmpl w:val="A5DC80EC"/>
    <w:lvl w:ilvl="0" w:tplc="6EE84610">
      <w:start w:val="1"/>
      <w:numFmt w:val="lowerLetter"/>
      <w:lvlText w:val="%1)"/>
      <w:lvlJc w:val="left"/>
      <w:pPr>
        <w:ind w:left="4330" w:hanging="4080"/>
        <w:jc w:val="left"/>
      </w:pPr>
      <w:rPr>
        <w:rFonts w:ascii="Times New Roman" w:eastAsia="Times New Roman" w:hAnsi="Times New Roman" w:cs="Times New Roman" w:hint="default"/>
        <w:spacing w:val="-2"/>
        <w:w w:val="100"/>
        <w:sz w:val="22"/>
        <w:szCs w:val="22"/>
      </w:rPr>
    </w:lvl>
    <w:lvl w:ilvl="1" w:tplc="274CFB44">
      <w:numFmt w:val="bullet"/>
      <w:lvlText w:val="•"/>
      <w:lvlJc w:val="left"/>
      <w:pPr>
        <w:ind w:left="4340" w:hanging="4080"/>
      </w:pPr>
      <w:rPr>
        <w:rFonts w:hint="default"/>
      </w:rPr>
    </w:lvl>
    <w:lvl w:ilvl="2" w:tplc="F8EE590A">
      <w:numFmt w:val="bullet"/>
      <w:lvlText w:val="•"/>
      <w:lvlJc w:val="left"/>
      <w:pPr>
        <w:ind w:left="5035" w:hanging="4080"/>
      </w:pPr>
      <w:rPr>
        <w:rFonts w:hint="default"/>
      </w:rPr>
    </w:lvl>
    <w:lvl w:ilvl="3" w:tplc="6226E7F8">
      <w:numFmt w:val="bullet"/>
      <w:lvlText w:val="•"/>
      <w:lvlJc w:val="left"/>
      <w:pPr>
        <w:ind w:left="5731" w:hanging="4080"/>
      </w:pPr>
      <w:rPr>
        <w:rFonts w:hint="default"/>
      </w:rPr>
    </w:lvl>
    <w:lvl w:ilvl="4" w:tplc="CA2CA184">
      <w:numFmt w:val="bullet"/>
      <w:lvlText w:val="•"/>
      <w:lvlJc w:val="left"/>
      <w:pPr>
        <w:ind w:left="6426" w:hanging="4080"/>
      </w:pPr>
      <w:rPr>
        <w:rFonts w:hint="default"/>
      </w:rPr>
    </w:lvl>
    <w:lvl w:ilvl="5" w:tplc="B17C8480">
      <w:numFmt w:val="bullet"/>
      <w:lvlText w:val="•"/>
      <w:lvlJc w:val="left"/>
      <w:pPr>
        <w:ind w:left="7122" w:hanging="4080"/>
      </w:pPr>
      <w:rPr>
        <w:rFonts w:hint="default"/>
      </w:rPr>
    </w:lvl>
    <w:lvl w:ilvl="6" w:tplc="821ABD20">
      <w:numFmt w:val="bullet"/>
      <w:lvlText w:val="•"/>
      <w:lvlJc w:val="left"/>
      <w:pPr>
        <w:ind w:left="7817" w:hanging="4080"/>
      </w:pPr>
      <w:rPr>
        <w:rFonts w:hint="default"/>
      </w:rPr>
    </w:lvl>
    <w:lvl w:ilvl="7" w:tplc="F15A8EAC">
      <w:numFmt w:val="bullet"/>
      <w:lvlText w:val="•"/>
      <w:lvlJc w:val="left"/>
      <w:pPr>
        <w:ind w:left="8513" w:hanging="4080"/>
      </w:pPr>
      <w:rPr>
        <w:rFonts w:hint="default"/>
      </w:rPr>
    </w:lvl>
    <w:lvl w:ilvl="8" w:tplc="C97EA188">
      <w:numFmt w:val="bullet"/>
      <w:lvlText w:val="•"/>
      <w:lvlJc w:val="left"/>
      <w:pPr>
        <w:ind w:left="9208" w:hanging="4080"/>
      </w:pPr>
      <w:rPr>
        <w:rFonts w:hint="default"/>
      </w:rPr>
    </w:lvl>
  </w:abstractNum>
  <w:abstractNum w:abstractNumId="2" w15:restartNumberingAfterBreak="0">
    <w:nsid w:val="325A65C9"/>
    <w:multiLevelType w:val="multilevel"/>
    <w:tmpl w:val="1FC04C36"/>
    <w:lvl w:ilvl="0">
      <w:start w:val="63"/>
      <w:numFmt w:val="decimal"/>
      <w:lvlText w:val="%1"/>
      <w:lvlJc w:val="left"/>
      <w:pPr>
        <w:ind w:left="140" w:hanging="610"/>
        <w:jc w:val="left"/>
      </w:pPr>
      <w:rPr>
        <w:rFonts w:hint="default"/>
      </w:rPr>
    </w:lvl>
    <w:lvl w:ilvl="1">
      <w:start w:val="88"/>
      <w:numFmt w:val="decimal"/>
      <w:lvlText w:val="%1.%2"/>
      <w:lvlJc w:val="left"/>
      <w:pPr>
        <w:ind w:left="140" w:hanging="610"/>
        <w:jc w:val="left"/>
      </w:pPr>
      <w:rPr>
        <w:rFonts w:ascii="Times New Roman" w:eastAsia="Times New Roman" w:hAnsi="Times New Roman" w:cs="Times New Roman" w:hint="default"/>
        <w:w w:val="100"/>
        <w:sz w:val="24"/>
        <w:szCs w:val="24"/>
      </w:rPr>
    </w:lvl>
    <w:lvl w:ilvl="2">
      <w:start w:val="1"/>
      <w:numFmt w:val="lowerLetter"/>
      <w:lvlText w:val="%3)"/>
      <w:lvlJc w:val="left"/>
      <w:pPr>
        <w:ind w:left="2344" w:hanging="1797"/>
        <w:jc w:val="right"/>
      </w:pPr>
      <w:rPr>
        <w:rFonts w:hint="default"/>
        <w:spacing w:val="-2"/>
        <w:w w:val="100"/>
        <w:position w:val="2"/>
      </w:rPr>
    </w:lvl>
    <w:lvl w:ilvl="3">
      <w:numFmt w:val="bullet"/>
      <w:lvlText w:val="•"/>
      <w:lvlJc w:val="left"/>
      <w:pPr>
        <w:ind w:left="4175" w:hanging="1797"/>
      </w:pPr>
      <w:rPr>
        <w:rFonts w:hint="default"/>
      </w:rPr>
    </w:lvl>
    <w:lvl w:ilvl="4">
      <w:numFmt w:val="bullet"/>
      <w:lvlText w:val="•"/>
      <w:lvlJc w:val="left"/>
      <w:pPr>
        <w:ind w:left="5093" w:hanging="1797"/>
      </w:pPr>
      <w:rPr>
        <w:rFonts w:hint="default"/>
      </w:rPr>
    </w:lvl>
    <w:lvl w:ilvl="5">
      <w:numFmt w:val="bullet"/>
      <w:lvlText w:val="•"/>
      <w:lvlJc w:val="left"/>
      <w:pPr>
        <w:ind w:left="6011" w:hanging="1797"/>
      </w:pPr>
      <w:rPr>
        <w:rFonts w:hint="default"/>
      </w:rPr>
    </w:lvl>
    <w:lvl w:ilvl="6">
      <w:numFmt w:val="bullet"/>
      <w:lvlText w:val="•"/>
      <w:lvlJc w:val="left"/>
      <w:pPr>
        <w:ind w:left="6928" w:hanging="1797"/>
      </w:pPr>
      <w:rPr>
        <w:rFonts w:hint="default"/>
      </w:rPr>
    </w:lvl>
    <w:lvl w:ilvl="7">
      <w:numFmt w:val="bullet"/>
      <w:lvlText w:val="•"/>
      <w:lvlJc w:val="left"/>
      <w:pPr>
        <w:ind w:left="7846" w:hanging="1797"/>
      </w:pPr>
      <w:rPr>
        <w:rFonts w:hint="default"/>
      </w:rPr>
    </w:lvl>
    <w:lvl w:ilvl="8">
      <w:numFmt w:val="bullet"/>
      <w:lvlText w:val="•"/>
      <w:lvlJc w:val="left"/>
      <w:pPr>
        <w:ind w:left="8764" w:hanging="1797"/>
      </w:pPr>
      <w:rPr>
        <w:rFonts w:hint="default"/>
      </w:rPr>
    </w:lvl>
  </w:abstractNum>
  <w:abstractNum w:abstractNumId="3" w15:restartNumberingAfterBreak="0">
    <w:nsid w:val="605E429B"/>
    <w:multiLevelType w:val="hybridMultilevel"/>
    <w:tmpl w:val="0F8CE22A"/>
    <w:lvl w:ilvl="0" w:tplc="191C9314">
      <w:start w:val="1"/>
      <w:numFmt w:val="decimal"/>
      <w:lvlText w:val="(%1)"/>
      <w:lvlJc w:val="left"/>
      <w:pPr>
        <w:ind w:left="100" w:hanging="336"/>
        <w:jc w:val="left"/>
      </w:pPr>
      <w:rPr>
        <w:rFonts w:ascii="Times New Roman" w:eastAsia="Times New Roman" w:hAnsi="Times New Roman" w:cs="Times New Roman" w:hint="default"/>
        <w:spacing w:val="0"/>
        <w:w w:val="100"/>
        <w:sz w:val="24"/>
        <w:szCs w:val="24"/>
      </w:rPr>
    </w:lvl>
    <w:lvl w:ilvl="1" w:tplc="0F9884DE">
      <w:numFmt w:val="bullet"/>
      <w:lvlText w:val="•"/>
      <w:lvlJc w:val="left"/>
      <w:pPr>
        <w:ind w:left="1014" w:hanging="336"/>
      </w:pPr>
      <w:rPr>
        <w:rFonts w:hint="default"/>
      </w:rPr>
    </w:lvl>
    <w:lvl w:ilvl="2" w:tplc="9A86B0A6">
      <w:numFmt w:val="bullet"/>
      <w:lvlText w:val="•"/>
      <w:lvlJc w:val="left"/>
      <w:pPr>
        <w:ind w:left="1928" w:hanging="336"/>
      </w:pPr>
      <w:rPr>
        <w:rFonts w:hint="default"/>
      </w:rPr>
    </w:lvl>
    <w:lvl w:ilvl="3" w:tplc="5D1085AA">
      <w:numFmt w:val="bullet"/>
      <w:lvlText w:val="•"/>
      <w:lvlJc w:val="left"/>
      <w:pPr>
        <w:ind w:left="2842" w:hanging="336"/>
      </w:pPr>
      <w:rPr>
        <w:rFonts w:hint="default"/>
      </w:rPr>
    </w:lvl>
    <w:lvl w:ilvl="4" w:tplc="3B3E2392">
      <w:numFmt w:val="bullet"/>
      <w:lvlText w:val="•"/>
      <w:lvlJc w:val="left"/>
      <w:pPr>
        <w:ind w:left="3756" w:hanging="336"/>
      </w:pPr>
      <w:rPr>
        <w:rFonts w:hint="default"/>
      </w:rPr>
    </w:lvl>
    <w:lvl w:ilvl="5" w:tplc="F12482E6">
      <w:numFmt w:val="bullet"/>
      <w:lvlText w:val="•"/>
      <w:lvlJc w:val="left"/>
      <w:pPr>
        <w:ind w:left="4670" w:hanging="336"/>
      </w:pPr>
      <w:rPr>
        <w:rFonts w:hint="default"/>
      </w:rPr>
    </w:lvl>
    <w:lvl w:ilvl="6" w:tplc="46A20EEE">
      <w:numFmt w:val="bullet"/>
      <w:lvlText w:val="•"/>
      <w:lvlJc w:val="left"/>
      <w:pPr>
        <w:ind w:left="5584" w:hanging="336"/>
      </w:pPr>
      <w:rPr>
        <w:rFonts w:hint="default"/>
      </w:rPr>
    </w:lvl>
    <w:lvl w:ilvl="7" w:tplc="26C6E554">
      <w:numFmt w:val="bullet"/>
      <w:lvlText w:val="•"/>
      <w:lvlJc w:val="left"/>
      <w:pPr>
        <w:ind w:left="6498" w:hanging="336"/>
      </w:pPr>
      <w:rPr>
        <w:rFonts w:hint="default"/>
      </w:rPr>
    </w:lvl>
    <w:lvl w:ilvl="8" w:tplc="8774E80E">
      <w:numFmt w:val="bullet"/>
      <w:lvlText w:val="•"/>
      <w:lvlJc w:val="left"/>
      <w:pPr>
        <w:ind w:left="7412" w:hanging="336"/>
      </w:pPr>
      <w:rPr>
        <w:rFonts w:hint="default"/>
      </w:rPr>
    </w:lvl>
  </w:abstractNum>
  <w:num w:numId="1" w16cid:durableId="602764033">
    <w:abstractNumId w:val="3"/>
  </w:num>
  <w:num w:numId="2" w16cid:durableId="1001202299">
    <w:abstractNumId w:val="2"/>
  </w:num>
  <w:num w:numId="3" w16cid:durableId="1736901345">
    <w:abstractNumId w:val="1"/>
  </w:num>
  <w:num w:numId="4" w16cid:durableId="1896238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903"/>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C75312"/>
    <w:rsid w:val="002C3022"/>
    <w:rsid w:val="00BB293A"/>
    <w:rsid w:val="00C7531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903"/>
    <o:shapelayout v:ext="edit">
      <o:idmap v:ext="edit" data="2"/>
    </o:shapelayout>
  </w:shapeDefaults>
  <w:decimalSymbol w:val="."/>
  <w:listSeparator w:val=","/>
  <w14:docId w14:val="2A1530C6"/>
  <w15:docId w15:val="{4A59F06E-0E87-4D38-9E9E-21A76B1F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7"/>
      <w:ind w:left="820"/>
    </w:pPr>
    <w:rPr>
      <w:b/>
      <w:bCs/>
      <w:sz w:val="24"/>
      <w:szCs w:val="24"/>
    </w:rPr>
  </w:style>
  <w:style w:type="paragraph" w:styleId="TOC2">
    <w:name w:val="toc 2"/>
    <w:basedOn w:val="Normal"/>
    <w:uiPriority w:val="1"/>
    <w:qFormat/>
    <w:pPr>
      <w:spacing w:before="137"/>
      <w:ind w:left="1040"/>
    </w:pPr>
    <w:rPr>
      <w:sz w:val="24"/>
      <w:szCs w:val="24"/>
    </w:rPr>
  </w:style>
  <w:style w:type="paragraph" w:styleId="TOC3">
    <w:name w:val="toc 3"/>
    <w:basedOn w:val="Normal"/>
    <w:uiPriority w:val="1"/>
    <w:qFormat/>
    <w:pPr>
      <w:spacing w:before="121"/>
      <w:ind w:left="1040"/>
    </w:pPr>
    <w:rPr>
      <w:sz w:val="19"/>
      <w:szCs w:val="19"/>
    </w:rPr>
  </w:style>
  <w:style w:type="paragraph" w:styleId="TOC4">
    <w:name w:val="toc 4"/>
    <w:basedOn w:val="Normal"/>
    <w:uiPriority w:val="1"/>
    <w:qFormat/>
    <w:pPr>
      <w:spacing w:before="137"/>
      <w:ind w:left="1040"/>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eader" Target="header11.xml"/><Relationship Id="rId39" Type="http://schemas.openxmlformats.org/officeDocument/2006/relationships/image" Target="media/image15.png"/><Relationship Id="rId21" Type="http://schemas.openxmlformats.org/officeDocument/2006/relationships/header" Target="header8.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header" Target="header16.xml"/><Relationship Id="rId55" Type="http://schemas.openxmlformats.org/officeDocument/2006/relationships/header" Target="header20.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header" Target="header13.xml"/><Relationship Id="rId41" Type="http://schemas.openxmlformats.org/officeDocument/2006/relationships/image" Target="media/image17.png"/><Relationship Id="rId54"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ent.ac.uk/guides/kar-the-kent-academic-repository" TargetMode="Externa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jpeg"/><Relationship Id="rId53" Type="http://schemas.openxmlformats.org/officeDocument/2006/relationships/header" Target="header18.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hyperlink" Target="https://www.kent.ac.uk/guides/kar-the-kent-academic-repository" TargetMode="External"/><Relationship Id="rId19" Type="http://schemas.openxmlformats.org/officeDocument/2006/relationships/header" Target="header7.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yperlink" Target="mailto:ResearchSupport@kent.ac.uk"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12.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hyperlink" Target="http://www.jstor.org/stable/4121953" TargetMode="External"/><Relationship Id="rId8" Type="http://schemas.openxmlformats.org/officeDocument/2006/relationships/hyperlink" Target="https://kar.kent.ac.uk/66668/" TargetMode="External"/><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232</Pages>
  <Words>65258</Words>
  <Characters>371973</Characters>
  <Application>Microsoft Office Word</Application>
  <DocSecurity>0</DocSecurity>
  <Lines>3099</Lines>
  <Paragraphs>872</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436359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Suzanne Duffy</cp:lastModifiedBy>
  <cp:revision>2</cp:revision>
  <dcterms:created xsi:type="dcterms:W3CDTF">2023-11-22T08:49:00Z</dcterms:created>
  <dcterms:modified xsi:type="dcterms:W3CDTF">2023-11-22T10:09:00Z</dcterms:modified>
</cp:coreProperties>
</file>