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6A17B" w14:textId="5814D7C2" w:rsidR="00442E7C" w:rsidRPr="005E11E3" w:rsidRDefault="00442E7C" w:rsidP="00ED02AB">
      <w:pPr>
        <w:ind w:firstLineChars="0" w:firstLine="0"/>
        <w:jc w:val="center"/>
        <w:rPr>
          <w:rFonts w:cs="Times New Roman"/>
          <w:b/>
          <w:szCs w:val="24"/>
          <w:lang w:val="en-GB"/>
        </w:rPr>
      </w:pPr>
      <w:bookmarkStart w:id="0" w:name="_Toc491851501"/>
      <w:bookmarkStart w:id="1" w:name="_Toc491700340"/>
      <w:bookmarkStart w:id="2" w:name="_Toc491701474"/>
      <w:bookmarkStart w:id="3" w:name="_Toc491851506"/>
      <w:bookmarkStart w:id="4" w:name="_Toc491851525"/>
      <w:r w:rsidRPr="005E11E3">
        <w:rPr>
          <w:rFonts w:cs="Times New Roman"/>
          <w:b/>
          <w:szCs w:val="24"/>
          <w:lang w:val="en-GB"/>
        </w:rPr>
        <w:t>The Performance of Bidding Comp</w:t>
      </w:r>
      <w:r w:rsidR="00ED02AB" w:rsidRPr="005E11E3">
        <w:rPr>
          <w:rFonts w:cs="Times New Roman"/>
          <w:b/>
          <w:szCs w:val="24"/>
          <w:lang w:val="en-GB"/>
        </w:rPr>
        <w:t xml:space="preserve">anies in Merger and Acquisition </w:t>
      </w:r>
      <w:r w:rsidRPr="005E11E3">
        <w:rPr>
          <w:rFonts w:cs="Times New Roman"/>
          <w:b/>
          <w:szCs w:val="24"/>
          <w:lang w:val="en-GB"/>
        </w:rPr>
        <w:t>Deals: An Empirical</w:t>
      </w:r>
      <w:r w:rsidR="00ED02AB" w:rsidRPr="005E11E3">
        <w:rPr>
          <w:rFonts w:cs="Times New Roman"/>
          <w:b/>
          <w:szCs w:val="24"/>
          <w:lang w:val="en-GB"/>
        </w:rPr>
        <w:t xml:space="preserve"> </w:t>
      </w:r>
      <w:r w:rsidRPr="005E11E3">
        <w:rPr>
          <w:rFonts w:cs="Times New Roman"/>
          <w:b/>
          <w:szCs w:val="24"/>
          <w:lang w:val="en-GB"/>
        </w:rPr>
        <w:t xml:space="preserve">Study of Domestic Acquisitions in Hong Kong and </w:t>
      </w:r>
      <w:r w:rsidR="003B4695" w:rsidRPr="005E11E3">
        <w:rPr>
          <w:rFonts w:cs="Times New Roman"/>
          <w:b/>
          <w:szCs w:val="24"/>
          <w:lang w:val="en-GB"/>
        </w:rPr>
        <w:t xml:space="preserve">Mainland </w:t>
      </w:r>
      <w:r w:rsidRPr="005E11E3">
        <w:rPr>
          <w:rFonts w:cs="Times New Roman"/>
          <w:b/>
          <w:szCs w:val="24"/>
          <w:lang w:val="en-GB"/>
        </w:rPr>
        <w:t xml:space="preserve">China </w:t>
      </w:r>
    </w:p>
    <w:p w14:paraId="70DF59CF" w14:textId="77777777" w:rsidR="00B755E6" w:rsidRPr="00813F61" w:rsidRDefault="00442E7C" w:rsidP="00813F61">
      <w:pPr>
        <w:ind w:firstLineChars="0" w:firstLine="0"/>
        <w:jc w:val="center"/>
        <w:rPr>
          <w:rFonts w:cs="Times New Roman"/>
          <w:b/>
          <w:szCs w:val="24"/>
          <w:lang w:val="en-GB"/>
        </w:rPr>
      </w:pPr>
      <w:r w:rsidRPr="00813F61">
        <w:rPr>
          <w:rFonts w:cs="Times New Roman"/>
          <w:b/>
          <w:szCs w:val="24"/>
          <w:lang w:val="en-GB"/>
        </w:rPr>
        <w:t>Abstract</w:t>
      </w:r>
      <w:bookmarkEnd w:id="0"/>
    </w:p>
    <w:p w14:paraId="724F7100" w14:textId="651EAB59" w:rsidR="005E11E3" w:rsidRDefault="000A0CA7" w:rsidP="002A435D">
      <w:pPr>
        <w:spacing w:beforeLines="100" w:before="240" w:afterLines="100" w:after="240"/>
        <w:ind w:firstLineChars="0" w:firstLine="0"/>
        <w:outlineLvl w:val="0"/>
        <w:rPr>
          <w:rFonts w:cs="Times New Roman"/>
          <w:szCs w:val="24"/>
          <w:lang w:val="en-GB"/>
        </w:rPr>
      </w:pPr>
      <w:r w:rsidRPr="002B7B0F">
        <w:rPr>
          <w:lang w:val="en-GB"/>
        </w:rPr>
        <w:t xml:space="preserve">This </w:t>
      </w:r>
      <w:r w:rsidR="002A435D">
        <w:rPr>
          <w:lang w:val="en-GB"/>
        </w:rPr>
        <w:t>paper</w:t>
      </w:r>
      <w:r w:rsidRPr="002B7B0F">
        <w:rPr>
          <w:lang w:val="en-GB"/>
        </w:rPr>
        <w:t xml:space="preserve"> </w:t>
      </w:r>
      <w:r w:rsidR="002A435D">
        <w:rPr>
          <w:lang w:val="en-GB"/>
        </w:rPr>
        <w:t>examined</w:t>
      </w:r>
      <w:r w:rsidR="00442E7C" w:rsidRPr="002B7B0F">
        <w:rPr>
          <w:lang w:val="en-GB"/>
        </w:rPr>
        <w:t xml:space="preserve"> </w:t>
      </w:r>
      <w:r w:rsidR="003B4695" w:rsidRPr="002B7B0F">
        <w:rPr>
          <w:lang w:val="en-GB"/>
        </w:rPr>
        <w:t xml:space="preserve">the </w:t>
      </w:r>
      <w:r w:rsidR="00442E7C" w:rsidRPr="002B7B0F">
        <w:rPr>
          <w:lang w:val="en-GB"/>
        </w:rPr>
        <w:t>short-ter</w:t>
      </w:r>
      <w:r w:rsidR="00214B6C" w:rsidRPr="002B7B0F">
        <w:rPr>
          <w:lang w:val="en-GB"/>
        </w:rPr>
        <w:t>m market responses of Hong Kong</w:t>
      </w:r>
      <w:r w:rsidR="00442E7C" w:rsidRPr="002B7B0F">
        <w:rPr>
          <w:lang w:val="en-GB"/>
        </w:rPr>
        <w:t xml:space="preserve"> domestic acquisi</w:t>
      </w:r>
      <w:r w:rsidRPr="002B7B0F">
        <w:rPr>
          <w:lang w:val="en-GB"/>
        </w:rPr>
        <w:t xml:space="preserve">tions by </w:t>
      </w:r>
      <w:r w:rsidR="008215EC" w:rsidRPr="002B7B0F">
        <w:rPr>
          <w:lang w:val="en-GB"/>
        </w:rPr>
        <w:t>separating target companies into</w:t>
      </w:r>
      <w:r w:rsidRPr="002B7B0F">
        <w:rPr>
          <w:lang w:val="en-GB"/>
        </w:rPr>
        <w:t xml:space="preserve"> two samples</w:t>
      </w:r>
      <w:r w:rsidR="00442E7C" w:rsidRPr="002B7B0F">
        <w:rPr>
          <w:lang w:val="en-GB"/>
        </w:rPr>
        <w:t xml:space="preserve">: Hong Kong targets and </w:t>
      </w:r>
      <w:r w:rsidR="003B4695" w:rsidRPr="002B7B0F">
        <w:rPr>
          <w:lang w:val="en-GB"/>
        </w:rPr>
        <w:t xml:space="preserve">Mainland </w:t>
      </w:r>
      <w:r w:rsidR="00442E7C" w:rsidRPr="002B7B0F">
        <w:rPr>
          <w:lang w:val="en-GB"/>
        </w:rPr>
        <w:t>China targets</w:t>
      </w:r>
      <w:r w:rsidR="002A435D">
        <w:rPr>
          <w:lang w:val="en-GB"/>
        </w:rPr>
        <w:t xml:space="preserve"> from period of 2012-2016</w:t>
      </w:r>
      <w:r w:rsidR="00442E7C" w:rsidRPr="002B7B0F">
        <w:rPr>
          <w:lang w:val="en-GB"/>
        </w:rPr>
        <w:t xml:space="preserve">. </w:t>
      </w:r>
      <w:r w:rsidR="002A435D">
        <w:rPr>
          <w:lang w:val="en-GB"/>
        </w:rPr>
        <w:t>W</w:t>
      </w:r>
      <w:r w:rsidR="00442E7C" w:rsidRPr="002B7B0F">
        <w:rPr>
          <w:rFonts w:cs="Times New Roman"/>
          <w:szCs w:val="24"/>
          <w:lang w:val="en-GB"/>
        </w:rPr>
        <w:t xml:space="preserve">e </w:t>
      </w:r>
      <w:r w:rsidR="002A435D">
        <w:rPr>
          <w:rFonts w:cs="Times New Roman"/>
          <w:szCs w:val="24"/>
          <w:lang w:val="en-GB"/>
        </w:rPr>
        <w:t xml:space="preserve">have </w:t>
      </w:r>
      <w:r w:rsidR="00442E7C" w:rsidRPr="002B7B0F">
        <w:rPr>
          <w:rFonts w:cs="Times New Roman"/>
          <w:szCs w:val="24"/>
          <w:lang w:val="en-GB"/>
        </w:rPr>
        <w:t>use</w:t>
      </w:r>
      <w:r w:rsidR="002A435D">
        <w:rPr>
          <w:rFonts w:cs="Times New Roman"/>
          <w:szCs w:val="24"/>
          <w:lang w:val="en-GB"/>
        </w:rPr>
        <w:t>d</w:t>
      </w:r>
      <w:r w:rsidR="00442E7C" w:rsidRPr="002B7B0F">
        <w:rPr>
          <w:rFonts w:cs="Times New Roman"/>
          <w:szCs w:val="24"/>
          <w:lang w:val="en-GB"/>
        </w:rPr>
        <w:t xml:space="preserve"> </w:t>
      </w:r>
      <w:r w:rsidR="00EB32C9">
        <w:rPr>
          <w:rFonts w:cs="Times New Roman"/>
          <w:szCs w:val="24"/>
          <w:lang w:val="en-GB"/>
        </w:rPr>
        <w:t xml:space="preserve">asset pricing models </w:t>
      </w:r>
      <w:r w:rsidR="00442E7C" w:rsidRPr="002B7B0F">
        <w:rPr>
          <w:rFonts w:cs="Times New Roman"/>
          <w:szCs w:val="24"/>
          <w:lang w:val="en-GB"/>
        </w:rPr>
        <w:t xml:space="preserve">to estimate the market reaction to the acquisition announcement. </w:t>
      </w:r>
      <w:r w:rsidR="002A435D">
        <w:rPr>
          <w:rFonts w:cs="Times New Roman"/>
          <w:szCs w:val="24"/>
          <w:lang w:val="en-GB"/>
        </w:rPr>
        <w:t xml:space="preserve">We have also analysed the </w:t>
      </w:r>
      <w:r w:rsidR="003B4695" w:rsidRPr="002B7B0F">
        <w:rPr>
          <w:rFonts w:cs="Times New Roman"/>
          <w:szCs w:val="24"/>
          <w:lang w:val="en-GB"/>
        </w:rPr>
        <w:t xml:space="preserve">impact of </w:t>
      </w:r>
      <w:r w:rsidR="00442E7C" w:rsidRPr="002B7B0F">
        <w:rPr>
          <w:rFonts w:cs="Times New Roman"/>
          <w:szCs w:val="24"/>
          <w:lang w:val="en-GB"/>
        </w:rPr>
        <w:t xml:space="preserve">several bid and firm characteristics on bidders’ </w:t>
      </w:r>
      <w:r w:rsidR="00A9064E" w:rsidRPr="002B7B0F">
        <w:rPr>
          <w:rFonts w:cs="Times New Roman"/>
          <w:szCs w:val="24"/>
          <w:lang w:val="en-GB"/>
        </w:rPr>
        <w:t xml:space="preserve">short-term </w:t>
      </w:r>
      <w:r w:rsidR="00442E7C" w:rsidRPr="002B7B0F">
        <w:rPr>
          <w:rFonts w:cs="Times New Roman"/>
          <w:szCs w:val="24"/>
          <w:lang w:val="en-GB"/>
        </w:rPr>
        <w:t>operating performance</w:t>
      </w:r>
      <w:r w:rsidRPr="002B7B0F">
        <w:rPr>
          <w:rFonts w:cs="Times New Roman"/>
          <w:szCs w:val="24"/>
          <w:lang w:val="en-GB"/>
        </w:rPr>
        <w:t>s</w:t>
      </w:r>
      <w:r w:rsidR="00442E7C" w:rsidRPr="002B7B0F">
        <w:rPr>
          <w:rFonts w:cs="Times New Roman"/>
          <w:szCs w:val="24"/>
          <w:lang w:val="en-GB"/>
        </w:rPr>
        <w:t xml:space="preserve">. </w:t>
      </w:r>
      <w:r w:rsidR="002A435D">
        <w:rPr>
          <w:rFonts w:cs="Times New Roman"/>
          <w:szCs w:val="24"/>
          <w:lang w:val="en-GB"/>
        </w:rPr>
        <w:t>Our findings suggest that</w:t>
      </w:r>
      <w:r w:rsidR="005205BD" w:rsidRPr="002B7B0F">
        <w:rPr>
          <w:rFonts w:cs="Times New Roman"/>
          <w:szCs w:val="24"/>
          <w:lang w:val="en-GB"/>
        </w:rPr>
        <w:t>: (i) acquisition events</w:t>
      </w:r>
      <w:r w:rsidR="00442E7C" w:rsidRPr="002B7B0F">
        <w:rPr>
          <w:rFonts w:cs="Times New Roman"/>
          <w:szCs w:val="24"/>
          <w:lang w:val="en-GB"/>
        </w:rPr>
        <w:t xml:space="preserve"> in both </w:t>
      </w:r>
      <w:r w:rsidRPr="002B7B0F">
        <w:rPr>
          <w:rFonts w:cs="Times New Roman"/>
          <w:szCs w:val="24"/>
          <w:lang w:val="en-GB"/>
        </w:rPr>
        <w:t xml:space="preserve">target </w:t>
      </w:r>
      <w:r w:rsidR="00442E7C" w:rsidRPr="002B7B0F">
        <w:rPr>
          <w:rFonts w:cs="Times New Roman"/>
          <w:szCs w:val="24"/>
          <w:lang w:val="en-GB"/>
        </w:rPr>
        <w:t xml:space="preserve">markets, bidders earn significant positive abnormal returns </w:t>
      </w:r>
      <w:r w:rsidRPr="002B7B0F">
        <w:rPr>
          <w:rFonts w:cs="Times New Roman"/>
          <w:szCs w:val="24"/>
          <w:lang w:val="en-GB"/>
        </w:rPr>
        <w:t>but</w:t>
      </w:r>
      <w:r w:rsidR="00442E7C" w:rsidRPr="002B7B0F">
        <w:rPr>
          <w:rFonts w:cs="Times New Roman"/>
          <w:szCs w:val="24"/>
          <w:lang w:val="en-GB"/>
        </w:rPr>
        <w:t xml:space="preserve"> market response</w:t>
      </w:r>
      <w:r w:rsidRPr="002B7B0F">
        <w:rPr>
          <w:rFonts w:cs="Times New Roman"/>
          <w:szCs w:val="24"/>
          <w:lang w:val="en-GB"/>
        </w:rPr>
        <w:t>s</w:t>
      </w:r>
      <w:r w:rsidR="00442E7C" w:rsidRPr="002B7B0F">
        <w:rPr>
          <w:rFonts w:cs="Times New Roman"/>
          <w:szCs w:val="24"/>
          <w:lang w:val="en-GB"/>
        </w:rPr>
        <w:t xml:space="preserve"> of </w:t>
      </w:r>
      <w:r w:rsidR="00185CE4" w:rsidRPr="002B7B0F">
        <w:rPr>
          <w:rFonts w:cs="Times New Roman"/>
          <w:szCs w:val="24"/>
          <w:lang w:val="en-GB"/>
        </w:rPr>
        <w:t xml:space="preserve">Mainland </w:t>
      </w:r>
      <w:r w:rsidR="00442E7C" w:rsidRPr="002B7B0F">
        <w:rPr>
          <w:rFonts w:cs="Times New Roman"/>
          <w:szCs w:val="24"/>
          <w:lang w:val="en-GB"/>
        </w:rPr>
        <w:t xml:space="preserve">China target acquirers </w:t>
      </w:r>
      <w:r w:rsidRPr="002B7B0F">
        <w:rPr>
          <w:rFonts w:cs="Times New Roman"/>
          <w:szCs w:val="24"/>
          <w:lang w:val="en-GB"/>
        </w:rPr>
        <w:t>are</w:t>
      </w:r>
      <w:r w:rsidR="00442E7C" w:rsidRPr="002B7B0F">
        <w:rPr>
          <w:rFonts w:cs="Times New Roman"/>
          <w:szCs w:val="24"/>
          <w:lang w:val="en-GB"/>
        </w:rPr>
        <w:t xml:space="preserve"> much better. There is an inverse relationship between bidders’ post-acqu</w:t>
      </w:r>
      <w:r w:rsidR="00DD313A" w:rsidRPr="002B7B0F">
        <w:rPr>
          <w:rFonts w:cs="Times New Roman"/>
          <w:szCs w:val="24"/>
          <w:lang w:val="en-GB"/>
        </w:rPr>
        <w:t>isition abnormal returns and</w:t>
      </w:r>
      <w:r w:rsidR="00442E7C" w:rsidRPr="002B7B0F">
        <w:rPr>
          <w:rFonts w:cs="Times New Roman"/>
          <w:szCs w:val="24"/>
          <w:lang w:val="en-GB"/>
        </w:rPr>
        <w:t xml:space="preserve"> </w:t>
      </w:r>
      <w:r w:rsidR="00185CE4" w:rsidRPr="002B7B0F">
        <w:rPr>
          <w:rFonts w:cs="Times New Roman"/>
          <w:szCs w:val="24"/>
          <w:lang w:val="en-GB"/>
        </w:rPr>
        <w:t xml:space="preserve">the </w:t>
      </w:r>
      <w:r w:rsidR="00442E7C" w:rsidRPr="002B7B0F">
        <w:rPr>
          <w:rFonts w:cs="Times New Roman"/>
          <w:szCs w:val="24"/>
          <w:lang w:val="en-GB"/>
        </w:rPr>
        <w:t>level of compe</w:t>
      </w:r>
      <w:r w:rsidR="00DD313A" w:rsidRPr="002B7B0F">
        <w:rPr>
          <w:rFonts w:cs="Times New Roman"/>
          <w:szCs w:val="24"/>
          <w:lang w:val="en-GB"/>
        </w:rPr>
        <w:t>tition in their targets’ market</w:t>
      </w:r>
      <w:r w:rsidR="00A9064E" w:rsidRPr="002B7B0F">
        <w:rPr>
          <w:rFonts w:cs="Times New Roman"/>
          <w:szCs w:val="24"/>
          <w:lang w:val="en-GB"/>
        </w:rPr>
        <w:t>;</w:t>
      </w:r>
      <w:r w:rsidR="00442E7C" w:rsidRPr="002B7B0F">
        <w:rPr>
          <w:rFonts w:cs="Times New Roman"/>
          <w:szCs w:val="24"/>
          <w:lang w:val="en-GB"/>
        </w:rPr>
        <w:t xml:space="preserve"> (ii) companies </w:t>
      </w:r>
      <w:r w:rsidR="00185CE4" w:rsidRPr="002B7B0F">
        <w:rPr>
          <w:rFonts w:cs="Times New Roman"/>
          <w:szCs w:val="24"/>
          <w:lang w:val="en-GB"/>
        </w:rPr>
        <w:t xml:space="preserve">bidding for </w:t>
      </w:r>
      <w:r w:rsidR="00442E7C" w:rsidRPr="002B7B0F">
        <w:rPr>
          <w:rFonts w:cs="Times New Roman"/>
          <w:szCs w:val="24"/>
          <w:lang w:val="en-GB"/>
        </w:rPr>
        <w:t>Hong Kong target</w:t>
      </w:r>
      <w:r w:rsidR="005205BD" w:rsidRPr="002B7B0F">
        <w:rPr>
          <w:rFonts w:cs="Times New Roman"/>
          <w:szCs w:val="24"/>
          <w:lang w:val="en-GB"/>
        </w:rPr>
        <w:t>s</w:t>
      </w:r>
      <w:r w:rsidR="00442E7C" w:rsidRPr="002B7B0F">
        <w:rPr>
          <w:rFonts w:cs="Times New Roman"/>
          <w:szCs w:val="24"/>
          <w:lang w:val="en-GB"/>
        </w:rPr>
        <w:t xml:space="preserve"> obtain higher abnormal return</w:t>
      </w:r>
      <w:r w:rsidR="005205BD" w:rsidRPr="002B7B0F">
        <w:rPr>
          <w:rFonts w:cs="Times New Roman"/>
          <w:szCs w:val="24"/>
          <w:lang w:val="en-GB"/>
        </w:rPr>
        <w:t>s</w:t>
      </w:r>
      <w:r w:rsidR="00442E7C" w:rsidRPr="002B7B0F">
        <w:rPr>
          <w:rFonts w:cs="Times New Roman"/>
          <w:szCs w:val="24"/>
          <w:lang w:val="en-GB"/>
        </w:rPr>
        <w:t xml:space="preserve"> with cash-financing acquisitions, </w:t>
      </w:r>
      <w:r w:rsidR="00185CE4" w:rsidRPr="002B7B0F">
        <w:rPr>
          <w:rFonts w:cs="Times New Roman"/>
          <w:szCs w:val="24"/>
          <w:lang w:val="en-GB"/>
        </w:rPr>
        <w:t xml:space="preserve">large </w:t>
      </w:r>
      <w:r w:rsidR="00442E7C" w:rsidRPr="002B7B0F">
        <w:rPr>
          <w:rFonts w:cs="Times New Roman"/>
          <w:szCs w:val="24"/>
          <w:lang w:val="en-GB"/>
        </w:rPr>
        <w:t>relative size target</w:t>
      </w:r>
      <w:r w:rsidR="00185CE4" w:rsidRPr="002B7B0F">
        <w:rPr>
          <w:rFonts w:cs="Times New Roman"/>
          <w:szCs w:val="24"/>
          <w:lang w:val="en-GB"/>
        </w:rPr>
        <w:t>s</w:t>
      </w:r>
      <w:r w:rsidR="00442E7C" w:rsidRPr="002B7B0F">
        <w:rPr>
          <w:rFonts w:cs="Times New Roman"/>
          <w:szCs w:val="24"/>
          <w:lang w:val="en-GB"/>
        </w:rPr>
        <w:t>, single acquisition</w:t>
      </w:r>
      <w:r w:rsidR="00185CE4" w:rsidRPr="002B7B0F">
        <w:rPr>
          <w:rFonts w:cs="Times New Roman"/>
          <w:szCs w:val="24"/>
          <w:lang w:val="en-GB"/>
        </w:rPr>
        <w:t>s</w:t>
      </w:r>
      <w:r w:rsidR="00442E7C" w:rsidRPr="002B7B0F">
        <w:rPr>
          <w:rFonts w:cs="Times New Roman"/>
          <w:szCs w:val="24"/>
          <w:lang w:val="en-GB"/>
        </w:rPr>
        <w:t>, related acquisitions, small market value, more free cash flows, low leverage and high profitability</w:t>
      </w:r>
      <w:r w:rsidR="00A9064E" w:rsidRPr="002B7B0F">
        <w:rPr>
          <w:rFonts w:cs="Times New Roman"/>
          <w:szCs w:val="24"/>
          <w:lang w:val="en-GB"/>
        </w:rPr>
        <w:t>;</w:t>
      </w:r>
      <w:r w:rsidR="00442E7C" w:rsidRPr="002B7B0F">
        <w:rPr>
          <w:rFonts w:cs="Times New Roman"/>
          <w:szCs w:val="24"/>
          <w:lang w:val="en-GB"/>
        </w:rPr>
        <w:t xml:space="preserve"> (iii) firms </w:t>
      </w:r>
      <w:r w:rsidR="00185CE4" w:rsidRPr="002B7B0F">
        <w:rPr>
          <w:rFonts w:cs="Times New Roman"/>
          <w:szCs w:val="24"/>
          <w:lang w:val="en-GB"/>
        </w:rPr>
        <w:t xml:space="preserve">acquiring Mainland </w:t>
      </w:r>
      <w:r w:rsidR="00442E7C" w:rsidRPr="002B7B0F">
        <w:rPr>
          <w:rFonts w:cs="Times New Roman"/>
          <w:szCs w:val="24"/>
          <w:lang w:val="en-GB"/>
        </w:rPr>
        <w:t>China target</w:t>
      </w:r>
      <w:r w:rsidR="005205BD" w:rsidRPr="002B7B0F">
        <w:rPr>
          <w:rFonts w:cs="Times New Roman"/>
          <w:szCs w:val="24"/>
          <w:lang w:val="en-GB"/>
        </w:rPr>
        <w:t>s</w:t>
      </w:r>
      <w:r w:rsidR="00442E7C" w:rsidRPr="002B7B0F">
        <w:rPr>
          <w:rFonts w:cs="Times New Roman"/>
          <w:szCs w:val="24"/>
          <w:lang w:val="en-GB"/>
        </w:rPr>
        <w:t xml:space="preserve"> benefit more from stock payment takeover events, large relative size target, multiple acquisitions, related acquisitions, large market value, less free cash flows, high leverage and high profitability.</w:t>
      </w:r>
    </w:p>
    <w:p w14:paraId="7AFF674E" w14:textId="77777777" w:rsidR="00813F61" w:rsidRDefault="008A5763" w:rsidP="002A435D">
      <w:pPr>
        <w:ind w:firstLineChars="100"/>
        <w:rPr>
          <w:rFonts w:cs="Times New Roman"/>
          <w:i/>
          <w:sz w:val="20"/>
          <w:szCs w:val="20"/>
          <w:lang w:val="en-GB"/>
        </w:rPr>
      </w:pPr>
      <w:r w:rsidRPr="00813F61">
        <w:rPr>
          <w:rFonts w:cs="Times New Roman"/>
          <w:i/>
          <w:sz w:val="20"/>
          <w:szCs w:val="20"/>
          <w:lang w:val="en-GB"/>
        </w:rPr>
        <w:t xml:space="preserve">Key Words: </w:t>
      </w:r>
      <w:r w:rsidR="007C3554" w:rsidRPr="00813F61">
        <w:rPr>
          <w:rFonts w:cs="Times New Roman"/>
          <w:i/>
          <w:sz w:val="20"/>
          <w:szCs w:val="20"/>
          <w:lang w:val="en-GB"/>
        </w:rPr>
        <w:t>Mergers and Acquisition</w:t>
      </w:r>
      <w:r w:rsidR="00A9064E" w:rsidRPr="00813F61">
        <w:rPr>
          <w:rFonts w:cs="Times New Roman"/>
          <w:i/>
          <w:sz w:val="20"/>
          <w:szCs w:val="20"/>
          <w:lang w:val="en-GB"/>
        </w:rPr>
        <w:t>s</w:t>
      </w:r>
      <w:r w:rsidR="007C3554" w:rsidRPr="00813F61">
        <w:rPr>
          <w:rFonts w:cs="Times New Roman"/>
          <w:i/>
          <w:sz w:val="20"/>
          <w:szCs w:val="20"/>
          <w:lang w:val="en-GB"/>
        </w:rPr>
        <w:t xml:space="preserve">, Announcement date, Bidding and Firm characteristics. </w:t>
      </w:r>
    </w:p>
    <w:p w14:paraId="14F50FAD" w14:textId="4A44A641" w:rsidR="00813F61" w:rsidRDefault="00813F61" w:rsidP="00813F61">
      <w:pPr>
        <w:ind w:firstLineChars="83" w:firstLine="166"/>
        <w:rPr>
          <w:rFonts w:cs="Times New Roman"/>
          <w:i/>
          <w:sz w:val="20"/>
          <w:szCs w:val="20"/>
          <w:lang w:val="en-GB"/>
        </w:rPr>
      </w:pPr>
      <w:r>
        <w:rPr>
          <w:rFonts w:cs="Times New Roman"/>
          <w:i/>
          <w:sz w:val="20"/>
          <w:szCs w:val="20"/>
          <w:lang w:val="en-GB"/>
        </w:rPr>
        <w:t>JEL Classification: G34, G14, G12</w:t>
      </w:r>
    </w:p>
    <w:p w14:paraId="46AAF2F0" w14:textId="102F2B30" w:rsidR="002A435D" w:rsidRDefault="002A435D" w:rsidP="00813F61">
      <w:pPr>
        <w:ind w:firstLineChars="83" w:firstLine="166"/>
        <w:rPr>
          <w:rFonts w:cs="Times New Roman"/>
          <w:i/>
          <w:sz w:val="20"/>
          <w:szCs w:val="20"/>
          <w:lang w:val="en-GB"/>
        </w:rPr>
      </w:pPr>
    </w:p>
    <w:p w14:paraId="7C988EB3" w14:textId="101C8EE5" w:rsidR="002A435D" w:rsidRDefault="002A435D" w:rsidP="00813F61">
      <w:pPr>
        <w:ind w:firstLineChars="83" w:firstLine="166"/>
        <w:rPr>
          <w:rFonts w:cs="Times New Roman"/>
          <w:i/>
          <w:sz w:val="20"/>
          <w:szCs w:val="20"/>
          <w:lang w:val="en-GB"/>
        </w:rPr>
      </w:pPr>
    </w:p>
    <w:p w14:paraId="32A2AC80" w14:textId="294EF3FB" w:rsidR="002A435D" w:rsidRDefault="002A435D" w:rsidP="00813F61">
      <w:pPr>
        <w:ind w:firstLineChars="83" w:firstLine="166"/>
        <w:rPr>
          <w:rFonts w:cs="Times New Roman"/>
          <w:i/>
          <w:sz w:val="20"/>
          <w:szCs w:val="20"/>
          <w:lang w:val="en-GB"/>
        </w:rPr>
      </w:pPr>
    </w:p>
    <w:p w14:paraId="54F2A765" w14:textId="40DBCFD5" w:rsidR="0036766F" w:rsidRDefault="0036766F" w:rsidP="00813F61">
      <w:pPr>
        <w:ind w:firstLineChars="83" w:firstLine="166"/>
        <w:rPr>
          <w:rFonts w:cs="Times New Roman"/>
          <w:i/>
          <w:sz w:val="20"/>
          <w:szCs w:val="20"/>
          <w:lang w:val="en-GB"/>
        </w:rPr>
      </w:pPr>
    </w:p>
    <w:p w14:paraId="4BC106C1" w14:textId="518B849D" w:rsidR="0036766F" w:rsidRDefault="0036766F" w:rsidP="00813F61">
      <w:pPr>
        <w:ind w:firstLineChars="83" w:firstLine="166"/>
        <w:rPr>
          <w:rFonts w:cs="Times New Roman"/>
          <w:i/>
          <w:sz w:val="20"/>
          <w:szCs w:val="20"/>
          <w:lang w:val="en-GB"/>
        </w:rPr>
      </w:pPr>
    </w:p>
    <w:p w14:paraId="706B5BD7" w14:textId="77777777" w:rsidR="0036766F" w:rsidRDefault="0036766F" w:rsidP="00813F61">
      <w:pPr>
        <w:ind w:firstLineChars="83" w:firstLine="166"/>
        <w:rPr>
          <w:rFonts w:cs="Times New Roman"/>
          <w:i/>
          <w:sz w:val="20"/>
          <w:szCs w:val="20"/>
          <w:lang w:val="en-GB"/>
        </w:rPr>
      </w:pPr>
    </w:p>
    <w:p w14:paraId="2E89EE9C" w14:textId="77777777" w:rsidR="002A435D" w:rsidRDefault="002A435D" w:rsidP="00813F61">
      <w:pPr>
        <w:ind w:firstLineChars="83" w:firstLine="166"/>
        <w:rPr>
          <w:rFonts w:cs="Times New Roman"/>
          <w:i/>
          <w:sz w:val="20"/>
          <w:szCs w:val="20"/>
          <w:lang w:val="en-GB"/>
        </w:rPr>
      </w:pPr>
    </w:p>
    <w:p w14:paraId="17BD8D05" w14:textId="332B0895" w:rsidR="00937398" w:rsidRPr="002B7B0F" w:rsidRDefault="00442E7C" w:rsidP="00813F61">
      <w:pPr>
        <w:ind w:firstLineChars="83" w:firstLine="199"/>
        <w:rPr>
          <w:lang w:val="en-GB"/>
        </w:rPr>
      </w:pPr>
      <w:r w:rsidRPr="002B7B0F">
        <w:rPr>
          <w:lang w:val="en-GB"/>
        </w:rPr>
        <w:lastRenderedPageBreak/>
        <w:t xml:space="preserve">1. </w:t>
      </w:r>
      <w:r w:rsidR="00937398" w:rsidRPr="002B7B0F">
        <w:rPr>
          <w:lang w:val="en-GB"/>
        </w:rPr>
        <w:t>Introduction</w:t>
      </w:r>
      <w:bookmarkEnd w:id="1"/>
      <w:bookmarkEnd w:id="2"/>
      <w:bookmarkEnd w:id="3"/>
    </w:p>
    <w:p w14:paraId="5DD7B706" w14:textId="6553528E" w:rsidR="00937398" w:rsidRPr="002B7B0F" w:rsidRDefault="00185CE4" w:rsidP="00937398">
      <w:pPr>
        <w:ind w:firstLine="480"/>
        <w:rPr>
          <w:rFonts w:cs="Times New Roman"/>
          <w:szCs w:val="24"/>
          <w:lang w:val="en-GB"/>
        </w:rPr>
      </w:pPr>
      <w:r w:rsidRPr="002B7B0F">
        <w:rPr>
          <w:lang w:val="en-GB"/>
        </w:rPr>
        <w:t>E</w:t>
      </w:r>
      <w:r w:rsidR="00DD313A" w:rsidRPr="002B7B0F">
        <w:rPr>
          <w:lang w:val="en-GB"/>
        </w:rPr>
        <w:t xml:space="preserve">xaminations of </w:t>
      </w:r>
      <w:r w:rsidRPr="002B7B0F">
        <w:rPr>
          <w:lang w:val="en-GB"/>
        </w:rPr>
        <w:t xml:space="preserve">the wealth effect of </w:t>
      </w:r>
      <w:r w:rsidR="00DD313A" w:rsidRPr="002B7B0F">
        <w:rPr>
          <w:lang w:val="en-GB"/>
        </w:rPr>
        <w:t>m</w:t>
      </w:r>
      <w:r w:rsidR="00937398" w:rsidRPr="002B7B0F">
        <w:rPr>
          <w:lang w:val="en-GB"/>
        </w:rPr>
        <w:t>ergers and acquisitions have been a prominent field in financial studies for decades. The basic objective of mergers and acquisitions is to increase shareholder</w:t>
      </w:r>
      <w:r w:rsidRPr="002B7B0F">
        <w:rPr>
          <w:lang w:val="en-GB"/>
        </w:rPr>
        <w:t>s</w:t>
      </w:r>
      <w:r w:rsidR="00DD313A" w:rsidRPr="002B7B0F">
        <w:rPr>
          <w:lang w:val="en-GB"/>
        </w:rPr>
        <w:t>’</w:t>
      </w:r>
      <w:r w:rsidR="00937398" w:rsidRPr="002B7B0F">
        <w:rPr>
          <w:lang w:val="en-GB"/>
        </w:rPr>
        <w:t xml:space="preserve"> value. Owing to </w:t>
      </w:r>
      <w:r w:rsidR="00A9064E" w:rsidRPr="002B7B0F">
        <w:rPr>
          <w:lang w:val="en-GB"/>
        </w:rPr>
        <w:t xml:space="preserve">their </w:t>
      </w:r>
      <w:r w:rsidR="00937398" w:rsidRPr="002B7B0F">
        <w:rPr>
          <w:lang w:val="en-GB"/>
        </w:rPr>
        <w:t xml:space="preserve">great influence on investors, societies and organizations, mergers and acquisitions have gradually become the largest and most observable means of business investments (Masulis et al. 2007). This situation has led to </w:t>
      </w:r>
      <w:r w:rsidR="00CE07A3" w:rsidRPr="002B7B0F">
        <w:rPr>
          <w:lang w:val="en-GB"/>
        </w:rPr>
        <w:t xml:space="preserve">the </w:t>
      </w:r>
      <w:r w:rsidR="00937398" w:rsidRPr="002B7B0F">
        <w:rPr>
          <w:lang w:val="en-GB"/>
        </w:rPr>
        <w:t>considerable interest of the community. As a highly economically developed area, Hong Kong also experi</w:t>
      </w:r>
      <w:r w:rsidR="00DD313A" w:rsidRPr="002B7B0F">
        <w:rPr>
          <w:lang w:val="en-GB"/>
        </w:rPr>
        <w:t>enced a huge increase in merger</w:t>
      </w:r>
      <w:r w:rsidR="00937398" w:rsidRPr="002B7B0F">
        <w:rPr>
          <w:lang w:val="en-GB"/>
        </w:rPr>
        <w:t xml:space="preserve"> and acquisition events. As a result, more studies are needed in this area to understand </w:t>
      </w:r>
      <w:r w:rsidR="00A9064E" w:rsidRPr="002B7B0F">
        <w:rPr>
          <w:lang w:val="en-GB"/>
        </w:rPr>
        <w:t xml:space="preserve">the </w:t>
      </w:r>
      <w:r w:rsidR="00937398" w:rsidRPr="002B7B0F">
        <w:rPr>
          <w:lang w:val="en-GB"/>
        </w:rPr>
        <w:t>benefits of these activities to the market economy.</w:t>
      </w:r>
    </w:p>
    <w:p w14:paraId="7639F394" w14:textId="493BD51E" w:rsidR="00937398" w:rsidRPr="002B7B0F" w:rsidRDefault="00937398" w:rsidP="00937398">
      <w:pPr>
        <w:ind w:firstLine="480"/>
        <w:rPr>
          <w:rFonts w:cs="Times New Roman"/>
          <w:szCs w:val="24"/>
          <w:lang w:val="en-GB"/>
        </w:rPr>
      </w:pPr>
      <w:r w:rsidRPr="002B7B0F">
        <w:rPr>
          <w:rFonts w:cs="Times New Roman"/>
          <w:szCs w:val="24"/>
          <w:lang w:val="en-GB"/>
        </w:rPr>
        <w:t xml:space="preserve">To reflect the significance of acquisitions in shaping the business community, there has been a large number of </w:t>
      </w:r>
      <w:r w:rsidR="00A9064E" w:rsidRPr="002B7B0F">
        <w:rPr>
          <w:rFonts w:cs="Times New Roman"/>
          <w:szCs w:val="24"/>
          <w:lang w:val="en-GB"/>
        </w:rPr>
        <w:t xml:space="preserve">studies </w:t>
      </w:r>
      <w:r w:rsidRPr="002B7B0F">
        <w:rPr>
          <w:rFonts w:cs="Times New Roman"/>
          <w:szCs w:val="24"/>
          <w:lang w:val="en-GB"/>
        </w:rPr>
        <w:t xml:space="preserve">to investigate whether acquisitions </w:t>
      </w:r>
      <w:r w:rsidR="00CE07A3" w:rsidRPr="002B7B0F">
        <w:rPr>
          <w:rFonts w:cs="Times New Roman"/>
          <w:szCs w:val="24"/>
          <w:lang w:val="en-GB"/>
        </w:rPr>
        <w:t>have</w:t>
      </w:r>
      <w:r w:rsidRPr="002B7B0F">
        <w:rPr>
          <w:rFonts w:cs="Times New Roman"/>
          <w:szCs w:val="24"/>
          <w:lang w:val="en-GB"/>
        </w:rPr>
        <w:t xml:space="preserve"> improve</w:t>
      </w:r>
      <w:r w:rsidR="00CE07A3" w:rsidRPr="002B7B0F">
        <w:rPr>
          <w:rFonts w:cs="Times New Roman"/>
          <w:szCs w:val="24"/>
          <w:lang w:val="en-GB"/>
        </w:rPr>
        <w:t>d</w:t>
      </w:r>
      <w:r w:rsidRPr="002B7B0F">
        <w:rPr>
          <w:rFonts w:cs="Times New Roman"/>
          <w:szCs w:val="24"/>
          <w:lang w:val="en-GB"/>
        </w:rPr>
        <w:t xml:space="preserve"> bidders’ performance</w:t>
      </w:r>
      <w:r w:rsidR="00DD313A" w:rsidRPr="002B7B0F">
        <w:rPr>
          <w:rFonts w:cs="Times New Roman"/>
          <w:szCs w:val="24"/>
          <w:lang w:val="en-GB"/>
        </w:rPr>
        <w:t>s</w:t>
      </w:r>
      <w:r w:rsidRPr="002B7B0F">
        <w:rPr>
          <w:rFonts w:cs="Times New Roman"/>
          <w:szCs w:val="24"/>
          <w:lang w:val="en-GB"/>
        </w:rPr>
        <w:t xml:space="preserve"> in the last five decades</w:t>
      </w:r>
      <w:r w:rsidR="00DD313A" w:rsidRPr="002B7B0F">
        <w:rPr>
          <w:rFonts w:cs="Times New Roman"/>
          <w:szCs w:val="24"/>
          <w:lang w:val="en-GB"/>
        </w:rPr>
        <w:t>. One major direction of merger</w:t>
      </w:r>
      <w:r w:rsidRPr="002B7B0F">
        <w:rPr>
          <w:rFonts w:cs="Times New Roman"/>
          <w:szCs w:val="24"/>
          <w:lang w:val="en-GB"/>
        </w:rPr>
        <w:t xml:space="preserve"> and acquisition research is to investigate </w:t>
      </w:r>
      <w:r w:rsidR="00A9064E" w:rsidRPr="002B7B0F">
        <w:rPr>
          <w:rFonts w:cs="Times New Roman"/>
          <w:szCs w:val="24"/>
          <w:lang w:val="en-GB"/>
        </w:rPr>
        <w:t xml:space="preserve">the </w:t>
      </w:r>
      <w:r w:rsidRPr="002B7B0F">
        <w:rPr>
          <w:rFonts w:cs="Times New Roman"/>
          <w:szCs w:val="24"/>
          <w:lang w:val="en-GB"/>
        </w:rPr>
        <w:t>short-term operating performance</w:t>
      </w:r>
      <w:r w:rsidR="00DD313A" w:rsidRPr="002B7B0F">
        <w:rPr>
          <w:rFonts w:cs="Times New Roman"/>
          <w:szCs w:val="24"/>
          <w:lang w:val="en-GB"/>
        </w:rPr>
        <w:t>s</w:t>
      </w:r>
      <w:r w:rsidRPr="002B7B0F">
        <w:rPr>
          <w:rFonts w:cs="Times New Roman"/>
          <w:szCs w:val="24"/>
          <w:lang w:val="en-GB"/>
        </w:rPr>
        <w:t xml:space="preserve"> of </w:t>
      </w:r>
      <w:r w:rsidR="00A9064E" w:rsidRPr="002B7B0F">
        <w:rPr>
          <w:rFonts w:cs="Times New Roman"/>
          <w:szCs w:val="24"/>
          <w:lang w:val="en-GB"/>
        </w:rPr>
        <w:t xml:space="preserve">the </w:t>
      </w:r>
      <w:r w:rsidRPr="002B7B0F">
        <w:rPr>
          <w:rFonts w:cs="Times New Roman"/>
          <w:szCs w:val="24"/>
          <w:lang w:val="en-GB"/>
        </w:rPr>
        <w:t>acquiring companies. Generally, bidders’ post-takeover performance</w:t>
      </w:r>
      <w:r w:rsidR="00DD313A" w:rsidRPr="002B7B0F">
        <w:rPr>
          <w:rFonts w:cs="Times New Roman"/>
          <w:szCs w:val="24"/>
          <w:lang w:val="en-GB"/>
        </w:rPr>
        <w:t>s are</w:t>
      </w:r>
      <w:r w:rsidRPr="002B7B0F">
        <w:rPr>
          <w:rFonts w:cs="Times New Roman"/>
          <w:szCs w:val="24"/>
          <w:lang w:val="en-GB"/>
        </w:rPr>
        <w:t xml:space="preserve"> measured by abnormal returns, which are clarified as returns over a proper benchmark return. Unfortunately, based on existing research, it seems that no consensus has been </w:t>
      </w:r>
      <w:r w:rsidR="00A9064E" w:rsidRPr="002B7B0F">
        <w:rPr>
          <w:rFonts w:cs="Times New Roman"/>
          <w:szCs w:val="24"/>
          <w:lang w:val="en-GB"/>
        </w:rPr>
        <w:t xml:space="preserve">achieved </w:t>
      </w:r>
      <w:r w:rsidRPr="002B7B0F">
        <w:rPr>
          <w:rFonts w:cs="Times New Roman"/>
          <w:szCs w:val="24"/>
          <w:lang w:val="en-GB"/>
        </w:rPr>
        <w:t xml:space="preserve">on this issue. According to Bradley et al. (1988), Le and Schultz (2007) and Humphery-Jenner and Powell (2011), bidding companies earn significantly positive abnormal returns in </w:t>
      </w:r>
      <w:r w:rsidR="00A9064E" w:rsidRPr="002B7B0F">
        <w:rPr>
          <w:rFonts w:cs="Times New Roman"/>
          <w:szCs w:val="24"/>
          <w:lang w:val="en-GB"/>
        </w:rPr>
        <w:t xml:space="preserve">the </w:t>
      </w:r>
      <w:r w:rsidRPr="002B7B0F">
        <w:rPr>
          <w:rFonts w:cs="Times New Roman"/>
          <w:szCs w:val="24"/>
          <w:lang w:val="en-GB"/>
        </w:rPr>
        <w:t>short-term announcement period. Other research provides evidence of significant negative returns (Sudarsana</w:t>
      </w:r>
      <w:r w:rsidR="00860192" w:rsidRPr="002B7B0F">
        <w:rPr>
          <w:rFonts w:cs="Times New Roman"/>
          <w:szCs w:val="24"/>
          <w:lang w:val="en-GB"/>
        </w:rPr>
        <w:t>m et al. 1996; Walker 2000; Ant</w:t>
      </w:r>
      <w:r w:rsidRPr="002B7B0F">
        <w:rPr>
          <w:rFonts w:cs="Times New Roman"/>
          <w:szCs w:val="24"/>
          <w:lang w:val="en-GB"/>
        </w:rPr>
        <w:t>o</w:t>
      </w:r>
      <w:r w:rsidR="00860192" w:rsidRPr="002B7B0F">
        <w:rPr>
          <w:rFonts w:cs="Times New Roman"/>
          <w:szCs w:val="24"/>
          <w:lang w:val="en-GB"/>
        </w:rPr>
        <w:t>niou et al. 2008</w:t>
      </w:r>
      <w:r w:rsidRPr="002B7B0F">
        <w:rPr>
          <w:rFonts w:cs="Times New Roman"/>
          <w:szCs w:val="24"/>
          <w:lang w:val="en-GB"/>
        </w:rPr>
        <w:t>). Moreover, Gregory (1997) and Andrade et al. (2001) argue that no significant abnormal return exists</w:t>
      </w:r>
      <w:r w:rsidR="00DD313A" w:rsidRPr="002B7B0F">
        <w:rPr>
          <w:rFonts w:cs="Times New Roman"/>
          <w:szCs w:val="24"/>
          <w:lang w:val="en-GB"/>
        </w:rPr>
        <w:t xml:space="preserve"> during the announcement period</w:t>
      </w:r>
      <w:r w:rsidR="00A9064E" w:rsidRPr="002B7B0F">
        <w:rPr>
          <w:rFonts w:cs="Times New Roman"/>
          <w:szCs w:val="24"/>
          <w:lang w:val="en-GB"/>
        </w:rPr>
        <w:t>,</w:t>
      </w:r>
      <w:r w:rsidR="00DD313A" w:rsidRPr="002B7B0F">
        <w:rPr>
          <w:rFonts w:cs="Times New Roman"/>
          <w:szCs w:val="24"/>
          <w:lang w:val="en-GB"/>
        </w:rPr>
        <w:t xml:space="preserve"> </w:t>
      </w:r>
      <w:r w:rsidR="00A9064E" w:rsidRPr="002B7B0F">
        <w:rPr>
          <w:rFonts w:cs="Times New Roman"/>
          <w:szCs w:val="24"/>
          <w:lang w:val="en-GB"/>
        </w:rPr>
        <w:t>while</w:t>
      </w:r>
      <w:r w:rsidR="00DD313A" w:rsidRPr="002B7B0F">
        <w:rPr>
          <w:rFonts w:cs="Times New Roman"/>
          <w:szCs w:val="24"/>
          <w:lang w:val="en-GB"/>
        </w:rPr>
        <w:t xml:space="preserve"> Bruner (2002) observes mixed results from 32 studies</w:t>
      </w:r>
      <w:r w:rsidR="00BE242D" w:rsidRPr="002B7B0F">
        <w:rPr>
          <w:rFonts w:cs="Times New Roman"/>
          <w:szCs w:val="24"/>
          <w:lang w:val="en-GB"/>
        </w:rPr>
        <w:t>.</w:t>
      </w:r>
    </w:p>
    <w:p w14:paraId="0B25BEC9" w14:textId="176BB46C" w:rsidR="00F1069B" w:rsidRPr="002B7B0F" w:rsidRDefault="00937398" w:rsidP="00F1069B">
      <w:pPr>
        <w:ind w:firstLine="480"/>
        <w:rPr>
          <w:rFonts w:cs="Times New Roman"/>
          <w:szCs w:val="24"/>
          <w:lang w:val="en-GB"/>
        </w:rPr>
      </w:pPr>
      <w:r w:rsidRPr="002B7B0F">
        <w:rPr>
          <w:rFonts w:cs="Times New Roman"/>
          <w:szCs w:val="24"/>
          <w:lang w:val="en-GB"/>
        </w:rPr>
        <w:t xml:space="preserve">Alexandridis et al. (2010) have brought a new dimension to this issue. By researching all over the globe, they indicate that </w:t>
      </w:r>
      <w:r w:rsidR="00F1069B" w:rsidRPr="002B7B0F">
        <w:rPr>
          <w:rFonts w:cs="Times New Roman"/>
          <w:szCs w:val="24"/>
          <w:lang w:val="en-GB"/>
        </w:rPr>
        <w:t xml:space="preserve">the degree of competition is negatively correlated with the return of the bidder, which means acquirers are more likely to suffer from negative abnormal </w:t>
      </w:r>
      <w:r w:rsidR="00EF06E7" w:rsidRPr="002B7B0F">
        <w:rPr>
          <w:rFonts w:cs="Times New Roman"/>
          <w:szCs w:val="24"/>
          <w:lang w:val="en-GB"/>
        </w:rPr>
        <w:lastRenderedPageBreak/>
        <w:t xml:space="preserve">returns </w:t>
      </w:r>
      <w:r w:rsidR="00F1069B" w:rsidRPr="002B7B0F">
        <w:rPr>
          <w:rFonts w:cs="Times New Roman"/>
          <w:szCs w:val="24"/>
          <w:lang w:val="en-GB"/>
        </w:rPr>
        <w:t>when purchasing targets in market</w:t>
      </w:r>
      <w:r w:rsidR="00A9064E" w:rsidRPr="002B7B0F">
        <w:rPr>
          <w:rFonts w:cs="Times New Roman"/>
          <w:szCs w:val="24"/>
          <w:lang w:val="en-GB"/>
        </w:rPr>
        <w:t>s</w:t>
      </w:r>
      <w:r w:rsidR="00F1069B" w:rsidRPr="002B7B0F">
        <w:rPr>
          <w:rFonts w:cs="Times New Roman"/>
          <w:szCs w:val="24"/>
          <w:lang w:val="en-GB"/>
        </w:rPr>
        <w:t xml:space="preserve"> </w:t>
      </w:r>
      <w:r w:rsidR="00EF06E7" w:rsidRPr="002B7B0F">
        <w:rPr>
          <w:rFonts w:cs="Times New Roman"/>
          <w:szCs w:val="24"/>
          <w:lang w:val="en-GB"/>
        </w:rPr>
        <w:t>with intensive competition</w:t>
      </w:r>
      <w:r w:rsidR="00A9064E" w:rsidRPr="002B7B0F">
        <w:rPr>
          <w:rFonts w:cs="Times New Roman"/>
          <w:szCs w:val="24"/>
          <w:lang w:val="en-GB"/>
        </w:rPr>
        <w:t>,</w:t>
      </w:r>
      <w:r w:rsidR="00EF06E7" w:rsidRPr="002B7B0F">
        <w:rPr>
          <w:rFonts w:cs="Times New Roman"/>
          <w:szCs w:val="24"/>
          <w:lang w:val="en-GB"/>
        </w:rPr>
        <w:t xml:space="preserve"> whereas bidders</w:t>
      </w:r>
      <w:r w:rsidR="00F1069B" w:rsidRPr="002B7B0F">
        <w:rPr>
          <w:rFonts w:cs="Times New Roman"/>
          <w:szCs w:val="24"/>
          <w:lang w:val="en-GB"/>
        </w:rPr>
        <w:t xml:space="preserve"> tend to earn significant positive abnormal retur</w:t>
      </w:r>
      <w:r w:rsidR="00EF06E7" w:rsidRPr="002B7B0F">
        <w:rPr>
          <w:rFonts w:cs="Times New Roman"/>
          <w:szCs w:val="24"/>
          <w:lang w:val="en-GB"/>
        </w:rPr>
        <w:t>ns by acquiring targets in less</w:t>
      </w:r>
      <w:r w:rsidR="00F1069B" w:rsidRPr="002B7B0F">
        <w:rPr>
          <w:rFonts w:cs="Times New Roman"/>
          <w:szCs w:val="24"/>
          <w:lang w:val="en-GB"/>
        </w:rPr>
        <w:t xml:space="preserve"> competitive market</w:t>
      </w:r>
      <w:r w:rsidR="00A9064E" w:rsidRPr="002B7B0F">
        <w:rPr>
          <w:rFonts w:cs="Times New Roman"/>
          <w:szCs w:val="24"/>
          <w:lang w:val="en-GB"/>
        </w:rPr>
        <w:t>s</w:t>
      </w:r>
      <w:r w:rsidR="00F1069B" w:rsidRPr="002B7B0F">
        <w:rPr>
          <w:rFonts w:cs="Times New Roman"/>
          <w:szCs w:val="24"/>
          <w:lang w:val="en-GB"/>
        </w:rPr>
        <w:t xml:space="preserve">. </w:t>
      </w:r>
    </w:p>
    <w:p w14:paraId="14890E24" w14:textId="62FABA7F" w:rsidR="00937398" w:rsidRPr="002B7B0F" w:rsidRDefault="00937398" w:rsidP="00937398">
      <w:pPr>
        <w:ind w:firstLine="480"/>
        <w:rPr>
          <w:rFonts w:cs="Times New Roman"/>
          <w:szCs w:val="24"/>
          <w:lang w:val="en-GB"/>
        </w:rPr>
      </w:pPr>
      <w:r w:rsidRPr="002B7B0F">
        <w:rPr>
          <w:rFonts w:cs="Times New Roman"/>
          <w:szCs w:val="24"/>
          <w:lang w:val="en-GB"/>
        </w:rPr>
        <w:t xml:space="preserve">Although the </w:t>
      </w:r>
      <w:r w:rsidR="00AE5BCC" w:rsidRPr="002B7B0F">
        <w:rPr>
          <w:rFonts w:cs="Times New Roman"/>
          <w:szCs w:val="24"/>
          <w:lang w:val="en-GB"/>
        </w:rPr>
        <w:t xml:space="preserve">short-run </w:t>
      </w:r>
      <w:r w:rsidRPr="002B7B0F">
        <w:rPr>
          <w:rFonts w:cs="Times New Roman"/>
          <w:szCs w:val="24"/>
          <w:lang w:val="en-GB"/>
        </w:rPr>
        <w:t xml:space="preserve">market response of the acquisition has been extensively investigated in </w:t>
      </w:r>
      <w:r w:rsidR="00D82A24" w:rsidRPr="002B7B0F">
        <w:rPr>
          <w:rFonts w:cs="Times New Roman"/>
          <w:szCs w:val="24"/>
          <w:lang w:val="en-GB"/>
        </w:rPr>
        <w:t xml:space="preserve">the </w:t>
      </w:r>
      <w:r w:rsidRPr="002B7B0F">
        <w:rPr>
          <w:rFonts w:cs="Times New Roman"/>
          <w:szCs w:val="24"/>
          <w:lang w:val="en-GB"/>
        </w:rPr>
        <w:t xml:space="preserve">US, UK and other European countries, this issue in Hong Kong has not been examined </w:t>
      </w:r>
      <w:r w:rsidR="0060564E" w:rsidRPr="002B7B0F">
        <w:rPr>
          <w:rFonts w:cs="Times New Roman"/>
          <w:szCs w:val="24"/>
          <w:lang w:val="en-GB"/>
        </w:rPr>
        <w:t>thoroughly</w:t>
      </w:r>
      <w:r w:rsidRPr="002B7B0F">
        <w:rPr>
          <w:rFonts w:cs="Times New Roman"/>
          <w:szCs w:val="24"/>
          <w:lang w:val="en-GB"/>
        </w:rPr>
        <w:t>. To the knowledge of the author, no prior comprehensive study has investigated market reactio</w:t>
      </w:r>
      <w:r w:rsidR="000E1C28" w:rsidRPr="002B7B0F">
        <w:rPr>
          <w:rFonts w:cs="Times New Roman"/>
          <w:szCs w:val="24"/>
          <w:lang w:val="en-GB"/>
        </w:rPr>
        <w:t>ns of Hong Kong bidding firms in</w:t>
      </w:r>
      <w:r w:rsidR="00C370F8" w:rsidRPr="002B7B0F">
        <w:rPr>
          <w:rFonts w:cs="Times New Roman"/>
          <w:szCs w:val="24"/>
          <w:lang w:val="en-GB"/>
        </w:rPr>
        <w:t xml:space="preserve"> acquisition</w:t>
      </w:r>
      <w:r w:rsidRPr="002B7B0F">
        <w:rPr>
          <w:rFonts w:cs="Times New Roman"/>
          <w:szCs w:val="24"/>
          <w:lang w:val="en-GB"/>
        </w:rPr>
        <w:t xml:space="preserve"> of domestic targets. </w:t>
      </w:r>
      <w:r w:rsidR="00D82A24" w:rsidRPr="002B7B0F">
        <w:rPr>
          <w:rFonts w:cs="Times New Roman"/>
          <w:szCs w:val="24"/>
          <w:lang w:val="en-GB"/>
        </w:rPr>
        <w:t xml:space="preserve">The </w:t>
      </w:r>
      <w:r w:rsidRPr="002B7B0F">
        <w:rPr>
          <w:rFonts w:cs="Times New Roman"/>
          <w:szCs w:val="24"/>
          <w:lang w:val="en-GB"/>
        </w:rPr>
        <w:t xml:space="preserve">Hong Kong </w:t>
      </w:r>
      <w:r w:rsidR="00C370F8" w:rsidRPr="002B7B0F">
        <w:rPr>
          <w:rFonts w:cs="Times New Roman"/>
          <w:szCs w:val="24"/>
          <w:lang w:val="en-GB"/>
        </w:rPr>
        <w:t xml:space="preserve">market </w:t>
      </w:r>
      <w:r w:rsidRPr="002B7B0F">
        <w:rPr>
          <w:rFonts w:cs="Times New Roman"/>
          <w:szCs w:val="24"/>
          <w:lang w:val="en-GB"/>
        </w:rPr>
        <w:t xml:space="preserve">has always </w:t>
      </w:r>
      <w:r w:rsidR="0060564E" w:rsidRPr="002B7B0F">
        <w:rPr>
          <w:rFonts w:cs="Times New Roman"/>
          <w:szCs w:val="24"/>
          <w:lang w:val="en-GB"/>
        </w:rPr>
        <w:t>played</w:t>
      </w:r>
      <w:r w:rsidRPr="002B7B0F">
        <w:rPr>
          <w:rFonts w:cs="Times New Roman"/>
          <w:szCs w:val="24"/>
          <w:lang w:val="en-GB"/>
        </w:rPr>
        <w:t xml:space="preserve"> an important </w:t>
      </w:r>
      <w:r w:rsidR="0060564E" w:rsidRPr="002B7B0F">
        <w:rPr>
          <w:rFonts w:cs="Times New Roman"/>
          <w:szCs w:val="24"/>
          <w:lang w:val="en-GB"/>
        </w:rPr>
        <w:t>role</w:t>
      </w:r>
      <w:r w:rsidRPr="002B7B0F">
        <w:rPr>
          <w:rFonts w:cs="Times New Roman"/>
          <w:szCs w:val="24"/>
          <w:lang w:val="en-GB"/>
        </w:rPr>
        <w:t xml:space="preserve"> in the world because of its special historical background, economic regulations and political system. Therefore, </w:t>
      </w:r>
      <w:r w:rsidR="00D82A24" w:rsidRPr="002B7B0F">
        <w:rPr>
          <w:rFonts w:cs="Times New Roman"/>
          <w:szCs w:val="24"/>
          <w:lang w:val="en-GB"/>
        </w:rPr>
        <w:t xml:space="preserve">the </w:t>
      </w:r>
      <w:r w:rsidRPr="002B7B0F">
        <w:rPr>
          <w:rFonts w:cs="Times New Roman"/>
          <w:szCs w:val="24"/>
          <w:lang w:val="en-GB"/>
        </w:rPr>
        <w:t xml:space="preserve">research of acquisition events in this market should be highly valued. As an emerging </w:t>
      </w:r>
      <w:r w:rsidR="0060564E" w:rsidRPr="002B7B0F">
        <w:rPr>
          <w:rFonts w:cs="Times New Roman"/>
          <w:szCs w:val="24"/>
          <w:lang w:val="en-GB"/>
        </w:rPr>
        <w:t>area</w:t>
      </w:r>
      <w:r w:rsidRPr="002B7B0F">
        <w:rPr>
          <w:rFonts w:cs="Times New Roman"/>
          <w:szCs w:val="24"/>
          <w:lang w:val="en-GB"/>
        </w:rPr>
        <w:t xml:space="preserve">, </w:t>
      </w:r>
      <w:r w:rsidR="00D82A24" w:rsidRPr="002B7B0F">
        <w:rPr>
          <w:rFonts w:cs="Times New Roman"/>
          <w:szCs w:val="24"/>
          <w:lang w:val="en-GB"/>
        </w:rPr>
        <w:t xml:space="preserve">the </w:t>
      </w:r>
      <w:r w:rsidR="00392FA6" w:rsidRPr="002B7B0F">
        <w:rPr>
          <w:rFonts w:cs="Times New Roman"/>
          <w:szCs w:val="24"/>
          <w:lang w:val="en-GB"/>
        </w:rPr>
        <w:t xml:space="preserve">Mainland </w:t>
      </w:r>
      <w:r w:rsidRPr="002B7B0F">
        <w:rPr>
          <w:rFonts w:cs="Times New Roman"/>
          <w:szCs w:val="24"/>
          <w:lang w:val="en-GB"/>
        </w:rPr>
        <w:t xml:space="preserve">China market is different from </w:t>
      </w:r>
      <w:r w:rsidR="00D82A24" w:rsidRPr="002B7B0F">
        <w:rPr>
          <w:rFonts w:cs="Times New Roman"/>
          <w:szCs w:val="24"/>
          <w:lang w:val="en-GB"/>
        </w:rPr>
        <w:t xml:space="preserve">the </w:t>
      </w:r>
      <w:r w:rsidRPr="002B7B0F">
        <w:rPr>
          <w:rFonts w:cs="Times New Roman"/>
          <w:szCs w:val="24"/>
          <w:lang w:val="en-GB"/>
        </w:rPr>
        <w:t xml:space="preserve">Hong Kong market in many </w:t>
      </w:r>
      <w:r w:rsidR="0060564E" w:rsidRPr="002B7B0F">
        <w:rPr>
          <w:rFonts w:cs="Times New Roman"/>
          <w:szCs w:val="24"/>
          <w:lang w:val="en-GB"/>
        </w:rPr>
        <w:t>aspects</w:t>
      </w:r>
      <w:r w:rsidRPr="002B7B0F">
        <w:rPr>
          <w:rFonts w:cs="Times New Roman"/>
          <w:szCs w:val="24"/>
          <w:lang w:val="en-GB"/>
        </w:rPr>
        <w:t>, such as liquidity, openness, volatility, corruption, taxation and governance costs (Bruner et al. 2002). Unlike Hong Kong and other developed countries or areas, the starting point of mergers and acquisitions in China is very late (</w:t>
      </w:r>
      <w:r w:rsidR="0060564E" w:rsidRPr="002B7B0F">
        <w:rPr>
          <w:rFonts w:cs="Times New Roman"/>
          <w:szCs w:val="24"/>
          <w:lang w:val="en-GB"/>
        </w:rPr>
        <w:t xml:space="preserve">1990s), which </w:t>
      </w:r>
      <w:r w:rsidR="00D82A24" w:rsidRPr="002B7B0F">
        <w:rPr>
          <w:rFonts w:cs="Times New Roman"/>
          <w:szCs w:val="24"/>
          <w:lang w:val="en-GB"/>
        </w:rPr>
        <w:t xml:space="preserve">makes the </w:t>
      </w:r>
      <w:r w:rsidR="0060564E" w:rsidRPr="002B7B0F">
        <w:rPr>
          <w:rFonts w:cs="Times New Roman"/>
          <w:szCs w:val="24"/>
          <w:lang w:val="en-GB"/>
        </w:rPr>
        <w:t>Chinese</w:t>
      </w:r>
      <w:r w:rsidRPr="002B7B0F">
        <w:rPr>
          <w:rFonts w:cs="Times New Roman"/>
          <w:szCs w:val="24"/>
          <w:lang w:val="en-GB"/>
        </w:rPr>
        <w:t xml:space="preserve"> acquisition market highly immature. These differences present the primary motivation of this </w:t>
      </w:r>
      <w:r w:rsidR="0060564E" w:rsidRPr="002B7B0F">
        <w:rPr>
          <w:rFonts w:cs="Times New Roman"/>
          <w:szCs w:val="24"/>
          <w:lang w:val="en-GB"/>
        </w:rPr>
        <w:t>study</w:t>
      </w:r>
      <w:r w:rsidRPr="002B7B0F">
        <w:rPr>
          <w:rFonts w:cs="Times New Roman"/>
          <w:szCs w:val="24"/>
          <w:lang w:val="en-GB"/>
        </w:rPr>
        <w:t xml:space="preserve">. Due to various distinctions between </w:t>
      </w:r>
      <w:r w:rsidR="00D82A24" w:rsidRPr="002B7B0F">
        <w:rPr>
          <w:rFonts w:cs="Times New Roman"/>
          <w:szCs w:val="24"/>
          <w:lang w:val="en-GB"/>
        </w:rPr>
        <w:t xml:space="preserve">the </w:t>
      </w:r>
      <w:r w:rsidRPr="002B7B0F">
        <w:rPr>
          <w:rFonts w:cs="Times New Roman"/>
          <w:szCs w:val="24"/>
          <w:lang w:val="en-GB"/>
        </w:rPr>
        <w:t xml:space="preserve">Hong Kong market and </w:t>
      </w:r>
      <w:r w:rsidR="00D82A24" w:rsidRPr="002B7B0F">
        <w:rPr>
          <w:rFonts w:cs="Times New Roman"/>
          <w:szCs w:val="24"/>
          <w:lang w:val="en-GB"/>
        </w:rPr>
        <w:t xml:space="preserve">the Mainland </w:t>
      </w:r>
      <w:r w:rsidRPr="002B7B0F">
        <w:rPr>
          <w:rFonts w:cs="Times New Roman"/>
          <w:szCs w:val="24"/>
          <w:lang w:val="en-GB"/>
        </w:rPr>
        <w:t xml:space="preserve">China market, </w:t>
      </w:r>
      <w:r w:rsidR="00D82A24" w:rsidRPr="002B7B0F">
        <w:rPr>
          <w:rFonts w:cs="Times New Roman"/>
          <w:szCs w:val="24"/>
          <w:lang w:val="en-GB"/>
        </w:rPr>
        <w:t xml:space="preserve">the </w:t>
      </w:r>
      <w:r w:rsidRPr="002B7B0F">
        <w:rPr>
          <w:rFonts w:cs="Times New Roman"/>
          <w:szCs w:val="24"/>
          <w:lang w:val="en-GB"/>
        </w:rPr>
        <w:t xml:space="preserve">short-term abnormal returns of bidders purchasing target firms from these two markets may </w:t>
      </w:r>
      <w:r w:rsidR="003F0CF2" w:rsidRPr="002B7B0F">
        <w:rPr>
          <w:rFonts w:cs="Times New Roman"/>
          <w:szCs w:val="24"/>
          <w:lang w:val="en-GB"/>
        </w:rPr>
        <w:t>differ</w:t>
      </w:r>
      <w:r w:rsidRPr="002B7B0F">
        <w:rPr>
          <w:rFonts w:cs="Times New Roman"/>
          <w:szCs w:val="24"/>
          <w:lang w:val="en-GB"/>
        </w:rPr>
        <w:t xml:space="preserve"> greatly. Hence, the sample acquisition events used in this </w:t>
      </w:r>
      <w:r w:rsidR="003F0CF2" w:rsidRPr="002B7B0F">
        <w:rPr>
          <w:rFonts w:cs="Times New Roman"/>
          <w:szCs w:val="24"/>
          <w:lang w:val="en-GB"/>
        </w:rPr>
        <w:t>study</w:t>
      </w:r>
      <w:r w:rsidR="00940706" w:rsidRPr="002B7B0F">
        <w:rPr>
          <w:rFonts w:cs="Times New Roman"/>
          <w:szCs w:val="24"/>
          <w:lang w:val="en-GB"/>
        </w:rPr>
        <w:t xml:space="preserve"> to analy</w:t>
      </w:r>
      <w:r w:rsidR="00D82A24" w:rsidRPr="002B7B0F">
        <w:rPr>
          <w:rFonts w:cs="Times New Roman"/>
          <w:szCs w:val="24"/>
          <w:lang w:val="en-GB"/>
        </w:rPr>
        <w:t>s</w:t>
      </w:r>
      <w:r w:rsidR="00940706" w:rsidRPr="002B7B0F">
        <w:rPr>
          <w:rFonts w:cs="Times New Roman"/>
          <w:szCs w:val="24"/>
          <w:lang w:val="en-GB"/>
        </w:rPr>
        <w:t>e Hong Kong</w:t>
      </w:r>
      <w:r w:rsidRPr="002B7B0F">
        <w:rPr>
          <w:rFonts w:cs="Times New Roman"/>
          <w:szCs w:val="24"/>
          <w:lang w:val="en-GB"/>
        </w:rPr>
        <w:t xml:space="preserve"> bidding companies’ announcement abnormal returns should be categorized into two groups: bidders of Hong Kong target</w:t>
      </w:r>
      <w:r w:rsidR="00D82A24" w:rsidRPr="002B7B0F">
        <w:rPr>
          <w:rFonts w:cs="Times New Roman"/>
          <w:szCs w:val="24"/>
          <w:lang w:val="en-GB"/>
        </w:rPr>
        <w:t>s</w:t>
      </w:r>
      <w:r w:rsidRPr="002B7B0F">
        <w:rPr>
          <w:rFonts w:cs="Times New Roman"/>
          <w:szCs w:val="24"/>
          <w:lang w:val="en-GB"/>
        </w:rPr>
        <w:t xml:space="preserve"> and bidders of </w:t>
      </w:r>
      <w:r w:rsidR="00D82A24" w:rsidRPr="002B7B0F">
        <w:rPr>
          <w:rFonts w:cs="Times New Roman"/>
          <w:szCs w:val="24"/>
          <w:lang w:val="en-GB"/>
        </w:rPr>
        <w:t xml:space="preserve">Mainland </w:t>
      </w:r>
      <w:r w:rsidRPr="002B7B0F">
        <w:rPr>
          <w:rFonts w:cs="Times New Roman"/>
          <w:szCs w:val="24"/>
          <w:lang w:val="en-GB"/>
        </w:rPr>
        <w:t>China target</w:t>
      </w:r>
      <w:r w:rsidR="00D82A24" w:rsidRPr="002B7B0F">
        <w:rPr>
          <w:rFonts w:cs="Times New Roman"/>
          <w:szCs w:val="24"/>
          <w:lang w:val="en-GB"/>
        </w:rPr>
        <w:t>s</w:t>
      </w:r>
      <w:r w:rsidRPr="002B7B0F">
        <w:rPr>
          <w:rFonts w:cs="Times New Roman"/>
          <w:szCs w:val="24"/>
          <w:lang w:val="en-GB"/>
        </w:rPr>
        <w:t xml:space="preserve">. </w:t>
      </w:r>
    </w:p>
    <w:p w14:paraId="68F0469B" w14:textId="4EF0A27B" w:rsidR="00937398" w:rsidRPr="002B7B0F" w:rsidRDefault="00937398" w:rsidP="00937398">
      <w:pPr>
        <w:ind w:firstLine="480"/>
        <w:rPr>
          <w:rFonts w:cs="Times New Roman"/>
          <w:szCs w:val="24"/>
          <w:lang w:val="en-GB"/>
        </w:rPr>
      </w:pPr>
      <w:r w:rsidRPr="002B7B0F">
        <w:rPr>
          <w:rFonts w:cs="Times New Roman"/>
          <w:szCs w:val="24"/>
          <w:lang w:val="en-GB"/>
        </w:rPr>
        <w:t>Another main inten</w:t>
      </w:r>
      <w:r w:rsidR="002B7B0F" w:rsidRPr="002B7B0F">
        <w:rPr>
          <w:rFonts w:cs="Times New Roman"/>
          <w:szCs w:val="24"/>
          <w:lang w:val="en-GB"/>
        </w:rPr>
        <w:t>t</w:t>
      </w:r>
      <w:r w:rsidRPr="002B7B0F">
        <w:rPr>
          <w:rFonts w:cs="Times New Roman"/>
          <w:szCs w:val="24"/>
          <w:lang w:val="en-GB"/>
        </w:rPr>
        <w:t>ion of this study is to assess the effect</w:t>
      </w:r>
      <w:r w:rsidR="00940706" w:rsidRPr="002B7B0F">
        <w:rPr>
          <w:rFonts w:cs="Times New Roman"/>
          <w:szCs w:val="24"/>
          <w:lang w:val="en-GB"/>
        </w:rPr>
        <w:t>s</w:t>
      </w:r>
      <w:r w:rsidRPr="002B7B0F">
        <w:rPr>
          <w:rFonts w:cs="Times New Roman"/>
          <w:szCs w:val="24"/>
          <w:lang w:val="en-GB"/>
        </w:rPr>
        <w:t xml:space="preserve"> of bid </w:t>
      </w:r>
      <w:r w:rsidR="00940706" w:rsidRPr="002B7B0F">
        <w:rPr>
          <w:rFonts w:cs="Times New Roman"/>
          <w:szCs w:val="24"/>
          <w:lang w:val="en-GB"/>
        </w:rPr>
        <w:t xml:space="preserve">characteristics </w:t>
      </w:r>
      <w:r w:rsidRPr="002B7B0F">
        <w:rPr>
          <w:rFonts w:cs="Times New Roman"/>
          <w:szCs w:val="24"/>
          <w:lang w:val="en-GB"/>
        </w:rPr>
        <w:t xml:space="preserve">and firm characteristics on acquirers’ announcement period abnormal returns. Some theories and existing literature </w:t>
      </w:r>
      <w:r w:rsidR="009519B8" w:rsidRPr="002B7B0F">
        <w:rPr>
          <w:rFonts w:cs="Times New Roman"/>
          <w:szCs w:val="24"/>
          <w:lang w:val="en-GB"/>
        </w:rPr>
        <w:t>provide strong evidence that</w:t>
      </w:r>
      <w:r w:rsidRPr="002B7B0F">
        <w:rPr>
          <w:rFonts w:cs="Times New Roman"/>
          <w:szCs w:val="24"/>
          <w:lang w:val="en-GB"/>
        </w:rPr>
        <w:t xml:space="preserve"> bid characteristics </w:t>
      </w:r>
      <w:r w:rsidR="003F1D77" w:rsidRPr="002B7B0F">
        <w:rPr>
          <w:rFonts w:cs="Times New Roman"/>
          <w:szCs w:val="24"/>
          <w:lang w:val="en-GB"/>
        </w:rPr>
        <w:t xml:space="preserve">and </w:t>
      </w:r>
      <w:r w:rsidR="00C242BC" w:rsidRPr="002B7B0F">
        <w:rPr>
          <w:rFonts w:cs="Times New Roman"/>
          <w:szCs w:val="24"/>
          <w:lang w:val="en-GB"/>
        </w:rPr>
        <w:t xml:space="preserve">corporate characteristics may also affect the acquisition results directly </w:t>
      </w:r>
      <w:r w:rsidRPr="002B7B0F">
        <w:rPr>
          <w:rFonts w:cs="Times New Roman"/>
          <w:szCs w:val="24"/>
          <w:lang w:val="en-GB"/>
        </w:rPr>
        <w:t>(Conn et al. 2005). Thus, in study</w:t>
      </w:r>
      <w:r w:rsidR="002B7B0F">
        <w:rPr>
          <w:rFonts w:cs="Times New Roman"/>
          <w:szCs w:val="24"/>
          <w:lang w:val="en-GB"/>
        </w:rPr>
        <w:t>ing</w:t>
      </w:r>
      <w:r w:rsidRPr="002B7B0F">
        <w:rPr>
          <w:rFonts w:cs="Times New Roman"/>
          <w:szCs w:val="24"/>
          <w:lang w:val="en-GB"/>
        </w:rPr>
        <w:t xml:space="preserve"> </w:t>
      </w:r>
      <w:r w:rsidR="002B7B0F">
        <w:rPr>
          <w:rFonts w:cs="Times New Roman"/>
          <w:szCs w:val="24"/>
          <w:lang w:val="en-GB"/>
        </w:rPr>
        <w:t>the</w:t>
      </w:r>
      <w:r w:rsidR="002B7B0F" w:rsidRPr="002B7B0F">
        <w:rPr>
          <w:rFonts w:cs="Times New Roman"/>
          <w:szCs w:val="24"/>
          <w:lang w:val="en-GB"/>
        </w:rPr>
        <w:t xml:space="preserve"> </w:t>
      </w:r>
      <w:r w:rsidRPr="002B7B0F">
        <w:rPr>
          <w:rFonts w:cs="Times New Roman"/>
          <w:szCs w:val="24"/>
          <w:lang w:val="en-GB"/>
        </w:rPr>
        <w:t xml:space="preserve">short-term operating </w:t>
      </w:r>
      <w:r w:rsidR="00C242BC" w:rsidRPr="002B7B0F">
        <w:rPr>
          <w:rFonts w:cs="Times New Roman"/>
          <w:szCs w:val="24"/>
          <w:lang w:val="en-GB"/>
        </w:rPr>
        <w:t>performance</w:t>
      </w:r>
      <w:r w:rsidRPr="002B7B0F">
        <w:rPr>
          <w:rFonts w:cs="Times New Roman"/>
          <w:szCs w:val="24"/>
          <w:lang w:val="en-GB"/>
        </w:rPr>
        <w:t xml:space="preserve"> of the bidding company, these factors should be examined appropriately. In doing so, this </w:t>
      </w:r>
      <w:r w:rsidR="009519B8" w:rsidRPr="002B7B0F">
        <w:rPr>
          <w:rFonts w:cs="Times New Roman"/>
          <w:szCs w:val="24"/>
          <w:lang w:val="en-GB"/>
        </w:rPr>
        <w:t>study</w:t>
      </w:r>
      <w:r w:rsidRPr="002B7B0F">
        <w:rPr>
          <w:rFonts w:cs="Times New Roman"/>
          <w:szCs w:val="24"/>
          <w:lang w:val="en-GB"/>
        </w:rPr>
        <w:t xml:space="preserve"> aims to provide a comprehensive analysis of the acquirers’ operating performance</w:t>
      </w:r>
      <w:r w:rsidR="009519B8" w:rsidRPr="002B7B0F">
        <w:rPr>
          <w:rFonts w:cs="Times New Roman"/>
          <w:szCs w:val="24"/>
          <w:lang w:val="en-GB"/>
        </w:rPr>
        <w:t>s</w:t>
      </w:r>
      <w:r w:rsidRPr="002B7B0F">
        <w:rPr>
          <w:rFonts w:cs="Times New Roman"/>
          <w:szCs w:val="24"/>
          <w:lang w:val="en-GB"/>
        </w:rPr>
        <w:t xml:space="preserve"> around the announcement period by incorporating several conventional bid and firm characteristics.</w:t>
      </w:r>
    </w:p>
    <w:p w14:paraId="64D185BE" w14:textId="45834588" w:rsidR="00937398" w:rsidRPr="002B7B0F" w:rsidRDefault="00937398" w:rsidP="00937398">
      <w:pPr>
        <w:ind w:firstLine="480"/>
        <w:rPr>
          <w:rFonts w:cs="Times New Roman"/>
          <w:szCs w:val="24"/>
          <w:lang w:val="en-GB"/>
        </w:rPr>
      </w:pPr>
      <w:r w:rsidRPr="002B7B0F">
        <w:rPr>
          <w:rFonts w:cs="Times New Roman"/>
          <w:szCs w:val="24"/>
          <w:lang w:val="en-GB"/>
        </w:rPr>
        <w:t>In summary, the purpose of this</w:t>
      </w:r>
      <w:r w:rsidR="009519B8" w:rsidRPr="002B7B0F">
        <w:rPr>
          <w:rFonts w:cs="Times New Roman"/>
          <w:szCs w:val="24"/>
          <w:lang w:val="en-GB"/>
        </w:rPr>
        <w:t xml:space="preserve"> study</w:t>
      </w:r>
      <w:r w:rsidRPr="002B7B0F">
        <w:rPr>
          <w:rFonts w:cs="Times New Roman"/>
          <w:szCs w:val="24"/>
          <w:lang w:val="en-GB"/>
        </w:rPr>
        <w:t xml:space="preserve"> is to analy</w:t>
      </w:r>
      <w:r w:rsidR="002B7B0F">
        <w:rPr>
          <w:rFonts w:cs="Times New Roman"/>
          <w:szCs w:val="24"/>
          <w:lang w:val="en-GB"/>
        </w:rPr>
        <w:t>s</w:t>
      </w:r>
      <w:r w:rsidRPr="002B7B0F">
        <w:rPr>
          <w:rFonts w:cs="Times New Roman"/>
          <w:szCs w:val="24"/>
          <w:lang w:val="en-GB"/>
        </w:rPr>
        <w:t>e: (i) the effect of the target location on the short-term operating performance of the acquirer; and (ii) the impact of bid and firm characteristics on the short-run operating performance of the acqui</w:t>
      </w:r>
      <w:r w:rsidR="003F1D77" w:rsidRPr="002B7B0F">
        <w:rPr>
          <w:rFonts w:cs="Times New Roman"/>
          <w:szCs w:val="24"/>
          <w:lang w:val="en-GB"/>
        </w:rPr>
        <w:t>rer. The rem</w:t>
      </w:r>
      <w:r w:rsidR="00382AA6">
        <w:rPr>
          <w:rFonts w:cs="Times New Roman"/>
          <w:szCs w:val="24"/>
          <w:lang w:val="en-GB"/>
        </w:rPr>
        <w:t>a</w:t>
      </w:r>
      <w:r w:rsidR="003F1D77" w:rsidRPr="002B7B0F">
        <w:rPr>
          <w:rFonts w:cs="Times New Roman"/>
          <w:szCs w:val="24"/>
          <w:lang w:val="en-GB"/>
        </w:rPr>
        <w:t xml:space="preserve">inder of this paper </w:t>
      </w:r>
      <w:r w:rsidR="00382AA6">
        <w:rPr>
          <w:rFonts w:cs="Times New Roman"/>
          <w:szCs w:val="24"/>
          <w:lang w:val="en-GB"/>
        </w:rPr>
        <w:t xml:space="preserve">is </w:t>
      </w:r>
      <w:r w:rsidR="003F1D77" w:rsidRPr="002B7B0F">
        <w:rPr>
          <w:rFonts w:cs="Times New Roman"/>
          <w:szCs w:val="24"/>
          <w:lang w:val="en-GB"/>
        </w:rPr>
        <w:t>designed</w:t>
      </w:r>
      <w:r w:rsidRPr="002B7B0F">
        <w:rPr>
          <w:rFonts w:cs="Times New Roman"/>
          <w:szCs w:val="24"/>
          <w:lang w:val="en-GB"/>
        </w:rPr>
        <w:t xml:space="preserve"> as follows. </w:t>
      </w:r>
      <w:r w:rsidR="00467A25" w:rsidRPr="002B7B0F">
        <w:rPr>
          <w:rFonts w:cs="Times New Roman"/>
          <w:szCs w:val="24"/>
          <w:lang w:val="en-GB"/>
        </w:rPr>
        <w:t>Section</w:t>
      </w:r>
      <w:r w:rsidRPr="002B7B0F">
        <w:rPr>
          <w:rFonts w:cs="Times New Roman"/>
          <w:szCs w:val="24"/>
          <w:lang w:val="en-GB"/>
        </w:rPr>
        <w:t xml:space="preserve"> 2 </w:t>
      </w:r>
      <w:r w:rsidR="00467A25" w:rsidRPr="002B7B0F">
        <w:rPr>
          <w:rFonts w:cs="Times New Roman"/>
          <w:szCs w:val="24"/>
          <w:lang w:val="en-GB"/>
        </w:rPr>
        <w:t xml:space="preserve">summarizes </w:t>
      </w:r>
      <w:r w:rsidR="00382AA6">
        <w:rPr>
          <w:rFonts w:cs="Times New Roman"/>
          <w:szCs w:val="24"/>
          <w:lang w:val="en-GB"/>
        </w:rPr>
        <w:t xml:space="preserve">the </w:t>
      </w:r>
      <w:r w:rsidR="00467A25" w:rsidRPr="002B7B0F">
        <w:rPr>
          <w:rFonts w:cs="Times New Roman"/>
          <w:szCs w:val="24"/>
          <w:lang w:val="en-GB"/>
        </w:rPr>
        <w:t>relevant</w:t>
      </w:r>
      <w:r w:rsidRPr="002B7B0F">
        <w:rPr>
          <w:rFonts w:cs="Times New Roman"/>
          <w:szCs w:val="24"/>
          <w:lang w:val="en-GB"/>
        </w:rPr>
        <w:t xml:space="preserve"> literature about short-term post-acquisition abnormal returns</w:t>
      </w:r>
      <w:r w:rsidR="006839AC" w:rsidRPr="002B7B0F">
        <w:rPr>
          <w:rFonts w:cs="Times New Roman"/>
          <w:szCs w:val="24"/>
          <w:lang w:val="en-GB"/>
        </w:rPr>
        <w:t xml:space="preserve"> and basic theories</w:t>
      </w:r>
      <w:r w:rsidR="00467A25" w:rsidRPr="002B7B0F">
        <w:rPr>
          <w:rFonts w:cs="Times New Roman"/>
          <w:szCs w:val="24"/>
          <w:lang w:val="en-GB"/>
        </w:rPr>
        <w:t>; Section</w:t>
      </w:r>
      <w:r w:rsidRPr="002B7B0F">
        <w:rPr>
          <w:rFonts w:cs="Times New Roman"/>
          <w:szCs w:val="24"/>
          <w:lang w:val="en-GB"/>
        </w:rPr>
        <w:t xml:space="preserve"> 3 </w:t>
      </w:r>
      <w:r w:rsidR="00382AA6">
        <w:rPr>
          <w:rFonts w:cs="Times New Roman"/>
          <w:szCs w:val="24"/>
          <w:lang w:val="en-GB"/>
        </w:rPr>
        <w:t>presents</w:t>
      </w:r>
      <w:r w:rsidR="00382AA6" w:rsidRPr="002B7B0F">
        <w:rPr>
          <w:rFonts w:cs="Times New Roman"/>
          <w:szCs w:val="24"/>
          <w:lang w:val="en-GB"/>
        </w:rPr>
        <w:t xml:space="preserve"> </w:t>
      </w:r>
      <w:r w:rsidR="00F238DD" w:rsidRPr="002B7B0F">
        <w:rPr>
          <w:rFonts w:cs="Times New Roman"/>
          <w:szCs w:val="24"/>
          <w:lang w:val="en-GB"/>
        </w:rPr>
        <w:t>a simple analysis of</w:t>
      </w:r>
      <w:r w:rsidRPr="002B7B0F">
        <w:rPr>
          <w:rFonts w:cs="Times New Roman"/>
          <w:szCs w:val="24"/>
          <w:lang w:val="en-GB"/>
        </w:rPr>
        <w:t xml:space="preserve"> the sample</w:t>
      </w:r>
      <w:r w:rsidR="00806FD6" w:rsidRPr="002B7B0F">
        <w:rPr>
          <w:rFonts w:cs="Times New Roman"/>
          <w:szCs w:val="24"/>
          <w:lang w:val="en-GB"/>
        </w:rPr>
        <w:t>, develops hypotheses,</w:t>
      </w:r>
      <w:r w:rsidRPr="002B7B0F">
        <w:rPr>
          <w:rFonts w:cs="Times New Roman"/>
          <w:szCs w:val="24"/>
          <w:lang w:val="en-GB"/>
        </w:rPr>
        <w:t xml:space="preserve"> explains </w:t>
      </w:r>
      <w:r w:rsidR="00382AA6">
        <w:rPr>
          <w:rFonts w:cs="Times New Roman"/>
          <w:szCs w:val="24"/>
          <w:lang w:val="en-GB"/>
        </w:rPr>
        <w:t xml:space="preserve">the </w:t>
      </w:r>
      <w:r w:rsidRPr="002B7B0F">
        <w:rPr>
          <w:rFonts w:cs="Times New Roman"/>
          <w:szCs w:val="24"/>
          <w:lang w:val="en-GB"/>
        </w:rPr>
        <w:t xml:space="preserve">methodologies used to assess abnormal returns during </w:t>
      </w:r>
      <w:r w:rsidR="00382AA6">
        <w:rPr>
          <w:rFonts w:cs="Times New Roman"/>
          <w:szCs w:val="24"/>
          <w:lang w:val="en-GB"/>
        </w:rPr>
        <w:t xml:space="preserve">the </w:t>
      </w:r>
      <w:r w:rsidR="00806FD6" w:rsidRPr="002B7B0F">
        <w:rPr>
          <w:rFonts w:cs="Times New Roman"/>
          <w:szCs w:val="24"/>
          <w:lang w:val="en-GB"/>
        </w:rPr>
        <w:t xml:space="preserve">takeover event </w:t>
      </w:r>
      <w:r w:rsidRPr="002B7B0F">
        <w:rPr>
          <w:rFonts w:cs="Times New Roman"/>
          <w:szCs w:val="24"/>
          <w:lang w:val="en-GB"/>
        </w:rPr>
        <w:t>announcement p</w:t>
      </w:r>
      <w:r w:rsidR="00467A25" w:rsidRPr="002B7B0F">
        <w:rPr>
          <w:rFonts w:cs="Times New Roman"/>
          <w:szCs w:val="24"/>
          <w:lang w:val="en-GB"/>
        </w:rPr>
        <w:t xml:space="preserve">eriod; Section 4 tests </w:t>
      </w:r>
      <w:r w:rsidR="002B0E34">
        <w:rPr>
          <w:rFonts w:cs="Times New Roman"/>
          <w:szCs w:val="24"/>
          <w:lang w:val="en-GB"/>
        </w:rPr>
        <w:t xml:space="preserve">the </w:t>
      </w:r>
      <w:r w:rsidRPr="002B7B0F">
        <w:rPr>
          <w:rFonts w:cs="Times New Roman"/>
          <w:szCs w:val="24"/>
          <w:lang w:val="en-GB"/>
        </w:rPr>
        <w:t>hypothes</w:t>
      </w:r>
      <w:r w:rsidR="00BD2F03">
        <w:rPr>
          <w:rFonts w:cs="Times New Roman"/>
          <w:szCs w:val="24"/>
          <w:lang w:val="en-GB"/>
        </w:rPr>
        <w:t>e</w:t>
      </w:r>
      <w:r w:rsidRPr="002B7B0F">
        <w:rPr>
          <w:rFonts w:cs="Times New Roman"/>
          <w:szCs w:val="24"/>
          <w:lang w:val="en-GB"/>
        </w:rPr>
        <w:t xml:space="preserve">s developed based on </w:t>
      </w:r>
      <w:r w:rsidR="00382AA6">
        <w:rPr>
          <w:rFonts w:cs="Times New Roman"/>
          <w:szCs w:val="24"/>
          <w:lang w:val="en-GB"/>
        </w:rPr>
        <w:t xml:space="preserve">the </w:t>
      </w:r>
      <w:r w:rsidRPr="002B7B0F">
        <w:rPr>
          <w:rFonts w:cs="Times New Roman"/>
          <w:szCs w:val="24"/>
          <w:lang w:val="en-GB"/>
        </w:rPr>
        <w:t xml:space="preserve">research findings </w:t>
      </w:r>
      <w:r w:rsidR="00467A25" w:rsidRPr="002B7B0F">
        <w:rPr>
          <w:rFonts w:cs="Times New Roman"/>
          <w:szCs w:val="24"/>
          <w:lang w:val="en-GB"/>
        </w:rPr>
        <w:t>and</w:t>
      </w:r>
      <w:r w:rsidRPr="002B7B0F">
        <w:rPr>
          <w:rFonts w:cs="Times New Roman"/>
          <w:szCs w:val="24"/>
          <w:lang w:val="en-GB"/>
        </w:rPr>
        <w:t xml:space="preserve"> </w:t>
      </w:r>
      <w:r w:rsidR="00382AA6" w:rsidRPr="002B7B0F">
        <w:rPr>
          <w:rFonts w:cs="Times New Roman"/>
          <w:szCs w:val="24"/>
          <w:lang w:val="en-GB"/>
        </w:rPr>
        <w:t xml:space="preserve">comprehensively </w:t>
      </w:r>
      <w:r w:rsidR="00806FD6" w:rsidRPr="002B7B0F">
        <w:rPr>
          <w:rFonts w:cs="Times New Roman"/>
          <w:szCs w:val="24"/>
          <w:lang w:val="en-GB"/>
        </w:rPr>
        <w:t>explain</w:t>
      </w:r>
      <w:r w:rsidR="00382AA6">
        <w:rPr>
          <w:rFonts w:cs="Times New Roman"/>
          <w:szCs w:val="24"/>
          <w:lang w:val="en-GB"/>
        </w:rPr>
        <w:t>s</w:t>
      </w:r>
      <w:r w:rsidRPr="002B7B0F">
        <w:rPr>
          <w:rFonts w:cs="Times New Roman"/>
          <w:szCs w:val="24"/>
          <w:lang w:val="en-GB"/>
        </w:rPr>
        <w:t xml:space="preserve"> the empirical results derived by all models. </w:t>
      </w:r>
      <w:r w:rsidR="00467A25" w:rsidRPr="002B7B0F">
        <w:rPr>
          <w:rFonts w:cs="Times New Roman"/>
          <w:szCs w:val="24"/>
          <w:lang w:val="en-GB"/>
        </w:rPr>
        <w:t xml:space="preserve">Section 5 </w:t>
      </w:r>
      <w:r w:rsidRPr="002B7B0F">
        <w:rPr>
          <w:rFonts w:cs="Times New Roman"/>
          <w:szCs w:val="24"/>
          <w:lang w:val="en-GB"/>
        </w:rPr>
        <w:t>concludes and summarizes</w:t>
      </w:r>
      <w:r w:rsidR="00806FD6" w:rsidRPr="002B7B0F">
        <w:rPr>
          <w:rFonts w:cs="Times New Roman"/>
          <w:szCs w:val="24"/>
          <w:lang w:val="en-GB"/>
        </w:rPr>
        <w:t xml:space="preserve"> the full study</w:t>
      </w:r>
      <w:r w:rsidRPr="002B7B0F">
        <w:rPr>
          <w:rFonts w:cs="Times New Roman"/>
          <w:szCs w:val="24"/>
          <w:lang w:val="en-GB"/>
        </w:rPr>
        <w:t xml:space="preserve">. </w:t>
      </w:r>
    </w:p>
    <w:p w14:paraId="27938014" w14:textId="1610164F" w:rsidR="00937398" w:rsidRPr="002B7B0F" w:rsidRDefault="00C242BC" w:rsidP="00897E23">
      <w:pPr>
        <w:pStyle w:val="Heading1"/>
        <w:numPr>
          <w:ilvl w:val="0"/>
          <w:numId w:val="0"/>
        </w:numPr>
        <w:spacing w:before="360" w:after="360"/>
        <w:jc w:val="both"/>
        <w:rPr>
          <w:lang w:val="en-GB"/>
        </w:rPr>
      </w:pPr>
      <w:bookmarkStart w:id="5" w:name="_Toc491851507"/>
      <w:bookmarkStart w:id="6" w:name="_Toc491693158"/>
      <w:bookmarkStart w:id="7" w:name="_Toc491693478"/>
      <w:bookmarkStart w:id="8" w:name="_Toc491699369"/>
      <w:bookmarkStart w:id="9" w:name="_Toc491700341"/>
      <w:bookmarkStart w:id="10" w:name="_Toc491701475"/>
      <w:bookmarkStart w:id="11" w:name="_Toc491851508"/>
      <w:bookmarkEnd w:id="5"/>
      <w:r w:rsidRPr="002B7B0F">
        <w:rPr>
          <w:lang w:val="en-GB"/>
        </w:rPr>
        <w:t xml:space="preserve">2. </w:t>
      </w:r>
      <w:r w:rsidR="00937398" w:rsidRPr="002B7B0F">
        <w:rPr>
          <w:lang w:val="en-GB"/>
        </w:rPr>
        <w:t>Literature Review</w:t>
      </w:r>
      <w:bookmarkEnd w:id="6"/>
      <w:bookmarkEnd w:id="7"/>
      <w:bookmarkEnd w:id="8"/>
      <w:bookmarkEnd w:id="9"/>
      <w:bookmarkEnd w:id="10"/>
      <w:bookmarkEnd w:id="11"/>
    </w:p>
    <w:p w14:paraId="69224E50" w14:textId="38464060" w:rsidR="009472B6" w:rsidRPr="002B7B0F" w:rsidRDefault="00284EDF" w:rsidP="009472B6">
      <w:pPr>
        <w:ind w:firstLine="480"/>
        <w:rPr>
          <w:rFonts w:cs="Times New Roman"/>
          <w:szCs w:val="24"/>
          <w:lang w:val="en-GB"/>
        </w:rPr>
      </w:pPr>
      <w:r w:rsidRPr="002B7B0F">
        <w:rPr>
          <w:rFonts w:cs="Times New Roman"/>
          <w:szCs w:val="24"/>
          <w:lang w:val="en-GB"/>
        </w:rPr>
        <w:t xml:space="preserve">Over the past three decades, </w:t>
      </w:r>
      <w:r w:rsidR="00382AA6">
        <w:rPr>
          <w:rFonts w:cs="Times New Roman"/>
          <w:szCs w:val="24"/>
          <w:lang w:val="en-GB"/>
        </w:rPr>
        <w:t>much</w:t>
      </w:r>
      <w:r w:rsidR="00C242BC" w:rsidRPr="002B7B0F">
        <w:rPr>
          <w:rFonts w:cs="Times New Roman"/>
          <w:szCs w:val="24"/>
          <w:lang w:val="en-GB"/>
        </w:rPr>
        <w:t xml:space="preserve"> research has</w:t>
      </w:r>
      <w:r w:rsidRPr="002B7B0F">
        <w:rPr>
          <w:rFonts w:cs="Times New Roman"/>
          <w:szCs w:val="24"/>
          <w:lang w:val="en-GB"/>
        </w:rPr>
        <w:t xml:space="preserve"> been concentrated on </w:t>
      </w:r>
      <w:r w:rsidR="00F84526" w:rsidRPr="002B7B0F">
        <w:rPr>
          <w:rFonts w:cs="Times New Roman"/>
          <w:szCs w:val="24"/>
          <w:lang w:val="en-GB"/>
        </w:rPr>
        <w:t>merger and acquisition</w:t>
      </w:r>
      <w:r w:rsidRPr="002B7B0F">
        <w:rPr>
          <w:rFonts w:cs="Times New Roman"/>
          <w:szCs w:val="24"/>
          <w:lang w:val="en-GB"/>
        </w:rPr>
        <w:t xml:space="preserve"> events. The bidders’ pre-acquisition and post-acquisition performances have been examined and attempts have been made to isolate and measure the influence of merger</w:t>
      </w:r>
      <w:r w:rsidR="00382AA6">
        <w:rPr>
          <w:rFonts w:cs="Times New Roman"/>
          <w:szCs w:val="24"/>
          <w:lang w:val="en-GB"/>
        </w:rPr>
        <w:t>s</w:t>
      </w:r>
      <w:r w:rsidRPr="002B7B0F">
        <w:rPr>
          <w:rFonts w:cs="Times New Roman"/>
          <w:szCs w:val="24"/>
          <w:lang w:val="en-GB"/>
        </w:rPr>
        <w:t xml:space="preserve"> and acquisition</w:t>
      </w:r>
      <w:r w:rsidR="00382AA6">
        <w:rPr>
          <w:rFonts w:cs="Times New Roman"/>
          <w:szCs w:val="24"/>
          <w:lang w:val="en-GB"/>
        </w:rPr>
        <w:t>s</w:t>
      </w:r>
      <w:r w:rsidRPr="002B7B0F">
        <w:rPr>
          <w:rFonts w:cs="Times New Roman"/>
          <w:szCs w:val="24"/>
          <w:lang w:val="en-GB"/>
        </w:rPr>
        <w:t xml:space="preserve"> from other business activities. In general, w</w:t>
      </w:r>
      <w:r w:rsidR="00937398" w:rsidRPr="002B7B0F">
        <w:rPr>
          <w:rFonts w:cs="Times New Roman"/>
          <w:szCs w:val="24"/>
          <w:lang w:val="en-GB"/>
        </w:rPr>
        <w:t>hether mergers and acquisitions can create value</w:t>
      </w:r>
      <w:r w:rsidRPr="002B7B0F">
        <w:rPr>
          <w:rFonts w:cs="Times New Roman"/>
          <w:szCs w:val="24"/>
          <w:lang w:val="en-GB"/>
        </w:rPr>
        <w:t xml:space="preserve"> is still</w:t>
      </w:r>
      <w:r w:rsidR="008C2CCA" w:rsidRPr="002B7B0F">
        <w:rPr>
          <w:rFonts w:cs="Times New Roman"/>
          <w:szCs w:val="24"/>
          <w:lang w:val="en-GB"/>
        </w:rPr>
        <w:t xml:space="preserve"> inconclusive</w:t>
      </w:r>
      <w:r w:rsidR="00937398" w:rsidRPr="002B7B0F">
        <w:rPr>
          <w:rFonts w:cs="Times New Roman"/>
          <w:szCs w:val="24"/>
          <w:lang w:val="en-GB"/>
        </w:rPr>
        <w:t>. Some empirical research offers ev</w:t>
      </w:r>
      <w:r w:rsidR="008A6CE2" w:rsidRPr="002B7B0F">
        <w:rPr>
          <w:rFonts w:cs="Times New Roman"/>
          <w:szCs w:val="24"/>
          <w:lang w:val="en-GB"/>
        </w:rPr>
        <w:t>idence that</w:t>
      </w:r>
      <w:r w:rsidR="00937398" w:rsidRPr="002B7B0F">
        <w:rPr>
          <w:rFonts w:cs="Times New Roman"/>
          <w:szCs w:val="24"/>
          <w:lang w:val="en-GB"/>
        </w:rPr>
        <w:t xml:space="preserve"> bidding </w:t>
      </w:r>
      <w:r w:rsidR="008A6CE2" w:rsidRPr="002B7B0F">
        <w:rPr>
          <w:rFonts w:cs="Times New Roman"/>
          <w:szCs w:val="24"/>
          <w:lang w:val="en-GB"/>
        </w:rPr>
        <w:t>companies</w:t>
      </w:r>
      <w:r w:rsidR="00937398" w:rsidRPr="002B7B0F">
        <w:rPr>
          <w:rFonts w:cs="Times New Roman"/>
          <w:szCs w:val="24"/>
          <w:lang w:val="en-GB"/>
        </w:rPr>
        <w:t xml:space="preserve"> receive significant positive excess returns during the announcement period (Bradley et al. 1988; Le and Schultz 2007; Humphery-Jenner and Powell 2011) whereas some studies </w:t>
      </w:r>
      <w:r w:rsidR="008A6CE2" w:rsidRPr="002B7B0F">
        <w:rPr>
          <w:rFonts w:cs="Times New Roman"/>
          <w:szCs w:val="24"/>
          <w:lang w:val="en-GB"/>
        </w:rPr>
        <w:t>observe</w:t>
      </w:r>
      <w:r w:rsidR="004A0D81" w:rsidRPr="002B7B0F">
        <w:rPr>
          <w:rFonts w:cs="Times New Roman"/>
          <w:szCs w:val="24"/>
          <w:lang w:val="en-GB"/>
        </w:rPr>
        <w:t xml:space="preserve"> negative return</w:t>
      </w:r>
      <w:r w:rsidR="008A6CE2" w:rsidRPr="002B7B0F">
        <w:rPr>
          <w:rFonts w:cs="Times New Roman"/>
          <w:szCs w:val="24"/>
          <w:lang w:val="en-GB"/>
        </w:rPr>
        <w:t>s</w:t>
      </w:r>
      <w:r w:rsidR="004A0D81" w:rsidRPr="002B7B0F">
        <w:rPr>
          <w:rFonts w:cs="Times New Roman"/>
          <w:szCs w:val="24"/>
          <w:lang w:val="en-GB"/>
        </w:rPr>
        <w:t xml:space="preserve"> to acquirers</w:t>
      </w:r>
      <w:r w:rsidR="00937398" w:rsidRPr="002B7B0F">
        <w:rPr>
          <w:rFonts w:cs="Times New Roman"/>
          <w:szCs w:val="24"/>
          <w:lang w:val="en-GB"/>
        </w:rPr>
        <w:t xml:space="preserve"> (Sudarsanam et al. 1996</w:t>
      </w:r>
      <w:r w:rsidR="004A0D81" w:rsidRPr="002B7B0F">
        <w:rPr>
          <w:rFonts w:cs="Times New Roman"/>
          <w:szCs w:val="24"/>
          <w:lang w:val="en-GB"/>
        </w:rPr>
        <w:t>;</w:t>
      </w:r>
      <w:r w:rsidR="00860192" w:rsidRPr="002B7B0F">
        <w:rPr>
          <w:rFonts w:cs="Times New Roman"/>
          <w:szCs w:val="24"/>
          <w:lang w:val="en-GB"/>
        </w:rPr>
        <w:t xml:space="preserve"> Walker 2000; Ant</w:t>
      </w:r>
      <w:r w:rsidR="00937398" w:rsidRPr="002B7B0F">
        <w:rPr>
          <w:rFonts w:cs="Times New Roman"/>
          <w:szCs w:val="24"/>
          <w:lang w:val="en-GB"/>
        </w:rPr>
        <w:t>o</w:t>
      </w:r>
      <w:r w:rsidR="00860192" w:rsidRPr="002B7B0F">
        <w:rPr>
          <w:rFonts w:cs="Times New Roman"/>
          <w:szCs w:val="24"/>
          <w:lang w:val="en-GB"/>
        </w:rPr>
        <w:t>n</w:t>
      </w:r>
      <w:r w:rsidR="00937398" w:rsidRPr="002B7B0F">
        <w:rPr>
          <w:rFonts w:cs="Times New Roman"/>
          <w:szCs w:val="24"/>
          <w:lang w:val="en-GB"/>
        </w:rPr>
        <w:t>iou et al. 2008a).</w:t>
      </w:r>
      <w:r w:rsidR="008A6CE2" w:rsidRPr="002B7B0F">
        <w:rPr>
          <w:rFonts w:cs="Times New Roman"/>
          <w:szCs w:val="24"/>
          <w:lang w:val="en-GB"/>
        </w:rPr>
        <w:t xml:space="preserve"> A number of other studies</w:t>
      </w:r>
      <w:r w:rsidR="00937398" w:rsidRPr="002B7B0F">
        <w:rPr>
          <w:rFonts w:cs="Times New Roman"/>
          <w:szCs w:val="24"/>
          <w:lang w:val="en-GB"/>
        </w:rPr>
        <w:t xml:space="preserve"> pro</w:t>
      </w:r>
      <w:r w:rsidR="00382AA6">
        <w:rPr>
          <w:rFonts w:cs="Times New Roman"/>
          <w:szCs w:val="24"/>
          <w:lang w:val="en-GB"/>
        </w:rPr>
        <w:t>ve</w:t>
      </w:r>
      <w:r w:rsidR="00937398" w:rsidRPr="002B7B0F">
        <w:rPr>
          <w:rFonts w:cs="Times New Roman"/>
          <w:szCs w:val="24"/>
          <w:lang w:val="en-GB"/>
        </w:rPr>
        <w:t xml:space="preserve"> that no significant short-term cumulative abnormal returns exists (Gre</w:t>
      </w:r>
      <w:r w:rsidR="00FD7A82">
        <w:rPr>
          <w:rFonts w:cs="Times New Roman"/>
          <w:szCs w:val="24"/>
          <w:lang w:val="en-GB"/>
        </w:rPr>
        <w:t>gory 1997; Andrade et al. 2001)</w:t>
      </w:r>
      <w:r w:rsidR="008858BB" w:rsidRPr="002B7B0F">
        <w:rPr>
          <w:rFonts w:cs="Times New Roman"/>
          <w:szCs w:val="24"/>
          <w:lang w:val="en-GB"/>
        </w:rPr>
        <w:t xml:space="preserve">. </w:t>
      </w:r>
      <w:r w:rsidR="009472B6" w:rsidRPr="002B7B0F">
        <w:rPr>
          <w:rFonts w:cs="Times New Roman"/>
          <w:szCs w:val="24"/>
          <w:lang w:val="en-GB"/>
        </w:rPr>
        <w:t>A</w:t>
      </w:r>
      <w:r w:rsidR="00382AA6">
        <w:rPr>
          <w:rFonts w:cs="Times New Roman"/>
          <w:szCs w:val="24"/>
          <w:lang w:val="en-GB"/>
        </w:rPr>
        <w:t>n in-depth</w:t>
      </w:r>
      <w:r w:rsidR="009472B6" w:rsidRPr="002B7B0F">
        <w:rPr>
          <w:rFonts w:cs="Times New Roman"/>
          <w:szCs w:val="24"/>
          <w:lang w:val="en-GB"/>
        </w:rPr>
        <w:t xml:space="preserve"> study conducted by Alexandridis et al. (2010) reports that the market response to the acquisition announcements relies on the level of competitiveness in the market for corporate control. Bidders are more likely to </w:t>
      </w:r>
      <w:r w:rsidR="003F1D77" w:rsidRPr="002B7B0F">
        <w:rPr>
          <w:rFonts w:cs="Times New Roman"/>
          <w:szCs w:val="24"/>
          <w:lang w:val="en-GB"/>
        </w:rPr>
        <w:t xml:space="preserve">contribute </w:t>
      </w:r>
      <w:r w:rsidR="00382AA6">
        <w:rPr>
          <w:rFonts w:cs="Times New Roman"/>
          <w:szCs w:val="24"/>
          <w:lang w:val="en-GB"/>
        </w:rPr>
        <w:t xml:space="preserve">an </w:t>
      </w:r>
      <w:r w:rsidR="003F1D77" w:rsidRPr="002B7B0F">
        <w:rPr>
          <w:rFonts w:cs="Times New Roman"/>
          <w:szCs w:val="24"/>
          <w:lang w:val="en-GB"/>
        </w:rPr>
        <w:t>excess</w:t>
      </w:r>
      <w:r w:rsidR="009472B6" w:rsidRPr="002B7B0F">
        <w:rPr>
          <w:rFonts w:cs="Times New Roman"/>
          <w:szCs w:val="24"/>
          <w:lang w:val="en-GB"/>
        </w:rPr>
        <w:t xml:space="preserve"> premium when the acquisitions market is highly competitive </w:t>
      </w:r>
      <w:r w:rsidR="00382AA6">
        <w:rPr>
          <w:rFonts w:cs="Times New Roman"/>
          <w:szCs w:val="24"/>
          <w:lang w:val="en-GB"/>
        </w:rPr>
        <w:t>and</w:t>
      </w:r>
      <w:r w:rsidR="00382AA6" w:rsidRPr="002B7B0F">
        <w:rPr>
          <w:rFonts w:cs="Times New Roman"/>
          <w:szCs w:val="24"/>
          <w:lang w:val="en-GB"/>
        </w:rPr>
        <w:t xml:space="preserve"> </w:t>
      </w:r>
      <w:r w:rsidR="00382AA6">
        <w:rPr>
          <w:rFonts w:cs="Times New Roman"/>
          <w:szCs w:val="24"/>
          <w:lang w:val="en-GB"/>
        </w:rPr>
        <w:t xml:space="preserve">a </w:t>
      </w:r>
      <w:r w:rsidR="009472B6" w:rsidRPr="002B7B0F">
        <w:rPr>
          <w:rFonts w:cs="Times New Roman"/>
          <w:szCs w:val="24"/>
          <w:lang w:val="en-GB"/>
        </w:rPr>
        <w:t xml:space="preserve">lower premium </w:t>
      </w:r>
      <w:r w:rsidR="003F1D77" w:rsidRPr="002B7B0F">
        <w:rPr>
          <w:rFonts w:cs="Times New Roman"/>
          <w:szCs w:val="24"/>
          <w:lang w:val="en-GB"/>
        </w:rPr>
        <w:t xml:space="preserve">if the competition </w:t>
      </w:r>
      <w:r w:rsidR="009472B6" w:rsidRPr="002B7B0F">
        <w:rPr>
          <w:rFonts w:cs="Times New Roman"/>
          <w:szCs w:val="24"/>
          <w:lang w:val="en-GB"/>
        </w:rPr>
        <w:t xml:space="preserve">is weak. Their research indicates that there is a significantly negative correlation between the level of competition and the bidding companies’ post-acquisition abnormal return. </w:t>
      </w:r>
    </w:p>
    <w:p w14:paraId="54B2FE58" w14:textId="77777777" w:rsidR="005E1425" w:rsidRPr="002B7B0F" w:rsidRDefault="009472B6" w:rsidP="000438BB">
      <w:pPr>
        <w:ind w:firstLine="480"/>
        <w:rPr>
          <w:rFonts w:cs="Times New Roman"/>
          <w:szCs w:val="24"/>
          <w:lang w:val="en-GB"/>
        </w:rPr>
      </w:pPr>
      <w:r w:rsidRPr="002B7B0F">
        <w:rPr>
          <w:rFonts w:cs="Times New Roman"/>
          <w:szCs w:val="24"/>
          <w:lang w:val="en-GB"/>
        </w:rPr>
        <w:t>The basic theories</w:t>
      </w:r>
      <w:r w:rsidR="00EC07DF" w:rsidRPr="002B7B0F">
        <w:rPr>
          <w:rFonts w:cs="Times New Roman"/>
          <w:szCs w:val="24"/>
          <w:lang w:val="en-GB"/>
        </w:rPr>
        <w:t xml:space="preserve"> related to mergers and acquisitions are divided into two dimensions: value maximization motives and non-value maximization motives (Halpern 1983). </w:t>
      </w:r>
      <w:r w:rsidR="002F28D7" w:rsidRPr="002B7B0F">
        <w:rPr>
          <w:rFonts w:cs="Times New Roman"/>
          <w:szCs w:val="24"/>
          <w:lang w:val="en-GB"/>
        </w:rPr>
        <w:t>Common hypotheses on motivations of mergers and acquisitions include hubris, synergy, free cash flow and the market for corporate control. Hubris is introduced by Roll (1986)</w:t>
      </w:r>
      <w:r w:rsidR="00EC07DF" w:rsidRPr="002B7B0F">
        <w:rPr>
          <w:rFonts w:cs="Times New Roman"/>
          <w:szCs w:val="24"/>
          <w:lang w:val="en-GB"/>
        </w:rPr>
        <w:t xml:space="preserve">, which excludes value-added financial motivation and focuses more on personal wealth, power and corporate control. </w:t>
      </w:r>
    </w:p>
    <w:p w14:paraId="02096EB5" w14:textId="71B9109C" w:rsidR="00EC07DF" w:rsidRPr="002B7B0F" w:rsidRDefault="00CC222D" w:rsidP="000438BB">
      <w:pPr>
        <w:ind w:firstLine="480"/>
        <w:rPr>
          <w:rFonts w:cs="Times New Roman"/>
          <w:szCs w:val="24"/>
          <w:lang w:val="en-GB"/>
        </w:rPr>
      </w:pPr>
      <w:r w:rsidRPr="002B7B0F">
        <w:rPr>
          <w:rFonts w:cs="Times New Roman"/>
          <w:szCs w:val="24"/>
          <w:lang w:val="en-GB"/>
        </w:rPr>
        <w:t xml:space="preserve">Chatterjee’s (1992) </w:t>
      </w:r>
      <w:r w:rsidR="00382AA6">
        <w:rPr>
          <w:rFonts w:cs="Times New Roman"/>
          <w:szCs w:val="24"/>
          <w:lang w:val="en-GB"/>
        </w:rPr>
        <w:t>work supported the views of</w:t>
      </w:r>
      <w:r w:rsidR="00382AA6" w:rsidRPr="002B7B0F">
        <w:rPr>
          <w:rFonts w:cs="Times New Roman"/>
          <w:szCs w:val="24"/>
          <w:lang w:val="en-GB"/>
        </w:rPr>
        <w:t xml:space="preserve"> </w:t>
      </w:r>
      <w:r w:rsidRPr="002B7B0F">
        <w:rPr>
          <w:rFonts w:cs="Times New Roman"/>
          <w:szCs w:val="24"/>
          <w:lang w:val="en-GB"/>
        </w:rPr>
        <w:t>supporters of free markets that takeovers are value</w:t>
      </w:r>
      <w:r w:rsidR="00F2549F" w:rsidRPr="002B7B0F">
        <w:rPr>
          <w:rFonts w:cs="Times New Roman"/>
          <w:szCs w:val="24"/>
          <w:lang w:val="en-GB"/>
        </w:rPr>
        <w:t>-added activities, in which these</w:t>
      </w:r>
      <w:r w:rsidRPr="002B7B0F">
        <w:rPr>
          <w:rFonts w:cs="Times New Roman"/>
          <w:szCs w:val="24"/>
          <w:lang w:val="en-GB"/>
        </w:rPr>
        <w:t xml:space="preserve"> superior performance</w:t>
      </w:r>
      <w:r w:rsidR="00F2549F" w:rsidRPr="002B7B0F">
        <w:rPr>
          <w:rFonts w:cs="Times New Roman"/>
          <w:szCs w:val="24"/>
          <w:lang w:val="en-GB"/>
        </w:rPr>
        <w:t>s are</w:t>
      </w:r>
      <w:r w:rsidRPr="002B7B0F">
        <w:rPr>
          <w:rFonts w:cs="Times New Roman"/>
          <w:szCs w:val="24"/>
          <w:lang w:val="en-GB"/>
        </w:rPr>
        <w:t xml:space="preserve"> often referred to as synergy. Synergy is </w:t>
      </w:r>
      <w:r w:rsidR="00F2549F" w:rsidRPr="002B7B0F">
        <w:rPr>
          <w:rFonts w:cs="Times New Roman"/>
          <w:szCs w:val="24"/>
          <w:lang w:val="en-GB"/>
        </w:rPr>
        <w:t xml:space="preserve">also </w:t>
      </w:r>
      <w:r w:rsidRPr="002B7B0F">
        <w:rPr>
          <w:rFonts w:cs="Times New Roman"/>
          <w:szCs w:val="24"/>
          <w:lang w:val="en-GB"/>
        </w:rPr>
        <w:t>r</w:t>
      </w:r>
      <w:r w:rsidR="00F2549F" w:rsidRPr="002B7B0F">
        <w:rPr>
          <w:rFonts w:cs="Times New Roman"/>
          <w:szCs w:val="24"/>
          <w:lang w:val="en-GB"/>
        </w:rPr>
        <w:t>elated to economies of scale, economies of</w:t>
      </w:r>
      <w:r w:rsidRPr="002B7B0F">
        <w:rPr>
          <w:rFonts w:cs="Times New Roman"/>
          <w:szCs w:val="24"/>
          <w:lang w:val="en-GB"/>
        </w:rPr>
        <w:t xml:space="preserve"> scope and the growth of market power. </w:t>
      </w:r>
      <w:r w:rsidR="00E1213E" w:rsidRPr="002B7B0F">
        <w:rPr>
          <w:rFonts w:cs="Times New Roman"/>
          <w:szCs w:val="24"/>
          <w:lang w:val="en-GB"/>
        </w:rPr>
        <w:t>Therefore</w:t>
      </w:r>
      <w:r w:rsidRPr="002B7B0F">
        <w:rPr>
          <w:rFonts w:cs="Times New Roman"/>
          <w:szCs w:val="24"/>
          <w:lang w:val="en-GB"/>
        </w:rPr>
        <w:t xml:space="preserve">, synergy in acquisition firms would result in enhancement of </w:t>
      </w:r>
      <w:r w:rsidR="00AF2C97">
        <w:rPr>
          <w:rFonts w:cs="Times New Roman"/>
          <w:szCs w:val="24"/>
          <w:lang w:val="en-GB"/>
        </w:rPr>
        <w:t xml:space="preserve">the </w:t>
      </w:r>
      <w:r w:rsidRPr="002B7B0F">
        <w:rPr>
          <w:rFonts w:cs="Times New Roman"/>
          <w:szCs w:val="24"/>
          <w:lang w:val="en-GB"/>
        </w:rPr>
        <w:t xml:space="preserve">profitability </w:t>
      </w:r>
      <w:r w:rsidR="00AF2C97">
        <w:rPr>
          <w:rFonts w:cs="Times New Roman"/>
          <w:szCs w:val="24"/>
          <w:lang w:val="en-GB"/>
        </w:rPr>
        <w:t>of the</w:t>
      </w:r>
      <w:r w:rsidR="00AF2C97" w:rsidRPr="002B7B0F">
        <w:rPr>
          <w:rFonts w:cs="Times New Roman"/>
          <w:szCs w:val="24"/>
          <w:lang w:val="en-GB"/>
        </w:rPr>
        <w:t xml:space="preserve"> </w:t>
      </w:r>
      <w:r w:rsidRPr="002B7B0F">
        <w:rPr>
          <w:rFonts w:cs="Times New Roman"/>
          <w:szCs w:val="24"/>
          <w:lang w:val="en-GB"/>
        </w:rPr>
        <w:t xml:space="preserve">new economic entity, reduction in operating and financing costs as well as improvement of firms’ operational performance (Sharma and Ho 2002). The theory of free cash flow argues that managers tend to use free cash flows to make </w:t>
      </w:r>
      <w:r w:rsidR="00061B67" w:rsidRPr="002B7B0F">
        <w:rPr>
          <w:rFonts w:cs="Times New Roman"/>
          <w:szCs w:val="24"/>
          <w:lang w:val="en-GB"/>
        </w:rPr>
        <w:t xml:space="preserve">negative net present value </w:t>
      </w:r>
      <w:r w:rsidRPr="002B7B0F">
        <w:rPr>
          <w:rFonts w:cs="Times New Roman"/>
          <w:szCs w:val="24"/>
          <w:lang w:val="en-GB"/>
        </w:rPr>
        <w:t xml:space="preserve">investments, which </w:t>
      </w:r>
      <w:r w:rsidR="00AF2C97">
        <w:rPr>
          <w:rFonts w:cs="Times New Roman"/>
          <w:szCs w:val="24"/>
          <w:lang w:val="en-GB"/>
        </w:rPr>
        <w:t>runs counter to</w:t>
      </w:r>
      <w:r w:rsidRPr="002B7B0F">
        <w:rPr>
          <w:rFonts w:cs="Times New Roman"/>
          <w:szCs w:val="24"/>
          <w:lang w:val="en-GB"/>
        </w:rPr>
        <w:t xml:space="preserve"> the criteria of maximizing shareholder</w:t>
      </w:r>
      <w:r w:rsidR="00AF2C97">
        <w:rPr>
          <w:rFonts w:cs="Times New Roman"/>
          <w:szCs w:val="24"/>
          <w:lang w:val="en-GB"/>
        </w:rPr>
        <w:t>s’</w:t>
      </w:r>
      <w:r w:rsidRPr="002B7B0F">
        <w:rPr>
          <w:rFonts w:cs="Times New Roman"/>
          <w:szCs w:val="24"/>
          <w:lang w:val="en-GB"/>
        </w:rPr>
        <w:t xml:space="preserve"> wealth (Jensen 1986). The market for corporate control theory applies when bidders have supervised management teams and take over less competent managers’ goals. Several management teams compete to obtain management power of the company which can at least ensure it is the most efficient team that </w:t>
      </w:r>
      <w:r w:rsidR="00085DB2">
        <w:rPr>
          <w:rFonts w:cs="Times New Roman"/>
          <w:szCs w:val="24"/>
          <w:lang w:val="en-GB"/>
        </w:rPr>
        <w:t xml:space="preserve">is </w:t>
      </w:r>
      <w:r w:rsidRPr="002B7B0F">
        <w:rPr>
          <w:rFonts w:cs="Times New Roman"/>
          <w:szCs w:val="24"/>
          <w:lang w:val="en-GB"/>
        </w:rPr>
        <w:t xml:space="preserve">in charge of the company (Sharma and Ho 2002). </w:t>
      </w:r>
    </w:p>
    <w:p w14:paraId="76AE8EA2" w14:textId="3EE5FABA" w:rsidR="00897E23" w:rsidRPr="002B7B0F" w:rsidRDefault="00897E23" w:rsidP="00897E23">
      <w:pPr>
        <w:ind w:firstLine="480"/>
        <w:rPr>
          <w:rFonts w:cs="Times New Roman"/>
          <w:szCs w:val="24"/>
          <w:lang w:val="en-GB"/>
        </w:rPr>
      </w:pPr>
      <w:r w:rsidRPr="002B7B0F">
        <w:rPr>
          <w:rFonts w:cs="Times New Roman"/>
          <w:szCs w:val="24"/>
          <w:lang w:val="en-GB"/>
        </w:rPr>
        <w:t xml:space="preserve">Some researchers believe that the inconclusive results related to the market reaction of the acquiring company may be caused by the inability to control the effect of various bid features and specific firm characteristics. Therefore, a number of bid and firm characteristics are </w:t>
      </w:r>
      <w:r w:rsidR="00061B67" w:rsidRPr="002B7B0F">
        <w:rPr>
          <w:rFonts w:cs="Times New Roman"/>
          <w:szCs w:val="24"/>
          <w:lang w:val="en-GB"/>
        </w:rPr>
        <w:t>included</w:t>
      </w:r>
      <w:r w:rsidRPr="002B7B0F">
        <w:rPr>
          <w:rFonts w:cs="Times New Roman"/>
          <w:szCs w:val="24"/>
          <w:lang w:val="en-GB"/>
        </w:rPr>
        <w:t xml:space="preserve"> in this </w:t>
      </w:r>
      <w:r w:rsidR="00061B67" w:rsidRPr="002B7B0F">
        <w:rPr>
          <w:rFonts w:cs="Times New Roman"/>
          <w:szCs w:val="24"/>
          <w:lang w:val="en-GB"/>
        </w:rPr>
        <w:t>study</w:t>
      </w:r>
      <w:r w:rsidRPr="002B7B0F">
        <w:rPr>
          <w:rFonts w:cs="Times New Roman"/>
          <w:szCs w:val="24"/>
          <w:lang w:val="en-GB"/>
        </w:rPr>
        <w:t xml:space="preserve">. Bidding features selected in this research </w:t>
      </w:r>
      <w:r w:rsidR="00085DB2">
        <w:rPr>
          <w:rFonts w:cs="Times New Roman"/>
          <w:szCs w:val="24"/>
          <w:lang w:val="en-GB"/>
        </w:rPr>
        <w:t>include</w:t>
      </w:r>
      <w:r w:rsidR="00085DB2" w:rsidRPr="002B7B0F">
        <w:rPr>
          <w:rFonts w:cs="Times New Roman"/>
          <w:szCs w:val="24"/>
          <w:lang w:val="en-GB"/>
        </w:rPr>
        <w:t xml:space="preserve"> </w:t>
      </w:r>
      <w:r w:rsidRPr="002B7B0F">
        <w:rPr>
          <w:rFonts w:cs="Times New Roman"/>
          <w:szCs w:val="24"/>
          <w:lang w:val="en-GB"/>
        </w:rPr>
        <w:t>type of</w:t>
      </w:r>
      <w:r w:rsidR="00F446ED" w:rsidRPr="002B7B0F">
        <w:rPr>
          <w:rFonts w:cs="Times New Roman"/>
          <w:szCs w:val="24"/>
          <w:lang w:val="en-GB"/>
        </w:rPr>
        <w:t xml:space="preserve"> payment, relative deal size,</w:t>
      </w:r>
      <w:r w:rsidRPr="002B7B0F">
        <w:rPr>
          <w:rFonts w:cs="Times New Roman"/>
          <w:szCs w:val="24"/>
          <w:lang w:val="en-GB"/>
        </w:rPr>
        <w:t xml:space="preserve"> relevance of industry </w:t>
      </w:r>
      <w:r w:rsidR="008858BB" w:rsidRPr="002B7B0F">
        <w:rPr>
          <w:rFonts w:cs="Times New Roman"/>
          <w:szCs w:val="24"/>
          <w:lang w:val="en-GB"/>
        </w:rPr>
        <w:t xml:space="preserve">and multiple bids </w:t>
      </w:r>
      <w:r w:rsidRPr="002B7B0F">
        <w:rPr>
          <w:rFonts w:cs="Times New Roman"/>
          <w:szCs w:val="24"/>
          <w:lang w:val="en-GB"/>
        </w:rPr>
        <w:t>while firm characteristics are size of the bidding firm, free cash flow, leverage and profitability</w:t>
      </w:r>
      <w:r w:rsidR="00653AFF" w:rsidRPr="002B7B0F">
        <w:rPr>
          <w:rFonts w:cs="Times New Roman"/>
          <w:szCs w:val="24"/>
          <w:lang w:val="en-GB"/>
        </w:rPr>
        <w:t>.</w:t>
      </w:r>
    </w:p>
    <w:p w14:paraId="5B870C1F" w14:textId="63BF23FC" w:rsidR="009B7019" w:rsidRPr="002B7B0F" w:rsidRDefault="00890910" w:rsidP="009B7019">
      <w:pPr>
        <w:ind w:firstLine="480"/>
        <w:rPr>
          <w:rFonts w:cs="Times New Roman"/>
          <w:szCs w:val="24"/>
          <w:lang w:val="en-GB"/>
        </w:rPr>
      </w:pPr>
      <w:r w:rsidRPr="002B7B0F">
        <w:rPr>
          <w:rFonts w:cs="Times New Roman"/>
          <w:szCs w:val="24"/>
          <w:lang w:val="en-GB"/>
        </w:rPr>
        <w:t xml:space="preserve">A series of theoretical models have been proposed to interpret the difference in </w:t>
      </w:r>
      <w:r w:rsidR="007A5371">
        <w:rPr>
          <w:rFonts w:cs="Times New Roman"/>
          <w:szCs w:val="24"/>
          <w:lang w:val="en-GB"/>
        </w:rPr>
        <w:t xml:space="preserve">the </w:t>
      </w:r>
      <w:r w:rsidRPr="002B7B0F">
        <w:rPr>
          <w:rFonts w:cs="Times New Roman"/>
          <w:szCs w:val="24"/>
          <w:lang w:val="en-GB"/>
        </w:rPr>
        <w:t xml:space="preserve">returns of acquirers by using </w:t>
      </w:r>
      <w:r w:rsidR="0075158E" w:rsidRPr="002B7B0F">
        <w:rPr>
          <w:rFonts w:cs="Times New Roman"/>
          <w:szCs w:val="24"/>
          <w:lang w:val="en-GB"/>
        </w:rPr>
        <w:t xml:space="preserve">diverse </w:t>
      </w:r>
      <w:r w:rsidRPr="002B7B0F">
        <w:rPr>
          <w:rFonts w:cs="Times New Roman"/>
          <w:szCs w:val="24"/>
          <w:lang w:val="en-GB"/>
        </w:rPr>
        <w:t>means of payment</w:t>
      </w:r>
      <w:r w:rsidR="0075158E" w:rsidRPr="002B7B0F">
        <w:rPr>
          <w:rFonts w:cs="Times New Roman"/>
          <w:szCs w:val="24"/>
          <w:lang w:val="en-GB"/>
        </w:rPr>
        <w:t xml:space="preserve">. One of the main reasons </w:t>
      </w:r>
      <w:r w:rsidR="007A5371">
        <w:rPr>
          <w:rFonts w:cs="Times New Roman"/>
          <w:szCs w:val="24"/>
          <w:lang w:val="en-GB"/>
        </w:rPr>
        <w:t>for</w:t>
      </w:r>
      <w:r w:rsidR="007A5371" w:rsidRPr="002B7B0F">
        <w:rPr>
          <w:rFonts w:cs="Times New Roman"/>
          <w:szCs w:val="24"/>
          <w:lang w:val="en-GB"/>
        </w:rPr>
        <w:t xml:space="preserve"> </w:t>
      </w:r>
      <w:r w:rsidR="0075158E" w:rsidRPr="002B7B0F">
        <w:rPr>
          <w:rFonts w:cs="Times New Roman"/>
          <w:szCs w:val="24"/>
          <w:lang w:val="en-GB"/>
        </w:rPr>
        <w:t>this</w:t>
      </w:r>
      <w:r w:rsidRPr="002B7B0F">
        <w:rPr>
          <w:rFonts w:cs="Times New Roman"/>
          <w:szCs w:val="24"/>
          <w:lang w:val="en-GB"/>
        </w:rPr>
        <w:t xml:space="preserve"> difference is the information symmetry of the mutual valuation between the bid and the target company, which may result in valuation risk and subsequent overpaying or adverse selection (Chang 1998). Myers and Majiuf (1984) </w:t>
      </w:r>
      <w:r w:rsidR="0075158E" w:rsidRPr="002B7B0F">
        <w:rPr>
          <w:rFonts w:cs="Times New Roman"/>
          <w:szCs w:val="24"/>
          <w:lang w:val="en-GB"/>
        </w:rPr>
        <w:t xml:space="preserve">also </w:t>
      </w:r>
      <w:r w:rsidRPr="002B7B0F">
        <w:rPr>
          <w:rFonts w:cs="Times New Roman"/>
          <w:szCs w:val="24"/>
          <w:lang w:val="en-GB"/>
        </w:rPr>
        <w:t>argue that managers prefer cash financing if they feel confident about the potential economic benefits of the acquisition</w:t>
      </w:r>
      <w:r w:rsidR="007A5371">
        <w:rPr>
          <w:rFonts w:cs="Times New Roman"/>
          <w:szCs w:val="24"/>
          <w:lang w:val="en-GB"/>
        </w:rPr>
        <w:t>,</w:t>
      </w:r>
      <w:r w:rsidR="00903C99" w:rsidRPr="002B7B0F">
        <w:rPr>
          <w:rFonts w:cs="Times New Roman"/>
          <w:szCs w:val="24"/>
          <w:lang w:val="en-GB"/>
        </w:rPr>
        <w:t xml:space="preserve"> so that cash financing can be</w:t>
      </w:r>
      <w:r w:rsidRPr="002B7B0F">
        <w:rPr>
          <w:rFonts w:cs="Times New Roman"/>
          <w:szCs w:val="24"/>
          <w:lang w:val="en-GB"/>
        </w:rPr>
        <w:t xml:space="preserve"> considered as g</w:t>
      </w:r>
      <w:r w:rsidR="00903C99" w:rsidRPr="002B7B0F">
        <w:rPr>
          <w:rFonts w:cs="Times New Roman"/>
          <w:szCs w:val="24"/>
          <w:lang w:val="en-GB"/>
        </w:rPr>
        <w:t>ood news</w:t>
      </w:r>
      <w:r w:rsidRPr="002B7B0F">
        <w:rPr>
          <w:rFonts w:cs="Times New Roman"/>
          <w:szCs w:val="24"/>
          <w:lang w:val="en-GB"/>
        </w:rPr>
        <w:t xml:space="preserve"> to market participants. Moreover, Hansen (1987) proposes that, under information asymmetri</w:t>
      </w:r>
      <w:r w:rsidR="007A5371">
        <w:rPr>
          <w:rFonts w:cs="Times New Roman"/>
          <w:szCs w:val="24"/>
          <w:lang w:val="en-GB"/>
        </w:rPr>
        <w:t>es</w:t>
      </w:r>
      <w:r w:rsidRPr="002B7B0F">
        <w:rPr>
          <w:rFonts w:cs="Times New Roman"/>
          <w:szCs w:val="24"/>
          <w:lang w:val="en-GB"/>
        </w:rPr>
        <w:t>, bidders’ payment c</w:t>
      </w:r>
      <w:r w:rsidR="0075158E" w:rsidRPr="002B7B0F">
        <w:rPr>
          <w:rFonts w:cs="Times New Roman"/>
          <w:szCs w:val="24"/>
          <w:lang w:val="en-GB"/>
        </w:rPr>
        <w:t>hoice convey</w:t>
      </w:r>
      <w:r w:rsidR="007A5371">
        <w:rPr>
          <w:rFonts w:cs="Times New Roman"/>
          <w:szCs w:val="24"/>
          <w:lang w:val="en-GB"/>
        </w:rPr>
        <w:t>s</w:t>
      </w:r>
      <w:r w:rsidR="0075158E" w:rsidRPr="002B7B0F">
        <w:rPr>
          <w:rFonts w:cs="Times New Roman"/>
          <w:szCs w:val="24"/>
          <w:lang w:val="en-GB"/>
        </w:rPr>
        <w:t xml:space="preserve"> a bargaining model, which means </w:t>
      </w:r>
      <w:r w:rsidRPr="002B7B0F">
        <w:rPr>
          <w:rFonts w:cs="Times New Roman"/>
          <w:szCs w:val="24"/>
          <w:lang w:val="en-GB"/>
        </w:rPr>
        <w:t xml:space="preserve">acquirers </w:t>
      </w:r>
      <w:r w:rsidR="0075158E" w:rsidRPr="002B7B0F">
        <w:rPr>
          <w:rFonts w:cs="Times New Roman"/>
          <w:szCs w:val="24"/>
          <w:lang w:val="en-GB"/>
        </w:rPr>
        <w:t xml:space="preserve">are more willing to choose stock-financing when they </w:t>
      </w:r>
      <w:r w:rsidRPr="002B7B0F">
        <w:rPr>
          <w:rFonts w:cs="Times New Roman"/>
          <w:szCs w:val="24"/>
          <w:lang w:val="en-GB"/>
        </w:rPr>
        <w:t xml:space="preserve">do not </w:t>
      </w:r>
      <w:r w:rsidR="0075158E" w:rsidRPr="002B7B0F">
        <w:rPr>
          <w:rFonts w:cs="Times New Roman"/>
          <w:szCs w:val="24"/>
          <w:lang w:val="en-GB"/>
        </w:rPr>
        <w:t>have precise information o</w:t>
      </w:r>
      <w:r w:rsidR="007A5371">
        <w:rPr>
          <w:rFonts w:cs="Times New Roman"/>
          <w:szCs w:val="24"/>
          <w:lang w:val="en-GB"/>
        </w:rPr>
        <w:t>n</w:t>
      </w:r>
      <w:r w:rsidRPr="002B7B0F">
        <w:rPr>
          <w:rFonts w:cs="Times New Roman"/>
          <w:szCs w:val="24"/>
          <w:lang w:val="en-GB"/>
        </w:rPr>
        <w:t xml:space="preserve"> the target </w:t>
      </w:r>
      <w:r w:rsidR="0075158E" w:rsidRPr="002B7B0F">
        <w:rPr>
          <w:rFonts w:cs="Times New Roman"/>
          <w:szCs w:val="24"/>
          <w:lang w:val="en-GB"/>
        </w:rPr>
        <w:t>value</w:t>
      </w:r>
      <w:r w:rsidR="009B7019" w:rsidRPr="002B7B0F">
        <w:rPr>
          <w:rFonts w:cs="Times New Roman"/>
          <w:szCs w:val="24"/>
          <w:lang w:val="en-GB"/>
        </w:rPr>
        <w:t xml:space="preserve">. Under this circumstance, </w:t>
      </w:r>
      <w:r w:rsidR="007A5371">
        <w:rPr>
          <w:rFonts w:cs="Times New Roman"/>
          <w:szCs w:val="24"/>
          <w:lang w:val="en-GB"/>
        </w:rPr>
        <w:t xml:space="preserve">a </w:t>
      </w:r>
      <w:r w:rsidR="009B7019" w:rsidRPr="002B7B0F">
        <w:rPr>
          <w:rFonts w:cs="Times New Roman"/>
          <w:szCs w:val="24"/>
          <w:lang w:val="en-GB"/>
        </w:rPr>
        <w:t>s</w:t>
      </w:r>
      <w:r w:rsidRPr="002B7B0F">
        <w:rPr>
          <w:rFonts w:cs="Times New Roman"/>
          <w:szCs w:val="24"/>
          <w:lang w:val="en-GB"/>
        </w:rPr>
        <w:t xml:space="preserve">tock deal </w:t>
      </w:r>
      <w:r w:rsidR="009B7019" w:rsidRPr="002B7B0F">
        <w:rPr>
          <w:rFonts w:cs="Times New Roman"/>
          <w:szCs w:val="24"/>
          <w:lang w:val="en-GB"/>
        </w:rPr>
        <w:t>is</w:t>
      </w:r>
      <w:r w:rsidRPr="002B7B0F">
        <w:rPr>
          <w:rFonts w:cs="Times New Roman"/>
          <w:szCs w:val="24"/>
          <w:lang w:val="en-GB"/>
        </w:rPr>
        <w:t xml:space="preserve"> used by </w:t>
      </w:r>
      <w:r w:rsidR="0075158E" w:rsidRPr="002B7B0F">
        <w:rPr>
          <w:rFonts w:cs="Times New Roman"/>
          <w:szCs w:val="24"/>
          <w:lang w:val="en-GB"/>
        </w:rPr>
        <w:t xml:space="preserve">acquirers to share risk </w:t>
      </w:r>
      <w:r w:rsidRPr="002B7B0F">
        <w:rPr>
          <w:rFonts w:cs="Times New Roman"/>
          <w:szCs w:val="24"/>
          <w:lang w:val="en-GB"/>
        </w:rPr>
        <w:t xml:space="preserve">(Eckbo et al. 1990). </w:t>
      </w:r>
    </w:p>
    <w:p w14:paraId="127CF454" w14:textId="26B8B6FE" w:rsidR="009B7019" w:rsidRPr="00B85700" w:rsidRDefault="00897E23" w:rsidP="00B85700">
      <w:pPr>
        <w:ind w:firstLine="480"/>
        <w:rPr>
          <w:rFonts w:cs="Times New Roman"/>
          <w:szCs w:val="24"/>
          <w:lang w:val="en-GB"/>
        </w:rPr>
      </w:pPr>
      <w:r w:rsidRPr="002B7B0F">
        <w:rPr>
          <w:rFonts w:cs="Times New Roman"/>
          <w:szCs w:val="24"/>
          <w:lang w:val="en-GB"/>
        </w:rPr>
        <w:t xml:space="preserve">The relative size of the target pertaining to the acquirer is shown as a related determining factor of the bidder’s </w:t>
      </w:r>
      <w:r w:rsidR="00061B67" w:rsidRPr="002B7B0F">
        <w:rPr>
          <w:rFonts w:cs="Times New Roman"/>
          <w:szCs w:val="24"/>
          <w:lang w:val="en-GB"/>
        </w:rPr>
        <w:t xml:space="preserve">post-takeover </w:t>
      </w:r>
      <w:r w:rsidRPr="002B7B0F">
        <w:rPr>
          <w:rFonts w:cs="Times New Roman"/>
          <w:szCs w:val="24"/>
          <w:lang w:val="en-GB"/>
        </w:rPr>
        <w:t>performan</w:t>
      </w:r>
      <w:r w:rsidR="00593D21" w:rsidRPr="002B7B0F">
        <w:rPr>
          <w:rFonts w:cs="Times New Roman"/>
          <w:szCs w:val="24"/>
          <w:lang w:val="en-GB"/>
        </w:rPr>
        <w:t>ce</w:t>
      </w:r>
      <w:r w:rsidR="00B85700">
        <w:rPr>
          <w:rFonts w:cs="Times New Roman"/>
          <w:szCs w:val="24"/>
          <w:lang w:val="en-GB"/>
        </w:rPr>
        <w:t xml:space="preserve"> </w:t>
      </w:r>
      <w:r w:rsidR="00B85700" w:rsidRPr="00923871">
        <w:rPr>
          <w:rFonts w:cs="Times New Roman"/>
          <w:szCs w:val="24"/>
          <w:lang w:val="en-GB"/>
        </w:rPr>
        <w:t>(Alexandridis et al. 2013)</w:t>
      </w:r>
      <w:r w:rsidR="00593D21" w:rsidRPr="00923871">
        <w:rPr>
          <w:rFonts w:cs="Times New Roman"/>
          <w:szCs w:val="24"/>
          <w:lang w:val="en-GB"/>
        </w:rPr>
        <w:t>.</w:t>
      </w:r>
      <w:r w:rsidR="00593D21" w:rsidRPr="002B7B0F">
        <w:rPr>
          <w:rFonts w:cs="Times New Roman"/>
          <w:szCs w:val="24"/>
          <w:lang w:val="en-GB"/>
        </w:rPr>
        <w:t xml:space="preserve"> </w:t>
      </w:r>
      <w:r w:rsidR="00B85700" w:rsidRPr="00923871">
        <w:rPr>
          <w:rFonts w:cs="Times New Roman"/>
          <w:szCs w:val="24"/>
          <w:lang w:val="en-GB"/>
        </w:rPr>
        <w:t>Erel et al. (2015)</w:t>
      </w:r>
      <w:r w:rsidR="00B85700">
        <w:rPr>
          <w:rFonts w:cs="Times New Roman"/>
          <w:szCs w:val="24"/>
          <w:lang w:val="en-GB"/>
        </w:rPr>
        <w:t xml:space="preserve"> and </w:t>
      </w:r>
      <w:r w:rsidR="00593D21" w:rsidRPr="002B7B0F">
        <w:rPr>
          <w:rFonts w:cs="Times New Roman"/>
          <w:szCs w:val="24"/>
          <w:lang w:val="en-GB"/>
        </w:rPr>
        <w:t>Kuehn (1975) argues that</w:t>
      </w:r>
      <w:r w:rsidRPr="002B7B0F">
        <w:rPr>
          <w:rFonts w:cs="Times New Roman"/>
          <w:szCs w:val="24"/>
          <w:lang w:val="en-GB"/>
        </w:rPr>
        <w:t xml:space="preserve"> acquisition</w:t>
      </w:r>
      <w:r w:rsidR="00593D21" w:rsidRPr="002B7B0F">
        <w:rPr>
          <w:rFonts w:cs="Times New Roman"/>
          <w:szCs w:val="24"/>
          <w:lang w:val="en-GB"/>
        </w:rPr>
        <w:t>s of small targets require</w:t>
      </w:r>
      <w:r w:rsidRPr="002B7B0F">
        <w:rPr>
          <w:rFonts w:cs="Times New Roman"/>
          <w:szCs w:val="24"/>
          <w:lang w:val="en-GB"/>
        </w:rPr>
        <w:t xml:space="preserve"> low</w:t>
      </w:r>
      <w:r w:rsidR="009B7019" w:rsidRPr="002B7B0F">
        <w:rPr>
          <w:rFonts w:cs="Times New Roman"/>
          <w:szCs w:val="24"/>
          <w:lang w:val="en-GB"/>
        </w:rPr>
        <w:t>er</w:t>
      </w:r>
      <w:r w:rsidRPr="002B7B0F">
        <w:rPr>
          <w:rFonts w:cs="Times New Roman"/>
          <w:szCs w:val="24"/>
          <w:lang w:val="en-GB"/>
        </w:rPr>
        <w:t xml:space="preserve"> acquisition costs </w:t>
      </w:r>
      <w:r w:rsidR="009B7019" w:rsidRPr="002B7B0F">
        <w:rPr>
          <w:rFonts w:cs="Times New Roman"/>
          <w:szCs w:val="24"/>
          <w:lang w:val="en-GB"/>
        </w:rPr>
        <w:t>from</w:t>
      </w:r>
      <w:r w:rsidRPr="002B7B0F">
        <w:rPr>
          <w:rFonts w:cs="Times New Roman"/>
          <w:szCs w:val="24"/>
          <w:lang w:val="en-GB"/>
        </w:rPr>
        <w:t xml:space="preserve"> bidders. Also, small target firms are easier to </w:t>
      </w:r>
      <w:r w:rsidR="007A5371">
        <w:rPr>
          <w:rFonts w:cs="Times New Roman"/>
          <w:szCs w:val="24"/>
          <w:lang w:val="en-GB"/>
        </w:rPr>
        <w:t>incorporate</w:t>
      </w:r>
      <w:r w:rsidR="007A5371" w:rsidRPr="002B7B0F">
        <w:rPr>
          <w:rFonts w:cs="Times New Roman"/>
          <w:szCs w:val="24"/>
          <w:lang w:val="en-GB"/>
        </w:rPr>
        <w:t xml:space="preserve"> </w:t>
      </w:r>
      <w:r w:rsidRPr="002B7B0F">
        <w:rPr>
          <w:rFonts w:cs="Times New Roman"/>
          <w:szCs w:val="24"/>
          <w:lang w:val="en-GB"/>
        </w:rPr>
        <w:t>in the bidders</w:t>
      </w:r>
      <w:r w:rsidR="007A5371">
        <w:rPr>
          <w:rFonts w:cs="Times New Roman"/>
          <w:szCs w:val="24"/>
          <w:lang w:val="en-GB"/>
        </w:rPr>
        <w:t>’</w:t>
      </w:r>
      <w:r w:rsidRPr="002B7B0F">
        <w:rPr>
          <w:rFonts w:cs="Times New Roman"/>
          <w:szCs w:val="24"/>
          <w:lang w:val="en-GB"/>
        </w:rPr>
        <w:t xml:space="preserve"> business activities so that they are more likely to result in positive abnormal returns (</w:t>
      </w:r>
      <w:r w:rsidR="00063DAB" w:rsidRPr="00923871">
        <w:rPr>
          <w:rFonts w:cs="Times New Roman"/>
          <w:szCs w:val="24"/>
          <w:lang w:val="en-GB"/>
        </w:rPr>
        <w:t>for e.g. Bhabra and Huang, 2013;</w:t>
      </w:r>
      <w:r w:rsidR="00063DAB">
        <w:rPr>
          <w:rFonts w:cs="Times New Roman"/>
          <w:szCs w:val="24"/>
          <w:lang w:val="en-GB"/>
        </w:rPr>
        <w:t xml:space="preserve"> </w:t>
      </w:r>
      <w:r w:rsidRPr="002B7B0F">
        <w:rPr>
          <w:rFonts w:cs="Times New Roman"/>
          <w:szCs w:val="24"/>
          <w:lang w:val="en-GB"/>
        </w:rPr>
        <w:t>Boubakri et al. 2008). However, Draper and Paudyal (2006) suggest that, compared with large firms, small target</w:t>
      </w:r>
      <w:r w:rsidR="00D57F3F" w:rsidRPr="002B7B0F">
        <w:rPr>
          <w:rFonts w:cs="Times New Roman"/>
          <w:szCs w:val="24"/>
          <w:lang w:val="en-GB"/>
        </w:rPr>
        <w:t>s have</w:t>
      </w:r>
      <w:r w:rsidRPr="002B7B0F">
        <w:rPr>
          <w:rFonts w:cs="Times New Roman"/>
          <w:szCs w:val="24"/>
          <w:lang w:val="en-GB"/>
        </w:rPr>
        <w:t xml:space="preserve"> little effect</w:t>
      </w:r>
      <w:r w:rsidR="00D57F3F" w:rsidRPr="002B7B0F">
        <w:rPr>
          <w:rFonts w:cs="Times New Roman"/>
          <w:szCs w:val="24"/>
          <w:lang w:val="en-GB"/>
        </w:rPr>
        <w:t xml:space="preserve"> on</w:t>
      </w:r>
      <w:r w:rsidRPr="002B7B0F">
        <w:rPr>
          <w:rFonts w:cs="Times New Roman"/>
          <w:szCs w:val="24"/>
          <w:lang w:val="en-GB"/>
        </w:rPr>
        <w:t xml:space="preserve"> bidder</w:t>
      </w:r>
      <w:r w:rsidR="00D57F3F" w:rsidRPr="002B7B0F">
        <w:rPr>
          <w:rFonts w:cs="Times New Roman"/>
          <w:szCs w:val="24"/>
          <w:lang w:val="en-GB"/>
        </w:rPr>
        <w:t>s and</w:t>
      </w:r>
      <w:r w:rsidRPr="002B7B0F">
        <w:rPr>
          <w:rFonts w:cs="Times New Roman"/>
          <w:szCs w:val="24"/>
          <w:lang w:val="en-GB"/>
        </w:rPr>
        <w:t xml:space="preserve"> acquisition</w:t>
      </w:r>
      <w:r w:rsidR="00D57F3F" w:rsidRPr="002B7B0F">
        <w:rPr>
          <w:rFonts w:cs="Times New Roman"/>
          <w:szCs w:val="24"/>
          <w:lang w:val="en-GB"/>
        </w:rPr>
        <w:t>s</w:t>
      </w:r>
      <w:r w:rsidRPr="002B7B0F">
        <w:rPr>
          <w:rFonts w:cs="Times New Roman"/>
          <w:szCs w:val="24"/>
          <w:lang w:val="en-GB"/>
        </w:rPr>
        <w:t xml:space="preserve"> of small companies would result in less synergy</w:t>
      </w:r>
      <w:r w:rsidR="009B7019" w:rsidRPr="002B7B0F">
        <w:rPr>
          <w:rFonts w:cs="Times New Roman"/>
          <w:szCs w:val="24"/>
          <w:lang w:val="en-GB"/>
        </w:rPr>
        <w:t xml:space="preserve">. </w:t>
      </w:r>
    </w:p>
    <w:p w14:paraId="37FB4A7C" w14:textId="6FE17F8E" w:rsidR="009B7019" w:rsidRPr="002B7B0F" w:rsidRDefault="009B7019" w:rsidP="009B7019">
      <w:pPr>
        <w:ind w:firstLine="480"/>
        <w:rPr>
          <w:rFonts w:cs="Times New Roman"/>
          <w:szCs w:val="24"/>
          <w:lang w:val="en-GB"/>
        </w:rPr>
      </w:pPr>
      <w:r w:rsidRPr="002B7B0F">
        <w:rPr>
          <w:rFonts w:cs="Times New Roman"/>
          <w:szCs w:val="24"/>
          <w:lang w:val="en-GB"/>
        </w:rPr>
        <w:t>N</w:t>
      </w:r>
      <w:r w:rsidR="00897E23" w:rsidRPr="002B7B0F">
        <w:rPr>
          <w:rFonts w:cs="Times New Roman"/>
          <w:szCs w:val="24"/>
          <w:lang w:val="en-GB"/>
        </w:rPr>
        <w:t>o conclusi</w:t>
      </w:r>
      <w:r w:rsidR="00D57F3F" w:rsidRPr="002B7B0F">
        <w:rPr>
          <w:rFonts w:cs="Times New Roman"/>
          <w:szCs w:val="24"/>
          <w:lang w:val="en-GB"/>
        </w:rPr>
        <w:t xml:space="preserve">ve results have been </w:t>
      </w:r>
      <w:r w:rsidR="007A5371">
        <w:rPr>
          <w:rFonts w:cs="Times New Roman"/>
          <w:szCs w:val="24"/>
          <w:lang w:val="en-GB"/>
        </w:rPr>
        <w:t>found</w:t>
      </w:r>
      <w:r w:rsidR="007A5371" w:rsidRPr="002B7B0F">
        <w:rPr>
          <w:rFonts w:cs="Times New Roman"/>
          <w:szCs w:val="24"/>
          <w:lang w:val="en-GB"/>
        </w:rPr>
        <w:t xml:space="preserve"> </w:t>
      </w:r>
      <w:r w:rsidR="00D57F3F" w:rsidRPr="002B7B0F">
        <w:rPr>
          <w:rFonts w:cs="Times New Roman"/>
          <w:szCs w:val="24"/>
          <w:lang w:val="en-GB"/>
        </w:rPr>
        <w:t>on</w:t>
      </w:r>
      <w:r w:rsidR="00897E23" w:rsidRPr="002B7B0F">
        <w:rPr>
          <w:rFonts w:cs="Times New Roman"/>
          <w:szCs w:val="24"/>
          <w:lang w:val="en-GB"/>
        </w:rPr>
        <w:t xml:space="preserve"> </w:t>
      </w:r>
      <w:r w:rsidR="00D57F3F" w:rsidRPr="002B7B0F">
        <w:rPr>
          <w:rFonts w:cs="Times New Roman"/>
          <w:szCs w:val="24"/>
          <w:lang w:val="en-GB"/>
        </w:rPr>
        <w:t xml:space="preserve">the </w:t>
      </w:r>
      <w:r w:rsidR="00930DDC" w:rsidRPr="002B7B0F">
        <w:rPr>
          <w:rFonts w:cs="Times New Roman"/>
          <w:szCs w:val="24"/>
          <w:lang w:val="en-GB"/>
        </w:rPr>
        <w:t xml:space="preserve">influences of </w:t>
      </w:r>
      <w:r w:rsidR="007A5371" w:rsidRPr="002B7B0F">
        <w:rPr>
          <w:rFonts w:cs="Times New Roman"/>
          <w:szCs w:val="24"/>
          <w:lang w:val="en-GB"/>
        </w:rPr>
        <w:t xml:space="preserve">diversified </w:t>
      </w:r>
      <w:r w:rsidR="00897E23" w:rsidRPr="002B7B0F">
        <w:rPr>
          <w:rFonts w:cs="Times New Roman"/>
          <w:szCs w:val="24"/>
          <w:lang w:val="en-GB"/>
        </w:rPr>
        <w:t xml:space="preserve">acquisitions. In </w:t>
      </w:r>
      <w:r w:rsidR="007A5371">
        <w:rPr>
          <w:rFonts w:cs="Times New Roman"/>
          <w:szCs w:val="24"/>
          <w:lang w:val="en-GB"/>
        </w:rPr>
        <w:t>an</w:t>
      </w:r>
      <w:r w:rsidR="007A5371" w:rsidRPr="002B7B0F">
        <w:rPr>
          <w:rFonts w:cs="Times New Roman"/>
          <w:szCs w:val="24"/>
          <w:lang w:val="en-GB"/>
        </w:rPr>
        <w:t xml:space="preserve"> </w:t>
      </w:r>
      <w:r w:rsidR="00897E23" w:rsidRPr="002B7B0F">
        <w:rPr>
          <w:rFonts w:cs="Times New Roman"/>
          <w:szCs w:val="24"/>
          <w:lang w:val="en-GB"/>
        </w:rPr>
        <w:t>earl</w:t>
      </w:r>
      <w:r w:rsidR="007A5371">
        <w:rPr>
          <w:rFonts w:cs="Times New Roman"/>
          <w:szCs w:val="24"/>
          <w:lang w:val="en-GB"/>
        </w:rPr>
        <w:t>ier</w:t>
      </w:r>
      <w:r w:rsidR="00897E23" w:rsidRPr="002B7B0F">
        <w:rPr>
          <w:rFonts w:cs="Times New Roman"/>
          <w:szCs w:val="24"/>
          <w:lang w:val="en-GB"/>
        </w:rPr>
        <w:t xml:space="preserve"> study, Jensen (1986) proposes that managers diversify enterprises to increase their private interests. </w:t>
      </w:r>
      <w:r w:rsidR="000A4CCC">
        <w:rPr>
          <w:rFonts w:cs="Times New Roman"/>
          <w:szCs w:val="24"/>
          <w:lang w:val="en-GB"/>
        </w:rPr>
        <w:t>Moreover</w:t>
      </w:r>
      <w:r w:rsidR="00897E23" w:rsidRPr="002B7B0F">
        <w:rPr>
          <w:rFonts w:cs="Times New Roman"/>
          <w:szCs w:val="24"/>
          <w:lang w:val="en-GB"/>
        </w:rPr>
        <w:t xml:space="preserve">, diversification of </w:t>
      </w:r>
      <w:r w:rsidR="007A5371">
        <w:rPr>
          <w:rFonts w:cs="Times New Roman"/>
          <w:szCs w:val="24"/>
          <w:lang w:val="en-GB"/>
        </w:rPr>
        <w:t xml:space="preserve">the </w:t>
      </w:r>
      <w:r w:rsidR="00897E23" w:rsidRPr="002B7B0F">
        <w:rPr>
          <w:rFonts w:cs="Times New Roman"/>
          <w:szCs w:val="24"/>
          <w:lang w:val="en-GB"/>
        </w:rPr>
        <w:t>company offers higher operational efficiency, lower taxes and greater debt capacity</w:t>
      </w:r>
      <w:r w:rsidR="00065204">
        <w:rPr>
          <w:rFonts w:cs="Times New Roman"/>
          <w:szCs w:val="24"/>
          <w:lang w:val="en-GB"/>
        </w:rPr>
        <w:t xml:space="preserve"> (Berger and Ofek, 1995; </w:t>
      </w:r>
      <w:r w:rsidR="00065204" w:rsidRPr="00923871">
        <w:rPr>
          <w:rFonts w:cs="Times New Roman"/>
          <w:szCs w:val="24"/>
          <w:lang w:val="en-GB"/>
        </w:rPr>
        <w:t>Karampatsas et al. 2014; Phan, 2014; Ahern and Fracassi, 2015 and Arikan and Stulz, 2016</w:t>
      </w:r>
      <w:r w:rsidR="00065204" w:rsidRPr="00065204">
        <w:rPr>
          <w:rFonts w:cs="Times New Roman"/>
          <w:szCs w:val="24"/>
          <w:lang w:val="en-GB"/>
        </w:rPr>
        <w:t>)</w:t>
      </w:r>
      <w:r w:rsidR="00897E23" w:rsidRPr="002B7B0F">
        <w:rPr>
          <w:rFonts w:cs="Times New Roman"/>
          <w:szCs w:val="24"/>
          <w:lang w:val="en-GB"/>
        </w:rPr>
        <w:t xml:space="preserve">. On the other hand, related acquisitions are also argued as value-creating events through economies of scale, economies of scope and market power. Moreover, in order to reduce the threat of its substitution, managers would be encouraged to takeover unrelated firms to cover up the </w:t>
      </w:r>
      <w:r w:rsidR="007A5371">
        <w:rPr>
          <w:rFonts w:cs="Times New Roman"/>
          <w:szCs w:val="24"/>
          <w:lang w:val="en-GB"/>
        </w:rPr>
        <w:t>previous poor</w:t>
      </w:r>
      <w:r w:rsidR="007A5371" w:rsidRPr="002B7B0F">
        <w:rPr>
          <w:rFonts w:cs="Times New Roman"/>
          <w:szCs w:val="24"/>
          <w:lang w:val="en-GB"/>
        </w:rPr>
        <w:t xml:space="preserve"> </w:t>
      </w:r>
      <w:r w:rsidR="00897E23" w:rsidRPr="002B7B0F">
        <w:rPr>
          <w:rFonts w:cs="Times New Roman"/>
          <w:szCs w:val="24"/>
          <w:lang w:val="en-GB"/>
        </w:rPr>
        <w:t xml:space="preserve">performance of the business (Shleifer and Vishny 1989). </w:t>
      </w:r>
      <w:bookmarkStart w:id="12" w:name="_Toc491851516"/>
    </w:p>
    <w:p w14:paraId="464411CD" w14:textId="38E75F1A" w:rsidR="00134FED" w:rsidRPr="002B7B0F" w:rsidRDefault="00134FED" w:rsidP="002C418C">
      <w:pPr>
        <w:ind w:firstLine="480"/>
        <w:contextualSpacing/>
        <w:rPr>
          <w:rFonts w:cs="Times New Roman"/>
          <w:lang w:val="en-GB"/>
        </w:rPr>
      </w:pPr>
      <w:r w:rsidRPr="002B7B0F">
        <w:rPr>
          <w:rFonts w:cs="Times New Roman"/>
          <w:lang w:val="en-GB"/>
        </w:rPr>
        <w:t xml:space="preserve">Frequent bidders tend to perform better due to their richer experience, more abundant funds and stronger capability to carry out acquisitions events and may obtain more positive responses in subsequent bids (Fowler and Schmidt 1989). Recurrent acquisitions can also send signals to target firms that bidders are expanding and have </w:t>
      </w:r>
      <w:r w:rsidR="00A83ECB">
        <w:rPr>
          <w:rFonts w:cs="Times New Roman"/>
          <w:lang w:val="en-GB"/>
        </w:rPr>
        <w:t>positive</w:t>
      </w:r>
      <w:r w:rsidR="00A83ECB" w:rsidRPr="002B7B0F">
        <w:rPr>
          <w:rFonts w:cs="Times New Roman"/>
          <w:lang w:val="en-GB"/>
        </w:rPr>
        <w:t xml:space="preserve"> </w:t>
      </w:r>
      <w:r w:rsidRPr="002B7B0F">
        <w:rPr>
          <w:rFonts w:cs="Times New Roman"/>
          <w:lang w:val="en-GB"/>
        </w:rPr>
        <w:t xml:space="preserve">and promising prospects </w:t>
      </w:r>
      <w:r w:rsidR="00F053D7" w:rsidRPr="00923871">
        <w:rPr>
          <w:rFonts w:cs="Times New Roman"/>
          <w:lang w:val="en-GB"/>
        </w:rPr>
        <w:t>(for e.g. see Boubakri et al. 2008; Gaur et al., 2013 and Tao et al. 2017).</w:t>
      </w:r>
      <w:r w:rsidR="00F053D7" w:rsidRPr="002B7B0F">
        <w:rPr>
          <w:rFonts w:cs="Times New Roman"/>
          <w:lang w:val="en-GB"/>
        </w:rPr>
        <w:t xml:space="preserve"> </w:t>
      </w:r>
      <w:r w:rsidRPr="002B7B0F">
        <w:rPr>
          <w:rFonts w:cs="Times New Roman"/>
          <w:lang w:val="en-GB"/>
        </w:rPr>
        <w:t xml:space="preserve">However, Fuller et al. (2002) point out that in follow-up transactions, the negotiation efficiency is not high and the synergistic effect is poor. </w:t>
      </w:r>
    </w:p>
    <w:bookmarkEnd w:id="12"/>
    <w:p w14:paraId="3B73DCAA" w14:textId="7BE3C0C8" w:rsidR="00724271" w:rsidRPr="00923871" w:rsidRDefault="00AE7870" w:rsidP="00724271">
      <w:pPr>
        <w:ind w:firstLine="480"/>
        <w:contextualSpacing/>
        <w:rPr>
          <w:rFonts w:cs="Times New Roman"/>
          <w:lang w:val="en-GB"/>
        </w:rPr>
      </w:pPr>
      <w:r w:rsidRPr="00923871">
        <w:rPr>
          <w:rFonts w:cs="Times New Roman"/>
          <w:lang w:val="en-GB"/>
        </w:rPr>
        <w:t xml:space="preserve">The </w:t>
      </w:r>
      <w:r w:rsidR="00134FED" w:rsidRPr="00923871">
        <w:rPr>
          <w:rFonts w:cs="Times New Roman"/>
          <w:lang w:val="en-GB"/>
        </w:rPr>
        <w:t xml:space="preserve">studies have </w:t>
      </w:r>
      <w:r w:rsidR="006C3DD6" w:rsidRPr="00923871">
        <w:rPr>
          <w:rFonts w:cs="Times New Roman"/>
          <w:lang w:val="en-GB"/>
        </w:rPr>
        <w:t>examined</w:t>
      </w:r>
      <w:r w:rsidR="00134FED" w:rsidRPr="00923871">
        <w:rPr>
          <w:rFonts w:cs="Times New Roman"/>
          <w:lang w:val="en-GB"/>
        </w:rPr>
        <w:t xml:space="preserve"> the influence of the</w:t>
      </w:r>
      <w:r w:rsidR="00897E23" w:rsidRPr="00923871">
        <w:rPr>
          <w:rFonts w:cs="Times New Roman"/>
          <w:lang w:val="en-GB"/>
        </w:rPr>
        <w:t xml:space="preserve"> bidd</w:t>
      </w:r>
      <w:r w:rsidR="00134FED" w:rsidRPr="00923871">
        <w:rPr>
          <w:rFonts w:cs="Times New Roman"/>
          <w:lang w:val="en-GB"/>
        </w:rPr>
        <w:t xml:space="preserve">er’s size </w:t>
      </w:r>
      <w:r w:rsidR="00897E23" w:rsidRPr="00923871">
        <w:rPr>
          <w:rFonts w:cs="Times New Roman"/>
          <w:lang w:val="en-GB"/>
        </w:rPr>
        <w:t>on acquisition performance</w:t>
      </w:r>
      <w:r w:rsidRPr="00923871">
        <w:rPr>
          <w:rFonts w:cs="Times New Roman"/>
          <w:lang w:val="en-GB"/>
        </w:rPr>
        <w:t xml:space="preserve"> (Du and Boateng, 2015)</w:t>
      </w:r>
      <w:r w:rsidR="00897E23" w:rsidRPr="00923871">
        <w:rPr>
          <w:rFonts w:cs="Times New Roman"/>
          <w:lang w:val="en-GB"/>
        </w:rPr>
        <w:t xml:space="preserve">. </w:t>
      </w:r>
      <w:r w:rsidR="001D7830" w:rsidRPr="00923871">
        <w:rPr>
          <w:rFonts w:cs="Times New Roman"/>
          <w:lang w:val="en-GB"/>
        </w:rPr>
        <w:t>M</w:t>
      </w:r>
      <w:r w:rsidR="00897E23" w:rsidRPr="00923871">
        <w:rPr>
          <w:rFonts w:cs="Times New Roman"/>
          <w:lang w:val="en-GB"/>
        </w:rPr>
        <w:t xml:space="preserve">ergers between small firms are consistent with the goal of improving efficiency through economies of scale and </w:t>
      </w:r>
      <w:r w:rsidR="00A82999" w:rsidRPr="00923871">
        <w:rPr>
          <w:rFonts w:cs="Times New Roman"/>
          <w:lang w:val="en-GB"/>
        </w:rPr>
        <w:t xml:space="preserve">economies of </w:t>
      </w:r>
      <w:r w:rsidR="00897E23" w:rsidRPr="00923871">
        <w:rPr>
          <w:rFonts w:cs="Times New Roman"/>
          <w:lang w:val="en-GB"/>
        </w:rPr>
        <w:t>scope</w:t>
      </w:r>
      <w:r w:rsidR="00A83ECB" w:rsidRPr="00923871">
        <w:rPr>
          <w:rFonts w:cs="Times New Roman"/>
          <w:lang w:val="en-GB"/>
        </w:rPr>
        <w:t>,</w:t>
      </w:r>
      <w:r w:rsidR="00897E23" w:rsidRPr="00923871">
        <w:rPr>
          <w:rFonts w:cs="Times New Roman"/>
          <w:lang w:val="en-GB"/>
        </w:rPr>
        <w:t xml:space="preserve"> whereas mergers between large enterprises are more likely to seek greater market power</w:t>
      </w:r>
      <w:r w:rsidR="001D7830" w:rsidRPr="00923871">
        <w:rPr>
          <w:rFonts w:cs="Times New Roman"/>
          <w:lang w:val="en-GB"/>
        </w:rPr>
        <w:t xml:space="preserve"> (see for e.g. Gugler et al. (2003); Killing, 2013; Bena and Li, 2014; Du and Boateng, 2015 and Sherman, 2018)</w:t>
      </w:r>
      <w:r w:rsidR="00897E23" w:rsidRPr="00923871">
        <w:rPr>
          <w:rFonts w:cs="Times New Roman"/>
          <w:lang w:val="en-GB"/>
        </w:rPr>
        <w:t xml:space="preserve">. </w:t>
      </w:r>
      <w:r w:rsidR="00724271" w:rsidRPr="00923871">
        <w:rPr>
          <w:rFonts w:cs="Times New Roman"/>
          <w:lang w:val="en-GB"/>
        </w:rPr>
        <w:t>Agency cost also influence the acquisitions (</w:t>
      </w:r>
      <w:r w:rsidR="006C3DD6" w:rsidRPr="00923871">
        <w:rPr>
          <w:rFonts w:cs="Times New Roman"/>
          <w:lang w:val="en-GB"/>
        </w:rPr>
        <w:t>for e.g. Ferreira et al., 2014</w:t>
      </w:r>
      <w:r w:rsidR="00724271" w:rsidRPr="00923871">
        <w:rPr>
          <w:rFonts w:cs="Times New Roman"/>
          <w:lang w:val="en-GB"/>
        </w:rPr>
        <w:t xml:space="preserve"> and Schmidt, 2015)</w:t>
      </w:r>
      <w:r w:rsidR="006C3DD6" w:rsidRPr="00923871">
        <w:rPr>
          <w:rFonts w:cs="Times New Roman"/>
          <w:lang w:val="en-GB"/>
        </w:rPr>
        <w:t>.</w:t>
      </w:r>
      <w:r w:rsidR="00724271" w:rsidRPr="00923871">
        <w:rPr>
          <w:rFonts w:cs="Times New Roman"/>
          <w:lang w:val="en-GB"/>
        </w:rPr>
        <w:t xml:space="preserve"> </w:t>
      </w:r>
    </w:p>
    <w:p w14:paraId="00E946D3" w14:textId="24A745D4" w:rsidR="00897E23" w:rsidRPr="002B7B0F" w:rsidRDefault="00897E23" w:rsidP="00923871">
      <w:pPr>
        <w:ind w:firstLine="480"/>
        <w:contextualSpacing/>
        <w:rPr>
          <w:rFonts w:cs="Times New Roman"/>
          <w:szCs w:val="24"/>
          <w:lang w:val="en-GB"/>
        </w:rPr>
      </w:pPr>
      <w:r w:rsidRPr="00923871">
        <w:rPr>
          <w:rFonts w:cs="Times New Roman"/>
          <w:lang w:val="en-GB"/>
        </w:rPr>
        <w:t>Moeller et al. (2004) advocate that in large enterprises, the conflict</w:t>
      </w:r>
      <w:r w:rsidR="00985B93" w:rsidRPr="00923871">
        <w:rPr>
          <w:rFonts w:cs="Times New Roman"/>
          <w:lang w:val="en-GB"/>
        </w:rPr>
        <w:t xml:space="preserve"> of interest</w:t>
      </w:r>
      <w:r w:rsidRPr="00923871">
        <w:rPr>
          <w:rFonts w:cs="Times New Roman"/>
          <w:lang w:val="en-GB"/>
        </w:rPr>
        <w:t xml:space="preserve"> b</w:t>
      </w:r>
      <w:r w:rsidRPr="002B7B0F">
        <w:rPr>
          <w:rFonts w:cs="Times New Roman"/>
          <w:szCs w:val="24"/>
          <w:lang w:val="en-GB"/>
        </w:rPr>
        <w:t>etween managers and shareholders is more serious. Large corporate scales can also be used as a fairly effective acquisition defensive tool</w:t>
      </w:r>
      <w:r w:rsidR="00A83ECB">
        <w:rPr>
          <w:rFonts w:cs="Times New Roman"/>
          <w:szCs w:val="24"/>
          <w:lang w:val="en-GB"/>
        </w:rPr>
        <w:t>,</w:t>
      </w:r>
      <w:r w:rsidRPr="002B7B0F">
        <w:rPr>
          <w:rFonts w:cs="Times New Roman"/>
          <w:szCs w:val="24"/>
          <w:lang w:val="en-GB"/>
        </w:rPr>
        <w:t xml:space="preserve"> because more resources are ne</w:t>
      </w:r>
      <w:r w:rsidR="006C3DD6">
        <w:rPr>
          <w:rFonts w:cs="Times New Roman"/>
          <w:szCs w:val="24"/>
          <w:lang w:val="en-GB"/>
        </w:rPr>
        <w:t xml:space="preserve">eded to achieve larger targets </w:t>
      </w:r>
      <w:r w:rsidRPr="002B7B0F">
        <w:rPr>
          <w:rFonts w:cs="Times New Roman"/>
          <w:szCs w:val="24"/>
          <w:lang w:val="en-GB"/>
        </w:rPr>
        <w:t>(Masulis et al. 2007). However, some research also show</w:t>
      </w:r>
      <w:r w:rsidR="00A83ECB">
        <w:rPr>
          <w:rFonts w:cs="Times New Roman"/>
          <w:szCs w:val="24"/>
          <w:lang w:val="en-GB"/>
        </w:rPr>
        <w:t>s</w:t>
      </w:r>
      <w:r w:rsidRPr="002B7B0F">
        <w:rPr>
          <w:rFonts w:cs="Times New Roman"/>
          <w:szCs w:val="24"/>
          <w:lang w:val="en-GB"/>
        </w:rPr>
        <w:t xml:space="preserve"> evidence that no significant linkage between </w:t>
      </w:r>
      <w:r w:rsidR="00A83ECB">
        <w:rPr>
          <w:rFonts w:cs="Times New Roman"/>
          <w:szCs w:val="24"/>
          <w:lang w:val="en-GB"/>
        </w:rPr>
        <w:t xml:space="preserve">the </w:t>
      </w:r>
      <w:r w:rsidRPr="002B7B0F">
        <w:rPr>
          <w:rFonts w:cs="Times New Roman"/>
          <w:szCs w:val="24"/>
          <w:lang w:val="en-GB"/>
        </w:rPr>
        <w:t xml:space="preserve">size of the </w:t>
      </w:r>
      <w:r w:rsidR="00134FED" w:rsidRPr="002B7B0F">
        <w:rPr>
          <w:rFonts w:cs="Times New Roman"/>
          <w:szCs w:val="24"/>
          <w:lang w:val="en-GB"/>
        </w:rPr>
        <w:t xml:space="preserve">bidding </w:t>
      </w:r>
      <w:r w:rsidRPr="002B7B0F">
        <w:rPr>
          <w:rFonts w:cs="Times New Roman"/>
          <w:szCs w:val="24"/>
          <w:lang w:val="en-GB"/>
        </w:rPr>
        <w:t>company and the post-takeover performance exists (Healy et al. 1992; Sharma and Ho 2002). Humphery-Jenner and Powell (2011) also examine th</w:t>
      </w:r>
      <w:r w:rsidR="00134FED" w:rsidRPr="002B7B0F">
        <w:rPr>
          <w:rFonts w:cs="Times New Roman"/>
          <w:szCs w:val="24"/>
          <w:lang w:val="en-GB"/>
        </w:rPr>
        <w:t>is correlation</w:t>
      </w:r>
      <w:r w:rsidRPr="002B7B0F">
        <w:rPr>
          <w:rFonts w:cs="Times New Roman"/>
          <w:szCs w:val="24"/>
          <w:lang w:val="en-GB"/>
        </w:rPr>
        <w:t xml:space="preserve"> and they find that large acquirers obtain a significant positive return (0.56%) in the three-day event window.</w:t>
      </w:r>
    </w:p>
    <w:p w14:paraId="3A0D8E11" w14:textId="57C2B00D" w:rsidR="00897E23" w:rsidRPr="002B7B0F" w:rsidRDefault="00897E23" w:rsidP="00897E23">
      <w:pPr>
        <w:ind w:firstLine="480"/>
        <w:rPr>
          <w:rFonts w:cs="Times New Roman"/>
          <w:szCs w:val="24"/>
          <w:lang w:val="en-GB"/>
        </w:rPr>
      </w:pPr>
      <w:r w:rsidRPr="002B7B0F">
        <w:rPr>
          <w:rFonts w:cs="Times New Roman"/>
          <w:szCs w:val="24"/>
          <w:lang w:val="en-GB"/>
        </w:rPr>
        <w:t xml:space="preserve">A number of </w:t>
      </w:r>
      <w:r w:rsidR="00A83ECB">
        <w:rPr>
          <w:rFonts w:cs="Times New Roman"/>
          <w:szCs w:val="24"/>
          <w:lang w:val="en-GB"/>
        </w:rPr>
        <w:t>studies</w:t>
      </w:r>
      <w:r w:rsidR="00A83ECB" w:rsidRPr="002B7B0F">
        <w:rPr>
          <w:rFonts w:cs="Times New Roman"/>
          <w:szCs w:val="24"/>
          <w:lang w:val="en-GB"/>
        </w:rPr>
        <w:t xml:space="preserve"> </w:t>
      </w:r>
      <w:r w:rsidRPr="002B7B0F">
        <w:rPr>
          <w:rFonts w:cs="Times New Roman"/>
          <w:szCs w:val="24"/>
          <w:lang w:val="en-GB"/>
        </w:rPr>
        <w:t>predict that current free cash flow has a negative relationship with post-takeover performance</w:t>
      </w:r>
      <w:r w:rsidR="00F509D2">
        <w:rPr>
          <w:rFonts w:cs="Times New Roman"/>
          <w:szCs w:val="24"/>
          <w:lang w:val="en-GB"/>
        </w:rPr>
        <w:t xml:space="preserve"> </w:t>
      </w:r>
      <w:r w:rsidR="00F509D2" w:rsidRPr="00923871">
        <w:rPr>
          <w:rFonts w:cs="Times New Roman"/>
          <w:szCs w:val="24"/>
          <w:lang w:val="en-GB"/>
        </w:rPr>
        <w:t>(Bhabra et al., 2013; Rao-Nicholson et al., 2016 and Grigorieva and Petrunina, 2015).</w:t>
      </w:r>
      <w:r w:rsidR="00F509D2">
        <w:rPr>
          <w:rFonts w:cs="Times New Roman"/>
          <w:szCs w:val="24"/>
          <w:lang w:val="en-GB"/>
        </w:rPr>
        <w:t xml:space="preserve"> </w:t>
      </w:r>
      <w:r w:rsidRPr="002B7B0F">
        <w:rPr>
          <w:rFonts w:cs="Times New Roman"/>
          <w:szCs w:val="24"/>
          <w:lang w:val="en-GB"/>
        </w:rPr>
        <w:t xml:space="preserve">Jensen (1986) notices that the presence of high free cash flow in firms may make managers </w:t>
      </w:r>
      <w:r w:rsidR="00985B93" w:rsidRPr="002B7B0F">
        <w:rPr>
          <w:rFonts w:cs="Times New Roman"/>
          <w:szCs w:val="24"/>
          <w:lang w:val="en-GB"/>
        </w:rPr>
        <w:t>overconfident</w:t>
      </w:r>
      <w:r w:rsidRPr="002B7B0F">
        <w:rPr>
          <w:rFonts w:cs="Times New Roman"/>
          <w:szCs w:val="24"/>
          <w:lang w:val="en-GB"/>
        </w:rPr>
        <w:t xml:space="preserve"> and </w:t>
      </w:r>
      <w:r w:rsidR="00A83ECB">
        <w:rPr>
          <w:rFonts w:cs="Times New Roman"/>
          <w:szCs w:val="24"/>
          <w:lang w:val="en-GB"/>
        </w:rPr>
        <w:t>make it</w:t>
      </w:r>
      <w:r w:rsidRPr="002B7B0F">
        <w:rPr>
          <w:rFonts w:cs="Times New Roman"/>
          <w:szCs w:val="24"/>
          <w:lang w:val="en-GB"/>
        </w:rPr>
        <w:t xml:space="preserve"> easier to obtain sufficient resources </w:t>
      </w:r>
      <w:r w:rsidR="006C3DD6">
        <w:rPr>
          <w:rFonts w:cs="Times New Roman"/>
          <w:szCs w:val="24"/>
          <w:lang w:val="en-GB"/>
        </w:rPr>
        <w:t>for their imperial construction</w:t>
      </w:r>
      <w:r w:rsidRPr="002B7B0F">
        <w:rPr>
          <w:rFonts w:cs="Times New Roman"/>
          <w:szCs w:val="24"/>
          <w:lang w:val="en-GB"/>
        </w:rPr>
        <w:t>. Under the premise of supporting the concept of agency costs in free cash flows, Harford (1999) finds that large companies with substantial free cash are inclined to carr</w:t>
      </w:r>
      <w:r w:rsidR="009E7A6A" w:rsidRPr="002B7B0F">
        <w:rPr>
          <w:rFonts w:cs="Times New Roman"/>
          <w:szCs w:val="24"/>
          <w:lang w:val="en-GB"/>
        </w:rPr>
        <w:t>y out value-reducing takeovers.</w:t>
      </w:r>
      <w:r w:rsidR="00617A3E" w:rsidRPr="002B7B0F">
        <w:rPr>
          <w:rFonts w:cs="Times New Roman"/>
          <w:szCs w:val="24"/>
          <w:lang w:val="en-GB"/>
        </w:rPr>
        <w:t xml:space="preserve"> </w:t>
      </w:r>
      <w:r w:rsidR="009E7A6A" w:rsidRPr="002B7B0F">
        <w:rPr>
          <w:rFonts w:cs="Times New Roman"/>
          <w:szCs w:val="24"/>
          <w:lang w:val="en-GB"/>
        </w:rPr>
        <w:t>However,</w:t>
      </w:r>
      <w:r w:rsidRPr="002B7B0F">
        <w:rPr>
          <w:rFonts w:cs="Times New Roman"/>
          <w:szCs w:val="24"/>
          <w:lang w:val="en-GB"/>
        </w:rPr>
        <w:t xml:space="preserve"> higher free cash flow may also be a signal of better corporate performance, which may be related to more capable managers who have higher possibilities to make profitable acquisitions (Moeller et al. 2004). </w:t>
      </w:r>
    </w:p>
    <w:p w14:paraId="3D855238" w14:textId="62E8CFE4" w:rsidR="00897E23" w:rsidRPr="002B7B0F" w:rsidRDefault="00897E23" w:rsidP="00897E23">
      <w:pPr>
        <w:ind w:firstLine="480"/>
        <w:rPr>
          <w:rFonts w:cs="Times New Roman"/>
          <w:szCs w:val="24"/>
          <w:lang w:val="en-GB"/>
        </w:rPr>
      </w:pPr>
      <w:r w:rsidRPr="002B7B0F">
        <w:rPr>
          <w:rFonts w:cs="Times New Roman"/>
          <w:szCs w:val="24"/>
          <w:lang w:val="en-GB"/>
        </w:rPr>
        <w:t xml:space="preserve">Leverage has an impact on managerial decision processes. High levels of debt can lead to declining future free cash flow, thereby </w:t>
      </w:r>
      <w:r w:rsidR="00A83ECB">
        <w:rPr>
          <w:rFonts w:cs="Times New Roman"/>
          <w:szCs w:val="24"/>
          <w:lang w:val="en-GB"/>
        </w:rPr>
        <w:t>constraining</w:t>
      </w:r>
      <w:r w:rsidR="00A83ECB" w:rsidRPr="002B7B0F">
        <w:rPr>
          <w:rFonts w:cs="Times New Roman"/>
          <w:szCs w:val="24"/>
          <w:lang w:val="en-GB"/>
        </w:rPr>
        <w:t xml:space="preserve"> </w:t>
      </w:r>
      <w:r w:rsidRPr="002B7B0F">
        <w:rPr>
          <w:rFonts w:cs="Times New Roman"/>
          <w:szCs w:val="24"/>
          <w:lang w:val="en-GB"/>
        </w:rPr>
        <w:t>the discretion of the management. Leverage also provides managers with incentives to increase company earnings due to the requirements of managers to monit</w:t>
      </w:r>
      <w:r w:rsidR="00134FED" w:rsidRPr="002B7B0F">
        <w:rPr>
          <w:rFonts w:cs="Times New Roman"/>
          <w:szCs w:val="24"/>
          <w:lang w:val="en-GB"/>
        </w:rPr>
        <w:t>or and control creditors</w:t>
      </w:r>
      <w:r w:rsidR="009E7A6A" w:rsidRPr="002B7B0F">
        <w:rPr>
          <w:rFonts w:cs="Times New Roman"/>
          <w:szCs w:val="24"/>
          <w:lang w:val="en-GB"/>
        </w:rPr>
        <w:t xml:space="preserve"> </w:t>
      </w:r>
      <w:r w:rsidRPr="002B7B0F">
        <w:rPr>
          <w:rFonts w:cs="Times New Roman"/>
          <w:szCs w:val="24"/>
          <w:lang w:val="en-GB"/>
        </w:rPr>
        <w:t xml:space="preserve">(Moeller et al. 2004). Some previous studies suggest that, compared with non-leveraged firms, leveraged bidders have more control over the agency problem in takeovers, which can be a proper approach to alleviate the agency problem (Jensen 1986). Maloney et al. (1993) present three merits related to leveraged enterprises’ takeover decisions. </w:t>
      </w:r>
      <w:r w:rsidR="00D12D18">
        <w:rPr>
          <w:rFonts w:cs="Times New Roman"/>
          <w:szCs w:val="24"/>
          <w:lang w:val="en-GB"/>
        </w:rPr>
        <w:t>Firstly</w:t>
      </w:r>
      <w:r w:rsidRPr="002B7B0F">
        <w:rPr>
          <w:rFonts w:cs="Times New Roman"/>
          <w:szCs w:val="24"/>
          <w:lang w:val="en-GB"/>
        </w:rPr>
        <w:t xml:space="preserve">, highly leveraged companies normally </w:t>
      </w:r>
      <w:r w:rsidR="00985B93" w:rsidRPr="002B7B0F">
        <w:rPr>
          <w:rFonts w:cs="Times New Roman"/>
          <w:szCs w:val="24"/>
          <w:lang w:val="en-GB"/>
        </w:rPr>
        <w:t>fac</w:t>
      </w:r>
      <w:r w:rsidR="00D12D18">
        <w:rPr>
          <w:rFonts w:cs="Times New Roman"/>
          <w:szCs w:val="24"/>
          <w:lang w:val="en-GB"/>
        </w:rPr>
        <w:t>e</w:t>
      </w:r>
      <w:r w:rsidR="00985B93" w:rsidRPr="002B7B0F">
        <w:rPr>
          <w:rFonts w:cs="Times New Roman"/>
          <w:szCs w:val="24"/>
          <w:lang w:val="en-GB"/>
        </w:rPr>
        <w:t xml:space="preserve"> </w:t>
      </w:r>
      <w:r w:rsidR="00D12D18">
        <w:rPr>
          <w:rFonts w:cs="Times New Roman"/>
          <w:szCs w:val="24"/>
          <w:lang w:val="en-GB"/>
        </w:rPr>
        <w:t xml:space="preserve">a </w:t>
      </w:r>
      <w:r w:rsidRPr="002B7B0F">
        <w:rPr>
          <w:rFonts w:cs="Times New Roman"/>
          <w:szCs w:val="24"/>
          <w:lang w:val="en-GB"/>
        </w:rPr>
        <w:t xml:space="preserve">lack </w:t>
      </w:r>
      <w:r w:rsidR="00985B93" w:rsidRPr="002B7B0F">
        <w:rPr>
          <w:rFonts w:cs="Times New Roman"/>
          <w:szCs w:val="24"/>
          <w:lang w:val="en-GB"/>
        </w:rPr>
        <w:t xml:space="preserve">of </w:t>
      </w:r>
      <w:r w:rsidRPr="002B7B0F">
        <w:rPr>
          <w:rFonts w:cs="Times New Roman"/>
          <w:szCs w:val="24"/>
          <w:lang w:val="en-GB"/>
        </w:rPr>
        <w:t xml:space="preserve">sufficient free cash flow to invest in non-value-added acquisitions. Then, highly leveraged companies’ managers tend to make more efforts to </w:t>
      </w:r>
      <w:r w:rsidR="00D12D18">
        <w:rPr>
          <w:rFonts w:cs="Times New Roman"/>
          <w:szCs w:val="24"/>
          <w:lang w:val="en-GB"/>
        </w:rPr>
        <w:t>eliminate</w:t>
      </w:r>
      <w:r w:rsidRPr="002B7B0F">
        <w:rPr>
          <w:rFonts w:cs="Times New Roman"/>
          <w:szCs w:val="24"/>
          <w:lang w:val="en-GB"/>
        </w:rPr>
        <w:t xml:space="preserve"> bankruptcy. Next, high levels of debt ratio can lead to better decision-making processes. On the contrary, based on samples in </w:t>
      </w:r>
      <w:r w:rsidR="00D12D18">
        <w:rPr>
          <w:rFonts w:cs="Times New Roman"/>
          <w:szCs w:val="24"/>
          <w:lang w:val="en-GB"/>
        </w:rPr>
        <w:t xml:space="preserve">the </w:t>
      </w:r>
      <w:r w:rsidRPr="002B7B0F">
        <w:rPr>
          <w:rFonts w:cs="Times New Roman"/>
          <w:szCs w:val="24"/>
          <w:lang w:val="en-GB"/>
        </w:rPr>
        <w:t>US market, Switzer (1996) notices that the bidder</w:t>
      </w:r>
      <w:r w:rsidR="00D12D18">
        <w:rPr>
          <w:rFonts w:cs="Times New Roman"/>
          <w:szCs w:val="24"/>
          <w:lang w:val="en-GB"/>
        </w:rPr>
        <w:t>’</w:t>
      </w:r>
      <w:r w:rsidRPr="002B7B0F">
        <w:rPr>
          <w:rFonts w:cs="Times New Roman"/>
          <w:szCs w:val="24"/>
          <w:lang w:val="en-GB"/>
        </w:rPr>
        <w:t>s leverage has nothing to do with the post-acquisition operational performance</w:t>
      </w:r>
      <w:r w:rsidR="00D12D18">
        <w:rPr>
          <w:rFonts w:cs="Times New Roman"/>
          <w:szCs w:val="24"/>
          <w:lang w:val="en-GB"/>
        </w:rPr>
        <w:t>,</w:t>
      </w:r>
      <w:r w:rsidRPr="002B7B0F">
        <w:rPr>
          <w:rFonts w:cs="Times New Roman"/>
          <w:szCs w:val="24"/>
          <w:lang w:val="en-GB"/>
        </w:rPr>
        <w:t xml:space="preserve"> and Martynova et al. (2006) propose simila</w:t>
      </w:r>
      <w:r w:rsidR="009E7A6A" w:rsidRPr="002B7B0F">
        <w:rPr>
          <w:rFonts w:cs="Times New Roman"/>
          <w:szCs w:val="24"/>
          <w:lang w:val="en-GB"/>
        </w:rPr>
        <w:t>r result</w:t>
      </w:r>
      <w:r w:rsidR="004F5575" w:rsidRPr="002B7B0F">
        <w:rPr>
          <w:rFonts w:cs="Times New Roman"/>
          <w:szCs w:val="24"/>
          <w:lang w:val="en-GB"/>
        </w:rPr>
        <w:t>s</w:t>
      </w:r>
      <w:r w:rsidR="009E7A6A" w:rsidRPr="002B7B0F">
        <w:rPr>
          <w:rFonts w:cs="Times New Roman"/>
          <w:szCs w:val="24"/>
          <w:lang w:val="en-GB"/>
        </w:rPr>
        <w:t xml:space="preserve"> in </w:t>
      </w:r>
      <w:r w:rsidR="00D12D18">
        <w:rPr>
          <w:rFonts w:cs="Times New Roman"/>
          <w:szCs w:val="24"/>
          <w:lang w:val="en-GB"/>
        </w:rPr>
        <w:t xml:space="preserve">the </w:t>
      </w:r>
      <w:r w:rsidR="009E7A6A" w:rsidRPr="002B7B0F">
        <w:rPr>
          <w:rFonts w:cs="Times New Roman"/>
          <w:szCs w:val="24"/>
          <w:lang w:val="en-GB"/>
        </w:rPr>
        <w:t>European context.</w:t>
      </w:r>
    </w:p>
    <w:p w14:paraId="009E971D" w14:textId="617E1CFC" w:rsidR="00897E23" w:rsidRPr="002B7B0F" w:rsidRDefault="00897E23" w:rsidP="00897E23">
      <w:pPr>
        <w:ind w:firstLine="480"/>
        <w:rPr>
          <w:rFonts w:cs="Times New Roman"/>
          <w:szCs w:val="24"/>
          <w:lang w:val="en-GB"/>
        </w:rPr>
      </w:pPr>
      <w:r w:rsidRPr="002B7B0F">
        <w:rPr>
          <w:rFonts w:cs="Times New Roman"/>
          <w:szCs w:val="24"/>
          <w:lang w:val="en-GB"/>
        </w:rPr>
        <w:t xml:space="preserve">Acquisitions can also be selected by low-margin bidding companies to cover up their </w:t>
      </w:r>
      <w:r w:rsidR="00EE3B29">
        <w:rPr>
          <w:rFonts w:cs="Times New Roman"/>
          <w:szCs w:val="24"/>
          <w:lang w:val="en-GB"/>
        </w:rPr>
        <w:t>poor</w:t>
      </w:r>
      <w:r w:rsidR="00EE3B29" w:rsidRPr="002B7B0F">
        <w:rPr>
          <w:rFonts w:cs="Times New Roman"/>
          <w:szCs w:val="24"/>
          <w:lang w:val="en-GB"/>
        </w:rPr>
        <w:t xml:space="preserve"> </w:t>
      </w:r>
      <w:r w:rsidRPr="002B7B0F">
        <w:rPr>
          <w:rFonts w:cs="Times New Roman"/>
          <w:szCs w:val="24"/>
          <w:lang w:val="en-GB"/>
        </w:rPr>
        <w:t>performance as well as high-margin bidding companies lo</w:t>
      </w:r>
      <w:r w:rsidR="00B131F0" w:rsidRPr="002B7B0F">
        <w:rPr>
          <w:rFonts w:cs="Times New Roman"/>
          <w:szCs w:val="24"/>
          <w:lang w:val="en-GB"/>
        </w:rPr>
        <w:t>ok</w:t>
      </w:r>
      <w:r w:rsidR="00EE3B29">
        <w:rPr>
          <w:rFonts w:cs="Times New Roman"/>
          <w:szCs w:val="24"/>
          <w:lang w:val="en-GB"/>
        </w:rPr>
        <w:t>ing</w:t>
      </w:r>
      <w:r w:rsidRPr="002B7B0F">
        <w:rPr>
          <w:rFonts w:cs="Times New Roman"/>
          <w:szCs w:val="24"/>
          <w:lang w:val="en-GB"/>
        </w:rPr>
        <w:t xml:space="preserve"> for new ways to obtain benefits. </w:t>
      </w:r>
      <w:r w:rsidR="00A811CB" w:rsidRPr="002B7B0F">
        <w:rPr>
          <w:rFonts w:cs="Times New Roman"/>
          <w:szCs w:val="24"/>
          <w:lang w:val="en-GB"/>
        </w:rPr>
        <w:t xml:space="preserve">Researchers, such as </w:t>
      </w:r>
      <w:r w:rsidRPr="002B7B0F">
        <w:rPr>
          <w:rFonts w:cs="Times New Roman"/>
          <w:szCs w:val="24"/>
          <w:lang w:val="en-GB"/>
        </w:rPr>
        <w:t>Morck et al. (1990)</w:t>
      </w:r>
      <w:r w:rsidR="00A811CB" w:rsidRPr="002B7B0F">
        <w:rPr>
          <w:rFonts w:cs="Times New Roman"/>
          <w:szCs w:val="24"/>
          <w:lang w:val="en-GB"/>
        </w:rPr>
        <w:t xml:space="preserve"> and Markides and Ittner (1994)</w:t>
      </w:r>
      <w:r w:rsidRPr="002B7B0F">
        <w:rPr>
          <w:rFonts w:cs="Times New Roman"/>
          <w:szCs w:val="24"/>
          <w:lang w:val="en-GB"/>
        </w:rPr>
        <w:t xml:space="preserve"> prove that bidders with </w:t>
      </w:r>
      <w:r w:rsidR="008B1519">
        <w:rPr>
          <w:rFonts w:cs="Times New Roman"/>
          <w:szCs w:val="24"/>
          <w:lang w:val="en-GB"/>
        </w:rPr>
        <w:t>poor</w:t>
      </w:r>
      <w:r w:rsidR="008B1519" w:rsidRPr="002B7B0F">
        <w:rPr>
          <w:rFonts w:cs="Times New Roman"/>
          <w:szCs w:val="24"/>
          <w:lang w:val="en-GB"/>
        </w:rPr>
        <w:t xml:space="preserve"> </w:t>
      </w:r>
      <w:r w:rsidRPr="002B7B0F">
        <w:rPr>
          <w:rFonts w:cs="Times New Roman"/>
          <w:szCs w:val="24"/>
          <w:lang w:val="en-GB"/>
        </w:rPr>
        <w:t xml:space="preserve">performance are more likely to </w:t>
      </w:r>
      <w:r w:rsidR="00A811CB" w:rsidRPr="002B7B0F">
        <w:rPr>
          <w:rFonts w:cs="Times New Roman"/>
          <w:szCs w:val="24"/>
          <w:lang w:val="en-GB"/>
        </w:rPr>
        <w:t>make value-destructive acquisitions</w:t>
      </w:r>
      <w:r w:rsidRPr="002B7B0F">
        <w:rPr>
          <w:rFonts w:cs="Times New Roman"/>
          <w:szCs w:val="24"/>
          <w:lang w:val="en-GB"/>
        </w:rPr>
        <w:t xml:space="preserve">. </w:t>
      </w:r>
      <w:r w:rsidR="006D4FC4" w:rsidRPr="002B7B0F">
        <w:rPr>
          <w:rFonts w:cs="Times New Roman"/>
          <w:szCs w:val="24"/>
          <w:lang w:val="en-GB"/>
        </w:rPr>
        <w:t>Capro</w:t>
      </w:r>
      <w:r w:rsidR="00290FBD" w:rsidRPr="002B7B0F">
        <w:rPr>
          <w:rFonts w:cs="Times New Roman"/>
          <w:szCs w:val="24"/>
          <w:lang w:val="en-GB"/>
        </w:rPr>
        <w:t>n and Shen (2007) propose that</w:t>
      </w:r>
      <w:r w:rsidRPr="002B7B0F">
        <w:rPr>
          <w:rFonts w:cs="Times New Roman"/>
          <w:szCs w:val="24"/>
          <w:lang w:val="en-GB"/>
        </w:rPr>
        <w:t xml:space="preserve"> corporates with poor performance </w:t>
      </w:r>
      <w:r w:rsidR="00290FBD" w:rsidRPr="002B7B0F">
        <w:rPr>
          <w:rFonts w:cs="Times New Roman"/>
          <w:szCs w:val="24"/>
          <w:lang w:val="en-GB"/>
        </w:rPr>
        <w:t xml:space="preserve">tend to use acquisitions </w:t>
      </w:r>
      <w:r w:rsidRPr="002B7B0F">
        <w:rPr>
          <w:rFonts w:cs="Times New Roman"/>
          <w:szCs w:val="24"/>
          <w:lang w:val="en-GB"/>
        </w:rPr>
        <w:t>to cover up their bad performance</w:t>
      </w:r>
      <w:r w:rsidR="00EE3B29">
        <w:rPr>
          <w:rFonts w:cs="Times New Roman"/>
          <w:szCs w:val="24"/>
          <w:lang w:val="en-GB"/>
        </w:rPr>
        <w:t>,</w:t>
      </w:r>
      <w:r w:rsidR="00290FBD" w:rsidRPr="002B7B0F">
        <w:rPr>
          <w:rFonts w:cs="Times New Roman"/>
          <w:szCs w:val="24"/>
          <w:lang w:val="en-GB"/>
        </w:rPr>
        <w:t xml:space="preserve"> and they observe an insignificant </w:t>
      </w:r>
      <w:r w:rsidRPr="002B7B0F">
        <w:rPr>
          <w:rFonts w:cs="Times New Roman"/>
          <w:szCs w:val="24"/>
          <w:lang w:val="en-GB"/>
        </w:rPr>
        <w:t>negative correlation between pre-announcement profit</w:t>
      </w:r>
      <w:r w:rsidR="00290FBD" w:rsidRPr="002B7B0F">
        <w:rPr>
          <w:rFonts w:cs="Times New Roman"/>
          <w:szCs w:val="24"/>
          <w:lang w:val="en-GB"/>
        </w:rPr>
        <w:t>s and the acquirers’ abnormal return</w:t>
      </w:r>
      <w:r w:rsidRPr="002B7B0F">
        <w:rPr>
          <w:rFonts w:cs="Times New Roman"/>
          <w:szCs w:val="24"/>
          <w:lang w:val="en-GB"/>
        </w:rPr>
        <w:t>.</w:t>
      </w:r>
    </w:p>
    <w:p w14:paraId="57EDF781" w14:textId="2406518F" w:rsidR="00325258" w:rsidRPr="00325258" w:rsidRDefault="009C0922" w:rsidP="00325258">
      <w:pPr>
        <w:ind w:firstLine="480"/>
        <w:rPr>
          <w:rFonts w:cs="Times New Roman"/>
          <w:szCs w:val="24"/>
          <w:lang w:val="en-GB"/>
        </w:rPr>
      </w:pPr>
      <w:r w:rsidRPr="002B7B0F">
        <w:rPr>
          <w:rFonts w:cs="Times New Roman"/>
          <w:szCs w:val="24"/>
          <w:lang w:val="en-GB"/>
        </w:rPr>
        <w:t>Although Hong Kong has one of the freest and most open financial market</w:t>
      </w:r>
      <w:r w:rsidR="00EE3B29">
        <w:rPr>
          <w:rFonts w:cs="Times New Roman"/>
          <w:szCs w:val="24"/>
          <w:lang w:val="en-GB"/>
        </w:rPr>
        <w:t>s</w:t>
      </w:r>
      <w:r w:rsidRPr="002B7B0F">
        <w:rPr>
          <w:rFonts w:cs="Times New Roman"/>
          <w:szCs w:val="24"/>
          <w:lang w:val="en-GB"/>
        </w:rPr>
        <w:t xml:space="preserve"> around the globe, academia has not paid much attention to takeover activities in this area. The influence of domestic acquisitions on this area’s development cannot be ignored</w:t>
      </w:r>
      <w:r w:rsidR="00EE3B29">
        <w:rPr>
          <w:rFonts w:cs="Times New Roman"/>
          <w:szCs w:val="24"/>
          <w:lang w:val="en-GB"/>
        </w:rPr>
        <w:t>,</w:t>
      </w:r>
      <w:r w:rsidRPr="002B7B0F">
        <w:rPr>
          <w:rFonts w:cs="Times New Roman"/>
          <w:szCs w:val="24"/>
          <w:lang w:val="en-GB"/>
        </w:rPr>
        <w:t xml:space="preserve"> but few studies </w:t>
      </w:r>
      <w:r w:rsidR="005664A8" w:rsidRPr="002B7B0F">
        <w:rPr>
          <w:rFonts w:cs="Times New Roman"/>
          <w:szCs w:val="24"/>
          <w:lang w:val="en-GB"/>
        </w:rPr>
        <w:t>have focused on this field yet</w:t>
      </w:r>
      <w:r w:rsidRPr="002B7B0F">
        <w:rPr>
          <w:rFonts w:cs="Times New Roman"/>
          <w:szCs w:val="24"/>
          <w:lang w:val="en-GB"/>
        </w:rPr>
        <w:t xml:space="preserve">. </w:t>
      </w:r>
      <w:r w:rsidR="00B26806" w:rsidRPr="002B7B0F">
        <w:rPr>
          <w:rFonts w:cs="Times New Roman"/>
          <w:szCs w:val="24"/>
          <w:lang w:val="en-GB"/>
        </w:rPr>
        <w:t>Cheung</w:t>
      </w:r>
      <w:r w:rsidR="006D4FC4" w:rsidRPr="002B7B0F">
        <w:rPr>
          <w:rFonts w:cs="Times New Roman"/>
          <w:szCs w:val="24"/>
          <w:lang w:val="en-GB"/>
        </w:rPr>
        <w:t xml:space="preserve"> and Wong</w:t>
      </w:r>
      <w:r w:rsidR="00B26806" w:rsidRPr="002B7B0F">
        <w:rPr>
          <w:rFonts w:cs="Times New Roman"/>
          <w:szCs w:val="24"/>
          <w:lang w:val="en-GB"/>
        </w:rPr>
        <w:t xml:space="preserve"> (2009) examine the profitability of acquisition events in Asia from 2000 to 2007, in which acquisition announcements are </w:t>
      </w:r>
      <w:r w:rsidR="00EE3B29">
        <w:rPr>
          <w:rFonts w:cs="Times New Roman"/>
          <w:szCs w:val="24"/>
          <w:lang w:val="en-GB"/>
        </w:rPr>
        <w:t>found</w:t>
      </w:r>
      <w:r w:rsidR="00EE3B29" w:rsidRPr="002B7B0F">
        <w:rPr>
          <w:rFonts w:cs="Times New Roman"/>
          <w:szCs w:val="24"/>
          <w:lang w:val="en-GB"/>
        </w:rPr>
        <w:t xml:space="preserve"> </w:t>
      </w:r>
      <w:r w:rsidR="00800507" w:rsidRPr="002B7B0F">
        <w:rPr>
          <w:rFonts w:cs="Times New Roman"/>
          <w:szCs w:val="24"/>
          <w:lang w:val="en-GB"/>
        </w:rPr>
        <w:t>to be</w:t>
      </w:r>
      <w:r w:rsidR="00B26806" w:rsidRPr="002B7B0F">
        <w:rPr>
          <w:rFonts w:cs="Times New Roman"/>
          <w:szCs w:val="24"/>
          <w:lang w:val="en-GB"/>
        </w:rPr>
        <w:t xml:space="preserve"> good </w:t>
      </w:r>
      <w:r w:rsidR="00800507" w:rsidRPr="002B7B0F">
        <w:rPr>
          <w:rFonts w:cs="Times New Roman"/>
          <w:szCs w:val="24"/>
          <w:lang w:val="en-GB"/>
        </w:rPr>
        <w:t>news for</w:t>
      </w:r>
      <w:r w:rsidR="00B26806" w:rsidRPr="002B7B0F">
        <w:rPr>
          <w:rFonts w:cs="Times New Roman"/>
          <w:szCs w:val="24"/>
          <w:lang w:val="en-GB"/>
        </w:rPr>
        <w:t xml:space="preserve"> </w:t>
      </w:r>
      <w:r w:rsidR="00EE3B29">
        <w:rPr>
          <w:rFonts w:cs="Times New Roman"/>
          <w:szCs w:val="24"/>
          <w:lang w:val="en-GB"/>
        </w:rPr>
        <w:t xml:space="preserve">the </w:t>
      </w:r>
      <w:r w:rsidR="00B26806" w:rsidRPr="002B7B0F">
        <w:rPr>
          <w:rFonts w:cs="Times New Roman"/>
          <w:szCs w:val="24"/>
          <w:lang w:val="en-GB"/>
        </w:rPr>
        <w:t>shareholders of bidding companies.</w:t>
      </w:r>
      <w:r w:rsidR="00C6401B" w:rsidRPr="002B7B0F">
        <w:rPr>
          <w:rFonts w:cs="Times New Roman"/>
          <w:szCs w:val="24"/>
          <w:lang w:val="en-GB"/>
        </w:rPr>
        <w:t xml:space="preserve"> Gu and Reed (2010) use event study methodology to investigate </w:t>
      </w:r>
      <w:r w:rsidR="00EE3B29">
        <w:rPr>
          <w:rFonts w:cs="Times New Roman"/>
          <w:szCs w:val="24"/>
          <w:lang w:val="en-GB"/>
        </w:rPr>
        <w:t xml:space="preserve">the </w:t>
      </w:r>
      <w:r w:rsidR="00C6401B" w:rsidRPr="002B7B0F">
        <w:rPr>
          <w:rFonts w:cs="Times New Roman"/>
          <w:szCs w:val="24"/>
          <w:lang w:val="en-GB"/>
        </w:rPr>
        <w:t>influence</w:t>
      </w:r>
      <w:r w:rsidR="00800507" w:rsidRPr="002B7B0F">
        <w:rPr>
          <w:rFonts w:cs="Times New Roman"/>
          <w:szCs w:val="24"/>
          <w:lang w:val="en-GB"/>
        </w:rPr>
        <w:t>s</w:t>
      </w:r>
      <w:r w:rsidR="00C6401B" w:rsidRPr="002B7B0F">
        <w:rPr>
          <w:rFonts w:cs="Times New Roman"/>
          <w:szCs w:val="24"/>
          <w:lang w:val="en-GB"/>
        </w:rPr>
        <w:t xml:space="preserve"> of 145 cross-border</w:t>
      </w:r>
      <w:r w:rsidR="00800507" w:rsidRPr="002B7B0F">
        <w:rPr>
          <w:rFonts w:cs="Times New Roman"/>
          <w:szCs w:val="24"/>
          <w:lang w:val="en-GB"/>
        </w:rPr>
        <w:t xml:space="preserve"> acquisition announcements</w:t>
      </w:r>
      <w:r w:rsidR="00C6401B" w:rsidRPr="002B7B0F">
        <w:rPr>
          <w:rFonts w:cs="Times New Roman"/>
          <w:szCs w:val="24"/>
          <w:lang w:val="en-GB"/>
        </w:rPr>
        <w:t xml:space="preserve"> from 1994 to 2008 and observe a po</w:t>
      </w:r>
      <w:r w:rsidR="00800507" w:rsidRPr="002B7B0F">
        <w:rPr>
          <w:rFonts w:cs="Times New Roman"/>
          <w:szCs w:val="24"/>
          <w:lang w:val="en-GB"/>
        </w:rPr>
        <w:t>sitive response from the market</w:t>
      </w:r>
      <w:r w:rsidR="00C6401B" w:rsidRPr="002B7B0F">
        <w:rPr>
          <w:rFonts w:cs="Times New Roman"/>
          <w:szCs w:val="24"/>
          <w:lang w:val="en-GB"/>
        </w:rPr>
        <w:t>.</w:t>
      </w:r>
      <w:r w:rsidR="00B26806" w:rsidRPr="002B7B0F">
        <w:rPr>
          <w:rFonts w:cs="Times New Roman"/>
          <w:szCs w:val="24"/>
          <w:lang w:val="en-GB"/>
        </w:rPr>
        <w:t xml:space="preserve"> </w:t>
      </w:r>
      <w:r w:rsidR="00FC7768" w:rsidRPr="002B7B0F">
        <w:rPr>
          <w:rFonts w:cs="Times New Roman"/>
          <w:szCs w:val="24"/>
          <w:lang w:val="en-GB"/>
        </w:rPr>
        <w:t xml:space="preserve">Additionally, by </w:t>
      </w:r>
      <w:r w:rsidR="00800507" w:rsidRPr="002B7B0F">
        <w:rPr>
          <w:rFonts w:cs="Times New Roman"/>
          <w:szCs w:val="24"/>
          <w:lang w:val="en-GB"/>
        </w:rPr>
        <w:t>a further analysis of</w:t>
      </w:r>
      <w:r w:rsidR="00FC7768" w:rsidRPr="002B7B0F">
        <w:rPr>
          <w:rFonts w:cs="Times New Roman"/>
          <w:szCs w:val="24"/>
          <w:lang w:val="en-GB"/>
        </w:rPr>
        <w:t xml:space="preserve"> 1</w:t>
      </w:r>
      <w:r w:rsidR="00EE3B29">
        <w:rPr>
          <w:rFonts w:cs="Times New Roman"/>
          <w:szCs w:val="24"/>
          <w:lang w:val="en-GB"/>
        </w:rPr>
        <w:t>,</w:t>
      </w:r>
      <w:r w:rsidR="00FC7768" w:rsidRPr="002B7B0F">
        <w:rPr>
          <w:rFonts w:cs="Times New Roman"/>
          <w:szCs w:val="24"/>
          <w:lang w:val="en-GB"/>
        </w:rPr>
        <w:t xml:space="preserve">148 merger and acquisition events in </w:t>
      </w:r>
      <w:r w:rsidR="00EE3B29">
        <w:rPr>
          <w:rFonts w:cs="Times New Roman"/>
          <w:szCs w:val="24"/>
          <w:lang w:val="en-GB"/>
        </w:rPr>
        <w:t xml:space="preserve">the </w:t>
      </w:r>
      <w:r w:rsidR="00FC7768" w:rsidRPr="002B7B0F">
        <w:rPr>
          <w:rFonts w:cs="Times New Roman"/>
          <w:szCs w:val="24"/>
          <w:lang w:val="en-GB"/>
        </w:rPr>
        <w:t>Chinese stock ma</w:t>
      </w:r>
      <w:r w:rsidR="00800507" w:rsidRPr="002B7B0F">
        <w:rPr>
          <w:rFonts w:cs="Times New Roman"/>
          <w:szCs w:val="24"/>
          <w:lang w:val="en-GB"/>
        </w:rPr>
        <w:t>rket, Chi et al. (2011) notice</w:t>
      </w:r>
      <w:r w:rsidR="00FC7768" w:rsidRPr="002B7B0F">
        <w:rPr>
          <w:rFonts w:cs="Times New Roman"/>
          <w:szCs w:val="24"/>
          <w:lang w:val="en-GB"/>
        </w:rPr>
        <w:t xml:space="preserve"> significantly positive abnormal return</w:t>
      </w:r>
      <w:r w:rsidR="00800507" w:rsidRPr="002B7B0F">
        <w:rPr>
          <w:rFonts w:cs="Times New Roman"/>
          <w:szCs w:val="24"/>
          <w:lang w:val="en-GB"/>
        </w:rPr>
        <w:t>s</w:t>
      </w:r>
      <w:r w:rsidR="00FC7768" w:rsidRPr="002B7B0F">
        <w:rPr>
          <w:rFonts w:cs="Times New Roman"/>
          <w:szCs w:val="24"/>
          <w:lang w:val="en-GB"/>
        </w:rPr>
        <w:t xml:space="preserve"> prior to and upon announcements while post-takeover returns are insignificant.</w:t>
      </w:r>
      <w:r w:rsidR="00F509D2">
        <w:rPr>
          <w:rFonts w:cs="Times New Roman"/>
          <w:szCs w:val="24"/>
          <w:lang w:val="en-GB"/>
        </w:rPr>
        <w:t xml:space="preserve"> </w:t>
      </w:r>
      <w:r w:rsidR="00C9628E" w:rsidRPr="00C9628E">
        <w:rPr>
          <w:rFonts w:cs="Times New Roman"/>
          <w:szCs w:val="24"/>
          <w:lang w:val="en-GB"/>
        </w:rPr>
        <w:t>Reddy</w:t>
      </w:r>
      <w:r w:rsidR="00C9628E">
        <w:rPr>
          <w:rFonts w:cs="Times New Roman"/>
          <w:szCs w:val="24"/>
          <w:lang w:val="en-GB"/>
        </w:rPr>
        <w:t xml:space="preserve"> et al.</w:t>
      </w:r>
      <w:r w:rsidR="00C9628E" w:rsidRPr="00C9628E">
        <w:rPr>
          <w:rFonts w:cs="Times New Roman"/>
          <w:szCs w:val="24"/>
          <w:lang w:val="en-GB"/>
        </w:rPr>
        <w:t xml:space="preserve"> </w:t>
      </w:r>
      <w:r w:rsidR="00C9628E">
        <w:rPr>
          <w:rFonts w:cs="Times New Roman"/>
          <w:szCs w:val="24"/>
          <w:lang w:val="en-GB"/>
        </w:rPr>
        <w:t>(</w:t>
      </w:r>
      <w:r w:rsidR="00C9628E" w:rsidRPr="00C9628E">
        <w:rPr>
          <w:rFonts w:cs="Times New Roman"/>
          <w:szCs w:val="24"/>
          <w:lang w:val="en-GB"/>
        </w:rPr>
        <w:t>2014</w:t>
      </w:r>
      <w:r w:rsidR="00C9628E">
        <w:rPr>
          <w:rFonts w:cs="Times New Roman"/>
          <w:szCs w:val="24"/>
          <w:lang w:val="en-GB"/>
        </w:rPr>
        <w:t>)</w:t>
      </w:r>
      <w:r w:rsidR="00C9628E" w:rsidRPr="00C9628E">
        <w:rPr>
          <w:rFonts w:cs="Times New Roman"/>
          <w:szCs w:val="24"/>
          <w:lang w:val="en-GB"/>
        </w:rPr>
        <w:t xml:space="preserve"> examined the global financial crisis and its impact on cross border mergers and acquisitions and concluded that sale and purchase deals have been adversely affected after two years of the 2007–2008 global financial crisis. </w:t>
      </w:r>
      <w:r w:rsidR="00C9628E" w:rsidRPr="00325258">
        <w:rPr>
          <w:rFonts w:cs="Times New Roman"/>
          <w:szCs w:val="24"/>
          <w:lang w:val="en-GB"/>
        </w:rPr>
        <w:t xml:space="preserve">Ahern et al. (2015) analyses cultural values on mergers around the world which included Hong Kong into the dataset.  They established an argument that national culture </w:t>
      </w:r>
      <w:r w:rsidR="00325258" w:rsidRPr="00325258">
        <w:rPr>
          <w:rFonts w:cs="Times New Roman"/>
          <w:szCs w:val="24"/>
          <w:lang w:val="en-GB"/>
        </w:rPr>
        <w:t xml:space="preserve">includes (trust, hierarchy, and individualism) impact on merger volume and synergy gains. Tao et al. (2017) investigated short term market performance based on cross border mergers and acquisitions. The </w:t>
      </w:r>
      <w:r w:rsidR="00325258">
        <w:rPr>
          <w:rFonts w:cs="Times New Roman"/>
          <w:szCs w:val="24"/>
          <w:lang w:val="en-GB"/>
        </w:rPr>
        <w:t>findings</w:t>
      </w:r>
      <w:r w:rsidR="00325258" w:rsidRPr="00325258">
        <w:rPr>
          <w:rFonts w:cs="Times New Roman"/>
          <w:szCs w:val="24"/>
          <w:lang w:val="en-GB"/>
        </w:rPr>
        <w:t xml:space="preserve"> indicate that the announcement of cross-border M&amp;As results in a positive stock market reaction; this effect is more significant in the mainland Chinese stock markets (Shanghai and Shenzhen) than that in the Hong Kong market.</w:t>
      </w:r>
    </w:p>
    <w:p w14:paraId="00065A98" w14:textId="6F249EE8" w:rsidR="00937398" w:rsidRPr="00325258" w:rsidRDefault="00C9628E" w:rsidP="00325258">
      <w:pPr>
        <w:ind w:firstLine="480"/>
        <w:rPr>
          <w:rFonts w:cs="Times New Roman"/>
          <w:szCs w:val="24"/>
          <w:lang w:val="en-GB"/>
        </w:rPr>
      </w:pPr>
      <w:r w:rsidRPr="00325258">
        <w:rPr>
          <w:rFonts w:cs="Times New Roman"/>
          <w:szCs w:val="24"/>
          <w:lang w:val="en-GB"/>
        </w:rPr>
        <w:t xml:space="preserve"> </w:t>
      </w:r>
    </w:p>
    <w:p w14:paraId="4A3F19A5" w14:textId="563A8D7C" w:rsidR="005E3C7E" w:rsidRPr="002B7B0F" w:rsidRDefault="00EA5973" w:rsidP="00FC7768">
      <w:pPr>
        <w:pStyle w:val="Heading2"/>
        <w:numPr>
          <w:ilvl w:val="0"/>
          <w:numId w:val="0"/>
        </w:numPr>
        <w:spacing w:before="240" w:after="240"/>
        <w:ind w:left="520"/>
        <w:rPr>
          <w:lang w:val="en-GB"/>
        </w:rPr>
      </w:pPr>
      <w:r w:rsidRPr="002B7B0F">
        <w:rPr>
          <w:lang w:val="en-GB"/>
        </w:rPr>
        <w:t xml:space="preserve">3. </w:t>
      </w:r>
      <w:r w:rsidR="005E3C7E" w:rsidRPr="002B7B0F">
        <w:rPr>
          <w:lang w:val="en-GB"/>
        </w:rPr>
        <w:t>Data</w:t>
      </w:r>
      <w:bookmarkEnd w:id="4"/>
      <w:r w:rsidRPr="002B7B0F">
        <w:rPr>
          <w:lang w:val="en-GB"/>
        </w:rPr>
        <w:t xml:space="preserve"> and Methodology</w:t>
      </w:r>
    </w:p>
    <w:p w14:paraId="71C7BE95" w14:textId="5D5C6811" w:rsidR="0052226B" w:rsidRPr="002B7B0F" w:rsidRDefault="007B108E" w:rsidP="0052226B">
      <w:pPr>
        <w:ind w:firstLine="480"/>
        <w:rPr>
          <w:rFonts w:cs="Times New Roman"/>
          <w:szCs w:val="24"/>
          <w:lang w:val="en-GB"/>
        </w:rPr>
      </w:pPr>
      <w:r w:rsidRPr="002B7B0F">
        <w:rPr>
          <w:rFonts w:cs="Times New Roman"/>
          <w:lang w:val="en-GB"/>
        </w:rPr>
        <w:t xml:space="preserve">In order to update and extend the existing research results in </w:t>
      </w:r>
      <w:r w:rsidR="00BC028C">
        <w:rPr>
          <w:rFonts w:cs="Times New Roman"/>
          <w:lang w:val="en-GB"/>
        </w:rPr>
        <w:t xml:space="preserve">the </w:t>
      </w:r>
      <w:r w:rsidRPr="002B7B0F">
        <w:rPr>
          <w:rFonts w:cs="Times New Roman"/>
          <w:lang w:val="en-GB"/>
        </w:rPr>
        <w:t>Hong Kong market, this study selected successful acquisition cases announced by Hong Kong lis</w:t>
      </w:r>
      <w:r w:rsidR="001231BE">
        <w:rPr>
          <w:rFonts w:cs="Times New Roman"/>
          <w:lang w:val="en-GB"/>
        </w:rPr>
        <w:t>ted companies in the</w:t>
      </w:r>
      <w:r w:rsidR="00D17C67" w:rsidRPr="002B7B0F">
        <w:rPr>
          <w:rFonts w:cs="Times New Roman"/>
          <w:lang w:val="en-GB"/>
        </w:rPr>
        <w:t xml:space="preserve"> five</w:t>
      </w:r>
      <w:r w:rsidRPr="002B7B0F">
        <w:rPr>
          <w:rFonts w:cs="Times New Roman"/>
          <w:lang w:val="en-GB"/>
        </w:rPr>
        <w:t xml:space="preserve"> fiscal year</w:t>
      </w:r>
      <w:r w:rsidR="00D17C67" w:rsidRPr="002B7B0F">
        <w:rPr>
          <w:rFonts w:cs="Times New Roman"/>
          <w:lang w:val="en-GB"/>
        </w:rPr>
        <w:t>s</w:t>
      </w:r>
      <w:r w:rsidRPr="002B7B0F">
        <w:rPr>
          <w:rFonts w:cs="Times New Roman"/>
          <w:lang w:val="en-GB"/>
        </w:rPr>
        <w:t xml:space="preserve"> (</w:t>
      </w:r>
      <w:r w:rsidR="00D17C67" w:rsidRPr="002B7B0F">
        <w:rPr>
          <w:rFonts w:cs="Times New Roman"/>
          <w:lang w:val="en-GB"/>
        </w:rPr>
        <w:t xml:space="preserve">from 2012 to </w:t>
      </w:r>
      <w:r w:rsidRPr="002B7B0F">
        <w:rPr>
          <w:rFonts w:cs="Times New Roman"/>
          <w:lang w:val="en-GB"/>
        </w:rPr>
        <w:t>2016).</w:t>
      </w:r>
      <w:r w:rsidR="0052226B" w:rsidRPr="002B7B0F">
        <w:rPr>
          <w:rFonts w:cs="Times New Roman"/>
          <w:lang w:val="en-GB"/>
        </w:rPr>
        <w:t xml:space="preserve"> </w:t>
      </w:r>
      <w:r w:rsidR="0052226B" w:rsidRPr="002B7B0F">
        <w:rPr>
          <w:rFonts w:cs="Times New Roman"/>
          <w:szCs w:val="24"/>
          <w:lang w:val="en-GB"/>
        </w:rPr>
        <w:t xml:space="preserve">The data is </w:t>
      </w:r>
      <w:r w:rsidR="00325258">
        <w:rPr>
          <w:rFonts w:cs="Times New Roman"/>
          <w:szCs w:val="24"/>
          <w:lang w:val="en-GB"/>
        </w:rPr>
        <w:t>collected</w:t>
      </w:r>
      <w:r w:rsidR="0052226B" w:rsidRPr="002B7B0F">
        <w:rPr>
          <w:rFonts w:cs="Times New Roman"/>
          <w:szCs w:val="24"/>
          <w:lang w:val="en-GB"/>
        </w:rPr>
        <w:t xml:space="preserve"> from DataStream, Bloomberg, Capital IQ and companies’ annual reports.</w:t>
      </w:r>
      <w:r w:rsidR="0052226B" w:rsidRPr="002B7B0F">
        <w:rPr>
          <w:rFonts w:cs="Times New Roman"/>
          <w:lang w:val="en-GB"/>
        </w:rPr>
        <w:t xml:space="preserve"> </w:t>
      </w:r>
      <w:r w:rsidR="0052226B" w:rsidRPr="002B7B0F">
        <w:rPr>
          <w:rFonts w:cs="Times New Roman"/>
          <w:szCs w:val="24"/>
          <w:lang w:val="en-GB"/>
        </w:rPr>
        <w:t xml:space="preserve">There are two criteria for the selection of sample data. Firstly, information </w:t>
      </w:r>
      <w:r w:rsidR="00BC028C">
        <w:rPr>
          <w:rFonts w:cs="Times New Roman"/>
          <w:szCs w:val="24"/>
          <w:lang w:val="en-GB"/>
        </w:rPr>
        <w:t>on</w:t>
      </w:r>
      <w:r w:rsidR="00BC028C" w:rsidRPr="002B7B0F">
        <w:rPr>
          <w:rFonts w:cs="Times New Roman"/>
          <w:szCs w:val="24"/>
          <w:lang w:val="en-GB"/>
        </w:rPr>
        <w:t xml:space="preserve"> </w:t>
      </w:r>
      <w:r w:rsidR="008F52D6" w:rsidRPr="002B7B0F">
        <w:rPr>
          <w:rFonts w:cs="Times New Roman"/>
          <w:szCs w:val="24"/>
          <w:lang w:val="en-GB"/>
        </w:rPr>
        <w:t>bid events such as deal value and</w:t>
      </w:r>
      <w:r w:rsidR="0052226B" w:rsidRPr="002B7B0F">
        <w:rPr>
          <w:rFonts w:cs="Times New Roman"/>
          <w:szCs w:val="24"/>
          <w:lang w:val="en-GB"/>
        </w:rPr>
        <w:t xml:space="preserve"> event date must be available. Then, the necessary stock price and </w:t>
      </w:r>
      <w:r w:rsidR="008F52D6" w:rsidRPr="002B7B0F">
        <w:rPr>
          <w:rFonts w:cs="Times New Roman"/>
          <w:szCs w:val="24"/>
          <w:lang w:val="en-GB"/>
        </w:rPr>
        <w:t xml:space="preserve">key </w:t>
      </w:r>
      <w:r w:rsidR="0052226B" w:rsidRPr="002B7B0F">
        <w:rPr>
          <w:rFonts w:cs="Times New Roman"/>
          <w:szCs w:val="24"/>
          <w:lang w:val="en-GB"/>
        </w:rPr>
        <w:t>financial</w:t>
      </w:r>
      <w:r w:rsidR="008F52D6" w:rsidRPr="002B7B0F">
        <w:rPr>
          <w:rFonts w:cs="Times New Roman"/>
          <w:szCs w:val="24"/>
          <w:lang w:val="en-GB"/>
        </w:rPr>
        <w:t xml:space="preserve"> ratios</w:t>
      </w:r>
      <w:r w:rsidR="0052226B" w:rsidRPr="002B7B0F">
        <w:rPr>
          <w:rFonts w:cs="Times New Roman"/>
          <w:szCs w:val="24"/>
          <w:lang w:val="en-GB"/>
        </w:rPr>
        <w:t xml:space="preserve"> of the bidding firm must be available. </w:t>
      </w:r>
    </w:p>
    <w:p w14:paraId="16E74CB2" w14:textId="7536537B" w:rsidR="00614AEF" w:rsidRPr="002B7B0F" w:rsidRDefault="006763C7" w:rsidP="00C96CD5">
      <w:pPr>
        <w:ind w:firstLine="480"/>
        <w:rPr>
          <w:rFonts w:cs="Times New Roman"/>
          <w:szCs w:val="24"/>
          <w:lang w:val="en-GB"/>
        </w:rPr>
      </w:pPr>
      <w:r w:rsidRPr="002B7B0F">
        <w:rPr>
          <w:rFonts w:cs="Times New Roman"/>
          <w:szCs w:val="24"/>
          <w:lang w:val="en-GB"/>
        </w:rPr>
        <w:t xml:space="preserve">According to </w:t>
      </w:r>
      <w:r w:rsidR="00BC028C">
        <w:rPr>
          <w:rFonts w:cs="Times New Roman"/>
          <w:szCs w:val="24"/>
          <w:lang w:val="en-GB"/>
        </w:rPr>
        <w:t>T</w:t>
      </w:r>
      <w:r w:rsidR="00BD0DE9" w:rsidRPr="002B7B0F">
        <w:rPr>
          <w:rFonts w:cs="Times New Roman"/>
          <w:szCs w:val="24"/>
          <w:lang w:val="en-GB"/>
        </w:rPr>
        <w:t>able 1</w:t>
      </w:r>
      <w:r w:rsidRPr="002B7B0F">
        <w:rPr>
          <w:rFonts w:cs="Times New Roman"/>
          <w:szCs w:val="24"/>
          <w:lang w:val="en-GB"/>
        </w:rPr>
        <w:t xml:space="preserve">, </w:t>
      </w:r>
      <w:r w:rsidR="009F47B7" w:rsidRPr="002B7B0F">
        <w:rPr>
          <w:rFonts w:cs="Times New Roman"/>
          <w:szCs w:val="24"/>
          <w:lang w:val="en-GB"/>
        </w:rPr>
        <w:t xml:space="preserve">the number of acquisitions made by </w:t>
      </w:r>
      <w:r w:rsidR="00583D7B" w:rsidRPr="002B7B0F">
        <w:rPr>
          <w:rFonts w:cs="Times New Roman"/>
          <w:szCs w:val="24"/>
          <w:lang w:val="en-GB"/>
        </w:rPr>
        <w:t>Hong Kong</w:t>
      </w:r>
      <w:r w:rsidR="009F47B7" w:rsidRPr="002B7B0F">
        <w:rPr>
          <w:rFonts w:cs="Times New Roman"/>
          <w:szCs w:val="24"/>
          <w:lang w:val="en-GB"/>
        </w:rPr>
        <w:t xml:space="preserve"> companies</w:t>
      </w:r>
      <w:r w:rsidR="00583D7B" w:rsidRPr="002B7B0F">
        <w:rPr>
          <w:rFonts w:cs="Times New Roman"/>
          <w:szCs w:val="24"/>
          <w:lang w:val="en-GB"/>
        </w:rPr>
        <w:t xml:space="preserve"> in both target markets is relatively stable, in which </w:t>
      </w:r>
      <w:r w:rsidRPr="002B7B0F">
        <w:rPr>
          <w:rFonts w:cs="Times New Roman"/>
          <w:szCs w:val="24"/>
          <w:lang w:val="en-GB"/>
        </w:rPr>
        <w:t xml:space="preserve">the average number of enterprises who select Hong Kong targets </w:t>
      </w:r>
      <w:r w:rsidR="00BA74BF" w:rsidRPr="002B7B0F">
        <w:rPr>
          <w:rFonts w:cs="Times New Roman"/>
          <w:szCs w:val="24"/>
          <w:lang w:val="en-GB"/>
        </w:rPr>
        <w:t>each year</w:t>
      </w:r>
      <w:r w:rsidRPr="002B7B0F">
        <w:rPr>
          <w:rFonts w:cs="Times New Roman"/>
          <w:szCs w:val="24"/>
          <w:lang w:val="en-GB"/>
        </w:rPr>
        <w:t xml:space="preserve"> are almost 1.5 times as </w:t>
      </w:r>
      <w:r w:rsidR="003B1EBE">
        <w:rPr>
          <w:rFonts w:cs="Times New Roman"/>
          <w:szCs w:val="24"/>
          <w:lang w:val="en-GB"/>
        </w:rPr>
        <w:t>many</w:t>
      </w:r>
      <w:r w:rsidR="003B1EBE" w:rsidRPr="002B7B0F">
        <w:rPr>
          <w:rFonts w:cs="Times New Roman"/>
          <w:szCs w:val="24"/>
          <w:lang w:val="en-GB"/>
        </w:rPr>
        <w:t xml:space="preserve"> </w:t>
      </w:r>
      <w:r w:rsidRPr="002B7B0F">
        <w:rPr>
          <w:rFonts w:cs="Times New Roman"/>
          <w:szCs w:val="24"/>
          <w:lang w:val="en-GB"/>
        </w:rPr>
        <w:t xml:space="preserve">as those </w:t>
      </w:r>
      <w:r w:rsidR="003B1EBE">
        <w:rPr>
          <w:rFonts w:cs="Times New Roman"/>
          <w:szCs w:val="24"/>
          <w:lang w:val="en-GB"/>
        </w:rPr>
        <w:t xml:space="preserve">that </w:t>
      </w:r>
      <w:r w:rsidRPr="002B7B0F">
        <w:rPr>
          <w:rFonts w:cs="Times New Roman"/>
          <w:szCs w:val="24"/>
          <w:lang w:val="en-GB"/>
        </w:rPr>
        <w:t>choose Mainland</w:t>
      </w:r>
      <w:r w:rsidR="00392FA6">
        <w:rPr>
          <w:rFonts w:cs="Times New Roman"/>
          <w:szCs w:val="24"/>
          <w:lang w:val="en-GB"/>
        </w:rPr>
        <w:t xml:space="preserve"> China</w:t>
      </w:r>
      <w:r w:rsidRPr="002B7B0F">
        <w:rPr>
          <w:rFonts w:cs="Times New Roman"/>
          <w:szCs w:val="24"/>
          <w:lang w:val="en-GB"/>
        </w:rPr>
        <w:t xml:space="preserve"> targets.</w:t>
      </w:r>
      <w:r w:rsidR="00583D7B" w:rsidRPr="002B7B0F">
        <w:rPr>
          <w:rFonts w:cs="Times New Roman"/>
          <w:szCs w:val="24"/>
          <w:lang w:val="en-GB"/>
        </w:rPr>
        <w:t xml:space="preserve"> </w:t>
      </w:r>
      <w:r w:rsidR="003B1EBE">
        <w:rPr>
          <w:rFonts w:cs="Times New Roman"/>
          <w:szCs w:val="24"/>
          <w:lang w:val="en-GB"/>
        </w:rPr>
        <w:t>Furthermore</w:t>
      </w:r>
      <w:r w:rsidR="00E82D3A" w:rsidRPr="002B7B0F">
        <w:rPr>
          <w:rFonts w:cs="Times New Roman"/>
          <w:szCs w:val="24"/>
          <w:lang w:val="en-GB"/>
        </w:rPr>
        <w:t>, b</w:t>
      </w:r>
      <w:r w:rsidR="00583D7B" w:rsidRPr="002B7B0F">
        <w:rPr>
          <w:rFonts w:cs="Times New Roman"/>
          <w:szCs w:val="24"/>
          <w:lang w:val="en-GB"/>
        </w:rPr>
        <w:t xml:space="preserve">idders of Mainland </w:t>
      </w:r>
      <w:r w:rsidR="00392FA6">
        <w:rPr>
          <w:rFonts w:cs="Times New Roman"/>
          <w:szCs w:val="24"/>
          <w:lang w:val="en-GB"/>
        </w:rPr>
        <w:t xml:space="preserve">China </w:t>
      </w:r>
      <w:r w:rsidR="00583D7B" w:rsidRPr="002B7B0F">
        <w:rPr>
          <w:rFonts w:cs="Times New Roman"/>
          <w:szCs w:val="24"/>
          <w:lang w:val="en-GB"/>
        </w:rPr>
        <w:t xml:space="preserve">targets are more </w:t>
      </w:r>
      <w:r w:rsidR="003B1EBE">
        <w:rPr>
          <w:rFonts w:cs="Times New Roman"/>
          <w:szCs w:val="24"/>
          <w:lang w:val="en-GB"/>
        </w:rPr>
        <w:t>likely</w:t>
      </w:r>
      <w:r w:rsidR="003B1EBE" w:rsidRPr="002B7B0F">
        <w:rPr>
          <w:rFonts w:cs="Times New Roman"/>
          <w:szCs w:val="24"/>
          <w:lang w:val="en-GB"/>
        </w:rPr>
        <w:t xml:space="preserve"> </w:t>
      </w:r>
      <w:r w:rsidR="00583D7B" w:rsidRPr="002B7B0F">
        <w:rPr>
          <w:rFonts w:cs="Times New Roman"/>
          <w:szCs w:val="24"/>
          <w:lang w:val="en-GB"/>
        </w:rPr>
        <w:t xml:space="preserve">to </w:t>
      </w:r>
      <w:r w:rsidR="003B1EBE">
        <w:rPr>
          <w:rFonts w:cs="Times New Roman"/>
          <w:szCs w:val="24"/>
          <w:lang w:val="en-GB"/>
        </w:rPr>
        <w:t>go on to</w:t>
      </w:r>
      <w:r w:rsidR="003B1EBE" w:rsidRPr="002B7B0F">
        <w:rPr>
          <w:rFonts w:cs="Times New Roman"/>
          <w:szCs w:val="24"/>
          <w:lang w:val="en-GB"/>
        </w:rPr>
        <w:t xml:space="preserve"> </w:t>
      </w:r>
      <w:r w:rsidR="00583D7B" w:rsidRPr="002B7B0F">
        <w:rPr>
          <w:rFonts w:cs="Times New Roman"/>
          <w:szCs w:val="24"/>
          <w:lang w:val="en-GB"/>
        </w:rPr>
        <w:t>increas</w:t>
      </w:r>
      <w:r w:rsidR="003B1EBE">
        <w:rPr>
          <w:rFonts w:cs="Times New Roman"/>
          <w:szCs w:val="24"/>
          <w:lang w:val="en-GB"/>
        </w:rPr>
        <w:t>e</w:t>
      </w:r>
      <w:r w:rsidR="00583D7B" w:rsidRPr="002B7B0F">
        <w:rPr>
          <w:rFonts w:cs="Times New Roman"/>
          <w:szCs w:val="24"/>
          <w:lang w:val="en-GB"/>
        </w:rPr>
        <w:t xml:space="preserve"> </w:t>
      </w:r>
      <w:r w:rsidR="003B1EBE">
        <w:rPr>
          <w:rFonts w:cs="Times New Roman"/>
          <w:szCs w:val="24"/>
          <w:lang w:val="en-GB"/>
        </w:rPr>
        <w:t xml:space="preserve">the number of </w:t>
      </w:r>
      <w:r w:rsidR="00583D7B" w:rsidRPr="002B7B0F">
        <w:rPr>
          <w:rFonts w:cs="Times New Roman"/>
          <w:szCs w:val="24"/>
          <w:lang w:val="en-GB"/>
        </w:rPr>
        <w:t xml:space="preserve">acquisitions compared with acquirers of Hong Kong targets but neither of </w:t>
      </w:r>
      <w:r w:rsidR="003B1EBE">
        <w:rPr>
          <w:rFonts w:cs="Times New Roman"/>
          <w:szCs w:val="24"/>
          <w:lang w:val="en-GB"/>
        </w:rPr>
        <w:t>these</w:t>
      </w:r>
      <w:r w:rsidR="003B1EBE" w:rsidRPr="002B7B0F">
        <w:rPr>
          <w:rFonts w:cs="Times New Roman"/>
          <w:szCs w:val="24"/>
          <w:lang w:val="en-GB"/>
        </w:rPr>
        <w:t xml:space="preserve"> </w:t>
      </w:r>
      <w:r w:rsidR="00583D7B" w:rsidRPr="002B7B0F">
        <w:rPr>
          <w:rFonts w:cs="Times New Roman"/>
          <w:szCs w:val="24"/>
          <w:lang w:val="en-GB"/>
        </w:rPr>
        <w:t>trend</w:t>
      </w:r>
      <w:r w:rsidR="00403BBC" w:rsidRPr="002B7B0F">
        <w:rPr>
          <w:rFonts w:cs="Times New Roman"/>
          <w:szCs w:val="24"/>
          <w:lang w:val="en-GB"/>
        </w:rPr>
        <w:t>s</w:t>
      </w:r>
      <w:r w:rsidR="00583D7B" w:rsidRPr="002B7B0F">
        <w:rPr>
          <w:rFonts w:cs="Times New Roman"/>
          <w:szCs w:val="24"/>
          <w:lang w:val="en-GB"/>
        </w:rPr>
        <w:t xml:space="preserve"> is very strong.</w:t>
      </w:r>
      <w:r w:rsidR="00D12622" w:rsidRPr="002B7B0F">
        <w:rPr>
          <w:rFonts w:cs="Times New Roman"/>
          <w:szCs w:val="24"/>
          <w:lang w:val="en-GB"/>
        </w:rPr>
        <w:t xml:space="preserve"> The average </w:t>
      </w:r>
      <w:r w:rsidR="002306CB" w:rsidRPr="002B7B0F">
        <w:rPr>
          <w:rFonts w:cs="Times New Roman"/>
          <w:szCs w:val="24"/>
          <w:lang w:val="en-GB"/>
        </w:rPr>
        <w:t>proportion</w:t>
      </w:r>
      <w:r w:rsidR="00D12622" w:rsidRPr="002B7B0F">
        <w:rPr>
          <w:rFonts w:cs="Times New Roman"/>
          <w:szCs w:val="24"/>
          <w:lang w:val="en-GB"/>
        </w:rPr>
        <w:t xml:space="preserve"> of the ou</w:t>
      </w:r>
      <w:r w:rsidR="0022406C" w:rsidRPr="002B7B0F">
        <w:rPr>
          <w:rFonts w:cs="Times New Roman"/>
          <w:szCs w:val="24"/>
          <w:lang w:val="en-GB"/>
        </w:rPr>
        <w:t>tstanding shares obtained by</w:t>
      </w:r>
      <w:r w:rsidR="00D12622" w:rsidRPr="002B7B0F">
        <w:rPr>
          <w:rFonts w:cs="Times New Roman"/>
          <w:szCs w:val="24"/>
          <w:lang w:val="en-GB"/>
        </w:rPr>
        <w:t xml:space="preserve"> bidding</w:t>
      </w:r>
      <w:r w:rsidR="0022406C" w:rsidRPr="002B7B0F">
        <w:rPr>
          <w:rFonts w:cs="Times New Roman"/>
          <w:szCs w:val="24"/>
          <w:lang w:val="en-GB"/>
        </w:rPr>
        <w:t xml:space="preserve"> companies</w:t>
      </w:r>
      <w:r w:rsidR="002306CB" w:rsidRPr="002B7B0F">
        <w:rPr>
          <w:rFonts w:cs="Times New Roman"/>
          <w:szCs w:val="24"/>
          <w:lang w:val="en-GB"/>
        </w:rPr>
        <w:t xml:space="preserve"> of targets from both markets fluctuat</w:t>
      </w:r>
      <w:r w:rsidR="00A25096">
        <w:rPr>
          <w:rFonts w:cs="Times New Roman"/>
          <w:szCs w:val="24"/>
          <w:lang w:val="en-GB"/>
        </w:rPr>
        <w:t>e</w:t>
      </w:r>
      <w:r w:rsidR="002306CB" w:rsidRPr="002B7B0F">
        <w:rPr>
          <w:rFonts w:cs="Times New Roman"/>
          <w:szCs w:val="24"/>
          <w:lang w:val="en-GB"/>
        </w:rPr>
        <w:t xml:space="preserve"> around 86%.</w:t>
      </w:r>
      <w:r w:rsidR="00D12622" w:rsidRPr="002B7B0F">
        <w:rPr>
          <w:rFonts w:cs="Times New Roman"/>
          <w:szCs w:val="24"/>
          <w:lang w:val="en-GB"/>
        </w:rPr>
        <w:t xml:space="preserve"> </w:t>
      </w:r>
      <w:r w:rsidR="00A25096">
        <w:rPr>
          <w:rFonts w:cs="Times New Roman"/>
          <w:szCs w:val="24"/>
          <w:lang w:val="en-GB"/>
        </w:rPr>
        <w:t>A l</w:t>
      </w:r>
      <w:r w:rsidR="002306CB" w:rsidRPr="002B7B0F">
        <w:rPr>
          <w:rFonts w:cs="Times New Roman"/>
          <w:szCs w:val="24"/>
          <w:lang w:val="en-GB"/>
        </w:rPr>
        <w:t>ower average deal value is paid to Mainland</w:t>
      </w:r>
      <w:r w:rsidR="00392FA6">
        <w:rPr>
          <w:rFonts w:cs="Times New Roman"/>
          <w:szCs w:val="24"/>
          <w:lang w:val="en-GB"/>
        </w:rPr>
        <w:t xml:space="preserve"> China</w:t>
      </w:r>
      <w:r w:rsidR="002306CB" w:rsidRPr="002B7B0F">
        <w:rPr>
          <w:rFonts w:cs="Times New Roman"/>
          <w:szCs w:val="24"/>
          <w:lang w:val="en-GB"/>
        </w:rPr>
        <w:t xml:space="preserve"> target</w:t>
      </w:r>
      <w:r w:rsidR="0022406C" w:rsidRPr="002B7B0F">
        <w:rPr>
          <w:rFonts w:cs="Times New Roman"/>
          <w:szCs w:val="24"/>
          <w:lang w:val="en-GB"/>
        </w:rPr>
        <w:t>s</w:t>
      </w:r>
      <w:r w:rsidR="002306CB" w:rsidRPr="002B7B0F">
        <w:rPr>
          <w:rFonts w:cs="Times New Roman"/>
          <w:szCs w:val="24"/>
          <w:lang w:val="en-GB"/>
        </w:rPr>
        <w:t xml:space="preserve">, which is less than a third of the </w:t>
      </w:r>
      <w:r w:rsidR="0022406C" w:rsidRPr="002B7B0F">
        <w:rPr>
          <w:rFonts w:cs="Times New Roman"/>
          <w:szCs w:val="24"/>
          <w:lang w:val="en-GB"/>
        </w:rPr>
        <w:t>amount</w:t>
      </w:r>
      <w:r w:rsidR="002306CB" w:rsidRPr="002B7B0F">
        <w:rPr>
          <w:rFonts w:cs="Times New Roman"/>
          <w:szCs w:val="24"/>
          <w:lang w:val="en-GB"/>
        </w:rPr>
        <w:t xml:space="preserve"> paid to Hong Kong targets. </w:t>
      </w:r>
      <w:r w:rsidR="0022406C" w:rsidRPr="002B7B0F">
        <w:rPr>
          <w:rFonts w:cs="Times New Roman"/>
          <w:szCs w:val="24"/>
          <w:lang w:val="en-GB"/>
        </w:rPr>
        <w:t>O</w:t>
      </w:r>
      <w:r w:rsidR="002306CB" w:rsidRPr="002B7B0F">
        <w:rPr>
          <w:rFonts w:cs="Times New Roman"/>
          <w:szCs w:val="24"/>
          <w:lang w:val="en-GB"/>
        </w:rPr>
        <w:t>n</w:t>
      </w:r>
      <w:r w:rsidR="0022406C" w:rsidRPr="002B7B0F">
        <w:rPr>
          <w:rFonts w:cs="Times New Roman"/>
          <w:szCs w:val="24"/>
          <w:lang w:val="en-GB"/>
        </w:rPr>
        <w:t xml:space="preserve"> </w:t>
      </w:r>
      <w:r w:rsidR="002306CB" w:rsidRPr="002B7B0F">
        <w:rPr>
          <w:rFonts w:cs="Times New Roman"/>
          <w:szCs w:val="24"/>
          <w:lang w:val="en-GB"/>
        </w:rPr>
        <w:t xml:space="preserve">average, </w:t>
      </w:r>
      <w:r w:rsidR="00A25096">
        <w:rPr>
          <w:rFonts w:cs="Times New Roman"/>
          <w:szCs w:val="24"/>
          <w:lang w:val="en-GB"/>
        </w:rPr>
        <w:t xml:space="preserve">the </w:t>
      </w:r>
      <w:r w:rsidR="002306CB" w:rsidRPr="002B7B0F">
        <w:rPr>
          <w:rFonts w:cs="Times New Roman"/>
          <w:szCs w:val="24"/>
          <w:lang w:val="en-GB"/>
        </w:rPr>
        <w:t xml:space="preserve">total transaction amount </w:t>
      </w:r>
      <w:r w:rsidR="00A25096" w:rsidRPr="002B7B0F">
        <w:rPr>
          <w:rFonts w:cs="Times New Roman"/>
          <w:szCs w:val="24"/>
          <w:lang w:val="en-GB"/>
        </w:rPr>
        <w:t xml:space="preserve">in the acquisition process </w:t>
      </w:r>
      <w:r w:rsidR="002306CB" w:rsidRPr="002B7B0F">
        <w:rPr>
          <w:rFonts w:cs="Times New Roman"/>
          <w:szCs w:val="24"/>
          <w:lang w:val="en-GB"/>
        </w:rPr>
        <w:t xml:space="preserve">paid by cash </w:t>
      </w:r>
      <w:r w:rsidR="006845C5" w:rsidRPr="002B7B0F">
        <w:rPr>
          <w:rFonts w:cs="Times New Roman"/>
          <w:szCs w:val="24"/>
          <w:lang w:val="en-GB"/>
        </w:rPr>
        <w:t xml:space="preserve">only </w:t>
      </w:r>
      <w:r w:rsidR="002306CB" w:rsidRPr="002B7B0F">
        <w:rPr>
          <w:rFonts w:cs="Times New Roman"/>
          <w:szCs w:val="24"/>
          <w:lang w:val="en-GB"/>
        </w:rPr>
        <w:t>occupies a majority proportion of the total announcement value in both target markets (64.90% in Hong Kong and 67.97% in Mainland</w:t>
      </w:r>
      <w:r w:rsidR="00392FA6">
        <w:rPr>
          <w:rFonts w:cs="Times New Roman"/>
          <w:szCs w:val="24"/>
          <w:lang w:val="en-GB"/>
        </w:rPr>
        <w:t xml:space="preserve"> China</w:t>
      </w:r>
      <w:r w:rsidR="002306CB" w:rsidRPr="002B7B0F">
        <w:rPr>
          <w:rFonts w:cs="Times New Roman"/>
          <w:szCs w:val="24"/>
          <w:lang w:val="en-GB"/>
        </w:rPr>
        <w:t xml:space="preserve">). The percentages of other payment methods </w:t>
      </w:r>
      <w:r w:rsidR="00A25096">
        <w:rPr>
          <w:rFonts w:cs="Times New Roman"/>
          <w:szCs w:val="24"/>
          <w:lang w:val="en-GB"/>
        </w:rPr>
        <w:t xml:space="preserve">in decreasing order </w:t>
      </w:r>
      <w:r w:rsidR="002306CB" w:rsidRPr="002B7B0F">
        <w:rPr>
          <w:rFonts w:cs="Times New Roman"/>
          <w:szCs w:val="24"/>
          <w:lang w:val="en-GB"/>
        </w:rPr>
        <w:t xml:space="preserve">are stock (26.53%), other types of settlement (6.94%) as well as a combination of cash and stock (2.52%) for </w:t>
      </w:r>
      <w:r w:rsidR="00A25096">
        <w:rPr>
          <w:rFonts w:cs="Times New Roman"/>
          <w:szCs w:val="24"/>
          <w:lang w:val="en-GB"/>
        </w:rPr>
        <w:t xml:space="preserve">the </w:t>
      </w:r>
      <w:r w:rsidR="002306CB" w:rsidRPr="002B7B0F">
        <w:rPr>
          <w:rFonts w:cs="Times New Roman"/>
          <w:szCs w:val="24"/>
          <w:lang w:val="en-GB"/>
        </w:rPr>
        <w:t xml:space="preserve">Hong Kong target market and cash and stock portfolio (15.3%), others (12.37%) as well as stock (4.36%) for </w:t>
      </w:r>
      <w:r w:rsidR="00392FA6">
        <w:rPr>
          <w:rFonts w:cs="Times New Roman"/>
          <w:szCs w:val="24"/>
          <w:lang w:val="en-GB"/>
        </w:rPr>
        <w:t>the</w:t>
      </w:r>
      <w:r w:rsidR="00392FA6" w:rsidRPr="002B7B0F">
        <w:rPr>
          <w:rFonts w:cs="Times New Roman"/>
          <w:szCs w:val="24"/>
          <w:lang w:val="en-GB"/>
        </w:rPr>
        <w:t xml:space="preserve"> </w:t>
      </w:r>
      <w:r w:rsidR="002306CB" w:rsidRPr="002B7B0F">
        <w:rPr>
          <w:rFonts w:cs="Times New Roman"/>
          <w:szCs w:val="24"/>
          <w:lang w:val="en-GB"/>
        </w:rPr>
        <w:t xml:space="preserve">Mainland </w:t>
      </w:r>
      <w:r w:rsidR="00392FA6">
        <w:rPr>
          <w:rFonts w:cs="Times New Roman"/>
          <w:szCs w:val="24"/>
          <w:lang w:val="en-GB"/>
        </w:rPr>
        <w:t xml:space="preserve">China </w:t>
      </w:r>
      <w:r w:rsidR="002306CB" w:rsidRPr="002B7B0F">
        <w:rPr>
          <w:rFonts w:cs="Times New Roman"/>
          <w:szCs w:val="24"/>
          <w:lang w:val="en-GB"/>
        </w:rPr>
        <w:t>target market.</w:t>
      </w:r>
      <w:r w:rsidR="002306CB" w:rsidRPr="002B7B0F">
        <w:rPr>
          <w:lang w:val="en-GB"/>
        </w:rPr>
        <w:t xml:space="preserve"> </w:t>
      </w:r>
      <w:r w:rsidR="002306CB" w:rsidRPr="002B7B0F">
        <w:rPr>
          <w:rFonts w:cs="Times New Roman"/>
          <w:szCs w:val="24"/>
          <w:lang w:val="en-GB"/>
        </w:rPr>
        <w:t xml:space="preserve">The average raw return in the last column </w:t>
      </w:r>
      <w:r w:rsidR="00885929" w:rsidRPr="002B7B0F">
        <w:rPr>
          <w:rFonts w:cs="Times New Roman"/>
          <w:szCs w:val="24"/>
          <w:lang w:val="en-GB"/>
        </w:rPr>
        <w:t>demonstrates that</w:t>
      </w:r>
      <w:r w:rsidR="002306CB" w:rsidRPr="002B7B0F">
        <w:rPr>
          <w:rFonts w:cs="Times New Roman"/>
          <w:szCs w:val="24"/>
          <w:lang w:val="en-GB"/>
        </w:rPr>
        <w:t xml:space="preserve"> </w:t>
      </w:r>
      <w:r w:rsidR="00885929" w:rsidRPr="002B7B0F">
        <w:rPr>
          <w:rFonts w:cs="Times New Roman"/>
          <w:szCs w:val="24"/>
          <w:lang w:val="en-GB"/>
        </w:rPr>
        <w:t>Hong Kong</w:t>
      </w:r>
      <w:r w:rsidR="002306CB" w:rsidRPr="002B7B0F">
        <w:rPr>
          <w:rFonts w:cs="Times New Roman"/>
          <w:szCs w:val="24"/>
          <w:lang w:val="en-GB"/>
        </w:rPr>
        <w:t xml:space="preserve"> bidder</w:t>
      </w:r>
      <w:r w:rsidR="00885929" w:rsidRPr="002B7B0F">
        <w:rPr>
          <w:rFonts w:cs="Times New Roman"/>
          <w:szCs w:val="24"/>
          <w:lang w:val="en-GB"/>
        </w:rPr>
        <w:t>s have achieved positive</w:t>
      </w:r>
      <w:r w:rsidR="002306CB" w:rsidRPr="002B7B0F">
        <w:rPr>
          <w:rFonts w:cs="Times New Roman"/>
          <w:szCs w:val="24"/>
          <w:lang w:val="en-GB"/>
        </w:rPr>
        <w:t xml:space="preserve"> return</w:t>
      </w:r>
      <w:r w:rsidR="00885929" w:rsidRPr="002B7B0F">
        <w:rPr>
          <w:rFonts w:cs="Times New Roman"/>
          <w:szCs w:val="24"/>
          <w:lang w:val="en-GB"/>
        </w:rPr>
        <w:t>s</w:t>
      </w:r>
      <w:r w:rsidR="002306CB" w:rsidRPr="002B7B0F">
        <w:rPr>
          <w:rFonts w:cs="Times New Roman"/>
          <w:szCs w:val="24"/>
          <w:lang w:val="en-GB"/>
        </w:rPr>
        <w:t xml:space="preserve"> within 51 days of the </w:t>
      </w:r>
      <w:r w:rsidR="00885929" w:rsidRPr="002B7B0F">
        <w:rPr>
          <w:rFonts w:cs="Times New Roman"/>
          <w:szCs w:val="24"/>
          <w:lang w:val="en-GB"/>
        </w:rPr>
        <w:t xml:space="preserve">announcement period </w:t>
      </w:r>
      <w:r w:rsidR="00C96CD5" w:rsidRPr="002B7B0F">
        <w:rPr>
          <w:rFonts w:cs="Times New Roman"/>
          <w:szCs w:val="24"/>
          <w:lang w:val="en-GB"/>
        </w:rPr>
        <w:t xml:space="preserve">regardless of the market </w:t>
      </w:r>
      <w:r w:rsidR="006845C5" w:rsidRPr="002B7B0F">
        <w:rPr>
          <w:rFonts w:cs="Times New Roman"/>
          <w:szCs w:val="24"/>
          <w:lang w:val="en-GB"/>
        </w:rPr>
        <w:t xml:space="preserve">of </w:t>
      </w:r>
      <w:r w:rsidR="00A25096">
        <w:rPr>
          <w:rFonts w:cs="Times New Roman"/>
          <w:szCs w:val="24"/>
          <w:lang w:val="en-GB"/>
        </w:rPr>
        <w:t xml:space="preserve">the </w:t>
      </w:r>
      <w:r w:rsidR="006845C5" w:rsidRPr="002B7B0F">
        <w:rPr>
          <w:rFonts w:cs="Times New Roman"/>
          <w:szCs w:val="24"/>
          <w:lang w:val="en-GB"/>
        </w:rPr>
        <w:t>targets</w:t>
      </w:r>
      <w:r w:rsidR="00C96CD5" w:rsidRPr="002B7B0F">
        <w:rPr>
          <w:rFonts w:cs="Times New Roman"/>
          <w:szCs w:val="24"/>
          <w:lang w:val="en-GB"/>
        </w:rPr>
        <w:t>.</w:t>
      </w:r>
    </w:p>
    <w:p w14:paraId="4A3FE3E7" w14:textId="4B60DC81" w:rsidR="006845C5" w:rsidRPr="002B7B0F" w:rsidRDefault="006845C5" w:rsidP="00C96CD5">
      <w:pPr>
        <w:ind w:firstLine="480"/>
        <w:rPr>
          <w:rFonts w:cs="Times New Roman"/>
          <w:szCs w:val="24"/>
          <w:lang w:val="en-GB"/>
        </w:rPr>
      </w:pPr>
    </w:p>
    <w:p w14:paraId="5DF814A2" w14:textId="5CCB2348" w:rsidR="00E82D3A" w:rsidRPr="00325258" w:rsidRDefault="00325258" w:rsidP="006C7D32">
      <w:pPr>
        <w:ind w:firstLine="480"/>
        <w:jc w:val="center"/>
        <w:rPr>
          <w:rFonts w:cs="Times New Roman"/>
          <w:b/>
          <w:szCs w:val="24"/>
          <w:lang w:val="en-GB"/>
        </w:rPr>
      </w:pPr>
      <w:r w:rsidRPr="00325258">
        <w:rPr>
          <w:rFonts w:cs="Times New Roman"/>
          <w:b/>
          <w:szCs w:val="24"/>
          <w:lang w:val="en-GB"/>
        </w:rPr>
        <w:t>[INSERT TABLE 1 HERE</w:t>
      </w:r>
      <w:r w:rsidR="006C7D32" w:rsidRPr="00325258">
        <w:rPr>
          <w:rFonts w:cs="Times New Roman"/>
          <w:b/>
          <w:szCs w:val="24"/>
          <w:lang w:val="en-GB"/>
        </w:rPr>
        <w:t>]</w:t>
      </w:r>
    </w:p>
    <w:p w14:paraId="4FB6D375" w14:textId="69DF60A7" w:rsidR="00E82D3A" w:rsidRPr="002B7B0F" w:rsidRDefault="00E82D3A" w:rsidP="00C96CD5">
      <w:pPr>
        <w:ind w:firstLine="480"/>
        <w:rPr>
          <w:rFonts w:cs="Times New Roman"/>
          <w:szCs w:val="24"/>
          <w:lang w:val="en-GB"/>
        </w:rPr>
      </w:pPr>
    </w:p>
    <w:p w14:paraId="398BCE72" w14:textId="77777777" w:rsidR="00E82D3A" w:rsidRPr="002B7B0F" w:rsidRDefault="00E82D3A" w:rsidP="00C96CD5">
      <w:pPr>
        <w:ind w:firstLine="480"/>
        <w:rPr>
          <w:rFonts w:cs="Times New Roman"/>
          <w:szCs w:val="24"/>
          <w:lang w:val="en-GB"/>
        </w:rPr>
      </w:pPr>
    </w:p>
    <w:p w14:paraId="2CD30D02" w14:textId="50EE8A29" w:rsidR="006845C5" w:rsidRPr="002B7B0F" w:rsidRDefault="00C96CD5" w:rsidP="006845C5">
      <w:pPr>
        <w:ind w:firstLine="480"/>
        <w:rPr>
          <w:rFonts w:cs="Times New Roman"/>
          <w:szCs w:val="24"/>
          <w:lang w:val="en-GB"/>
        </w:rPr>
      </w:pPr>
      <w:r w:rsidRPr="002B7B0F">
        <w:rPr>
          <w:rFonts w:cs="Times New Roman"/>
          <w:color w:val="000000" w:themeColor="text1"/>
          <w:szCs w:val="24"/>
          <w:lang w:val="en-GB"/>
        </w:rPr>
        <w:t xml:space="preserve">Table 2 </w:t>
      </w:r>
      <w:r w:rsidRPr="002B7B0F">
        <w:rPr>
          <w:rFonts w:cs="Times New Roman"/>
          <w:szCs w:val="24"/>
          <w:lang w:val="en-GB"/>
        </w:rPr>
        <w:t xml:space="preserve">exhibits </w:t>
      </w:r>
      <w:r w:rsidR="00A25096">
        <w:rPr>
          <w:rFonts w:cs="Times New Roman"/>
          <w:szCs w:val="24"/>
          <w:lang w:val="en-GB"/>
        </w:rPr>
        <w:t xml:space="preserve">the </w:t>
      </w:r>
      <w:r w:rsidRPr="002B7B0F">
        <w:rPr>
          <w:rFonts w:cs="Times New Roman"/>
          <w:szCs w:val="24"/>
          <w:lang w:val="en-GB"/>
        </w:rPr>
        <w:t xml:space="preserve">industry </w:t>
      </w:r>
      <w:r w:rsidR="00A25096">
        <w:rPr>
          <w:rFonts w:cs="Times New Roman"/>
          <w:szCs w:val="24"/>
          <w:lang w:val="en-GB"/>
        </w:rPr>
        <w:t>categories</w:t>
      </w:r>
      <w:r w:rsidR="00A25096" w:rsidRPr="002B7B0F">
        <w:rPr>
          <w:rFonts w:cs="Times New Roman"/>
          <w:szCs w:val="24"/>
          <w:lang w:val="en-GB"/>
        </w:rPr>
        <w:t xml:space="preserve"> </w:t>
      </w:r>
      <w:r w:rsidRPr="002B7B0F">
        <w:rPr>
          <w:rFonts w:cs="Times New Roman"/>
          <w:szCs w:val="24"/>
          <w:lang w:val="en-GB"/>
        </w:rPr>
        <w:t xml:space="preserve">of bidding companies. In terms of number of deals, </w:t>
      </w:r>
      <w:r w:rsidR="00A25096">
        <w:rPr>
          <w:rFonts w:cs="Times New Roman"/>
          <w:szCs w:val="24"/>
          <w:lang w:val="en-GB"/>
        </w:rPr>
        <w:t xml:space="preserve">the </w:t>
      </w:r>
      <w:r w:rsidRPr="002B7B0F">
        <w:rPr>
          <w:rFonts w:cs="Times New Roman"/>
          <w:szCs w:val="24"/>
          <w:lang w:val="en-GB"/>
        </w:rPr>
        <w:t xml:space="preserve">financial sector occupies important positions in both target markets and they predominantly increase </w:t>
      </w:r>
      <w:r w:rsidR="00A25096">
        <w:rPr>
          <w:rFonts w:cs="Times New Roman"/>
          <w:szCs w:val="24"/>
          <w:lang w:val="en-GB"/>
        </w:rPr>
        <w:t xml:space="preserve">the </w:t>
      </w:r>
      <w:r w:rsidRPr="002B7B0F">
        <w:rPr>
          <w:rFonts w:cs="Times New Roman"/>
          <w:szCs w:val="24"/>
          <w:lang w:val="en-GB"/>
        </w:rPr>
        <w:t xml:space="preserve">business focus. </w:t>
      </w:r>
      <w:r w:rsidR="00A25096">
        <w:rPr>
          <w:rFonts w:cs="Times New Roman"/>
          <w:szCs w:val="24"/>
          <w:lang w:val="en-GB"/>
        </w:rPr>
        <w:t>The i</w:t>
      </w:r>
      <w:r w:rsidRPr="002B7B0F">
        <w:rPr>
          <w:rFonts w:cs="Times New Roman"/>
          <w:szCs w:val="24"/>
          <w:lang w:val="en-GB"/>
        </w:rPr>
        <w:t xml:space="preserve">ndustrial sector and </w:t>
      </w:r>
      <w:r w:rsidR="00A25096">
        <w:rPr>
          <w:rFonts w:cs="Times New Roman"/>
          <w:szCs w:val="24"/>
          <w:lang w:val="en-GB"/>
        </w:rPr>
        <w:t>c</w:t>
      </w:r>
      <w:r w:rsidRPr="002B7B0F">
        <w:rPr>
          <w:rFonts w:cs="Times New Roman"/>
          <w:szCs w:val="24"/>
          <w:lang w:val="en-GB"/>
        </w:rPr>
        <w:t xml:space="preserve">yclical consumer industry are </w:t>
      </w:r>
      <w:r w:rsidR="006845C5" w:rsidRPr="002B7B0F">
        <w:rPr>
          <w:rFonts w:cs="Times New Roman"/>
          <w:szCs w:val="24"/>
          <w:lang w:val="en-GB"/>
        </w:rPr>
        <w:t>also</w:t>
      </w:r>
      <w:r w:rsidRPr="002B7B0F">
        <w:rPr>
          <w:rFonts w:cs="Times New Roman"/>
          <w:szCs w:val="24"/>
          <w:lang w:val="en-GB"/>
        </w:rPr>
        <w:t xml:space="preserve"> relatively major sector</w:t>
      </w:r>
      <w:r w:rsidR="006845C5" w:rsidRPr="002B7B0F">
        <w:rPr>
          <w:rFonts w:cs="Times New Roman"/>
          <w:szCs w:val="24"/>
          <w:lang w:val="en-GB"/>
        </w:rPr>
        <w:t>s</w:t>
      </w:r>
      <w:r w:rsidR="00621724" w:rsidRPr="002B7B0F">
        <w:rPr>
          <w:rFonts w:cs="Times New Roman"/>
          <w:szCs w:val="24"/>
          <w:lang w:val="en-GB"/>
        </w:rPr>
        <w:t>, which constitute 14.45</w:t>
      </w:r>
      <w:r w:rsidRPr="002B7B0F">
        <w:rPr>
          <w:rFonts w:cs="Times New Roman"/>
          <w:szCs w:val="24"/>
          <w:lang w:val="en-GB"/>
        </w:rPr>
        <w:t>%</w:t>
      </w:r>
      <w:r w:rsidR="006318EA" w:rsidRPr="002B7B0F">
        <w:rPr>
          <w:rFonts w:cs="Times New Roman"/>
          <w:szCs w:val="24"/>
          <w:lang w:val="en-GB"/>
        </w:rPr>
        <w:t xml:space="preserve"> and </w:t>
      </w:r>
      <w:r w:rsidR="00621724" w:rsidRPr="002B7B0F">
        <w:rPr>
          <w:rFonts w:cs="Times New Roman"/>
          <w:szCs w:val="24"/>
          <w:lang w:val="en-GB"/>
        </w:rPr>
        <w:t>16.76%</w:t>
      </w:r>
      <w:r w:rsidRPr="002B7B0F">
        <w:rPr>
          <w:rFonts w:cs="Times New Roman"/>
          <w:szCs w:val="24"/>
          <w:lang w:val="en-GB"/>
        </w:rPr>
        <w:t xml:space="preserve"> in </w:t>
      </w:r>
      <w:r w:rsidR="00A25096">
        <w:rPr>
          <w:rFonts w:cs="Times New Roman"/>
          <w:szCs w:val="24"/>
          <w:lang w:val="en-GB"/>
        </w:rPr>
        <w:t xml:space="preserve">the </w:t>
      </w:r>
      <w:r w:rsidRPr="002B7B0F">
        <w:rPr>
          <w:rFonts w:cs="Times New Roman"/>
          <w:szCs w:val="24"/>
          <w:lang w:val="en-GB"/>
        </w:rPr>
        <w:t xml:space="preserve">Hong Kong target market </w:t>
      </w:r>
      <w:r w:rsidR="00A25096">
        <w:rPr>
          <w:rFonts w:cs="Times New Roman"/>
          <w:szCs w:val="24"/>
          <w:lang w:val="en-GB"/>
        </w:rPr>
        <w:t>and</w:t>
      </w:r>
      <w:r w:rsidR="00621724" w:rsidRPr="002B7B0F">
        <w:rPr>
          <w:rFonts w:cs="Times New Roman"/>
          <w:szCs w:val="24"/>
          <w:lang w:val="en-GB"/>
        </w:rPr>
        <w:t xml:space="preserve"> 20</w:t>
      </w:r>
      <w:r w:rsidRPr="002B7B0F">
        <w:rPr>
          <w:rFonts w:cs="Times New Roman"/>
          <w:szCs w:val="24"/>
          <w:lang w:val="en-GB"/>
        </w:rPr>
        <w:t>.7</w:t>
      </w:r>
      <w:r w:rsidR="00621724" w:rsidRPr="002B7B0F">
        <w:rPr>
          <w:rFonts w:cs="Times New Roman"/>
          <w:szCs w:val="24"/>
          <w:lang w:val="en-GB"/>
        </w:rPr>
        <w:t xml:space="preserve">8% and 21.65% </w:t>
      </w:r>
      <w:r w:rsidRPr="002B7B0F">
        <w:rPr>
          <w:rFonts w:cs="Times New Roman"/>
          <w:szCs w:val="24"/>
          <w:lang w:val="en-GB"/>
        </w:rPr>
        <w:t xml:space="preserve">in </w:t>
      </w:r>
      <w:r w:rsidR="00392FA6">
        <w:rPr>
          <w:rFonts w:cs="Times New Roman"/>
          <w:szCs w:val="24"/>
          <w:lang w:val="en-GB"/>
        </w:rPr>
        <w:t>the</w:t>
      </w:r>
      <w:r w:rsidRPr="002B7B0F">
        <w:rPr>
          <w:rFonts w:cs="Times New Roman"/>
          <w:szCs w:val="24"/>
          <w:lang w:val="en-GB"/>
        </w:rPr>
        <w:t xml:space="preserve"> Mainland </w:t>
      </w:r>
      <w:r w:rsidR="00392FA6">
        <w:rPr>
          <w:rFonts w:cs="Times New Roman"/>
          <w:szCs w:val="24"/>
          <w:lang w:val="en-GB"/>
        </w:rPr>
        <w:t xml:space="preserve">China </w:t>
      </w:r>
      <w:r w:rsidRPr="002B7B0F">
        <w:rPr>
          <w:rFonts w:cs="Times New Roman"/>
          <w:szCs w:val="24"/>
          <w:lang w:val="en-GB"/>
        </w:rPr>
        <w:t>target market. Apart from these, acquirers</w:t>
      </w:r>
      <w:r w:rsidR="00621724" w:rsidRPr="002B7B0F">
        <w:rPr>
          <w:rFonts w:cs="Times New Roman"/>
          <w:szCs w:val="24"/>
          <w:lang w:val="en-GB"/>
        </w:rPr>
        <w:t xml:space="preserve"> of Hong Kong targets also focus</w:t>
      </w:r>
      <w:r w:rsidRPr="002B7B0F">
        <w:rPr>
          <w:rFonts w:cs="Times New Roman"/>
          <w:szCs w:val="24"/>
          <w:lang w:val="en-GB"/>
        </w:rPr>
        <w:t xml:space="preserve"> on non-cyclical consumer industry. </w:t>
      </w:r>
      <w:r w:rsidR="00A25096">
        <w:rPr>
          <w:rFonts w:cs="Times New Roman"/>
          <w:szCs w:val="24"/>
          <w:lang w:val="en-GB"/>
        </w:rPr>
        <w:t>B</w:t>
      </w:r>
      <w:r w:rsidR="006845C5" w:rsidRPr="002B7B0F">
        <w:rPr>
          <w:rFonts w:cs="Times New Roman"/>
          <w:szCs w:val="24"/>
          <w:lang w:val="en-GB"/>
        </w:rPr>
        <w:t>idding firm</w:t>
      </w:r>
      <w:r w:rsidR="00A25096">
        <w:rPr>
          <w:rFonts w:cs="Times New Roman"/>
          <w:szCs w:val="24"/>
          <w:lang w:val="en-GB"/>
        </w:rPr>
        <w:t>s</w:t>
      </w:r>
      <w:r w:rsidR="006845C5" w:rsidRPr="002B7B0F">
        <w:rPr>
          <w:rFonts w:cs="Times New Roman"/>
          <w:szCs w:val="24"/>
          <w:lang w:val="en-GB"/>
        </w:rPr>
        <w:t xml:space="preserve"> in </w:t>
      </w:r>
      <w:r w:rsidR="00A25096">
        <w:rPr>
          <w:rFonts w:cs="Times New Roman"/>
          <w:szCs w:val="24"/>
          <w:lang w:val="en-GB"/>
        </w:rPr>
        <w:t xml:space="preserve">the </w:t>
      </w:r>
      <w:r w:rsidR="006845C5" w:rsidRPr="002B7B0F">
        <w:rPr>
          <w:rFonts w:cs="Times New Roman"/>
          <w:szCs w:val="24"/>
          <w:lang w:val="en-GB"/>
        </w:rPr>
        <w:t>financial</w:t>
      </w:r>
      <w:r w:rsidRPr="002B7B0F">
        <w:rPr>
          <w:rFonts w:cs="Times New Roman"/>
          <w:szCs w:val="24"/>
          <w:lang w:val="en-GB"/>
        </w:rPr>
        <w:t xml:space="preserve"> sector of both target markets have </w:t>
      </w:r>
      <w:r w:rsidR="006845C5" w:rsidRPr="002B7B0F">
        <w:rPr>
          <w:rFonts w:cs="Times New Roman"/>
          <w:szCs w:val="24"/>
          <w:lang w:val="en-GB"/>
        </w:rPr>
        <w:t xml:space="preserve">the </w:t>
      </w:r>
      <w:r w:rsidRPr="002B7B0F">
        <w:rPr>
          <w:rFonts w:cs="Times New Roman"/>
          <w:szCs w:val="24"/>
          <w:lang w:val="en-GB"/>
        </w:rPr>
        <w:t>high</w:t>
      </w:r>
      <w:r w:rsidR="00611E14" w:rsidRPr="002B7B0F">
        <w:rPr>
          <w:rFonts w:cs="Times New Roman"/>
          <w:szCs w:val="24"/>
          <w:lang w:val="en-GB"/>
        </w:rPr>
        <w:t>est</w:t>
      </w:r>
      <w:r w:rsidRPr="002B7B0F">
        <w:rPr>
          <w:rFonts w:cs="Times New Roman"/>
          <w:szCs w:val="24"/>
          <w:lang w:val="en-GB"/>
        </w:rPr>
        <w:t xml:space="preserve"> deal values </w:t>
      </w:r>
      <w:r w:rsidR="00611E14" w:rsidRPr="002B7B0F">
        <w:rPr>
          <w:rFonts w:cs="Times New Roman"/>
          <w:szCs w:val="24"/>
          <w:lang w:val="en-GB"/>
        </w:rPr>
        <w:t xml:space="preserve">than all other </w:t>
      </w:r>
      <w:r w:rsidRPr="002B7B0F">
        <w:rPr>
          <w:rFonts w:cs="Times New Roman"/>
          <w:szCs w:val="24"/>
          <w:lang w:val="en-GB"/>
        </w:rPr>
        <w:t xml:space="preserve">industries. </w:t>
      </w:r>
      <w:r w:rsidR="00611E14" w:rsidRPr="002B7B0F">
        <w:rPr>
          <w:rFonts w:cs="Times New Roman"/>
          <w:szCs w:val="24"/>
          <w:lang w:val="en-GB"/>
        </w:rPr>
        <w:t>In addition,</w:t>
      </w:r>
      <w:r w:rsidR="00611E14" w:rsidRPr="002B7B0F">
        <w:rPr>
          <w:lang w:val="en-GB"/>
        </w:rPr>
        <w:t xml:space="preserve"> </w:t>
      </w:r>
      <w:r w:rsidR="00611E14" w:rsidRPr="002B7B0F">
        <w:rPr>
          <w:rFonts w:cs="Times New Roman"/>
          <w:szCs w:val="24"/>
          <w:lang w:val="en-GB"/>
        </w:rPr>
        <w:t>technology sector companies have the highest market value of equity, althoug</w:t>
      </w:r>
      <w:r w:rsidR="006845C5" w:rsidRPr="002B7B0F">
        <w:rPr>
          <w:rFonts w:cs="Times New Roman"/>
          <w:szCs w:val="24"/>
          <w:lang w:val="en-GB"/>
        </w:rPr>
        <w:t>h this</w:t>
      </w:r>
      <w:r w:rsidR="005E3C7E" w:rsidRPr="002B7B0F">
        <w:rPr>
          <w:rFonts w:cs="Times New Roman"/>
          <w:szCs w:val="24"/>
          <w:lang w:val="en-GB"/>
        </w:rPr>
        <w:t xml:space="preserve"> </w:t>
      </w:r>
      <w:r w:rsidR="006845C5" w:rsidRPr="002B7B0F">
        <w:rPr>
          <w:rFonts w:cs="Times New Roman"/>
          <w:szCs w:val="24"/>
          <w:lang w:val="en-GB"/>
        </w:rPr>
        <w:t>sector</w:t>
      </w:r>
      <w:r w:rsidR="005E3C7E" w:rsidRPr="002B7B0F">
        <w:rPr>
          <w:rFonts w:cs="Times New Roman"/>
          <w:szCs w:val="24"/>
          <w:lang w:val="en-GB"/>
        </w:rPr>
        <w:t xml:space="preserve"> accounts for less than 3</w:t>
      </w:r>
      <w:r w:rsidR="00611E14" w:rsidRPr="002B7B0F">
        <w:rPr>
          <w:rFonts w:cs="Times New Roman"/>
          <w:szCs w:val="24"/>
          <w:lang w:val="en-GB"/>
        </w:rPr>
        <w:t xml:space="preserve">% </w:t>
      </w:r>
      <w:r w:rsidR="005E3C7E" w:rsidRPr="002B7B0F">
        <w:rPr>
          <w:rFonts w:cs="Times New Roman"/>
          <w:szCs w:val="24"/>
          <w:lang w:val="en-GB"/>
        </w:rPr>
        <w:t xml:space="preserve">in both markets. </w:t>
      </w:r>
      <w:r w:rsidRPr="002B7B0F">
        <w:rPr>
          <w:rFonts w:cs="Times New Roman"/>
          <w:szCs w:val="24"/>
          <w:lang w:val="en-GB"/>
        </w:rPr>
        <w:t>Bidding firms in most industry sectors earn positive returns during the announcement period.</w:t>
      </w:r>
    </w:p>
    <w:p w14:paraId="136C226F" w14:textId="280AEF5C" w:rsidR="006845C5" w:rsidRPr="002B7B0F" w:rsidRDefault="005E3C7E" w:rsidP="00500D62">
      <w:pPr>
        <w:ind w:firstLine="480"/>
        <w:rPr>
          <w:lang w:val="en-GB"/>
        </w:rPr>
      </w:pPr>
      <w:r w:rsidRPr="002B7B0F">
        <w:rPr>
          <w:lang w:val="en-GB"/>
        </w:rPr>
        <w:t xml:space="preserve">After exploring the characteristics of acquisition and industry information, we then investigate </w:t>
      </w:r>
      <w:r w:rsidR="00A25096">
        <w:rPr>
          <w:lang w:val="en-GB"/>
        </w:rPr>
        <w:t xml:space="preserve">the </w:t>
      </w:r>
      <w:r w:rsidRPr="002B7B0F">
        <w:rPr>
          <w:lang w:val="en-GB"/>
        </w:rPr>
        <w:t xml:space="preserve">short-run market performance of bidding firms of Hong Kong targets and Mainland </w:t>
      </w:r>
      <w:r w:rsidR="00392FA6">
        <w:rPr>
          <w:lang w:val="en-GB"/>
        </w:rPr>
        <w:t xml:space="preserve">China </w:t>
      </w:r>
      <w:r w:rsidRPr="002B7B0F">
        <w:rPr>
          <w:lang w:val="en-GB"/>
        </w:rPr>
        <w:t>targets around the announcemen</w:t>
      </w:r>
      <w:r w:rsidR="0094518E" w:rsidRPr="002B7B0F">
        <w:rPr>
          <w:lang w:val="en-GB"/>
        </w:rPr>
        <w:t>t period. This research uses</w:t>
      </w:r>
      <w:r w:rsidRPr="002B7B0F">
        <w:rPr>
          <w:lang w:val="en-GB"/>
        </w:rPr>
        <w:t xml:space="preserve"> </w:t>
      </w:r>
      <w:r w:rsidR="0094518E" w:rsidRPr="002B7B0F">
        <w:rPr>
          <w:lang w:val="en-GB"/>
        </w:rPr>
        <w:t xml:space="preserve">bidders’ </w:t>
      </w:r>
      <w:r w:rsidRPr="002B7B0F">
        <w:rPr>
          <w:lang w:val="en-GB"/>
        </w:rPr>
        <w:t xml:space="preserve">daily stock price to estimate the abnormal return of the acquiring company. </w:t>
      </w:r>
      <w:r w:rsidR="00A25096">
        <w:rPr>
          <w:lang w:val="en-GB"/>
        </w:rPr>
        <w:t xml:space="preserve">The </w:t>
      </w:r>
      <w:r w:rsidRPr="002B7B0F">
        <w:rPr>
          <w:lang w:val="en-GB"/>
        </w:rPr>
        <w:t xml:space="preserve">Hang Seng Index </w:t>
      </w:r>
      <w:r w:rsidR="00D13710" w:rsidRPr="002B7B0F">
        <w:rPr>
          <w:lang w:val="en-GB"/>
        </w:rPr>
        <w:t>is</w:t>
      </w:r>
      <w:r w:rsidRPr="002B7B0F">
        <w:rPr>
          <w:lang w:val="en-GB"/>
        </w:rPr>
        <w:t xml:space="preserve"> used as </w:t>
      </w:r>
      <w:r w:rsidR="00D13710" w:rsidRPr="002B7B0F">
        <w:rPr>
          <w:lang w:val="en-GB"/>
        </w:rPr>
        <w:t>a</w:t>
      </w:r>
      <w:r w:rsidRPr="002B7B0F">
        <w:rPr>
          <w:lang w:val="en-GB"/>
        </w:rPr>
        <w:t xml:space="preserve"> proxy for market portfolio in this study. Ten years’ Hong Kong government bond yield is considered as a proxy for the risk-free rate. This research </w:t>
      </w:r>
      <w:r w:rsidR="00A25096">
        <w:rPr>
          <w:lang w:val="en-GB"/>
        </w:rPr>
        <w:t>also</w:t>
      </w:r>
      <w:r w:rsidR="00A25096" w:rsidRPr="002B7B0F">
        <w:rPr>
          <w:lang w:val="en-GB"/>
        </w:rPr>
        <w:t xml:space="preserve"> </w:t>
      </w:r>
      <w:r w:rsidRPr="002B7B0F">
        <w:rPr>
          <w:lang w:val="en-GB"/>
        </w:rPr>
        <w:t>collects diverse accounting data</w:t>
      </w:r>
      <w:r w:rsidR="00D13710" w:rsidRPr="002B7B0F">
        <w:rPr>
          <w:lang w:val="en-GB"/>
        </w:rPr>
        <w:t xml:space="preserve"> for a further analysis</w:t>
      </w:r>
      <w:r w:rsidRPr="002B7B0F">
        <w:rPr>
          <w:lang w:val="en-GB"/>
        </w:rPr>
        <w:t xml:space="preserve"> of influence</w:t>
      </w:r>
      <w:r w:rsidR="00D13710" w:rsidRPr="002B7B0F">
        <w:rPr>
          <w:lang w:val="en-GB"/>
        </w:rPr>
        <w:t>s</w:t>
      </w:r>
      <w:r w:rsidRPr="002B7B0F">
        <w:rPr>
          <w:lang w:val="en-GB"/>
        </w:rPr>
        <w:t xml:space="preserve"> of bid characteristics and firm characteristics on bidders’ post-acquisition abnormal returns. </w:t>
      </w:r>
    </w:p>
    <w:p w14:paraId="3671BFE9" w14:textId="77777777" w:rsidR="006845C5" w:rsidRPr="002B7B0F" w:rsidRDefault="006845C5" w:rsidP="005E3C7E">
      <w:pPr>
        <w:ind w:firstLine="480"/>
        <w:rPr>
          <w:lang w:val="en-GB"/>
        </w:rPr>
      </w:pPr>
    </w:p>
    <w:p w14:paraId="300AED51" w14:textId="2CC8B929" w:rsidR="006845C5" w:rsidRDefault="006C7D32" w:rsidP="006845C5">
      <w:pPr>
        <w:pStyle w:val="a"/>
        <w:ind w:firstLine="480"/>
        <w:rPr>
          <w:u w:val="none"/>
          <w:lang w:val="en-GB"/>
        </w:rPr>
      </w:pPr>
      <w:r w:rsidRPr="00325258">
        <w:rPr>
          <w:u w:val="none"/>
          <w:lang w:val="en-GB"/>
        </w:rPr>
        <w:t>[I</w:t>
      </w:r>
      <w:r w:rsidR="00325258" w:rsidRPr="00325258">
        <w:rPr>
          <w:u w:val="none"/>
          <w:lang w:val="en-GB"/>
        </w:rPr>
        <w:t>NSERT TABLE 2 HERE</w:t>
      </w:r>
      <w:r w:rsidRPr="00325258">
        <w:rPr>
          <w:u w:val="none"/>
          <w:lang w:val="en-GB"/>
        </w:rPr>
        <w:t>]</w:t>
      </w:r>
    </w:p>
    <w:p w14:paraId="468D5A50" w14:textId="77777777" w:rsidR="00500D62" w:rsidRDefault="00500D62" w:rsidP="006845C5">
      <w:pPr>
        <w:pStyle w:val="a"/>
        <w:ind w:firstLine="480"/>
        <w:rPr>
          <w:u w:val="none"/>
          <w:lang w:val="en-GB"/>
        </w:rPr>
      </w:pPr>
    </w:p>
    <w:p w14:paraId="099A9544" w14:textId="77777777" w:rsidR="00500D62" w:rsidRDefault="00500D62" w:rsidP="00500D62">
      <w:pPr>
        <w:pStyle w:val="a"/>
        <w:ind w:firstLine="480"/>
        <w:jc w:val="both"/>
        <w:rPr>
          <w:u w:val="none"/>
          <w:lang w:val="en-GB"/>
        </w:rPr>
      </w:pPr>
    </w:p>
    <w:p w14:paraId="22A07424" w14:textId="07B51AA1" w:rsidR="005E3C7E" w:rsidRPr="00AE0DFE" w:rsidRDefault="005E3C7E" w:rsidP="00AE0DFE">
      <w:pPr>
        <w:ind w:firstLine="480"/>
        <w:rPr>
          <w:rFonts w:ascii="Arial" w:hAnsi="Arial" w:cs="Arial"/>
          <w:color w:val="222222"/>
          <w:sz w:val="20"/>
          <w:szCs w:val="20"/>
          <w:shd w:val="clear" w:color="auto" w:fill="FFFFFF"/>
        </w:rPr>
      </w:pPr>
      <w:r w:rsidRPr="002B7B0F">
        <w:rPr>
          <w:lang w:val="en-GB"/>
        </w:rPr>
        <w:t xml:space="preserve">Previous studies have utilized </w:t>
      </w:r>
      <w:r w:rsidR="00D13710" w:rsidRPr="002B7B0F">
        <w:rPr>
          <w:lang w:val="en-GB"/>
        </w:rPr>
        <w:t>diverse methods to calculate</w:t>
      </w:r>
      <w:r w:rsidRPr="002B7B0F">
        <w:rPr>
          <w:lang w:val="en-GB"/>
        </w:rPr>
        <w:t xml:space="preserve"> abnormal returns around the announcement period. In this study, we will use Brown and Warner</w:t>
      </w:r>
      <w:r w:rsidR="00A25096">
        <w:rPr>
          <w:lang w:val="en-GB"/>
        </w:rPr>
        <w:t>’s</w:t>
      </w:r>
      <w:r w:rsidRPr="002B7B0F">
        <w:rPr>
          <w:lang w:val="en-GB"/>
        </w:rPr>
        <w:t xml:space="preserve"> (1985) standard event study methodology to measure cumulative abnormal returns (CARs) during</w:t>
      </w:r>
      <w:r w:rsidR="001076A9" w:rsidRPr="002B7B0F">
        <w:rPr>
          <w:lang w:val="en-GB"/>
        </w:rPr>
        <w:t xml:space="preserve"> </w:t>
      </w:r>
      <w:r w:rsidR="00A25096">
        <w:rPr>
          <w:lang w:val="en-GB"/>
        </w:rPr>
        <w:t xml:space="preserve">the </w:t>
      </w:r>
      <w:r w:rsidR="001076A9" w:rsidRPr="002B7B0F">
        <w:rPr>
          <w:lang w:val="en-GB"/>
        </w:rPr>
        <w:t>short-term announcement period</w:t>
      </w:r>
      <w:r w:rsidR="00A85290">
        <w:rPr>
          <w:lang w:val="en-GB"/>
        </w:rPr>
        <w:t>. Earlier</w:t>
      </w:r>
      <w:r w:rsidRPr="002B7B0F">
        <w:rPr>
          <w:lang w:val="en-GB"/>
        </w:rPr>
        <w:t xml:space="preserve">, </w:t>
      </w:r>
      <w:r w:rsidR="00AE0DFE">
        <w:rPr>
          <w:lang w:val="en-GB"/>
        </w:rPr>
        <w:t xml:space="preserve">studies </w:t>
      </w:r>
      <w:r w:rsidRPr="002B7B0F">
        <w:rPr>
          <w:lang w:val="en-GB"/>
        </w:rPr>
        <w:t xml:space="preserve">demonstrate that </w:t>
      </w:r>
      <w:r w:rsidR="00C215E8" w:rsidRPr="002B7B0F">
        <w:rPr>
          <w:lang w:val="en-GB"/>
        </w:rPr>
        <w:t>estimating beta will not significantly improve the calculations of abnormal returns</w:t>
      </w:r>
      <w:r w:rsidR="00AE0DFE">
        <w:rPr>
          <w:lang w:val="en-GB"/>
        </w:rPr>
        <w:t xml:space="preserve"> </w:t>
      </w:r>
      <w:r w:rsidR="00AE0DFE" w:rsidRPr="00923871">
        <w:rPr>
          <w:lang w:val="en-GB"/>
        </w:rPr>
        <w:t>(Timpano and Bacon, 2012 and Brown and Warner, 1980)</w:t>
      </w:r>
      <w:r w:rsidRPr="00923871">
        <w:rPr>
          <w:lang w:val="en-GB"/>
        </w:rPr>
        <w:t>.</w:t>
      </w:r>
      <w:r w:rsidRPr="002B7B0F">
        <w:rPr>
          <w:lang w:val="en-GB"/>
        </w:rPr>
        <w:t xml:space="preserve"> Therefore, this study </w:t>
      </w:r>
      <w:r w:rsidR="00C215E8" w:rsidRPr="002B7B0F">
        <w:rPr>
          <w:lang w:val="en-GB"/>
        </w:rPr>
        <w:t xml:space="preserve">will </w:t>
      </w:r>
      <w:r w:rsidRPr="002B7B0F">
        <w:rPr>
          <w:lang w:val="en-GB"/>
        </w:rPr>
        <w:t>e</w:t>
      </w:r>
      <w:r w:rsidR="00C215E8" w:rsidRPr="002B7B0F">
        <w:rPr>
          <w:lang w:val="en-GB"/>
        </w:rPr>
        <w:t>mploy</w:t>
      </w:r>
      <w:r w:rsidRPr="002B7B0F">
        <w:rPr>
          <w:lang w:val="en-GB"/>
        </w:rPr>
        <w:t xml:space="preserve"> </w:t>
      </w:r>
      <w:r w:rsidR="00A25096">
        <w:rPr>
          <w:lang w:val="en-GB"/>
        </w:rPr>
        <w:t xml:space="preserve">the </w:t>
      </w:r>
      <w:r w:rsidRPr="002B7B0F">
        <w:rPr>
          <w:lang w:val="en-GB"/>
        </w:rPr>
        <w:t xml:space="preserve">single-factor model (CAPM) and three-factor model (Fama-French) to produce </w:t>
      </w:r>
      <w:r w:rsidR="0073348C" w:rsidRPr="002B7B0F">
        <w:rPr>
          <w:lang w:val="en-GB"/>
        </w:rPr>
        <w:t xml:space="preserve">market adjusted </w:t>
      </w:r>
      <w:r w:rsidRPr="002B7B0F">
        <w:rPr>
          <w:lang w:val="en-GB"/>
        </w:rPr>
        <w:t>abnormal returns</w:t>
      </w:r>
      <w:r w:rsidR="00C215E8" w:rsidRPr="002B7B0F">
        <w:rPr>
          <w:lang w:val="en-GB"/>
        </w:rPr>
        <w:t xml:space="preserve"> rather than </w:t>
      </w:r>
      <w:r w:rsidR="00A25096">
        <w:rPr>
          <w:lang w:val="en-GB"/>
        </w:rPr>
        <w:t xml:space="preserve">the </w:t>
      </w:r>
      <w:r w:rsidR="00C215E8" w:rsidRPr="002B7B0F">
        <w:rPr>
          <w:lang w:val="en-GB"/>
        </w:rPr>
        <w:t>market model</w:t>
      </w:r>
      <w:r w:rsidR="004C7987">
        <w:rPr>
          <w:lang w:val="en-GB"/>
        </w:rPr>
        <w:t xml:space="preserve"> </w:t>
      </w:r>
      <w:r w:rsidR="004C7987" w:rsidRPr="00923871">
        <w:rPr>
          <w:lang w:val="en-GB"/>
        </w:rPr>
        <w:t xml:space="preserve">(for e.g see </w:t>
      </w:r>
      <w:r w:rsidR="00A85290" w:rsidRPr="00923871">
        <w:rPr>
          <w:lang w:val="en-GB"/>
        </w:rPr>
        <w:t>Kan et al., 2013; Novy-Marx, 2013; Oberndorfer et al., 2013 and Patro et al., 2013)</w:t>
      </w:r>
      <w:r w:rsidRPr="00923871">
        <w:rPr>
          <w:lang w:val="en-GB"/>
        </w:rPr>
        <w:t>.</w:t>
      </w:r>
      <w:r w:rsidRPr="002B7B0F">
        <w:rPr>
          <w:lang w:val="en-GB"/>
        </w:rPr>
        <w:t xml:space="preserve"> The abnormal returns are measured on six event windows around the </w:t>
      </w:r>
      <w:r w:rsidR="0073348C" w:rsidRPr="002B7B0F">
        <w:rPr>
          <w:lang w:val="en-GB"/>
        </w:rPr>
        <w:t xml:space="preserve">announcement </w:t>
      </w:r>
      <w:r w:rsidR="00107E75" w:rsidRPr="002B7B0F">
        <w:rPr>
          <w:lang w:val="en-GB"/>
        </w:rPr>
        <w:t xml:space="preserve">date </w:t>
      </w:r>
      <w:r w:rsidR="0073348C" w:rsidRPr="002B7B0F">
        <w:rPr>
          <w:lang w:val="en-GB"/>
        </w:rPr>
        <w:t xml:space="preserve">(day 0), which </w:t>
      </w:r>
      <w:r w:rsidRPr="002B7B0F">
        <w:rPr>
          <w:lang w:val="en-GB"/>
        </w:rPr>
        <w:t>include</w:t>
      </w:r>
      <w:r w:rsidR="0073348C" w:rsidRPr="002B7B0F">
        <w:rPr>
          <w:lang w:val="en-GB"/>
        </w:rPr>
        <w:t>s</w:t>
      </w:r>
      <w:r w:rsidRPr="002B7B0F">
        <w:rPr>
          <w:lang w:val="en-GB"/>
        </w:rPr>
        <w:t xml:space="preserve"> </w:t>
      </w:r>
      <w:r w:rsidR="00A25096">
        <w:rPr>
          <w:lang w:val="en-GB"/>
        </w:rPr>
        <w:t xml:space="preserve">the </w:t>
      </w:r>
      <w:r w:rsidRPr="002B7B0F">
        <w:rPr>
          <w:lang w:val="en-GB"/>
        </w:rPr>
        <w:t>far pre-announcement period (day -26 to day -10), near pre-announcement period (day -</w:t>
      </w:r>
      <w:r w:rsidR="00107E75" w:rsidRPr="002B7B0F">
        <w:rPr>
          <w:lang w:val="en-GB"/>
        </w:rPr>
        <w:t>9 to -1), announcement day (0</w:t>
      </w:r>
      <w:r w:rsidRPr="002B7B0F">
        <w:rPr>
          <w:lang w:val="en-GB"/>
        </w:rPr>
        <w:t>), near post-announcement period (day +1 to day +9), far post-announcement period (day +10 to day +26) and a total period (day -26 to day +26).</w:t>
      </w:r>
    </w:p>
    <w:p w14:paraId="4B06FA3E" w14:textId="77777777" w:rsidR="00C16326" w:rsidRPr="00052E20" w:rsidRDefault="00C16326" w:rsidP="00C16326">
      <w:pPr>
        <w:ind w:firstLine="480"/>
        <w:rPr>
          <w:rFonts w:cs="Times New Roman"/>
          <w:szCs w:val="24"/>
        </w:rPr>
      </w:pPr>
      <w:r w:rsidRPr="00052E20">
        <w:rPr>
          <w:rFonts w:cs="Times New Roman"/>
          <w:szCs w:val="24"/>
        </w:rPr>
        <w:t xml:space="preserve">This study </w:t>
      </w:r>
      <w:r>
        <w:rPr>
          <w:rFonts w:cs="Times New Roman"/>
          <w:szCs w:val="24"/>
        </w:rPr>
        <w:t>calculates d</w:t>
      </w:r>
      <w:r w:rsidRPr="00052E20">
        <w:rPr>
          <w:rFonts w:cs="Times New Roman"/>
          <w:szCs w:val="24"/>
        </w:rPr>
        <w:t>aily returns of enterprises by using their stock prices under this formula:</w:t>
      </w:r>
    </w:p>
    <w:p w14:paraId="65BB0A5E" w14:textId="77777777" w:rsidR="00C16326" w:rsidRPr="00052E20" w:rsidRDefault="00923871" w:rsidP="00C16326">
      <w:pPr>
        <w:ind w:firstLineChars="0" w:firstLine="0"/>
        <w:rPr>
          <w:rFonts w:eastAsiaTheme="minorEastAsia" w:cs="Times New Roman"/>
          <w:szCs w:val="24"/>
        </w:rPr>
      </w:pPr>
      <m:oMath>
        <m:sSub>
          <m:sSubPr>
            <m:ctrlPr>
              <w:rPr>
                <w:rFonts w:ascii="Cambria Math" w:hAnsi="Cambria Math" w:cs="Times New Roman"/>
                <w:szCs w:val="24"/>
                <w:lang w:val="fr-FR"/>
              </w:rPr>
            </m:ctrlPr>
          </m:sSubPr>
          <m:e>
            <m:r>
              <w:rPr>
                <w:rFonts w:ascii="Cambria Math" w:hAnsi="Cambria Math" w:cs="Times New Roman"/>
                <w:szCs w:val="24"/>
                <w:lang w:val="fr-FR"/>
              </w:rPr>
              <m:t>R</m:t>
            </m:r>
          </m:e>
          <m:sub>
            <m:r>
              <w:rPr>
                <w:rFonts w:ascii="Cambria Math" w:hAnsi="Cambria Math" w:cs="Times New Roman"/>
                <w:szCs w:val="24"/>
                <w:lang w:val="fr-FR"/>
              </w:rPr>
              <m:t>i</m:t>
            </m:r>
            <m:r>
              <m:rPr>
                <m:sty m:val="p"/>
              </m:rPr>
              <w:rPr>
                <w:rFonts w:ascii="Cambria Math" w:hAnsi="Cambria Math" w:cs="Times New Roman"/>
                <w:szCs w:val="24"/>
                <w:lang w:val="en-GB"/>
              </w:rPr>
              <m:t>,</m:t>
            </m:r>
            <m:r>
              <w:rPr>
                <w:rFonts w:ascii="Cambria Math" w:hAnsi="Cambria Math" w:cs="Times New Roman"/>
                <w:szCs w:val="24"/>
                <w:lang w:val="fr-FR"/>
              </w:rPr>
              <m:t>t</m:t>
            </m:r>
          </m:sub>
        </m:sSub>
        <m:r>
          <m:rPr>
            <m:sty m:val="p"/>
          </m:rPr>
          <w:rPr>
            <w:rFonts w:ascii="Cambria Math" w:hAnsi="Cambria Math" w:cs="Times New Roman"/>
            <w:szCs w:val="24"/>
          </w:rPr>
          <m:t>=</m:t>
        </m:r>
        <m:r>
          <w:rPr>
            <w:rFonts w:ascii="Cambria Math" w:hAnsi="Cambria Math" w:cs="Times New Roman"/>
            <w:szCs w:val="24"/>
          </w:rPr>
          <m:t>ln</m:t>
        </m:r>
        <m:sSub>
          <m:sSubPr>
            <m:ctrlPr>
              <w:rPr>
                <w:rFonts w:ascii="Cambria Math" w:hAnsi="Cambria Math" w:cs="Times New Roman"/>
                <w:szCs w:val="24"/>
              </w:rPr>
            </m:ctrlPr>
          </m:sSubPr>
          <m:e>
            <m:r>
              <w:rPr>
                <w:rFonts w:ascii="Cambria Math" w:hAnsi="Cambria Math" w:cs="Times New Roman"/>
                <w:szCs w:val="24"/>
              </w:rPr>
              <m:t>P</m:t>
            </m:r>
          </m:e>
          <m:sub>
            <m:r>
              <w:rPr>
                <w:rFonts w:ascii="Cambria Math" w:hAnsi="Cambria Math" w:cs="Times New Roman"/>
                <w:szCs w:val="24"/>
              </w:rPr>
              <m:t>t</m:t>
            </m:r>
          </m:sub>
        </m:sSub>
        <m:r>
          <m:rPr>
            <m:sty m:val="p"/>
          </m:rPr>
          <w:rPr>
            <w:rFonts w:ascii="Cambria Math" w:hAnsi="Cambria Math" w:cs="Times New Roman"/>
            <w:szCs w:val="24"/>
          </w:rPr>
          <m:t>-</m:t>
        </m:r>
        <m:r>
          <w:rPr>
            <w:rFonts w:ascii="Cambria Math" w:hAnsi="Cambria Math" w:cs="Times New Roman"/>
            <w:szCs w:val="24"/>
          </w:rPr>
          <m:t>ln</m:t>
        </m:r>
        <m:sSub>
          <m:sSubPr>
            <m:ctrlPr>
              <w:rPr>
                <w:rFonts w:ascii="Cambria Math" w:hAnsi="Cambria Math" w:cs="Times New Roman"/>
                <w:szCs w:val="24"/>
              </w:rPr>
            </m:ctrlPr>
          </m:sSubPr>
          <m:e>
            <m:r>
              <w:rPr>
                <w:rFonts w:ascii="Cambria Math" w:hAnsi="Cambria Math" w:cs="Times New Roman"/>
                <w:szCs w:val="24"/>
              </w:rPr>
              <m:t>P</m:t>
            </m:r>
          </m:e>
          <m:sub>
            <m:r>
              <w:rPr>
                <w:rFonts w:ascii="Cambria Math" w:hAnsi="Cambria Math" w:cs="Times New Roman"/>
                <w:szCs w:val="24"/>
              </w:rPr>
              <m:t>t</m:t>
            </m:r>
            <m:r>
              <m:rPr>
                <m:sty m:val="p"/>
              </m:rPr>
              <w:rPr>
                <w:rFonts w:ascii="Cambria Math" w:hAnsi="Cambria Math" w:cs="Times New Roman"/>
                <w:szCs w:val="24"/>
              </w:rPr>
              <m:t>-1</m:t>
            </m:r>
          </m:sub>
        </m:sSub>
        <m:r>
          <m:rPr>
            <m:sty m:val="p"/>
          </m:rPr>
          <w:rPr>
            <w:rFonts w:ascii="Cambria Math" w:hAnsi="Cambria Math" w:cs="Times New Roman"/>
            <w:szCs w:val="24"/>
          </w:rPr>
          <m:t>=ln⁡(</m:t>
        </m:r>
        <m:f>
          <m:fPr>
            <m:ctrlPr>
              <w:rPr>
                <w:rFonts w:ascii="Cambria Math" w:hAnsi="Cambria Math" w:cs="Times New Roman"/>
                <w:szCs w:val="24"/>
              </w:rPr>
            </m:ctrlPr>
          </m:fPr>
          <m:num>
            <m:sSub>
              <m:sSubPr>
                <m:ctrlPr>
                  <w:rPr>
                    <w:rFonts w:ascii="Cambria Math" w:hAnsi="Cambria Math" w:cs="Times New Roman"/>
                    <w:szCs w:val="24"/>
                  </w:rPr>
                </m:ctrlPr>
              </m:sSubPr>
              <m:e>
                <m:r>
                  <w:rPr>
                    <w:rFonts w:ascii="Cambria Math" w:hAnsi="Cambria Math" w:cs="Times New Roman"/>
                    <w:szCs w:val="24"/>
                  </w:rPr>
                  <m:t>P</m:t>
                </m:r>
              </m:e>
              <m:sub>
                <m:r>
                  <w:rPr>
                    <w:rFonts w:ascii="Cambria Math" w:hAnsi="Cambria Math" w:cs="Times New Roman"/>
                    <w:szCs w:val="24"/>
                  </w:rPr>
                  <m:t>t</m:t>
                </m:r>
              </m:sub>
            </m:sSub>
          </m:num>
          <m:den>
            <m:sSub>
              <m:sSubPr>
                <m:ctrlPr>
                  <w:rPr>
                    <w:rFonts w:ascii="Cambria Math" w:hAnsi="Cambria Math" w:cs="Times New Roman"/>
                    <w:szCs w:val="24"/>
                  </w:rPr>
                </m:ctrlPr>
              </m:sSubPr>
              <m:e>
                <m:r>
                  <w:rPr>
                    <w:rFonts w:ascii="Cambria Math" w:hAnsi="Cambria Math" w:cs="Times New Roman"/>
                    <w:szCs w:val="24"/>
                  </w:rPr>
                  <m:t>P</m:t>
                </m:r>
              </m:e>
              <m:sub>
                <m:r>
                  <w:rPr>
                    <w:rFonts w:ascii="Cambria Math" w:hAnsi="Cambria Math" w:cs="Times New Roman"/>
                    <w:szCs w:val="24"/>
                  </w:rPr>
                  <m:t>t</m:t>
                </m:r>
                <m:r>
                  <m:rPr>
                    <m:sty m:val="p"/>
                  </m:rPr>
                  <w:rPr>
                    <w:rFonts w:ascii="Cambria Math" w:hAnsi="Cambria Math" w:cs="Times New Roman"/>
                    <w:szCs w:val="24"/>
                  </w:rPr>
                  <m:t>-1</m:t>
                </m:r>
              </m:sub>
            </m:sSub>
          </m:den>
        </m:f>
        <m:r>
          <m:rPr>
            <m:sty m:val="p"/>
          </m:rPr>
          <w:rPr>
            <w:rFonts w:ascii="Cambria Math" w:hAnsi="Cambria Math" w:cs="Times New Roman"/>
            <w:szCs w:val="24"/>
          </w:rPr>
          <m:t>)</m:t>
        </m:r>
      </m:oMath>
      <w:r w:rsidR="00C16326" w:rsidRPr="00052E20">
        <w:rPr>
          <w:rFonts w:eastAsiaTheme="minorEastAsia" w:cs="Times New Roman" w:hint="eastAsia"/>
          <w:szCs w:val="24"/>
        </w:rPr>
        <w:t xml:space="preserve">                                      [1]</w:t>
      </w:r>
    </w:p>
    <w:p w14:paraId="53899CED" w14:textId="77777777" w:rsidR="00C16326" w:rsidRPr="00052E20" w:rsidRDefault="00C16326" w:rsidP="00C16326">
      <w:pPr>
        <w:ind w:firstLine="480"/>
        <w:rPr>
          <w:rFonts w:cs="Times New Roman"/>
          <w:szCs w:val="24"/>
        </w:rPr>
      </w:pPr>
      <w:r w:rsidRPr="00052E20">
        <w:rPr>
          <w:rFonts w:cs="Times New Roman"/>
          <w:szCs w:val="24"/>
        </w:rPr>
        <w:t xml:space="preserve">Where </w:t>
      </w:r>
      <m:oMath>
        <m:sSub>
          <m:sSubPr>
            <m:ctrlPr>
              <w:rPr>
                <w:rFonts w:ascii="Cambria Math" w:hAnsi="Cambria Math" w:cs="Times New Roman"/>
                <w:szCs w:val="24"/>
                <w:lang w:val="fr-FR"/>
              </w:rPr>
            </m:ctrlPr>
          </m:sSubPr>
          <m:e>
            <m:r>
              <w:rPr>
                <w:rFonts w:ascii="Cambria Math" w:hAnsi="Cambria Math" w:cs="Times New Roman"/>
                <w:szCs w:val="24"/>
                <w:lang w:val="fr-FR"/>
              </w:rPr>
              <m:t>R</m:t>
            </m:r>
          </m:e>
          <m:sub>
            <m:r>
              <w:rPr>
                <w:rFonts w:ascii="Cambria Math" w:hAnsi="Cambria Math" w:cs="Times New Roman"/>
                <w:szCs w:val="24"/>
                <w:lang w:val="fr-FR"/>
              </w:rPr>
              <m:t>i</m:t>
            </m:r>
            <m:r>
              <m:rPr>
                <m:sty m:val="p"/>
              </m:rPr>
              <w:rPr>
                <w:rFonts w:ascii="Cambria Math" w:hAnsi="Cambria Math" w:cs="Times New Roman"/>
                <w:szCs w:val="24"/>
                <w:lang w:val="en-GB"/>
              </w:rPr>
              <m:t>,</m:t>
            </m:r>
            <m:r>
              <w:rPr>
                <w:rFonts w:ascii="Cambria Math" w:hAnsi="Cambria Math" w:cs="Times New Roman"/>
                <w:szCs w:val="24"/>
                <w:lang w:val="fr-FR"/>
              </w:rPr>
              <m:t xml:space="preserve"> t</m:t>
            </m:r>
          </m:sub>
        </m:sSub>
      </m:oMath>
      <w:r w:rsidRPr="00052E20">
        <w:rPr>
          <w:rFonts w:cs="Times New Roman"/>
          <w:szCs w:val="24"/>
        </w:rPr>
        <w:t xml:space="preserve"> = return of security i during time period t;</w:t>
      </w:r>
    </w:p>
    <w:p w14:paraId="615615B3" w14:textId="77777777" w:rsidR="00C16326" w:rsidRPr="00052E20" w:rsidRDefault="00923871" w:rsidP="00C16326">
      <w:pPr>
        <w:ind w:firstLine="480"/>
        <w:rPr>
          <w:rFonts w:cs="Times New Roman"/>
          <w:szCs w:val="24"/>
        </w:rPr>
      </w:pPr>
      <m:oMath>
        <m:sSub>
          <m:sSubPr>
            <m:ctrlPr>
              <w:rPr>
                <w:rFonts w:ascii="Cambria Math" w:hAnsi="Cambria Math" w:cs="Times New Roman"/>
                <w:szCs w:val="24"/>
              </w:rPr>
            </m:ctrlPr>
          </m:sSubPr>
          <m:e>
            <m:r>
              <w:rPr>
                <w:rFonts w:ascii="Cambria Math" w:hAnsi="Cambria Math" w:cs="Times New Roman"/>
                <w:szCs w:val="24"/>
              </w:rPr>
              <m:t>P</m:t>
            </m:r>
          </m:e>
          <m:sub>
            <m:r>
              <w:rPr>
                <w:rFonts w:ascii="Cambria Math" w:hAnsi="Cambria Math" w:cs="Times New Roman"/>
                <w:szCs w:val="24"/>
              </w:rPr>
              <m:t>t</m:t>
            </m:r>
          </m:sub>
        </m:sSub>
      </m:oMath>
      <w:r w:rsidR="00C16326" w:rsidRPr="00052E20">
        <w:rPr>
          <w:rFonts w:cs="Times New Roman"/>
          <w:szCs w:val="24"/>
        </w:rPr>
        <w:t xml:space="preserve"> = closing stock price of day t.</w:t>
      </w:r>
    </w:p>
    <w:p w14:paraId="3E8B598E" w14:textId="77777777" w:rsidR="00C16326" w:rsidRPr="00052E20" w:rsidRDefault="00C16326" w:rsidP="00C16326">
      <w:pPr>
        <w:ind w:firstLine="480"/>
        <w:rPr>
          <w:rFonts w:cs="Times New Roman"/>
          <w:szCs w:val="24"/>
          <w:lang w:val="en-GB"/>
        </w:rPr>
      </w:pPr>
      <w:r>
        <w:rPr>
          <w:rFonts w:cs="Times New Roman"/>
          <w:szCs w:val="24"/>
        </w:rPr>
        <w:t>Equations of calculating a</w:t>
      </w:r>
      <w:r w:rsidRPr="00052E20">
        <w:rPr>
          <w:rFonts w:cs="Times New Roman"/>
          <w:szCs w:val="24"/>
        </w:rPr>
        <w:t>bnormal returns (ARs)</w:t>
      </w:r>
      <w:r>
        <w:rPr>
          <w:rFonts w:cs="Times New Roman"/>
          <w:szCs w:val="24"/>
        </w:rPr>
        <w:t xml:space="preserve">, </w:t>
      </w:r>
      <w:r w:rsidRPr="00052E20">
        <w:rPr>
          <w:rFonts w:cs="Times New Roman"/>
          <w:szCs w:val="24"/>
        </w:rPr>
        <w:t xml:space="preserve">Cumulative abnormal returns (CARs) and cumulative average abnormal returns (CAARs) </w:t>
      </w:r>
      <w:r w:rsidRPr="00052E20">
        <w:rPr>
          <w:rFonts w:cs="Times New Roman"/>
          <w:szCs w:val="24"/>
          <w:lang w:val="en-GB"/>
        </w:rPr>
        <w:t>are as shown below:</w:t>
      </w:r>
    </w:p>
    <w:p w14:paraId="02F77B26" w14:textId="77777777" w:rsidR="00C16326" w:rsidRPr="00052E20" w:rsidRDefault="00923871" w:rsidP="00C16326">
      <w:pPr>
        <w:ind w:firstLine="480"/>
        <w:rPr>
          <w:rFonts w:cs="Times New Roman"/>
          <w:szCs w:val="24"/>
          <w:lang w:val="fr-FR"/>
        </w:rPr>
      </w:pPr>
      <m:oMathPara>
        <m:oMathParaPr>
          <m:jc m:val="left"/>
        </m:oMathParaPr>
        <m:oMath>
          <m:sSub>
            <m:sSubPr>
              <m:ctrlPr>
                <w:rPr>
                  <w:rFonts w:ascii="Cambria Math" w:hAnsi="Cambria Math" w:cs="Times New Roman"/>
                  <w:szCs w:val="24"/>
                  <w:lang w:val="fr-FR"/>
                </w:rPr>
              </m:ctrlPr>
            </m:sSubPr>
            <m:e>
              <m:r>
                <w:rPr>
                  <w:rFonts w:ascii="Cambria Math" w:hAnsi="Cambria Math" w:cs="Times New Roman"/>
                  <w:szCs w:val="24"/>
                  <w:lang w:val="fr-FR"/>
                </w:rPr>
                <m:t>AR</m:t>
              </m:r>
            </m:e>
            <m:sub>
              <m:r>
                <w:rPr>
                  <w:rFonts w:ascii="Cambria Math" w:hAnsi="Cambria Math" w:cs="Times New Roman"/>
                  <w:szCs w:val="24"/>
                  <w:lang w:val="fr-FR"/>
                </w:rPr>
                <m:t>i</m:t>
              </m:r>
              <m:r>
                <m:rPr>
                  <m:sty m:val="p"/>
                </m:rPr>
                <w:rPr>
                  <w:rFonts w:ascii="Cambria Math" w:hAnsi="Cambria Math" w:cs="Times New Roman"/>
                  <w:szCs w:val="24"/>
                  <w:lang w:val="fr-FR"/>
                </w:rPr>
                <m:t>,</m:t>
              </m:r>
              <m:r>
                <w:rPr>
                  <w:rFonts w:ascii="Cambria Math" w:hAnsi="Cambria Math" w:cs="Times New Roman"/>
                  <w:szCs w:val="24"/>
                  <w:lang w:val="fr-FR"/>
                </w:rPr>
                <m:t>t</m:t>
              </m:r>
            </m:sub>
          </m:sSub>
          <m:r>
            <m:rPr>
              <m:sty m:val="p"/>
            </m:rPr>
            <w:rPr>
              <w:rFonts w:ascii="Cambria Math" w:hAnsi="Cambria Math" w:cs="Times New Roman"/>
              <w:szCs w:val="24"/>
              <w:lang w:val="fr-FR"/>
            </w:rPr>
            <m:t>=</m:t>
          </m:r>
          <m:sSub>
            <m:sSubPr>
              <m:ctrlPr>
                <w:rPr>
                  <w:rFonts w:ascii="Cambria Math" w:hAnsi="Cambria Math" w:cs="Times New Roman"/>
                  <w:szCs w:val="24"/>
                  <w:lang w:val="fr-FR"/>
                </w:rPr>
              </m:ctrlPr>
            </m:sSubPr>
            <m:e>
              <m:r>
                <w:rPr>
                  <w:rFonts w:ascii="Cambria Math" w:hAnsi="Cambria Math" w:cs="Times New Roman"/>
                  <w:szCs w:val="24"/>
                  <w:lang w:val="fr-FR"/>
                </w:rPr>
                <m:t>R</m:t>
              </m:r>
            </m:e>
            <m:sub>
              <m:r>
                <w:rPr>
                  <w:rFonts w:ascii="Cambria Math" w:hAnsi="Cambria Math" w:cs="Times New Roman"/>
                  <w:szCs w:val="24"/>
                  <w:lang w:val="fr-FR"/>
                </w:rPr>
                <m:t>i</m:t>
              </m:r>
              <m:r>
                <m:rPr>
                  <m:sty m:val="p"/>
                </m:rPr>
                <w:rPr>
                  <w:rFonts w:ascii="Cambria Math" w:hAnsi="Cambria Math" w:cs="Times New Roman"/>
                  <w:szCs w:val="24"/>
                  <w:lang w:val="fr-FR"/>
                </w:rPr>
                <m:t>,</m:t>
              </m:r>
              <m:r>
                <w:rPr>
                  <w:rFonts w:ascii="Cambria Math" w:hAnsi="Cambria Math" w:cs="Times New Roman"/>
                  <w:szCs w:val="24"/>
                  <w:lang w:val="fr-FR"/>
                </w:rPr>
                <m:t>t</m:t>
              </m:r>
            </m:sub>
          </m:sSub>
          <m:r>
            <m:rPr>
              <m:sty m:val="p"/>
            </m:rPr>
            <w:rPr>
              <w:rFonts w:ascii="Cambria Math" w:hAnsi="Cambria Math" w:cs="Times New Roman"/>
              <w:szCs w:val="24"/>
              <w:lang w:val="fr-FR"/>
            </w:rPr>
            <m:t>-</m:t>
          </m:r>
          <m:r>
            <w:rPr>
              <w:rFonts w:ascii="Cambria Math" w:hAnsi="Cambria Math" w:cs="Times New Roman"/>
              <w:szCs w:val="24"/>
              <w:lang w:val="fr-FR"/>
            </w:rPr>
            <m:t>E</m:t>
          </m:r>
          <m:r>
            <m:rPr>
              <m:sty m:val="p"/>
            </m:rPr>
            <w:rPr>
              <w:rFonts w:ascii="Cambria Math" w:hAnsi="Cambria Math" w:cs="Times New Roman"/>
              <w:szCs w:val="24"/>
              <w:lang w:val="fr-FR"/>
            </w:rPr>
            <m:t>(</m:t>
          </m:r>
          <m:sSub>
            <m:sSubPr>
              <m:ctrlPr>
                <w:rPr>
                  <w:rFonts w:ascii="Cambria Math" w:hAnsi="Cambria Math" w:cs="Times New Roman"/>
                  <w:szCs w:val="24"/>
                  <w:lang w:val="fr-FR"/>
                </w:rPr>
              </m:ctrlPr>
            </m:sSubPr>
            <m:e>
              <m:r>
                <w:rPr>
                  <w:rFonts w:ascii="Cambria Math" w:hAnsi="Cambria Math" w:cs="Times New Roman"/>
                  <w:szCs w:val="24"/>
                  <w:lang w:val="fr-FR"/>
                </w:rPr>
                <m:t>R</m:t>
              </m:r>
            </m:e>
            <m:sub>
              <m:r>
                <w:rPr>
                  <w:rFonts w:ascii="Cambria Math" w:hAnsi="Cambria Math" w:cs="Times New Roman"/>
                  <w:szCs w:val="24"/>
                  <w:lang w:val="fr-FR"/>
                </w:rPr>
                <m:t>i</m:t>
              </m:r>
              <m:r>
                <m:rPr>
                  <m:sty m:val="p"/>
                </m:rPr>
                <w:rPr>
                  <w:rFonts w:ascii="Cambria Math" w:hAnsi="Cambria Math" w:cs="Times New Roman"/>
                  <w:szCs w:val="24"/>
                  <w:lang w:val="fr-FR"/>
                </w:rPr>
                <m:t>,</m:t>
              </m:r>
              <m:r>
                <w:rPr>
                  <w:rFonts w:ascii="Cambria Math" w:hAnsi="Cambria Math" w:cs="Times New Roman"/>
                  <w:szCs w:val="24"/>
                  <w:lang w:val="fr-FR"/>
                </w:rPr>
                <m:t>t</m:t>
              </m:r>
            </m:sub>
          </m:sSub>
          <m:r>
            <m:rPr>
              <m:sty m:val="p"/>
            </m:rPr>
            <w:rPr>
              <w:rFonts w:ascii="Cambria Math" w:hAnsi="Cambria Math" w:cs="Times New Roman"/>
              <w:szCs w:val="24"/>
              <w:lang w:val="fr-FR"/>
            </w:rPr>
            <m:t>)</m:t>
          </m:r>
        </m:oMath>
      </m:oMathPara>
    </w:p>
    <w:p w14:paraId="6B3C1D1F" w14:textId="77777777" w:rsidR="00C16326" w:rsidRPr="00052E20" w:rsidRDefault="00923871" w:rsidP="00C16326">
      <w:pPr>
        <w:ind w:firstLineChars="0" w:firstLine="0"/>
        <w:rPr>
          <w:rFonts w:eastAsiaTheme="minorEastAsia" w:cs="Times New Roman"/>
          <w:szCs w:val="24"/>
          <w:lang w:val="fr-FR"/>
        </w:rPr>
      </w:pPr>
      <m:oMath>
        <m:sSub>
          <m:sSubPr>
            <m:ctrlPr>
              <w:rPr>
                <w:rFonts w:ascii="Cambria Math" w:hAnsi="Cambria Math" w:cs="Times New Roman"/>
                <w:szCs w:val="24"/>
                <w:lang w:val="fr-FR"/>
              </w:rPr>
            </m:ctrlPr>
          </m:sSubPr>
          <m:e>
            <m:r>
              <w:rPr>
                <w:rFonts w:ascii="Cambria Math" w:hAnsi="Cambria Math" w:cs="Times New Roman"/>
                <w:szCs w:val="24"/>
                <w:lang w:val="fr-FR"/>
              </w:rPr>
              <m:t>CAR</m:t>
            </m:r>
          </m:e>
          <m:sub>
            <m:r>
              <w:rPr>
                <w:rFonts w:ascii="Cambria Math" w:hAnsi="Cambria Math" w:cs="Times New Roman"/>
                <w:szCs w:val="24"/>
                <w:lang w:val="fr-FR"/>
              </w:rPr>
              <m:t>i</m:t>
            </m:r>
          </m:sub>
        </m:sSub>
        <m:d>
          <m:dPr>
            <m:ctrlPr>
              <w:rPr>
                <w:rFonts w:ascii="Cambria Math" w:hAnsi="Cambria Math" w:cs="Times New Roman"/>
                <w:szCs w:val="24"/>
                <w:lang w:val="fr-FR"/>
              </w:rPr>
            </m:ctrlPr>
          </m:dPr>
          <m:e>
            <m:sSub>
              <m:sSubPr>
                <m:ctrlPr>
                  <w:rPr>
                    <w:rFonts w:ascii="Cambria Math" w:hAnsi="Cambria Math" w:cs="Times New Roman"/>
                    <w:szCs w:val="24"/>
                    <w:lang w:val="fr-FR"/>
                  </w:rPr>
                </m:ctrlPr>
              </m:sSubPr>
              <m:e>
                <m:r>
                  <w:rPr>
                    <w:rFonts w:ascii="Cambria Math" w:hAnsi="Cambria Math" w:cs="Times New Roman"/>
                    <w:szCs w:val="24"/>
                    <w:lang w:val="fr-FR"/>
                  </w:rPr>
                  <m:t>t</m:t>
                </m:r>
              </m:e>
              <m:sub>
                <m:r>
                  <m:rPr>
                    <m:sty m:val="p"/>
                  </m:rPr>
                  <w:rPr>
                    <w:rFonts w:ascii="Cambria Math" w:hAnsi="Cambria Math" w:cs="Times New Roman"/>
                    <w:szCs w:val="24"/>
                    <w:lang w:val="fr-FR"/>
                  </w:rPr>
                  <m:t>1</m:t>
                </m:r>
              </m:sub>
            </m:sSub>
            <m:r>
              <m:rPr>
                <m:sty m:val="p"/>
              </m:rPr>
              <w:rPr>
                <w:rFonts w:ascii="Cambria Math" w:hAnsi="Cambria Math" w:cs="Times New Roman"/>
                <w:szCs w:val="24"/>
                <w:lang w:val="fr-FR"/>
              </w:rPr>
              <m:t>,</m:t>
            </m:r>
            <m:sSub>
              <m:sSubPr>
                <m:ctrlPr>
                  <w:rPr>
                    <w:rFonts w:ascii="Cambria Math" w:hAnsi="Cambria Math" w:cs="Times New Roman"/>
                    <w:szCs w:val="24"/>
                    <w:lang w:val="fr-FR"/>
                  </w:rPr>
                </m:ctrlPr>
              </m:sSubPr>
              <m:e>
                <m:r>
                  <w:rPr>
                    <w:rFonts w:ascii="Cambria Math" w:hAnsi="Cambria Math" w:cs="Times New Roman"/>
                    <w:szCs w:val="24"/>
                    <w:lang w:val="fr-FR"/>
                  </w:rPr>
                  <m:t>t</m:t>
                </m:r>
              </m:e>
              <m:sub>
                <m:r>
                  <m:rPr>
                    <m:sty m:val="p"/>
                  </m:rPr>
                  <w:rPr>
                    <w:rFonts w:ascii="Cambria Math" w:hAnsi="Cambria Math" w:cs="Times New Roman"/>
                    <w:szCs w:val="24"/>
                    <w:lang w:val="fr-FR"/>
                  </w:rPr>
                  <m:t>2</m:t>
                </m:r>
              </m:sub>
            </m:sSub>
          </m:e>
        </m:d>
        <m:r>
          <m:rPr>
            <m:sty m:val="p"/>
          </m:rPr>
          <w:rPr>
            <w:rFonts w:ascii="Cambria Math" w:hAnsi="Cambria Math" w:cs="Times New Roman"/>
            <w:szCs w:val="24"/>
            <w:lang w:val="fr-FR"/>
          </w:rPr>
          <m:t>=</m:t>
        </m:r>
        <m:nary>
          <m:naryPr>
            <m:chr m:val="∑"/>
            <m:limLoc m:val="subSup"/>
            <m:ctrlPr>
              <w:rPr>
                <w:rFonts w:ascii="Cambria Math" w:hAnsi="Cambria Math" w:cs="Times New Roman"/>
                <w:szCs w:val="24"/>
                <w:lang w:val="fr-FR"/>
              </w:rPr>
            </m:ctrlPr>
          </m:naryPr>
          <m:sub>
            <m:sSub>
              <m:sSubPr>
                <m:ctrlPr>
                  <w:rPr>
                    <w:rFonts w:ascii="Cambria Math" w:hAnsi="Cambria Math" w:cs="Times New Roman"/>
                    <w:szCs w:val="24"/>
                    <w:lang w:val="fr-FR"/>
                  </w:rPr>
                </m:ctrlPr>
              </m:sSubPr>
              <m:e>
                <m:r>
                  <w:rPr>
                    <w:rFonts w:ascii="Cambria Math" w:hAnsi="Cambria Math" w:cs="Times New Roman"/>
                    <w:szCs w:val="24"/>
                    <w:lang w:val="fr-FR"/>
                  </w:rPr>
                  <m:t>t</m:t>
                </m:r>
              </m:e>
              <m:sub>
                <m:r>
                  <m:rPr>
                    <m:sty m:val="p"/>
                  </m:rPr>
                  <w:rPr>
                    <w:rFonts w:ascii="Cambria Math" w:hAnsi="Cambria Math" w:cs="Times New Roman"/>
                    <w:szCs w:val="24"/>
                    <w:lang w:val="fr-FR"/>
                  </w:rPr>
                  <m:t>1</m:t>
                </m:r>
              </m:sub>
            </m:sSub>
          </m:sub>
          <m:sup>
            <m:sSub>
              <m:sSubPr>
                <m:ctrlPr>
                  <w:rPr>
                    <w:rFonts w:ascii="Cambria Math" w:hAnsi="Cambria Math" w:cs="Times New Roman"/>
                    <w:szCs w:val="24"/>
                    <w:lang w:val="fr-FR"/>
                  </w:rPr>
                </m:ctrlPr>
              </m:sSubPr>
              <m:e>
                <m:r>
                  <w:rPr>
                    <w:rFonts w:ascii="Cambria Math" w:hAnsi="Cambria Math" w:cs="Times New Roman"/>
                    <w:szCs w:val="24"/>
                    <w:lang w:val="fr-FR"/>
                  </w:rPr>
                  <m:t>t</m:t>
                </m:r>
              </m:e>
              <m:sub>
                <m:r>
                  <m:rPr>
                    <m:sty m:val="p"/>
                  </m:rPr>
                  <w:rPr>
                    <w:rFonts w:ascii="Cambria Math" w:hAnsi="Cambria Math" w:cs="Times New Roman"/>
                    <w:szCs w:val="24"/>
                    <w:lang w:val="fr-FR"/>
                  </w:rPr>
                  <m:t>2</m:t>
                </m:r>
              </m:sub>
            </m:sSub>
          </m:sup>
          <m:e>
            <m:sSub>
              <m:sSubPr>
                <m:ctrlPr>
                  <w:rPr>
                    <w:rFonts w:ascii="Cambria Math" w:hAnsi="Cambria Math" w:cs="Times New Roman"/>
                    <w:szCs w:val="24"/>
                    <w:lang w:val="fr-FR"/>
                  </w:rPr>
                </m:ctrlPr>
              </m:sSubPr>
              <m:e>
                <m:r>
                  <w:rPr>
                    <w:rFonts w:ascii="Cambria Math" w:hAnsi="Cambria Math" w:cs="Times New Roman"/>
                    <w:szCs w:val="24"/>
                    <w:lang w:val="fr-FR"/>
                  </w:rPr>
                  <m:t>AR</m:t>
                </m:r>
              </m:e>
              <m:sub>
                <m:r>
                  <w:rPr>
                    <w:rFonts w:ascii="Cambria Math" w:hAnsi="Cambria Math" w:cs="Times New Roman"/>
                    <w:szCs w:val="24"/>
                    <w:lang w:val="fr-FR"/>
                  </w:rPr>
                  <m:t>i</m:t>
                </m:r>
                <m:r>
                  <m:rPr>
                    <m:sty m:val="p"/>
                  </m:rPr>
                  <w:rPr>
                    <w:rFonts w:ascii="Cambria Math" w:hAnsi="Cambria Math" w:cs="Times New Roman"/>
                    <w:szCs w:val="24"/>
                    <w:lang w:val="fr-FR"/>
                  </w:rPr>
                  <m:t>,</m:t>
                </m:r>
                <m:r>
                  <w:rPr>
                    <w:rFonts w:ascii="Cambria Math" w:hAnsi="Cambria Math" w:cs="Times New Roman"/>
                    <w:szCs w:val="24"/>
                    <w:lang w:val="fr-FR"/>
                  </w:rPr>
                  <m:t>t</m:t>
                </m:r>
              </m:sub>
            </m:sSub>
          </m:e>
        </m:nary>
      </m:oMath>
      <w:r w:rsidR="00C16326" w:rsidRPr="00052E20">
        <w:rPr>
          <w:rFonts w:eastAsiaTheme="minorEastAsia" w:cs="Times New Roman" w:hint="eastAsia"/>
          <w:szCs w:val="24"/>
          <w:lang w:val="fr-FR"/>
        </w:rPr>
        <w:t xml:space="preserve">                  </w:t>
      </w:r>
      <w:r w:rsidR="00C16326">
        <w:rPr>
          <w:rFonts w:eastAsiaTheme="minorEastAsia" w:cs="Times New Roman" w:hint="eastAsia"/>
          <w:szCs w:val="24"/>
          <w:lang w:val="fr-FR"/>
        </w:rPr>
        <w:t xml:space="preserve">                               </w:t>
      </w:r>
      <w:r w:rsidR="00C16326" w:rsidRPr="00052E20">
        <w:rPr>
          <w:rFonts w:eastAsiaTheme="minorEastAsia" w:cs="Times New Roman" w:hint="eastAsia"/>
          <w:szCs w:val="24"/>
          <w:lang w:val="fr-FR"/>
        </w:rPr>
        <w:t>[2]</w:t>
      </w:r>
    </w:p>
    <w:p w14:paraId="7C361091" w14:textId="77777777" w:rsidR="00C16326" w:rsidRPr="00052E20" w:rsidRDefault="00923871" w:rsidP="00C16326">
      <w:pPr>
        <w:ind w:firstLine="480"/>
        <w:rPr>
          <w:rFonts w:cs="Times New Roman"/>
          <w:szCs w:val="24"/>
          <w:lang w:val="fr-FR"/>
        </w:rPr>
      </w:pPr>
      <m:oMathPara>
        <m:oMathParaPr>
          <m:jc m:val="left"/>
        </m:oMathParaPr>
        <m:oMath>
          <m:sSub>
            <m:sSubPr>
              <m:ctrlPr>
                <w:rPr>
                  <w:rFonts w:ascii="Cambria Math" w:hAnsi="Cambria Math" w:cs="Times New Roman"/>
                  <w:szCs w:val="24"/>
                  <w:lang w:val="fr-FR"/>
                </w:rPr>
              </m:ctrlPr>
            </m:sSubPr>
            <m:e>
              <m:r>
                <w:rPr>
                  <w:rFonts w:ascii="Cambria Math" w:hAnsi="Cambria Math" w:cs="Times New Roman"/>
                  <w:szCs w:val="24"/>
                  <w:lang w:val="fr-FR"/>
                </w:rPr>
                <m:t>CAAR</m:t>
              </m:r>
            </m:e>
            <m:sub>
              <m:r>
                <w:rPr>
                  <w:rFonts w:ascii="Cambria Math" w:hAnsi="Cambria Math" w:cs="Times New Roman"/>
                  <w:szCs w:val="24"/>
                  <w:lang w:val="fr-FR"/>
                </w:rPr>
                <m:t>i</m:t>
              </m:r>
            </m:sub>
          </m:sSub>
          <m:d>
            <m:dPr>
              <m:ctrlPr>
                <w:rPr>
                  <w:rFonts w:ascii="Cambria Math" w:hAnsi="Cambria Math" w:cs="Times New Roman"/>
                  <w:szCs w:val="24"/>
                  <w:lang w:val="fr-FR"/>
                </w:rPr>
              </m:ctrlPr>
            </m:dPr>
            <m:e>
              <m:sSub>
                <m:sSubPr>
                  <m:ctrlPr>
                    <w:rPr>
                      <w:rFonts w:ascii="Cambria Math" w:hAnsi="Cambria Math" w:cs="Times New Roman"/>
                      <w:szCs w:val="24"/>
                      <w:lang w:val="fr-FR"/>
                    </w:rPr>
                  </m:ctrlPr>
                </m:sSubPr>
                <m:e>
                  <m:r>
                    <w:rPr>
                      <w:rFonts w:ascii="Cambria Math" w:hAnsi="Cambria Math" w:cs="Times New Roman"/>
                      <w:szCs w:val="24"/>
                      <w:lang w:val="fr-FR"/>
                    </w:rPr>
                    <m:t>t</m:t>
                  </m:r>
                </m:e>
                <m:sub>
                  <m:r>
                    <m:rPr>
                      <m:sty m:val="p"/>
                    </m:rPr>
                    <w:rPr>
                      <w:rFonts w:ascii="Cambria Math" w:hAnsi="Cambria Math" w:cs="Times New Roman"/>
                      <w:szCs w:val="24"/>
                      <w:lang w:val="fr-FR"/>
                    </w:rPr>
                    <m:t>1</m:t>
                  </m:r>
                </m:sub>
              </m:sSub>
              <m:r>
                <m:rPr>
                  <m:sty m:val="p"/>
                </m:rPr>
                <w:rPr>
                  <w:rFonts w:ascii="Cambria Math" w:hAnsi="Cambria Math" w:cs="Times New Roman"/>
                  <w:szCs w:val="24"/>
                  <w:lang w:val="fr-FR"/>
                </w:rPr>
                <m:t>,</m:t>
              </m:r>
              <m:sSub>
                <m:sSubPr>
                  <m:ctrlPr>
                    <w:rPr>
                      <w:rFonts w:ascii="Cambria Math" w:hAnsi="Cambria Math" w:cs="Times New Roman"/>
                      <w:szCs w:val="24"/>
                      <w:lang w:val="fr-FR"/>
                    </w:rPr>
                  </m:ctrlPr>
                </m:sSubPr>
                <m:e>
                  <m:r>
                    <w:rPr>
                      <w:rFonts w:ascii="Cambria Math" w:hAnsi="Cambria Math" w:cs="Times New Roman"/>
                      <w:szCs w:val="24"/>
                      <w:lang w:val="fr-FR"/>
                    </w:rPr>
                    <m:t>t</m:t>
                  </m:r>
                </m:e>
                <m:sub>
                  <m:r>
                    <m:rPr>
                      <m:sty m:val="p"/>
                    </m:rPr>
                    <w:rPr>
                      <w:rFonts w:ascii="Cambria Math" w:hAnsi="Cambria Math" w:cs="Times New Roman"/>
                      <w:szCs w:val="24"/>
                      <w:lang w:val="fr-FR"/>
                    </w:rPr>
                    <m:t>2</m:t>
                  </m:r>
                </m:sub>
              </m:sSub>
            </m:e>
          </m:d>
          <m:r>
            <m:rPr>
              <m:sty m:val="p"/>
            </m:rPr>
            <w:rPr>
              <w:rFonts w:ascii="Cambria Math" w:hAnsi="Cambria Math" w:cs="Times New Roman"/>
              <w:szCs w:val="24"/>
              <w:lang w:val="fr-FR"/>
            </w:rPr>
            <m:t>=</m:t>
          </m:r>
          <m:f>
            <m:fPr>
              <m:ctrlPr>
                <w:rPr>
                  <w:rFonts w:ascii="Cambria Math" w:hAnsi="Cambria Math" w:cs="Times New Roman"/>
                  <w:szCs w:val="24"/>
                  <w:lang w:val="fr-FR"/>
                </w:rPr>
              </m:ctrlPr>
            </m:fPr>
            <m:num>
              <m:r>
                <m:rPr>
                  <m:sty m:val="p"/>
                </m:rPr>
                <w:rPr>
                  <w:rFonts w:ascii="Cambria Math" w:hAnsi="Cambria Math" w:cs="Times New Roman"/>
                  <w:szCs w:val="24"/>
                  <w:lang w:val="fr-FR"/>
                </w:rPr>
                <m:t>1</m:t>
              </m:r>
            </m:num>
            <m:den>
              <m:r>
                <w:rPr>
                  <w:rFonts w:ascii="Cambria Math" w:hAnsi="Cambria Math" w:cs="Times New Roman"/>
                  <w:szCs w:val="24"/>
                  <w:lang w:val="fr-FR"/>
                </w:rPr>
                <m:t>N</m:t>
              </m:r>
            </m:den>
          </m:f>
          <m:nary>
            <m:naryPr>
              <m:chr m:val="∑"/>
              <m:limLoc m:val="undOvr"/>
              <m:ctrlPr>
                <w:rPr>
                  <w:rFonts w:ascii="Cambria Math" w:hAnsi="Cambria Math" w:cs="Times New Roman"/>
                  <w:szCs w:val="24"/>
                  <w:lang w:val="fr-FR"/>
                </w:rPr>
              </m:ctrlPr>
            </m:naryPr>
            <m:sub>
              <m:r>
                <m:rPr>
                  <m:sty m:val="p"/>
                </m:rPr>
                <w:rPr>
                  <w:rFonts w:ascii="Cambria Math" w:hAnsi="Cambria Math" w:cs="Times New Roman"/>
                  <w:szCs w:val="24"/>
                  <w:lang w:val="fr-FR"/>
                </w:rPr>
                <m:t>1</m:t>
              </m:r>
            </m:sub>
            <m:sup>
              <m:r>
                <w:rPr>
                  <w:rFonts w:ascii="Cambria Math" w:hAnsi="Cambria Math" w:cs="Times New Roman"/>
                  <w:szCs w:val="24"/>
                  <w:lang w:val="fr-FR"/>
                </w:rPr>
                <m:t>N</m:t>
              </m:r>
            </m:sup>
            <m:e>
              <m:sSub>
                <m:sSubPr>
                  <m:ctrlPr>
                    <w:rPr>
                      <w:rFonts w:ascii="Cambria Math" w:hAnsi="Cambria Math" w:cs="Times New Roman"/>
                      <w:szCs w:val="24"/>
                      <w:lang w:val="fr-FR"/>
                    </w:rPr>
                  </m:ctrlPr>
                </m:sSubPr>
                <m:e>
                  <m:r>
                    <w:rPr>
                      <w:rFonts w:ascii="Cambria Math" w:hAnsi="Cambria Math" w:cs="Times New Roman"/>
                      <w:szCs w:val="24"/>
                      <w:lang w:val="fr-FR"/>
                    </w:rPr>
                    <m:t>CAR</m:t>
                  </m:r>
                </m:e>
                <m:sub>
                  <m:r>
                    <w:rPr>
                      <w:rFonts w:ascii="Cambria Math" w:hAnsi="Cambria Math" w:cs="Times New Roman"/>
                      <w:szCs w:val="24"/>
                      <w:lang w:val="fr-FR"/>
                    </w:rPr>
                    <m:t>i</m:t>
                  </m:r>
                </m:sub>
              </m:sSub>
              <m:r>
                <m:rPr>
                  <m:sty m:val="p"/>
                </m:rPr>
                <w:rPr>
                  <w:rFonts w:ascii="Cambria Math" w:hAnsi="Cambria Math" w:cs="Times New Roman"/>
                  <w:szCs w:val="24"/>
                  <w:lang w:val="fr-FR"/>
                </w:rPr>
                <m:t>(</m:t>
              </m:r>
              <m:sSub>
                <m:sSubPr>
                  <m:ctrlPr>
                    <w:rPr>
                      <w:rFonts w:ascii="Cambria Math" w:hAnsi="Cambria Math" w:cs="Times New Roman"/>
                      <w:szCs w:val="24"/>
                      <w:lang w:val="fr-FR"/>
                    </w:rPr>
                  </m:ctrlPr>
                </m:sSubPr>
                <m:e>
                  <m:r>
                    <w:rPr>
                      <w:rFonts w:ascii="Cambria Math" w:hAnsi="Cambria Math" w:cs="Times New Roman"/>
                      <w:szCs w:val="24"/>
                      <w:lang w:val="fr-FR"/>
                    </w:rPr>
                    <m:t>t</m:t>
                  </m:r>
                </m:e>
                <m:sub>
                  <m:r>
                    <m:rPr>
                      <m:sty m:val="p"/>
                    </m:rPr>
                    <w:rPr>
                      <w:rFonts w:ascii="Cambria Math" w:hAnsi="Cambria Math" w:cs="Times New Roman"/>
                      <w:szCs w:val="24"/>
                      <w:lang w:val="fr-FR"/>
                    </w:rPr>
                    <m:t>1</m:t>
                  </m:r>
                </m:sub>
              </m:sSub>
              <m:r>
                <m:rPr>
                  <m:sty m:val="p"/>
                </m:rPr>
                <w:rPr>
                  <w:rFonts w:ascii="Cambria Math" w:hAnsi="Cambria Math" w:cs="Times New Roman"/>
                  <w:szCs w:val="24"/>
                  <w:lang w:val="fr-FR"/>
                </w:rPr>
                <m:t>,</m:t>
              </m:r>
              <m:sSub>
                <m:sSubPr>
                  <m:ctrlPr>
                    <w:rPr>
                      <w:rFonts w:ascii="Cambria Math" w:hAnsi="Cambria Math" w:cs="Times New Roman"/>
                      <w:szCs w:val="24"/>
                      <w:lang w:val="fr-FR"/>
                    </w:rPr>
                  </m:ctrlPr>
                </m:sSubPr>
                <m:e>
                  <m:r>
                    <w:rPr>
                      <w:rFonts w:ascii="Cambria Math" w:hAnsi="Cambria Math" w:cs="Times New Roman"/>
                      <w:szCs w:val="24"/>
                      <w:lang w:val="fr-FR"/>
                    </w:rPr>
                    <m:t>t</m:t>
                  </m:r>
                </m:e>
                <m:sub>
                  <m:r>
                    <m:rPr>
                      <m:sty m:val="p"/>
                    </m:rPr>
                    <w:rPr>
                      <w:rFonts w:ascii="Cambria Math" w:hAnsi="Cambria Math" w:cs="Times New Roman"/>
                      <w:szCs w:val="24"/>
                      <w:lang w:val="fr-FR"/>
                    </w:rPr>
                    <m:t>2</m:t>
                  </m:r>
                </m:sub>
              </m:sSub>
              <m:r>
                <m:rPr>
                  <m:sty m:val="p"/>
                </m:rPr>
                <w:rPr>
                  <w:rFonts w:ascii="Cambria Math" w:hAnsi="Cambria Math" w:cs="Times New Roman"/>
                  <w:szCs w:val="24"/>
                  <w:lang w:val="fr-FR"/>
                </w:rPr>
                <m:t>)</m:t>
              </m:r>
            </m:e>
          </m:nary>
        </m:oMath>
      </m:oMathPara>
    </w:p>
    <w:p w14:paraId="41268795" w14:textId="77777777" w:rsidR="00C16326" w:rsidRPr="00052E20" w:rsidRDefault="00C16326" w:rsidP="00C16326">
      <w:pPr>
        <w:ind w:firstLineChars="0" w:firstLine="0"/>
        <w:rPr>
          <w:rFonts w:cs="Times New Roman"/>
          <w:szCs w:val="24"/>
        </w:rPr>
      </w:pPr>
      <w:r>
        <w:rPr>
          <w:rFonts w:cstheme="majorBidi"/>
          <w:b/>
          <w:i/>
          <w:szCs w:val="24"/>
          <w:lang w:val="fr-FR"/>
        </w:rPr>
        <w:t xml:space="preserve">        </w:t>
      </w:r>
      <w:r w:rsidRPr="00052E20">
        <w:rPr>
          <w:rFonts w:cs="Times New Roman"/>
          <w:szCs w:val="24"/>
        </w:rPr>
        <w:t>This study uses value of alpha as a measure of abnormal returns. The following is the estimating formula:</w:t>
      </w:r>
    </w:p>
    <w:bookmarkStart w:id="13" w:name="_Toc491693171"/>
    <w:bookmarkStart w:id="14" w:name="_Toc491693491"/>
    <w:bookmarkStart w:id="15" w:name="_Toc491699378"/>
    <w:bookmarkStart w:id="16" w:name="_Toc491699836"/>
    <w:bookmarkStart w:id="17" w:name="_Toc491700350"/>
    <w:bookmarkStart w:id="18" w:name="_Toc491701484"/>
    <w:p w14:paraId="7E2C312C" w14:textId="77777777" w:rsidR="00C16326" w:rsidRPr="00052E20" w:rsidRDefault="00923871" w:rsidP="00C16326">
      <w:pPr>
        <w:ind w:firstLineChars="0" w:firstLine="0"/>
        <w:jc w:val="left"/>
        <w:rPr>
          <w:rFonts w:eastAsiaTheme="minorEastAsia" w:cs="Times New Roman"/>
          <w:szCs w:val="24"/>
        </w:rPr>
      </w:pPr>
      <m:oMath>
        <m:sSub>
          <m:sSubPr>
            <m:ctrlPr>
              <w:rPr>
                <w:rFonts w:ascii="Cambria Math" w:hAnsi="Cambria Math" w:cs="Times New Roman"/>
                <w:szCs w:val="24"/>
              </w:rPr>
            </m:ctrlPr>
          </m:sSubPr>
          <m:e>
            <m:r>
              <w:rPr>
                <w:rFonts w:ascii="Cambria Math" w:hAnsi="Cambria Math" w:cs="Times New Roman"/>
                <w:szCs w:val="24"/>
              </w:rPr>
              <m:t>R</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R</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r>
          <w:rPr>
            <w:rFonts w:ascii="Cambria Math" w:hAnsi="Cambria Math" w:cs="Times New Roman"/>
            <w:szCs w:val="24"/>
          </w:rPr>
          <m:t>α</m:t>
        </m:r>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β</m:t>
            </m:r>
          </m:e>
          <m:sub>
            <m:r>
              <m:rPr>
                <m:sty m:val="p"/>
              </m:rPr>
              <w:rPr>
                <w:rFonts w:ascii="Cambria Math" w:hAnsi="Cambria Math" w:cs="Times New Roman"/>
                <w:szCs w:val="24"/>
              </w:rPr>
              <m:t>1,</m:t>
            </m:r>
            <m:r>
              <w:rPr>
                <w:rFonts w:ascii="Cambria Math" w:hAnsi="Cambria Math" w:cs="Times New Roman"/>
                <w:szCs w:val="24"/>
              </w:rPr>
              <m:t>i</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R</m:t>
            </m:r>
          </m:e>
          <m:sub>
            <m:r>
              <w:rPr>
                <w:rFonts w:ascii="Cambria Math" w:hAnsi="Cambria Math" w:cs="Times New Roman"/>
                <w:szCs w:val="24"/>
              </w:rPr>
              <m:t>m</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R</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ϵ</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oMath>
      <w:bookmarkEnd w:id="13"/>
      <w:bookmarkEnd w:id="14"/>
      <w:bookmarkEnd w:id="15"/>
      <w:bookmarkEnd w:id="16"/>
      <w:bookmarkEnd w:id="17"/>
      <w:bookmarkEnd w:id="18"/>
      <w:r w:rsidR="00C16326" w:rsidRPr="00052E20">
        <w:rPr>
          <w:rFonts w:eastAsiaTheme="minorEastAsia" w:cs="Times New Roman" w:hint="eastAsia"/>
          <w:szCs w:val="24"/>
        </w:rPr>
        <w:t xml:space="preserve">     </w:t>
      </w:r>
      <w:r w:rsidR="00C16326">
        <w:rPr>
          <w:rFonts w:eastAsiaTheme="minorEastAsia" w:cs="Times New Roman" w:hint="eastAsia"/>
          <w:szCs w:val="24"/>
        </w:rPr>
        <w:t xml:space="preserve">                               </w:t>
      </w:r>
      <w:r w:rsidR="00C16326" w:rsidRPr="00052E20">
        <w:rPr>
          <w:rFonts w:eastAsiaTheme="minorEastAsia" w:cs="Times New Roman" w:hint="eastAsia"/>
          <w:szCs w:val="24"/>
        </w:rPr>
        <w:t>[3]</w:t>
      </w:r>
    </w:p>
    <w:p w14:paraId="00676138" w14:textId="77777777" w:rsidR="00C16326" w:rsidRPr="00052E20" w:rsidRDefault="00C16326" w:rsidP="00C16326">
      <w:pPr>
        <w:ind w:firstLine="480"/>
        <w:rPr>
          <w:rFonts w:cs="Times New Roman"/>
          <w:szCs w:val="24"/>
        </w:rPr>
      </w:pPr>
      <w:r w:rsidRPr="00052E20">
        <w:rPr>
          <w:rFonts w:cs="Times New Roman"/>
          <w:szCs w:val="24"/>
        </w:rPr>
        <w:t xml:space="preserve">Where </w:t>
      </w:r>
      <m:oMath>
        <m:sSub>
          <m:sSubPr>
            <m:ctrlPr>
              <w:rPr>
                <w:rFonts w:ascii="Cambria Math" w:hAnsi="Cambria Math" w:cs="Times New Roman"/>
                <w:szCs w:val="24"/>
              </w:rPr>
            </m:ctrlPr>
          </m:sSubPr>
          <m:e>
            <m:r>
              <w:rPr>
                <w:rFonts w:ascii="Cambria Math" w:hAnsi="Cambria Math" w:cs="Times New Roman"/>
                <w:szCs w:val="24"/>
              </w:rPr>
              <m:t>R</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 xml:space="preserve"> t</m:t>
            </m:r>
          </m:sub>
        </m:sSub>
      </m:oMath>
      <w:r w:rsidRPr="00052E20">
        <w:rPr>
          <w:rFonts w:cs="Times New Roman"/>
          <w:szCs w:val="24"/>
        </w:rPr>
        <w:t xml:space="preserve">= total return generated by the acquiring firm i; </w:t>
      </w:r>
    </w:p>
    <w:p w14:paraId="19095B1E" w14:textId="77777777" w:rsidR="00C16326" w:rsidRPr="00052E20" w:rsidRDefault="00923871" w:rsidP="00C16326">
      <w:pPr>
        <w:ind w:firstLine="480"/>
        <w:rPr>
          <w:rFonts w:cs="Times New Roman"/>
          <w:szCs w:val="24"/>
        </w:rPr>
      </w:pPr>
      <m:oMath>
        <m:sSub>
          <m:sSubPr>
            <m:ctrlPr>
              <w:rPr>
                <w:rFonts w:ascii="Cambria Math" w:hAnsi="Cambria Math" w:cs="Times New Roman"/>
                <w:szCs w:val="24"/>
              </w:rPr>
            </m:ctrlPr>
          </m:sSubPr>
          <m:e>
            <m:r>
              <w:rPr>
                <w:rFonts w:ascii="Cambria Math" w:hAnsi="Cambria Math" w:cs="Times New Roman"/>
                <w:szCs w:val="24"/>
              </w:rPr>
              <m:t>R</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oMath>
      <w:r w:rsidR="00C16326" w:rsidRPr="00052E20">
        <w:rPr>
          <w:rFonts w:cs="Times New Roman"/>
          <w:szCs w:val="24"/>
        </w:rPr>
        <w:t xml:space="preserve"> = return of risk-free asset;</w:t>
      </w:r>
    </w:p>
    <w:p w14:paraId="16F9431A" w14:textId="77777777" w:rsidR="00C16326" w:rsidRPr="00052E20" w:rsidRDefault="00923871" w:rsidP="00C16326">
      <w:pPr>
        <w:ind w:firstLine="480"/>
        <w:rPr>
          <w:rFonts w:cs="Times New Roman"/>
          <w:szCs w:val="24"/>
        </w:rPr>
      </w:pPr>
      <m:oMath>
        <m:sSub>
          <m:sSubPr>
            <m:ctrlPr>
              <w:rPr>
                <w:rFonts w:ascii="Cambria Math" w:hAnsi="Cambria Math" w:cs="Times New Roman"/>
                <w:szCs w:val="24"/>
              </w:rPr>
            </m:ctrlPr>
          </m:sSubPr>
          <m:e>
            <m:r>
              <w:rPr>
                <w:rFonts w:ascii="Cambria Math" w:hAnsi="Cambria Math" w:cs="Times New Roman"/>
                <w:szCs w:val="24"/>
              </w:rPr>
              <m:t>R</m:t>
            </m:r>
          </m:e>
          <m:sub>
            <m:r>
              <w:rPr>
                <w:rFonts w:ascii="Cambria Math" w:hAnsi="Cambria Math" w:cs="Times New Roman"/>
                <w:szCs w:val="24"/>
              </w:rPr>
              <m:t>m</m:t>
            </m:r>
            <m:r>
              <m:rPr>
                <m:sty m:val="p"/>
              </m:rPr>
              <w:rPr>
                <w:rFonts w:ascii="Cambria Math" w:hAnsi="Cambria Math" w:cs="Times New Roman"/>
                <w:szCs w:val="24"/>
              </w:rPr>
              <m:t>,</m:t>
            </m:r>
            <m:r>
              <w:rPr>
                <w:rFonts w:ascii="Cambria Math" w:hAnsi="Cambria Math" w:cs="Times New Roman"/>
                <w:szCs w:val="24"/>
              </w:rPr>
              <m:t>t</m:t>
            </m:r>
          </m:sub>
        </m:sSub>
      </m:oMath>
      <w:r w:rsidR="00C16326" w:rsidRPr="00052E20">
        <w:rPr>
          <w:rFonts w:cs="Times New Roman"/>
          <w:szCs w:val="24"/>
        </w:rPr>
        <w:t xml:space="preserve"> = return of total market index.</w:t>
      </w:r>
    </w:p>
    <w:p w14:paraId="738FFCF0" w14:textId="77777777" w:rsidR="00C16326" w:rsidRPr="00052E20" w:rsidRDefault="00C16326" w:rsidP="00C16326">
      <w:pPr>
        <w:ind w:firstLine="480"/>
        <w:rPr>
          <w:rFonts w:cs="Times New Roman"/>
          <w:szCs w:val="24"/>
        </w:rPr>
      </w:pPr>
      <w:r w:rsidRPr="00052E20">
        <w:rPr>
          <w:rFonts w:cs="Times New Roman"/>
          <w:szCs w:val="24"/>
        </w:rPr>
        <w:t>If α is statistically significant, the sample bidding company experiences a significant abnormal return during the investigation period.</w:t>
      </w:r>
    </w:p>
    <w:p w14:paraId="75E773EF" w14:textId="51C6D643" w:rsidR="00C16326" w:rsidRPr="00052E20" w:rsidRDefault="00C16326" w:rsidP="00C16326">
      <w:pPr>
        <w:ind w:firstLine="480"/>
        <w:rPr>
          <w:rFonts w:cs="Times New Roman"/>
          <w:szCs w:val="24"/>
        </w:rPr>
      </w:pPr>
      <w:r w:rsidRPr="00052E20">
        <w:rPr>
          <w:rFonts w:cs="Times New Roman"/>
          <w:szCs w:val="24"/>
        </w:rPr>
        <w:t xml:space="preserve">Additionally, </w:t>
      </w:r>
      <w:r w:rsidR="00E9329B">
        <w:rPr>
          <w:rFonts w:cs="Times New Roman"/>
          <w:szCs w:val="24"/>
        </w:rPr>
        <w:t xml:space="preserve">Fama and French (1993) </w:t>
      </w:r>
      <w:r w:rsidRPr="00052E20">
        <w:rPr>
          <w:rFonts w:cs="Times New Roman"/>
          <w:szCs w:val="24"/>
        </w:rPr>
        <w:t>three-factor model is estimated as follows:</w:t>
      </w:r>
    </w:p>
    <w:bookmarkStart w:id="19" w:name="_Toc491693173"/>
    <w:bookmarkStart w:id="20" w:name="_Toc491693493"/>
    <w:bookmarkStart w:id="21" w:name="_Toc491699380"/>
    <w:bookmarkStart w:id="22" w:name="_Toc491699838"/>
    <w:bookmarkStart w:id="23" w:name="_Toc491700352"/>
    <w:bookmarkStart w:id="24" w:name="_Toc491701486"/>
    <w:p w14:paraId="4B5787B1" w14:textId="77777777" w:rsidR="00C16326" w:rsidRPr="00052E20" w:rsidRDefault="00923871" w:rsidP="00C16326">
      <w:pPr>
        <w:ind w:firstLineChars="0" w:firstLine="0"/>
        <w:jc w:val="center"/>
        <w:rPr>
          <w:rFonts w:eastAsiaTheme="minorEastAsia" w:cs="Times New Roman"/>
          <w:szCs w:val="24"/>
        </w:rPr>
      </w:pPr>
      <m:oMath>
        <m:sSub>
          <m:sSubPr>
            <m:ctrlPr>
              <w:rPr>
                <w:rFonts w:ascii="Cambria Math" w:hAnsi="Cambria Math" w:cs="Times New Roman"/>
                <w:szCs w:val="24"/>
              </w:rPr>
            </m:ctrlPr>
          </m:sSubPr>
          <m:e>
            <m:r>
              <w:rPr>
                <w:rFonts w:ascii="Cambria Math" w:hAnsi="Cambria Math" w:cs="Times New Roman"/>
                <w:szCs w:val="24"/>
              </w:rPr>
              <m:t>R</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R</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r>
          <w:rPr>
            <w:rFonts w:ascii="Cambria Math" w:hAnsi="Cambria Math" w:cs="Times New Roman"/>
            <w:szCs w:val="24"/>
          </w:rPr>
          <m:t>α</m:t>
        </m:r>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β</m:t>
            </m:r>
          </m:e>
          <m:sub>
            <m:r>
              <m:rPr>
                <m:sty m:val="p"/>
              </m:rPr>
              <w:rPr>
                <w:rFonts w:ascii="Cambria Math" w:hAnsi="Cambria Math" w:cs="Times New Roman"/>
                <w:szCs w:val="24"/>
              </w:rPr>
              <m:t>1,</m:t>
            </m:r>
            <m:r>
              <w:rPr>
                <w:rFonts w:ascii="Cambria Math" w:hAnsi="Cambria Math" w:cs="Times New Roman"/>
                <w:szCs w:val="24"/>
              </w:rPr>
              <m:t>i</m:t>
            </m:r>
          </m:sub>
        </m:sSub>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R</m:t>
                </m:r>
              </m:e>
              <m:sub>
                <m:r>
                  <w:rPr>
                    <w:rFonts w:ascii="Cambria Math" w:hAnsi="Cambria Math" w:cs="Times New Roman"/>
                    <w:szCs w:val="24"/>
                  </w:rPr>
                  <m:t>m</m:t>
                </m:r>
                <m:r>
                  <m:rPr>
                    <m:sty m:val="p"/>
                  </m:rPr>
                  <w:rPr>
                    <w:rFonts w:ascii="Cambria Math" w:hAnsi="Cambria Math" w:cs="Times New Roman"/>
                    <w:szCs w:val="24"/>
                  </w:rPr>
                  <m:t>,</m:t>
                </m:r>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R</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t</m:t>
                </m:r>
              </m:sub>
            </m:sSub>
          </m:e>
        </m:d>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β</m:t>
            </m:r>
          </m:e>
          <m:sub>
            <m:r>
              <m:rPr>
                <m:sty m:val="p"/>
              </m:rPr>
              <w:rPr>
                <w:rFonts w:ascii="Cambria Math" w:hAnsi="Cambria Math" w:cs="Times New Roman"/>
                <w:szCs w:val="24"/>
              </w:rPr>
              <m:t>2,</m:t>
            </m:r>
            <m:r>
              <w:rPr>
                <w:rFonts w:ascii="Cambria Math" w:hAnsi="Cambria Math" w:cs="Times New Roman"/>
                <w:szCs w:val="24"/>
              </w:rPr>
              <m:t>i</m:t>
            </m:r>
          </m:sub>
        </m:sSub>
        <m:sSub>
          <m:sSubPr>
            <m:ctrlPr>
              <w:rPr>
                <w:rFonts w:ascii="Cambria Math" w:hAnsi="Cambria Math" w:cs="Times New Roman"/>
                <w:szCs w:val="24"/>
              </w:rPr>
            </m:ctrlPr>
          </m:sSubPr>
          <m:e>
            <m:r>
              <w:rPr>
                <w:rFonts w:ascii="Cambria Math" w:hAnsi="Cambria Math" w:cs="Times New Roman"/>
                <w:szCs w:val="24"/>
              </w:rPr>
              <m:t>SMB</m:t>
            </m:r>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β</m:t>
            </m:r>
          </m:e>
          <m:sub>
            <m:r>
              <m:rPr>
                <m:sty m:val="p"/>
              </m:rPr>
              <w:rPr>
                <w:rFonts w:ascii="Cambria Math" w:hAnsi="Cambria Math" w:cs="Times New Roman"/>
                <w:szCs w:val="24"/>
              </w:rPr>
              <m:t>3,</m:t>
            </m:r>
            <m:r>
              <w:rPr>
                <w:rFonts w:ascii="Cambria Math" w:hAnsi="Cambria Math" w:cs="Times New Roman"/>
                <w:szCs w:val="24"/>
              </w:rPr>
              <m:t>i</m:t>
            </m:r>
          </m:sub>
        </m:sSub>
        <m:sSub>
          <m:sSubPr>
            <m:ctrlPr>
              <w:rPr>
                <w:rFonts w:ascii="Cambria Math" w:hAnsi="Cambria Math" w:cs="Times New Roman"/>
                <w:szCs w:val="24"/>
              </w:rPr>
            </m:ctrlPr>
          </m:sSubPr>
          <m:e>
            <m:r>
              <w:rPr>
                <w:rFonts w:ascii="Cambria Math" w:hAnsi="Cambria Math" w:cs="Times New Roman"/>
                <w:szCs w:val="24"/>
              </w:rPr>
              <m:t>HML</m:t>
            </m:r>
          </m:e>
          <m:sub>
            <m:r>
              <w:rPr>
                <w:rFonts w:ascii="Cambria Math" w:hAnsi="Cambria Math" w:cs="Times New Roman"/>
                <w:szCs w:val="24"/>
              </w:rPr>
              <m:t>t</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ε</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t</m:t>
            </m:r>
          </m:sub>
        </m:sSub>
      </m:oMath>
      <w:bookmarkEnd w:id="19"/>
      <w:bookmarkEnd w:id="20"/>
      <w:bookmarkEnd w:id="21"/>
      <w:bookmarkEnd w:id="22"/>
      <w:bookmarkEnd w:id="23"/>
      <w:bookmarkEnd w:id="24"/>
      <w:r w:rsidR="00C16326">
        <w:rPr>
          <w:rFonts w:eastAsiaTheme="minorEastAsia" w:cs="Times New Roman" w:hint="eastAsia"/>
          <w:szCs w:val="24"/>
        </w:rPr>
        <w:t xml:space="preserve">                </w:t>
      </w:r>
      <w:r w:rsidR="00C16326" w:rsidRPr="00052E20">
        <w:rPr>
          <w:rFonts w:eastAsiaTheme="minorEastAsia" w:cs="Times New Roman" w:hint="eastAsia"/>
          <w:szCs w:val="24"/>
        </w:rPr>
        <w:t>[4]</w:t>
      </w:r>
    </w:p>
    <w:p w14:paraId="77FD727B" w14:textId="77777777" w:rsidR="00C16326" w:rsidRPr="00052E20" w:rsidRDefault="00C16326" w:rsidP="00C16326">
      <w:pPr>
        <w:ind w:firstLine="480"/>
        <w:rPr>
          <w:rFonts w:cs="Times New Roman"/>
          <w:szCs w:val="24"/>
        </w:rPr>
      </w:pPr>
      <w:r w:rsidRPr="00052E20">
        <w:rPr>
          <w:rFonts w:cs="Times New Roman"/>
          <w:szCs w:val="24"/>
        </w:rPr>
        <w:t xml:space="preserve">Where </w:t>
      </w:r>
      <m:oMath>
        <m:sSub>
          <m:sSubPr>
            <m:ctrlPr>
              <w:rPr>
                <w:rFonts w:ascii="Cambria Math" w:hAnsi="Cambria Math" w:cs="Times New Roman"/>
                <w:szCs w:val="24"/>
              </w:rPr>
            </m:ctrlPr>
          </m:sSubPr>
          <m:e>
            <m:r>
              <w:rPr>
                <w:rFonts w:ascii="Cambria Math" w:hAnsi="Cambria Math" w:cs="Times New Roman"/>
                <w:szCs w:val="24"/>
              </w:rPr>
              <m:t>R</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 xml:space="preserve"> t</m:t>
            </m:r>
          </m:sub>
        </m:sSub>
      </m:oMath>
      <w:r w:rsidRPr="00052E20">
        <w:rPr>
          <w:rFonts w:cs="Times New Roman"/>
          <w:szCs w:val="24"/>
        </w:rPr>
        <w:t xml:space="preserve">, </w:t>
      </w:r>
      <m:oMath>
        <m:sSub>
          <m:sSubPr>
            <m:ctrlPr>
              <w:rPr>
                <w:rFonts w:ascii="Cambria Math" w:hAnsi="Cambria Math" w:cs="Times New Roman"/>
                <w:szCs w:val="24"/>
              </w:rPr>
            </m:ctrlPr>
          </m:sSubPr>
          <m:e>
            <m:r>
              <w:rPr>
                <w:rFonts w:ascii="Cambria Math" w:hAnsi="Cambria Math" w:cs="Times New Roman"/>
                <w:szCs w:val="24"/>
              </w:rPr>
              <m:t>R</m:t>
            </m:r>
          </m:e>
          <m:sub>
            <m:r>
              <w:rPr>
                <w:rFonts w:ascii="Cambria Math" w:hAnsi="Cambria Math" w:cs="Times New Roman"/>
                <w:szCs w:val="24"/>
              </w:rPr>
              <m:t>f</m:t>
            </m:r>
            <m:r>
              <m:rPr>
                <m:sty m:val="p"/>
              </m:rPr>
              <w:rPr>
                <w:rFonts w:ascii="Cambria Math" w:hAnsi="Cambria Math" w:cs="Times New Roman"/>
                <w:szCs w:val="24"/>
              </w:rPr>
              <m:t>,</m:t>
            </m:r>
            <m:r>
              <w:rPr>
                <w:rFonts w:ascii="Cambria Math" w:hAnsi="Cambria Math" w:cs="Times New Roman"/>
                <w:szCs w:val="24"/>
              </w:rPr>
              <m:t xml:space="preserve"> t</m:t>
            </m:r>
          </m:sub>
        </m:sSub>
      </m:oMath>
      <w:r w:rsidRPr="00052E20">
        <w:rPr>
          <w:rFonts w:cs="Times New Roman"/>
          <w:szCs w:val="24"/>
        </w:rPr>
        <w:t xml:space="preserve"> and </w:t>
      </w:r>
      <m:oMath>
        <m:sSub>
          <m:sSubPr>
            <m:ctrlPr>
              <w:rPr>
                <w:rFonts w:ascii="Cambria Math" w:hAnsi="Cambria Math" w:cs="Times New Roman"/>
                <w:szCs w:val="24"/>
              </w:rPr>
            </m:ctrlPr>
          </m:sSubPr>
          <m:e>
            <m:r>
              <w:rPr>
                <w:rFonts w:ascii="Cambria Math" w:hAnsi="Cambria Math" w:cs="Times New Roman"/>
                <w:szCs w:val="24"/>
              </w:rPr>
              <m:t>R</m:t>
            </m:r>
          </m:e>
          <m:sub>
            <m:r>
              <w:rPr>
                <w:rFonts w:ascii="Cambria Math" w:hAnsi="Cambria Math" w:cs="Times New Roman"/>
                <w:szCs w:val="24"/>
              </w:rPr>
              <m:t>m</m:t>
            </m:r>
            <m:r>
              <m:rPr>
                <m:sty m:val="p"/>
              </m:rPr>
              <w:rPr>
                <w:rFonts w:ascii="Cambria Math" w:hAnsi="Cambria Math" w:cs="Times New Roman"/>
                <w:szCs w:val="24"/>
              </w:rPr>
              <m:t>,</m:t>
            </m:r>
            <m:r>
              <w:rPr>
                <w:rFonts w:ascii="Cambria Math" w:hAnsi="Cambria Math" w:cs="Times New Roman"/>
                <w:szCs w:val="24"/>
              </w:rPr>
              <m:t xml:space="preserve"> t</m:t>
            </m:r>
          </m:sub>
        </m:sSub>
      </m:oMath>
      <w:r w:rsidRPr="00052E20">
        <w:rPr>
          <w:rFonts w:cs="Times New Roman"/>
          <w:szCs w:val="24"/>
        </w:rPr>
        <w:t xml:space="preserve"> are same meanings as above;</w:t>
      </w:r>
    </w:p>
    <w:p w14:paraId="511DC913" w14:textId="77777777" w:rsidR="00C16326" w:rsidRPr="00052E20" w:rsidRDefault="00C16326" w:rsidP="00C16326">
      <w:pPr>
        <w:ind w:firstLine="480"/>
        <w:rPr>
          <w:rFonts w:cs="Times New Roman"/>
          <w:szCs w:val="24"/>
        </w:rPr>
      </w:pPr>
      <w:r w:rsidRPr="00052E20">
        <w:rPr>
          <w:rFonts w:cs="Times New Roman"/>
          <w:szCs w:val="24"/>
        </w:rPr>
        <w:t xml:space="preserve">SMB = the </w:t>
      </w:r>
      <w:r w:rsidRPr="00052E20">
        <w:rPr>
          <w:rFonts w:cs="Times New Roman"/>
          <w:szCs w:val="24"/>
          <w:lang w:val="en-GB"/>
        </w:rPr>
        <w:t>size premium (</w:t>
      </w:r>
      <w:r w:rsidRPr="00052E20">
        <w:rPr>
          <w:rFonts w:cs="Times New Roman"/>
          <w:szCs w:val="24"/>
        </w:rPr>
        <w:t>difference in return between a small portfolio and a large portfolio);</w:t>
      </w:r>
    </w:p>
    <w:p w14:paraId="7EB7C96C" w14:textId="77777777" w:rsidR="00C16326" w:rsidRPr="00052E20" w:rsidRDefault="00C16326" w:rsidP="00C16326">
      <w:pPr>
        <w:ind w:firstLine="480"/>
        <w:rPr>
          <w:rFonts w:eastAsiaTheme="minorEastAsia" w:cs="Times New Roman"/>
          <w:szCs w:val="24"/>
          <w:lang w:val="en-GB"/>
        </w:rPr>
      </w:pPr>
      <w:r w:rsidRPr="00052E20">
        <w:rPr>
          <w:rFonts w:cs="Times New Roman"/>
          <w:szCs w:val="24"/>
        </w:rPr>
        <w:t xml:space="preserve">HML = </w:t>
      </w:r>
      <w:r w:rsidRPr="00052E20">
        <w:rPr>
          <w:rFonts w:cs="Times New Roman"/>
          <w:szCs w:val="24"/>
          <w:lang w:val="en-GB"/>
        </w:rPr>
        <w:t>the value premium (difference in return between a high book-to-market ratio portfolio and a low book-to-market ratio portfolio).</w:t>
      </w:r>
    </w:p>
    <w:p w14:paraId="6BB7272C" w14:textId="77777777" w:rsidR="00C16326" w:rsidRPr="00052E20" w:rsidRDefault="00C16326" w:rsidP="00C16326">
      <w:pPr>
        <w:ind w:firstLine="480"/>
        <w:rPr>
          <w:rFonts w:cs="Times New Roman"/>
          <w:szCs w:val="24"/>
          <w:lang w:val="en-GB"/>
        </w:rPr>
      </w:pPr>
      <w:r w:rsidRPr="00052E20">
        <w:rPr>
          <w:rFonts w:cs="Times New Roman"/>
          <w:szCs w:val="24"/>
          <w:lang w:val="en-GB"/>
        </w:rPr>
        <w:t>To test the influence of bid characteristics and firm characteristics demonstrated in the literature above, this study uses the following model to do the estimation.</w:t>
      </w:r>
    </w:p>
    <w:p w14:paraId="6C66B566" w14:textId="77777777" w:rsidR="00C16326" w:rsidRPr="00052E20" w:rsidRDefault="00923871" w:rsidP="00C16326">
      <w:pPr>
        <w:ind w:firstLine="480"/>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CAR</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r>
          <w:rPr>
            <w:rFonts w:ascii="Cambria Math" w:hAnsi="Cambria Math" w:cs="Times New Roman"/>
            <w:szCs w:val="24"/>
          </w:rPr>
          <m:t>cash dummy+</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r>
          <w:rPr>
            <w:rFonts w:ascii="Cambria Math" w:hAnsi="Cambria Math" w:cs="Times New Roman"/>
            <w:szCs w:val="24"/>
          </w:rPr>
          <m:t>stock dummy+</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r>
          <w:rPr>
            <w:rFonts w:ascii="Cambria Math" w:hAnsi="Cambria Math" w:cs="Times New Roman"/>
            <w:szCs w:val="24"/>
          </w:rPr>
          <m:t>Ln relative size+</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4</m:t>
            </m:r>
          </m:sub>
        </m:sSub>
        <m:r>
          <w:rPr>
            <w:rFonts w:ascii="Cambria Math" w:hAnsi="Cambria Math" w:cs="Times New Roman"/>
            <w:szCs w:val="24"/>
          </w:rPr>
          <m:t>unrelated industry dummy+</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5</m:t>
            </m:r>
          </m:sub>
        </m:sSub>
        <m:r>
          <w:rPr>
            <w:rFonts w:ascii="Cambria Math" w:hAnsi="Cambria Math" w:cs="Times New Roman"/>
            <w:szCs w:val="24"/>
          </w:rPr>
          <m:t>multiple bid dummy+</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6</m:t>
            </m:r>
          </m:sub>
        </m:sSub>
        <m:r>
          <w:rPr>
            <w:rFonts w:ascii="Cambria Math" w:hAnsi="Cambria Math" w:cs="Times New Roman"/>
            <w:szCs w:val="24"/>
          </w:rPr>
          <m:t>Ln market value+</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7</m:t>
            </m:r>
          </m:sub>
        </m:sSub>
        <m:r>
          <w:rPr>
            <w:rFonts w:ascii="Cambria Math" w:hAnsi="Cambria Math" w:cs="Times New Roman"/>
            <w:szCs w:val="24"/>
          </w:rPr>
          <m:t xml:space="preserve"> free cash flow+</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8</m:t>
            </m:r>
          </m:sub>
        </m:sSub>
        <m:r>
          <w:rPr>
            <w:rFonts w:ascii="Cambria Math" w:hAnsi="Cambria Math" w:cs="Times New Roman"/>
            <w:szCs w:val="24"/>
          </w:rPr>
          <m:t>leverage+</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9</m:t>
            </m:r>
          </m:sub>
        </m:sSub>
        <m:r>
          <w:rPr>
            <w:rFonts w:ascii="Cambria Math" w:hAnsi="Cambria Math" w:cs="Times New Roman"/>
            <w:szCs w:val="24"/>
          </w:rPr>
          <m:t>profitability+</m:t>
        </m:r>
        <m:sSub>
          <m:sSubPr>
            <m:ctrlPr>
              <w:rPr>
                <w:rFonts w:ascii="Cambria Math" w:hAnsi="Cambria Math" w:cs="Times New Roman"/>
                <w:szCs w:val="24"/>
              </w:rPr>
            </m:ctrlPr>
          </m:sSubPr>
          <m:e>
            <m:r>
              <w:rPr>
                <w:rFonts w:ascii="Cambria Math" w:hAnsi="Cambria Math" w:cs="Times New Roman"/>
                <w:szCs w:val="24"/>
              </w:rPr>
              <m:t>ε</m:t>
            </m:r>
          </m:e>
          <m:sub>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 xml:space="preserve">t                                                                   </m:t>
            </m:r>
          </m:sub>
        </m:sSub>
      </m:oMath>
      <w:r w:rsidR="00C16326">
        <w:rPr>
          <w:rFonts w:eastAsiaTheme="minorEastAsia" w:cs="Times New Roman" w:hint="eastAsia"/>
          <w:szCs w:val="24"/>
        </w:rPr>
        <w:t>[</w:t>
      </w:r>
      <w:r w:rsidR="00C16326">
        <w:rPr>
          <w:rFonts w:eastAsiaTheme="minorEastAsia" w:cs="Times New Roman"/>
          <w:szCs w:val="24"/>
        </w:rPr>
        <w:t>5</w:t>
      </w:r>
      <w:r w:rsidR="00C16326" w:rsidRPr="00052E20">
        <w:rPr>
          <w:rFonts w:eastAsiaTheme="minorEastAsia" w:cs="Times New Roman" w:hint="eastAsia"/>
          <w:szCs w:val="24"/>
        </w:rPr>
        <w:t>]</w:t>
      </w:r>
    </w:p>
    <w:p w14:paraId="3B49F1FB" w14:textId="77777777" w:rsidR="00C16326" w:rsidRDefault="00C16326" w:rsidP="00C16326">
      <w:pPr>
        <w:ind w:firstLine="480"/>
        <w:rPr>
          <w:rFonts w:cs="Times New Roman"/>
          <w:szCs w:val="24"/>
        </w:rPr>
      </w:pPr>
      <w:r w:rsidRPr="00052E20">
        <w:rPr>
          <w:rFonts w:cs="Times New Roman"/>
          <w:szCs w:val="24"/>
        </w:rPr>
        <w:t xml:space="preserve">Where the dependent variable </w:t>
      </w:r>
      <m:oMath>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CAR</m:t>
            </m:r>
          </m:e>
          <m:sub>
            <m:r>
              <w:rPr>
                <w:rFonts w:ascii="Cambria Math" w:hAnsi="Cambria Math" w:cs="Times New Roman"/>
                <w:szCs w:val="24"/>
              </w:rPr>
              <m:t>i</m:t>
            </m:r>
          </m:sub>
        </m:sSub>
        <m:r>
          <w:rPr>
            <w:rFonts w:ascii="Cambria Math" w:hAnsi="Cambria Math" w:cs="Times New Roman"/>
            <w:szCs w:val="24"/>
          </w:rPr>
          <m:t>)</m:t>
        </m:r>
      </m:oMath>
      <w:r w:rsidRPr="00052E20">
        <w:rPr>
          <w:rFonts w:cs="Times New Roman"/>
          <w:szCs w:val="24"/>
        </w:rPr>
        <w:t xml:space="preserve"> is the three-factor model (Fama-French) cumulative abnormal returns during the entire short-term event window (day -26 to day +26). The independent variables include four bid characteristics and four firm characteristics, which are a cash-only dummy, a stock-only dummy, the logarithm of the transaction relative size, an unrelated acquisitions dummy, </w:t>
      </w:r>
      <w:r>
        <w:rPr>
          <w:rFonts w:cs="Times New Roman"/>
          <w:szCs w:val="24"/>
        </w:rPr>
        <w:t xml:space="preserve">a multiple bid dummy, </w:t>
      </w:r>
      <w:r w:rsidRPr="00052E20">
        <w:rPr>
          <w:rFonts w:cs="Times New Roman"/>
          <w:szCs w:val="24"/>
        </w:rPr>
        <w:t>the natural logarithm of the relative market value, profitability, leverage</w:t>
      </w:r>
      <w:r>
        <w:rPr>
          <w:rFonts w:cs="Times New Roman"/>
          <w:szCs w:val="24"/>
        </w:rPr>
        <w:t xml:space="preserve"> and free cash flow ratio.</w:t>
      </w:r>
    </w:p>
    <w:p w14:paraId="0AE2F94F" w14:textId="77777777" w:rsidR="00C16326" w:rsidRDefault="00C16326" w:rsidP="00C16326">
      <w:pPr>
        <w:ind w:firstLine="480"/>
        <w:rPr>
          <w:rFonts w:cs="Times New Roman"/>
          <w:szCs w:val="24"/>
        </w:rPr>
      </w:pPr>
    </w:p>
    <w:p w14:paraId="1ED501A1" w14:textId="77777777" w:rsidR="00C16326" w:rsidRDefault="00C16326" w:rsidP="00C16326">
      <w:pPr>
        <w:ind w:firstLine="480"/>
        <w:rPr>
          <w:rFonts w:cs="Times New Roman"/>
          <w:szCs w:val="24"/>
        </w:rPr>
      </w:pPr>
      <w:r w:rsidRPr="00052E20">
        <w:rPr>
          <w:rFonts w:cs="Times New Roman"/>
          <w:szCs w:val="24"/>
        </w:rPr>
        <w:t xml:space="preserve">In view of previous research methods </w:t>
      </w:r>
      <w:r>
        <w:rPr>
          <w:rFonts w:cs="Times New Roman"/>
          <w:szCs w:val="24"/>
        </w:rPr>
        <w:t xml:space="preserve">and models </w:t>
      </w:r>
      <w:r w:rsidRPr="00052E20">
        <w:rPr>
          <w:rFonts w:cs="Times New Roman"/>
          <w:szCs w:val="24"/>
        </w:rPr>
        <w:t>from literature</w:t>
      </w:r>
      <w:r>
        <w:rPr>
          <w:rFonts w:cs="Times New Roman"/>
          <w:szCs w:val="24"/>
        </w:rPr>
        <w:t xml:space="preserve">, </w:t>
      </w:r>
      <w:r w:rsidRPr="00052E20">
        <w:rPr>
          <w:rFonts w:cs="Times New Roman"/>
          <w:szCs w:val="24"/>
        </w:rPr>
        <w:t xml:space="preserve">two main hypothesizes </w:t>
      </w:r>
      <w:r>
        <w:rPr>
          <w:rFonts w:cs="Times New Roman"/>
          <w:szCs w:val="24"/>
        </w:rPr>
        <w:t xml:space="preserve">are proposed </w:t>
      </w:r>
      <w:r w:rsidRPr="00052E20">
        <w:rPr>
          <w:rFonts w:cs="Times New Roman"/>
          <w:szCs w:val="24"/>
        </w:rPr>
        <w:t xml:space="preserve">in this </w:t>
      </w:r>
      <w:r>
        <w:rPr>
          <w:rFonts w:cs="Times New Roman"/>
          <w:szCs w:val="24"/>
        </w:rPr>
        <w:t>paper:</w:t>
      </w:r>
    </w:p>
    <w:p w14:paraId="6CAC2FFD" w14:textId="77777777" w:rsidR="00C16326" w:rsidRPr="008C23AA" w:rsidRDefault="00C16326" w:rsidP="00C16326">
      <w:pPr>
        <w:ind w:firstLine="480"/>
        <w:rPr>
          <w:rFonts w:cs="Times New Roman"/>
          <w:i/>
          <w:szCs w:val="24"/>
        </w:rPr>
      </w:pPr>
      <w:r w:rsidRPr="008C23AA">
        <w:rPr>
          <w:rFonts w:cs="Times New Roman"/>
          <w:i/>
          <w:szCs w:val="24"/>
        </w:rPr>
        <w:t>Hypothesis 1: Bidders of Hong Kong targets earn lower abnormal returns than                                   bidders of China Mainland targets.</w:t>
      </w:r>
    </w:p>
    <w:p w14:paraId="24B9E716" w14:textId="77777777" w:rsidR="00C16326" w:rsidRPr="008C23AA" w:rsidRDefault="00C16326" w:rsidP="00C16326">
      <w:pPr>
        <w:ind w:firstLine="480"/>
        <w:rPr>
          <w:rFonts w:cs="Times New Roman"/>
          <w:i/>
          <w:szCs w:val="24"/>
        </w:rPr>
      </w:pPr>
      <w:r w:rsidRPr="008C23AA">
        <w:rPr>
          <w:rFonts w:cs="Times New Roman"/>
          <w:i/>
          <w:szCs w:val="24"/>
        </w:rPr>
        <w:t>Hypothesis 2: The average abnormal returns fluctuating range of Hong Kong target acquirers is shorter than the average volatility period of China Mainland target bidders.</w:t>
      </w:r>
    </w:p>
    <w:p w14:paraId="1747CA40" w14:textId="6BEA566B" w:rsidR="00A733BB" w:rsidRPr="002B7B0F" w:rsidRDefault="00E82D3A" w:rsidP="00A733BB">
      <w:pPr>
        <w:ind w:firstLine="480"/>
        <w:rPr>
          <w:rFonts w:cs="Times New Roman"/>
          <w:szCs w:val="24"/>
          <w:lang w:val="en-GB"/>
        </w:rPr>
      </w:pPr>
      <w:r w:rsidRPr="002B7B0F">
        <w:rPr>
          <w:rFonts w:cs="Times New Roman"/>
          <w:szCs w:val="24"/>
          <w:lang w:val="en-GB"/>
        </w:rPr>
        <w:t xml:space="preserve">In </w:t>
      </w:r>
      <w:r w:rsidR="00BC028C">
        <w:rPr>
          <w:rFonts w:cs="Times New Roman"/>
          <w:szCs w:val="24"/>
          <w:lang w:val="en-GB"/>
        </w:rPr>
        <w:t>T</w:t>
      </w:r>
      <w:r w:rsidRPr="002B7B0F">
        <w:rPr>
          <w:rFonts w:cs="Times New Roman"/>
          <w:szCs w:val="24"/>
          <w:lang w:val="en-GB"/>
        </w:rPr>
        <w:t xml:space="preserve">able 3, </w:t>
      </w:r>
      <w:r w:rsidR="00A733BB" w:rsidRPr="002B7B0F">
        <w:rPr>
          <w:rFonts w:cs="Times New Roman"/>
          <w:szCs w:val="24"/>
          <w:lang w:val="en-GB"/>
        </w:rPr>
        <w:t xml:space="preserve">bidders of targets from both markets, </w:t>
      </w:r>
      <w:r w:rsidR="00EE4877" w:rsidRPr="002B7B0F">
        <w:rPr>
          <w:rFonts w:cs="Times New Roman"/>
          <w:szCs w:val="24"/>
          <w:lang w:val="en-GB"/>
        </w:rPr>
        <w:t xml:space="preserve">both </w:t>
      </w:r>
      <w:r w:rsidR="00A733BB" w:rsidRPr="002B7B0F">
        <w:rPr>
          <w:rFonts w:cs="Times New Roman"/>
          <w:szCs w:val="24"/>
          <w:lang w:val="en-GB"/>
        </w:rPr>
        <w:t>the stock only dummy and the Ln relative size variable have negative correlations with the cash only dummy</w:t>
      </w:r>
      <w:r w:rsidR="005824F0" w:rsidRPr="002B7B0F">
        <w:rPr>
          <w:rFonts w:cs="Times New Roman"/>
          <w:szCs w:val="24"/>
          <w:lang w:val="en-GB"/>
        </w:rPr>
        <w:t>. Also, the cash only dummy is positivel</w:t>
      </w:r>
      <w:r w:rsidR="003B4321" w:rsidRPr="002B7B0F">
        <w:rPr>
          <w:rFonts w:cs="Times New Roman"/>
          <w:szCs w:val="24"/>
          <w:lang w:val="en-GB"/>
        </w:rPr>
        <w:t>y related to Ln market value, free cash flow variables and</w:t>
      </w:r>
      <w:r w:rsidR="005824F0" w:rsidRPr="002B7B0F">
        <w:rPr>
          <w:rFonts w:cs="Times New Roman"/>
          <w:szCs w:val="24"/>
          <w:lang w:val="en-GB"/>
        </w:rPr>
        <w:t xml:space="preserve"> profitability, which may suggest that large enterprises of this target market are more likely to use cash as a payment means in the</w:t>
      </w:r>
      <w:r w:rsidR="003B4321" w:rsidRPr="002B7B0F">
        <w:rPr>
          <w:rFonts w:cs="Times New Roman"/>
          <w:szCs w:val="24"/>
          <w:lang w:val="en-GB"/>
        </w:rPr>
        <w:t>ir</w:t>
      </w:r>
      <w:r w:rsidR="005824F0" w:rsidRPr="002B7B0F">
        <w:rPr>
          <w:rFonts w:cs="Times New Roman"/>
          <w:szCs w:val="24"/>
          <w:lang w:val="en-GB"/>
        </w:rPr>
        <w:t xml:space="preserve"> acquisition event</w:t>
      </w:r>
      <w:r w:rsidR="003B4321" w:rsidRPr="002B7B0F">
        <w:rPr>
          <w:rFonts w:cs="Times New Roman"/>
          <w:szCs w:val="24"/>
          <w:lang w:val="en-GB"/>
        </w:rPr>
        <w:t>s</w:t>
      </w:r>
      <w:r w:rsidR="005824F0" w:rsidRPr="002B7B0F">
        <w:rPr>
          <w:rFonts w:cs="Times New Roman"/>
          <w:szCs w:val="24"/>
          <w:lang w:val="en-GB"/>
        </w:rPr>
        <w:t>.</w:t>
      </w:r>
      <w:r w:rsidR="00A733BB" w:rsidRPr="002B7B0F">
        <w:rPr>
          <w:rFonts w:cs="Times New Roman"/>
          <w:szCs w:val="24"/>
          <w:lang w:val="en-GB"/>
        </w:rPr>
        <w:t xml:space="preserve"> </w:t>
      </w:r>
      <w:r w:rsidR="003B4321" w:rsidRPr="002B7B0F">
        <w:rPr>
          <w:rFonts w:cs="Times New Roman"/>
          <w:szCs w:val="24"/>
          <w:lang w:val="en-GB"/>
        </w:rPr>
        <w:t>Moreover,</w:t>
      </w:r>
      <w:r w:rsidR="005824F0" w:rsidRPr="002B7B0F">
        <w:rPr>
          <w:rFonts w:cs="Times New Roman"/>
          <w:szCs w:val="24"/>
          <w:lang w:val="en-GB"/>
        </w:rPr>
        <w:t xml:space="preserve"> a positive correlation </w:t>
      </w:r>
      <w:r w:rsidR="003B4321" w:rsidRPr="002B7B0F">
        <w:rPr>
          <w:rFonts w:cs="Times New Roman"/>
          <w:szCs w:val="24"/>
          <w:lang w:val="en-GB"/>
        </w:rPr>
        <w:t xml:space="preserve">may exist </w:t>
      </w:r>
      <w:r w:rsidR="005824F0" w:rsidRPr="002B7B0F">
        <w:rPr>
          <w:rFonts w:cs="Times New Roman"/>
          <w:szCs w:val="24"/>
          <w:lang w:val="en-GB"/>
        </w:rPr>
        <w:t xml:space="preserve">between cash-financing and the financial condition of the bidder. </w:t>
      </w:r>
      <w:r w:rsidR="00A733BB" w:rsidRPr="002B7B0F">
        <w:rPr>
          <w:rFonts w:cs="Times New Roman"/>
          <w:szCs w:val="24"/>
          <w:lang w:val="en-GB"/>
        </w:rPr>
        <w:t xml:space="preserve">The correlation matrixes also demonstrate that in both target markets, the Ln relative size variables have negative correlations with the Ln market value </w:t>
      </w:r>
      <w:r w:rsidR="003B4321" w:rsidRPr="002B7B0F">
        <w:rPr>
          <w:rFonts w:cs="Times New Roman"/>
          <w:szCs w:val="24"/>
          <w:lang w:val="en-GB"/>
        </w:rPr>
        <w:t>and free cash flow variables</w:t>
      </w:r>
      <w:r w:rsidR="00A25096">
        <w:rPr>
          <w:rFonts w:cs="Times New Roman"/>
          <w:szCs w:val="24"/>
          <w:lang w:val="en-GB"/>
        </w:rPr>
        <w:t>,</w:t>
      </w:r>
      <w:r w:rsidR="003B4321" w:rsidRPr="002B7B0F">
        <w:rPr>
          <w:rFonts w:cs="Times New Roman"/>
          <w:szCs w:val="24"/>
          <w:lang w:val="en-GB"/>
        </w:rPr>
        <w:t xml:space="preserve"> </w:t>
      </w:r>
      <w:r w:rsidR="00A25096">
        <w:rPr>
          <w:rFonts w:cs="Times New Roman"/>
          <w:szCs w:val="24"/>
          <w:lang w:val="en-GB"/>
        </w:rPr>
        <w:t>and also</w:t>
      </w:r>
      <w:r w:rsidR="003B4321" w:rsidRPr="002B7B0F">
        <w:rPr>
          <w:rFonts w:cs="Times New Roman"/>
          <w:szCs w:val="24"/>
          <w:lang w:val="en-GB"/>
        </w:rPr>
        <w:t xml:space="preserve"> the Ln market value coefficients are</w:t>
      </w:r>
      <w:r w:rsidR="00A733BB" w:rsidRPr="002B7B0F">
        <w:rPr>
          <w:rFonts w:cs="Times New Roman"/>
          <w:szCs w:val="24"/>
          <w:lang w:val="en-GB"/>
        </w:rPr>
        <w:t xml:space="preserve"> positively related with </w:t>
      </w:r>
      <w:r w:rsidR="00A25096" w:rsidRPr="002B7B0F">
        <w:rPr>
          <w:rFonts w:cs="Times New Roman"/>
          <w:szCs w:val="24"/>
          <w:lang w:val="en-GB"/>
        </w:rPr>
        <w:t xml:space="preserve">three </w:t>
      </w:r>
      <w:r w:rsidR="00A733BB" w:rsidRPr="002B7B0F">
        <w:rPr>
          <w:rFonts w:cs="Times New Roman"/>
          <w:szCs w:val="24"/>
          <w:lang w:val="en-GB"/>
        </w:rPr>
        <w:t>other firm characteristics variables. Based on Gujarat (1995), if the absolute valu</w:t>
      </w:r>
      <w:r w:rsidR="003B4321" w:rsidRPr="002B7B0F">
        <w:rPr>
          <w:rFonts w:cs="Times New Roman"/>
          <w:szCs w:val="24"/>
          <w:lang w:val="en-GB"/>
        </w:rPr>
        <w:t>e of the correlation between</w:t>
      </w:r>
      <w:r w:rsidR="00A733BB" w:rsidRPr="002B7B0F">
        <w:rPr>
          <w:rFonts w:cs="Times New Roman"/>
          <w:szCs w:val="24"/>
          <w:lang w:val="en-GB"/>
        </w:rPr>
        <w:t xml:space="preserve"> independent variables is higher than 0.80, there </w:t>
      </w:r>
      <w:r w:rsidR="003B4321" w:rsidRPr="002B7B0F">
        <w:rPr>
          <w:rFonts w:cs="Times New Roman"/>
          <w:szCs w:val="24"/>
          <w:lang w:val="en-GB"/>
        </w:rPr>
        <w:t xml:space="preserve">may be </w:t>
      </w:r>
      <w:r w:rsidR="00A25096">
        <w:rPr>
          <w:rFonts w:cs="Times New Roman"/>
          <w:szCs w:val="24"/>
          <w:lang w:val="en-GB"/>
        </w:rPr>
        <w:t xml:space="preserve">a </w:t>
      </w:r>
      <w:r w:rsidR="003B4321" w:rsidRPr="002B7B0F">
        <w:rPr>
          <w:rFonts w:cs="Times New Roman"/>
          <w:szCs w:val="24"/>
          <w:lang w:val="en-GB"/>
        </w:rPr>
        <w:t>multiple collinearity problem</w:t>
      </w:r>
      <w:r w:rsidR="00A733BB" w:rsidRPr="002B7B0F">
        <w:rPr>
          <w:rFonts w:cs="Times New Roman"/>
          <w:szCs w:val="24"/>
          <w:lang w:val="en-GB"/>
        </w:rPr>
        <w:t xml:space="preserve"> between these variables. From correlations in Table 3,</w:t>
      </w:r>
      <w:r w:rsidR="00365286" w:rsidRPr="002B7B0F">
        <w:rPr>
          <w:rFonts w:cs="Times New Roman"/>
          <w:szCs w:val="24"/>
          <w:lang w:val="en-GB"/>
        </w:rPr>
        <w:t xml:space="preserve"> except </w:t>
      </w:r>
      <w:r w:rsidR="00A25096">
        <w:rPr>
          <w:rFonts w:cs="Times New Roman"/>
          <w:szCs w:val="24"/>
          <w:lang w:val="en-GB"/>
        </w:rPr>
        <w:t xml:space="preserve">for </w:t>
      </w:r>
      <w:r w:rsidR="00365286" w:rsidRPr="002B7B0F">
        <w:rPr>
          <w:rFonts w:cs="Times New Roman"/>
          <w:szCs w:val="24"/>
          <w:lang w:val="en-GB"/>
        </w:rPr>
        <w:t xml:space="preserve">the correlation between SMB and HML of Hong Kong target bidders (0.982), </w:t>
      </w:r>
      <w:r w:rsidR="00F71E05" w:rsidRPr="002B7B0F">
        <w:rPr>
          <w:rFonts w:cs="Times New Roman"/>
          <w:szCs w:val="24"/>
          <w:lang w:val="en-GB"/>
        </w:rPr>
        <w:t xml:space="preserve">the absolute value of </w:t>
      </w:r>
      <w:r w:rsidR="00365286" w:rsidRPr="002B7B0F">
        <w:rPr>
          <w:rFonts w:cs="Times New Roman"/>
          <w:szCs w:val="24"/>
          <w:lang w:val="en-GB"/>
        </w:rPr>
        <w:t xml:space="preserve">other correlations between these variables are </w:t>
      </w:r>
      <w:r w:rsidR="00F71E05" w:rsidRPr="002B7B0F">
        <w:rPr>
          <w:rFonts w:cs="Times New Roman"/>
          <w:szCs w:val="24"/>
          <w:lang w:val="en-GB"/>
        </w:rPr>
        <w:t xml:space="preserve">far less than 0.80. Therefore, </w:t>
      </w:r>
      <w:r w:rsidR="00A733BB" w:rsidRPr="002B7B0F">
        <w:rPr>
          <w:rFonts w:cs="Times New Roman"/>
          <w:szCs w:val="24"/>
          <w:lang w:val="en-GB"/>
        </w:rPr>
        <w:t xml:space="preserve">it can be argued that the possibility of multiple collinearity problems in the </w:t>
      </w:r>
      <w:r w:rsidR="003B4321" w:rsidRPr="002B7B0F">
        <w:rPr>
          <w:rFonts w:cs="Times New Roman"/>
          <w:szCs w:val="24"/>
          <w:lang w:val="en-GB"/>
        </w:rPr>
        <w:t xml:space="preserve">estimated </w:t>
      </w:r>
      <w:r w:rsidR="00A733BB" w:rsidRPr="002B7B0F">
        <w:rPr>
          <w:rFonts w:cs="Times New Roman"/>
          <w:szCs w:val="24"/>
          <w:lang w:val="en-GB"/>
        </w:rPr>
        <w:t>regression model of this study is very limited.</w:t>
      </w:r>
    </w:p>
    <w:p w14:paraId="6A756AD5" w14:textId="77777777" w:rsidR="003B4321" w:rsidRPr="002B7B0F" w:rsidRDefault="003B4321" w:rsidP="006C7D32">
      <w:pPr>
        <w:ind w:firstLine="480"/>
        <w:jc w:val="center"/>
        <w:rPr>
          <w:rFonts w:cs="Times New Roman"/>
          <w:szCs w:val="24"/>
          <w:lang w:val="en-GB"/>
        </w:rPr>
      </w:pPr>
    </w:p>
    <w:p w14:paraId="71EADD1E" w14:textId="77777777" w:rsidR="00500D62" w:rsidRDefault="006C7D32" w:rsidP="00413571">
      <w:pPr>
        <w:ind w:firstLine="480"/>
        <w:jc w:val="center"/>
        <w:rPr>
          <w:rFonts w:cs="Times New Roman"/>
          <w:b/>
          <w:szCs w:val="24"/>
          <w:lang w:val="en-GB"/>
        </w:rPr>
      </w:pPr>
      <w:r w:rsidRPr="00B8251D">
        <w:rPr>
          <w:rFonts w:cs="Times New Roman"/>
          <w:b/>
          <w:szCs w:val="24"/>
          <w:lang w:val="en-GB"/>
        </w:rPr>
        <w:t>[I</w:t>
      </w:r>
      <w:r w:rsidR="00B8251D" w:rsidRPr="00B8251D">
        <w:rPr>
          <w:rFonts w:cs="Times New Roman"/>
          <w:b/>
          <w:szCs w:val="24"/>
          <w:lang w:val="en-GB"/>
        </w:rPr>
        <w:t>NSERT TABLE 3 HERE</w:t>
      </w:r>
      <w:r w:rsidRPr="00B8251D">
        <w:rPr>
          <w:rFonts w:cs="Times New Roman"/>
          <w:b/>
          <w:szCs w:val="24"/>
          <w:lang w:val="en-GB"/>
        </w:rPr>
        <w:t>]</w:t>
      </w:r>
    </w:p>
    <w:p w14:paraId="1CAE7E0F" w14:textId="28E826A0" w:rsidR="00FA0C2B" w:rsidRPr="002B7B0F" w:rsidRDefault="003B4321" w:rsidP="00FC7768">
      <w:pPr>
        <w:pStyle w:val="Heading2"/>
        <w:numPr>
          <w:ilvl w:val="0"/>
          <w:numId w:val="0"/>
        </w:numPr>
        <w:spacing w:before="240" w:after="240"/>
        <w:rPr>
          <w:lang w:val="en-GB"/>
        </w:rPr>
      </w:pPr>
      <w:bookmarkStart w:id="25" w:name="_Toc491693175"/>
      <w:bookmarkStart w:id="26" w:name="_Toc491693495"/>
      <w:bookmarkStart w:id="27" w:name="_Toc491699382"/>
      <w:bookmarkStart w:id="28" w:name="_Toc491699840"/>
      <w:bookmarkStart w:id="29" w:name="_Toc491700354"/>
      <w:bookmarkStart w:id="30" w:name="_Toc491701488"/>
      <w:bookmarkStart w:id="31" w:name="_Toc491851532"/>
      <w:r w:rsidRPr="002B7B0F">
        <w:rPr>
          <w:lang w:val="en-GB"/>
        </w:rPr>
        <w:t>4.</w:t>
      </w:r>
      <w:r w:rsidR="00BC028C">
        <w:rPr>
          <w:lang w:val="en-GB"/>
        </w:rPr>
        <w:t xml:space="preserve"> </w:t>
      </w:r>
      <w:r w:rsidR="00FA0C2B" w:rsidRPr="002B7B0F">
        <w:rPr>
          <w:lang w:val="en-GB"/>
        </w:rPr>
        <w:t xml:space="preserve">Empirical </w:t>
      </w:r>
      <w:bookmarkEnd w:id="25"/>
      <w:bookmarkEnd w:id="26"/>
      <w:bookmarkEnd w:id="27"/>
      <w:bookmarkEnd w:id="28"/>
      <w:bookmarkEnd w:id="29"/>
      <w:bookmarkEnd w:id="30"/>
      <w:bookmarkEnd w:id="31"/>
      <w:r w:rsidR="00FC7768" w:rsidRPr="002B7B0F">
        <w:rPr>
          <w:lang w:val="en-GB"/>
        </w:rPr>
        <w:t>Analy</w:t>
      </w:r>
      <w:r w:rsidR="00BC028C">
        <w:rPr>
          <w:lang w:val="en-GB"/>
        </w:rPr>
        <w:t>sis</w:t>
      </w:r>
    </w:p>
    <w:p w14:paraId="27C07385" w14:textId="60DD4150" w:rsidR="008003E3" w:rsidRPr="002B7B0F" w:rsidRDefault="008003E3" w:rsidP="00AF45B6">
      <w:pPr>
        <w:ind w:firstLine="480"/>
        <w:rPr>
          <w:rFonts w:cs="Times New Roman"/>
          <w:szCs w:val="24"/>
          <w:lang w:val="en-GB"/>
        </w:rPr>
      </w:pPr>
      <w:r w:rsidRPr="002B7B0F">
        <w:rPr>
          <w:rFonts w:cs="Times New Roman"/>
          <w:color w:val="000000" w:themeColor="text1"/>
          <w:szCs w:val="24"/>
          <w:lang w:val="en-GB"/>
        </w:rPr>
        <w:t xml:space="preserve">Table </w:t>
      </w:r>
      <w:r w:rsidR="00151A9D" w:rsidRPr="002B7B0F">
        <w:rPr>
          <w:rFonts w:eastAsiaTheme="minorEastAsia" w:cs="Times New Roman"/>
          <w:color w:val="000000" w:themeColor="text1"/>
          <w:szCs w:val="24"/>
          <w:lang w:val="en-GB"/>
        </w:rPr>
        <w:t>4</w:t>
      </w:r>
      <w:r w:rsidRPr="002B7B0F">
        <w:rPr>
          <w:rFonts w:cs="Times New Roman"/>
          <w:szCs w:val="24"/>
          <w:lang w:val="en-GB"/>
        </w:rPr>
        <w:t xml:space="preserve"> below reports the cumulative average excess returns of acquiring firms around the announcement period. This study examines </w:t>
      </w:r>
      <w:r w:rsidR="00BD2F03">
        <w:rPr>
          <w:rFonts w:cs="Times New Roman"/>
          <w:szCs w:val="24"/>
          <w:lang w:val="en-GB"/>
        </w:rPr>
        <w:t>H</w:t>
      </w:r>
      <w:r w:rsidRPr="002B7B0F">
        <w:rPr>
          <w:rFonts w:cs="Times New Roman"/>
          <w:szCs w:val="24"/>
          <w:lang w:val="en-GB"/>
        </w:rPr>
        <w:t>ypothesis 1 by showing a compar</w:t>
      </w:r>
      <w:r w:rsidR="00782D90" w:rsidRPr="002B7B0F">
        <w:rPr>
          <w:rFonts w:cs="Times New Roman"/>
          <w:szCs w:val="24"/>
          <w:lang w:val="en-GB"/>
        </w:rPr>
        <w:t xml:space="preserve">ison between short-term post-acquisition </w:t>
      </w:r>
      <w:r w:rsidRPr="002B7B0F">
        <w:rPr>
          <w:rFonts w:cs="Times New Roman"/>
          <w:szCs w:val="24"/>
          <w:lang w:val="en-GB"/>
        </w:rPr>
        <w:t>bidders</w:t>
      </w:r>
      <w:r w:rsidR="00782D90" w:rsidRPr="002B7B0F">
        <w:rPr>
          <w:rFonts w:cs="Times New Roman"/>
          <w:szCs w:val="24"/>
          <w:lang w:val="en-GB"/>
        </w:rPr>
        <w:t>’ performances</w:t>
      </w:r>
      <w:r w:rsidRPr="002B7B0F">
        <w:rPr>
          <w:rFonts w:cs="Times New Roman"/>
          <w:szCs w:val="24"/>
          <w:lang w:val="en-GB"/>
        </w:rPr>
        <w:t xml:space="preserve"> </w:t>
      </w:r>
      <w:r w:rsidR="00CF72E9">
        <w:rPr>
          <w:rFonts w:cs="Times New Roman"/>
          <w:szCs w:val="24"/>
          <w:lang w:val="en-GB"/>
        </w:rPr>
        <w:t>for</w:t>
      </w:r>
      <w:r w:rsidR="00CF72E9" w:rsidRPr="002B7B0F">
        <w:rPr>
          <w:rFonts w:cs="Times New Roman"/>
          <w:szCs w:val="24"/>
          <w:lang w:val="en-GB"/>
        </w:rPr>
        <w:t xml:space="preserve"> </w:t>
      </w:r>
      <w:r w:rsidRPr="002B7B0F">
        <w:rPr>
          <w:rFonts w:cs="Times New Roman"/>
          <w:szCs w:val="24"/>
          <w:lang w:val="en-GB"/>
        </w:rPr>
        <w:t>target</w:t>
      </w:r>
      <w:r w:rsidR="00782D90" w:rsidRPr="002B7B0F">
        <w:rPr>
          <w:rFonts w:cs="Times New Roman"/>
          <w:szCs w:val="24"/>
          <w:lang w:val="en-GB"/>
        </w:rPr>
        <w:t>s from different</w:t>
      </w:r>
      <w:r w:rsidRPr="002B7B0F">
        <w:rPr>
          <w:rFonts w:cs="Times New Roman"/>
          <w:szCs w:val="24"/>
          <w:lang w:val="en-GB"/>
        </w:rPr>
        <w:t xml:space="preserve"> markets. As to Hong Kong target acqui</w:t>
      </w:r>
      <w:r w:rsidR="00B60241" w:rsidRPr="002B7B0F">
        <w:rPr>
          <w:rFonts w:cs="Times New Roman"/>
          <w:szCs w:val="24"/>
          <w:lang w:val="en-GB"/>
        </w:rPr>
        <w:t>rers</w:t>
      </w:r>
      <w:r w:rsidRPr="002B7B0F">
        <w:rPr>
          <w:rFonts w:cs="Times New Roman"/>
          <w:szCs w:val="24"/>
          <w:lang w:val="en-GB"/>
        </w:rPr>
        <w:t xml:space="preserve">, it is shown </w:t>
      </w:r>
      <w:r w:rsidR="00746483" w:rsidRPr="002B7B0F">
        <w:rPr>
          <w:rFonts w:cs="Times New Roman"/>
          <w:szCs w:val="24"/>
          <w:lang w:val="en-GB"/>
        </w:rPr>
        <w:t xml:space="preserve">that </w:t>
      </w:r>
      <w:r w:rsidRPr="002B7B0F">
        <w:rPr>
          <w:rFonts w:cs="Times New Roman"/>
          <w:szCs w:val="24"/>
          <w:lang w:val="en-GB"/>
        </w:rPr>
        <w:t xml:space="preserve">the abnormal return </w:t>
      </w:r>
      <w:r w:rsidR="00746483" w:rsidRPr="002B7B0F">
        <w:rPr>
          <w:rFonts w:cs="Times New Roman"/>
          <w:szCs w:val="24"/>
          <w:lang w:val="en-GB"/>
        </w:rPr>
        <w:t>is</w:t>
      </w:r>
      <w:r w:rsidRPr="002B7B0F">
        <w:rPr>
          <w:rFonts w:cs="Times New Roman"/>
          <w:szCs w:val="24"/>
          <w:lang w:val="en-GB"/>
        </w:rPr>
        <w:t xml:space="preserve"> </w:t>
      </w:r>
      <w:r w:rsidR="00CF72E9">
        <w:rPr>
          <w:rFonts w:cs="Times New Roman"/>
          <w:szCs w:val="24"/>
          <w:lang w:val="en-GB"/>
        </w:rPr>
        <w:t xml:space="preserve">not </w:t>
      </w:r>
      <w:r w:rsidRPr="002B7B0F">
        <w:rPr>
          <w:rFonts w:cs="Times New Roman"/>
          <w:szCs w:val="24"/>
          <w:lang w:val="en-GB"/>
        </w:rPr>
        <w:t xml:space="preserve">significant </w:t>
      </w:r>
      <w:r w:rsidR="00B60241" w:rsidRPr="002B7B0F">
        <w:rPr>
          <w:rFonts w:cs="Times New Roman"/>
          <w:szCs w:val="24"/>
          <w:lang w:val="en-GB"/>
        </w:rPr>
        <w:t>during</w:t>
      </w:r>
      <w:r w:rsidR="00746483" w:rsidRPr="002B7B0F">
        <w:rPr>
          <w:rFonts w:cs="Times New Roman"/>
          <w:szCs w:val="24"/>
          <w:lang w:val="en-GB"/>
        </w:rPr>
        <w:t xml:space="preserve"> the entire period</w:t>
      </w:r>
      <w:r w:rsidR="00CF72E9" w:rsidRPr="00CF72E9">
        <w:rPr>
          <w:rFonts w:cs="Times New Roman"/>
          <w:szCs w:val="24"/>
          <w:lang w:val="en-GB"/>
        </w:rPr>
        <w:t xml:space="preserve"> </w:t>
      </w:r>
      <w:r w:rsidR="00CF72E9">
        <w:rPr>
          <w:rFonts w:cs="Times New Roman"/>
          <w:szCs w:val="24"/>
          <w:lang w:val="en-GB"/>
        </w:rPr>
        <w:t xml:space="preserve">in </w:t>
      </w:r>
      <w:r w:rsidR="00CF72E9" w:rsidRPr="002B7B0F">
        <w:rPr>
          <w:rFonts w:cs="Times New Roman"/>
          <w:szCs w:val="24"/>
          <w:lang w:val="en-GB"/>
        </w:rPr>
        <w:t xml:space="preserve">either </w:t>
      </w:r>
      <w:r w:rsidR="00CF72E9">
        <w:rPr>
          <w:rFonts w:cs="Times New Roman"/>
          <w:szCs w:val="24"/>
          <w:lang w:val="en-GB"/>
        </w:rPr>
        <w:t xml:space="preserve">the </w:t>
      </w:r>
      <w:r w:rsidR="00CF72E9" w:rsidRPr="002B7B0F">
        <w:rPr>
          <w:rFonts w:cs="Times New Roman"/>
          <w:szCs w:val="24"/>
          <w:lang w:val="en-GB"/>
        </w:rPr>
        <w:t>market return</w:t>
      </w:r>
      <w:r w:rsidR="00CF72E9">
        <w:rPr>
          <w:rFonts w:cs="Times New Roman"/>
          <w:szCs w:val="24"/>
          <w:lang w:val="en-GB"/>
        </w:rPr>
        <w:t xml:space="preserve"> </w:t>
      </w:r>
      <w:r w:rsidR="00CF72E9" w:rsidRPr="002B7B0F">
        <w:rPr>
          <w:rFonts w:cs="Times New Roman"/>
          <w:szCs w:val="24"/>
          <w:lang w:val="en-GB"/>
        </w:rPr>
        <w:t>or single factor model</w:t>
      </w:r>
      <w:r w:rsidRPr="002B7B0F">
        <w:rPr>
          <w:rFonts w:cs="Times New Roman"/>
          <w:szCs w:val="24"/>
          <w:lang w:val="en-GB"/>
        </w:rPr>
        <w:t>. Pre-announcement cumulative average abnormal returns tend to be positive</w:t>
      </w:r>
      <w:r w:rsidR="00CF72E9">
        <w:rPr>
          <w:rFonts w:cs="Times New Roman"/>
          <w:szCs w:val="24"/>
          <w:lang w:val="en-GB"/>
        </w:rPr>
        <w:t>,</w:t>
      </w:r>
      <w:r w:rsidR="00746483" w:rsidRPr="002B7B0F">
        <w:rPr>
          <w:rFonts w:cs="Times New Roman"/>
          <w:szCs w:val="24"/>
          <w:lang w:val="en-GB"/>
        </w:rPr>
        <w:t xml:space="preserve"> and post-announcement average abnormal returns </w:t>
      </w:r>
      <w:r w:rsidR="00B60241" w:rsidRPr="002B7B0F">
        <w:rPr>
          <w:rFonts w:cs="Times New Roman"/>
          <w:szCs w:val="24"/>
          <w:lang w:val="en-GB"/>
        </w:rPr>
        <w:t>are</w:t>
      </w:r>
      <w:r w:rsidR="00746483" w:rsidRPr="002B7B0F">
        <w:rPr>
          <w:rFonts w:cs="Times New Roman"/>
          <w:szCs w:val="24"/>
          <w:lang w:val="en-GB"/>
        </w:rPr>
        <w:t xml:space="preserve"> non-positive</w:t>
      </w:r>
      <w:r w:rsidR="00CF72E9">
        <w:rPr>
          <w:rFonts w:cs="Times New Roman"/>
          <w:szCs w:val="24"/>
          <w:lang w:val="en-GB"/>
        </w:rPr>
        <w:t>;</w:t>
      </w:r>
      <w:r w:rsidR="00886FA9" w:rsidRPr="002B7B0F">
        <w:rPr>
          <w:rFonts w:cs="Times New Roman"/>
          <w:szCs w:val="24"/>
          <w:lang w:val="en-GB"/>
        </w:rPr>
        <w:t xml:space="preserve"> </w:t>
      </w:r>
      <w:r w:rsidR="006B43AF" w:rsidRPr="002B7B0F">
        <w:rPr>
          <w:rFonts w:cs="Times New Roman"/>
          <w:szCs w:val="24"/>
          <w:lang w:val="en-GB"/>
        </w:rPr>
        <w:t xml:space="preserve">these returns </w:t>
      </w:r>
      <w:r w:rsidR="00886FA9" w:rsidRPr="002B7B0F">
        <w:rPr>
          <w:rFonts w:cs="Times New Roman"/>
          <w:szCs w:val="24"/>
          <w:lang w:val="en-GB"/>
        </w:rPr>
        <w:t>are</w:t>
      </w:r>
      <w:r w:rsidR="00746483" w:rsidRPr="002B7B0F">
        <w:rPr>
          <w:rFonts w:cs="Times New Roman"/>
          <w:szCs w:val="24"/>
          <w:lang w:val="en-GB"/>
        </w:rPr>
        <w:t xml:space="preserve"> </w:t>
      </w:r>
      <w:r w:rsidR="006B43AF" w:rsidRPr="002B7B0F">
        <w:rPr>
          <w:rFonts w:cs="Times New Roman"/>
          <w:szCs w:val="24"/>
          <w:lang w:val="en-GB"/>
        </w:rPr>
        <w:t xml:space="preserve">only </w:t>
      </w:r>
      <w:r w:rsidR="00746483" w:rsidRPr="002B7B0F">
        <w:rPr>
          <w:rFonts w:cs="Times New Roman"/>
          <w:szCs w:val="24"/>
          <w:lang w:val="en-GB"/>
        </w:rPr>
        <w:t xml:space="preserve">significant in </w:t>
      </w:r>
      <w:r w:rsidR="00CF72E9">
        <w:rPr>
          <w:rFonts w:cs="Times New Roman"/>
          <w:szCs w:val="24"/>
          <w:lang w:val="en-GB"/>
        </w:rPr>
        <w:t xml:space="preserve">the </w:t>
      </w:r>
      <w:r w:rsidR="00746483" w:rsidRPr="002B7B0F">
        <w:rPr>
          <w:rFonts w:cs="Times New Roman"/>
          <w:szCs w:val="24"/>
          <w:lang w:val="en-GB"/>
        </w:rPr>
        <w:t xml:space="preserve">CAMP model at </w:t>
      </w:r>
      <w:r w:rsidR="00CF72E9">
        <w:rPr>
          <w:rFonts w:cs="Times New Roman"/>
          <w:szCs w:val="24"/>
          <w:lang w:val="en-GB"/>
        </w:rPr>
        <w:t xml:space="preserve">the </w:t>
      </w:r>
      <w:r w:rsidR="00746483" w:rsidRPr="002B7B0F">
        <w:rPr>
          <w:rFonts w:cs="Times New Roman"/>
          <w:szCs w:val="24"/>
          <w:lang w:val="en-GB"/>
        </w:rPr>
        <w:t>10% level</w:t>
      </w:r>
      <w:r w:rsidR="00C75FFB" w:rsidRPr="002B7B0F">
        <w:rPr>
          <w:rFonts w:cs="Times New Roman"/>
          <w:szCs w:val="24"/>
          <w:lang w:val="en-GB"/>
        </w:rPr>
        <w:t>. The results from</w:t>
      </w:r>
      <w:r w:rsidRPr="002B7B0F">
        <w:rPr>
          <w:rFonts w:cs="Times New Roman"/>
          <w:szCs w:val="24"/>
          <w:lang w:val="en-GB"/>
        </w:rPr>
        <w:t xml:space="preserve"> </w:t>
      </w:r>
      <w:r w:rsidR="00CF72E9">
        <w:rPr>
          <w:rFonts w:cs="Times New Roman"/>
          <w:szCs w:val="24"/>
          <w:lang w:val="en-GB"/>
        </w:rPr>
        <w:t xml:space="preserve">the </w:t>
      </w:r>
      <w:r w:rsidRPr="002B7B0F">
        <w:rPr>
          <w:rFonts w:cs="Times New Roman"/>
          <w:szCs w:val="24"/>
          <w:lang w:val="en-GB"/>
        </w:rPr>
        <w:t xml:space="preserve">three-factor model are </w:t>
      </w:r>
      <w:r w:rsidR="00EF14B0" w:rsidRPr="002B7B0F">
        <w:rPr>
          <w:rFonts w:cs="Times New Roman"/>
          <w:szCs w:val="24"/>
          <w:lang w:val="en-GB"/>
        </w:rPr>
        <w:t>more convincing</w:t>
      </w:r>
      <w:r w:rsidRPr="002B7B0F">
        <w:rPr>
          <w:rFonts w:cs="Times New Roman"/>
          <w:szCs w:val="24"/>
          <w:lang w:val="en-GB"/>
        </w:rPr>
        <w:t xml:space="preserve">. </w:t>
      </w:r>
      <w:r w:rsidR="006B43AF" w:rsidRPr="002B7B0F">
        <w:rPr>
          <w:rFonts w:cs="Times New Roman"/>
          <w:szCs w:val="24"/>
          <w:lang w:val="en-GB"/>
        </w:rPr>
        <w:t>The</w:t>
      </w:r>
      <w:r w:rsidRPr="002B7B0F">
        <w:rPr>
          <w:rFonts w:cs="Times New Roman"/>
          <w:szCs w:val="24"/>
          <w:lang w:val="en-GB"/>
        </w:rPr>
        <w:t xml:space="preserve"> cumulative average abnormal return</w:t>
      </w:r>
      <w:r w:rsidR="00C75FFB" w:rsidRPr="002B7B0F">
        <w:rPr>
          <w:rFonts w:cs="Times New Roman"/>
          <w:szCs w:val="24"/>
          <w:lang w:val="en-GB"/>
        </w:rPr>
        <w:t>s</w:t>
      </w:r>
      <w:r w:rsidRPr="002B7B0F">
        <w:rPr>
          <w:rFonts w:cs="Times New Roman"/>
          <w:szCs w:val="24"/>
          <w:lang w:val="en-GB"/>
        </w:rPr>
        <w:t xml:space="preserve"> </w:t>
      </w:r>
      <w:r w:rsidR="006B43AF" w:rsidRPr="002B7B0F">
        <w:rPr>
          <w:rFonts w:cs="Times New Roman"/>
          <w:szCs w:val="24"/>
          <w:lang w:val="en-GB"/>
        </w:rPr>
        <w:t xml:space="preserve">prior to the acquisition as well as </w:t>
      </w:r>
      <w:r w:rsidRPr="002B7B0F">
        <w:rPr>
          <w:rFonts w:cs="Times New Roman"/>
          <w:szCs w:val="24"/>
          <w:lang w:val="en-GB"/>
        </w:rPr>
        <w:t xml:space="preserve">on </w:t>
      </w:r>
      <w:r w:rsidR="00CF72E9">
        <w:rPr>
          <w:rFonts w:cs="Times New Roman"/>
          <w:szCs w:val="24"/>
          <w:lang w:val="en-GB"/>
        </w:rPr>
        <w:t xml:space="preserve">the </w:t>
      </w:r>
      <w:r w:rsidRPr="002B7B0F">
        <w:rPr>
          <w:rFonts w:cs="Times New Roman"/>
          <w:szCs w:val="24"/>
          <w:lang w:val="en-GB"/>
        </w:rPr>
        <w:t>announcement day</w:t>
      </w:r>
      <w:r w:rsidR="006B43AF" w:rsidRPr="002B7B0F">
        <w:rPr>
          <w:rFonts w:cs="Times New Roman"/>
          <w:szCs w:val="24"/>
          <w:lang w:val="en-GB"/>
        </w:rPr>
        <w:t xml:space="preserve"> are</w:t>
      </w:r>
      <w:r w:rsidRPr="002B7B0F">
        <w:rPr>
          <w:rFonts w:cs="Times New Roman"/>
          <w:szCs w:val="24"/>
          <w:lang w:val="en-GB"/>
        </w:rPr>
        <w:t xml:space="preserve"> significantly positive</w:t>
      </w:r>
      <w:r w:rsidR="00CF72E9">
        <w:rPr>
          <w:rFonts w:cs="Times New Roman"/>
          <w:szCs w:val="24"/>
          <w:lang w:val="en-GB"/>
        </w:rPr>
        <w:t>,</w:t>
      </w:r>
      <w:r w:rsidRPr="002B7B0F">
        <w:rPr>
          <w:rFonts w:cs="Times New Roman"/>
          <w:szCs w:val="24"/>
          <w:lang w:val="en-GB"/>
        </w:rPr>
        <w:t xml:space="preserve"> </w:t>
      </w:r>
      <w:r w:rsidR="006B43AF" w:rsidRPr="002B7B0F">
        <w:rPr>
          <w:rFonts w:cs="Times New Roman"/>
          <w:szCs w:val="24"/>
          <w:lang w:val="en-GB"/>
        </w:rPr>
        <w:t>while</w:t>
      </w:r>
      <w:r w:rsidRPr="002B7B0F">
        <w:rPr>
          <w:rFonts w:cs="Times New Roman"/>
          <w:szCs w:val="24"/>
          <w:lang w:val="en-GB"/>
        </w:rPr>
        <w:t xml:space="preserve"> the results for windows </w:t>
      </w:r>
      <w:r w:rsidR="006B43AF" w:rsidRPr="002B7B0F">
        <w:rPr>
          <w:rFonts w:cs="Times New Roman"/>
          <w:szCs w:val="24"/>
          <w:lang w:val="en-GB"/>
        </w:rPr>
        <w:t xml:space="preserve">after the event </w:t>
      </w:r>
      <w:r w:rsidRPr="002B7B0F">
        <w:rPr>
          <w:rFonts w:cs="Times New Roman"/>
          <w:szCs w:val="24"/>
          <w:lang w:val="en-GB"/>
        </w:rPr>
        <w:t xml:space="preserve">are </w:t>
      </w:r>
      <w:r w:rsidR="006B43AF" w:rsidRPr="002B7B0F">
        <w:rPr>
          <w:rFonts w:cs="Times New Roman"/>
          <w:szCs w:val="24"/>
          <w:lang w:val="en-GB"/>
        </w:rPr>
        <w:t xml:space="preserve">insignificant and </w:t>
      </w:r>
      <w:r w:rsidRPr="002B7B0F">
        <w:rPr>
          <w:rFonts w:cs="Times New Roman"/>
          <w:szCs w:val="24"/>
          <w:lang w:val="en-GB"/>
        </w:rPr>
        <w:t>negative. Moreover, the cum</w:t>
      </w:r>
      <w:r w:rsidR="00C75FFB" w:rsidRPr="002B7B0F">
        <w:rPr>
          <w:rFonts w:cs="Times New Roman"/>
          <w:szCs w:val="24"/>
          <w:lang w:val="en-GB"/>
        </w:rPr>
        <w:t>ulative average abnormal return</w:t>
      </w:r>
      <w:r w:rsidRPr="002B7B0F">
        <w:rPr>
          <w:rFonts w:cs="Times New Roman"/>
          <w:szCs w:val="24"/>
          <w:lang w:val="en-GB"/>
        </w:rPr>
        <w:t xml:space="preserve"> for the whole period is significantly </w:t>
      </w:r>
      <w:r w:rsidR="006B43AF" w:rsidRPr="002B7B0F">
        <w:rPr>
          <w:rFonts w:cs="Times New Roman"/>
          <w:szCs w:val="24"/>
          <w:lang w:val="en-GB"/>
        </w:rPr>
        <w:t>positive</w:t>
      </w:r>
      <w:r w:rsidRPr="002B7B0F">
        <w:rPr>
          <w:rFonts w:cs="Times New Roman"/>
          <w:szCs w:val="24"/>
          <w:lang w:val="en-GB"/>
        </w:rPr>
        <w:t xml:space="preserve"> at</w:t>
      </w:r>
      <w:r w:rsidR="006B43AF" w:rsidRPr="002B7B0F">
        <w:rPr>
          <w:rFonts w:cs="Times New Roman"/>
          <w:szCs w:val="24"/>
          <w:lang w:val="en-GB"/>
        </w:rPr>
        <w:t xml:space="preserve"> </w:t>
      </w:r>
      <w:r w:rsidR="00CF72E9">
        <w:rPr>
          <w:rFonts w:cs="Times New Roman"/>
          <w:szCs w:val="24"/>
          <w:lang w:val="en-GB"/>
        </w:rPr>
        <w:t xml:space="preserve">the </w:t>
      </w:r>
      <w:r w:rsidR="006B43AF" w:rsidRPr="002B7B0F">
        <w:rPr>
          <w:rFonts w:cs="Times New Roman"/>
          <w:szCs w:val="24"/>
          <w:lang w:val="en-GB"/>
        </w:rPr>
        <w:t>1</w:t>
      </w:r>
      <w:r w:rsidRPr="002B7B0F">
        <w:rPr>
          <w:rFonts w:cs="Times New Roman"/>
          <w:szCs w:val="24"/>
          <w:lang w:val="en-GB"/>
        </w:rPr>
        <w:t xml:space="preserve">% level. </w:t>
      </w:r>
      <w:r w:rsidR="006B43AF" w:rsidRPr="002B7B0F">
        <w:rPr>
          <w:rFonts w:cs="Times New Roman"/>
          <w:szCs w:val="24"/>
          <w:lang w:val="en-GB"/>
        </w:rPr>
        <w:t>F</w:t>
      </w:r>
      <w:r w:rsidRPr="002B7B0F">
        <w:rPr>
          <w:rFonts w:cs="Times New Roman"/>
          <w:szCs w:val="24"/>
          <w:lang w:val="en-GB"/>
        </w:rPr>
        <w:t xml:space="preserve">or Mainland </w:t>
      </w:r>
      <w:r w:rsidR="00392FA6">
        <w:rPr>
          <w:rFonts w:cs="Times New Roman"/>
          <w:szCs w:val="24"/>
          <w:lang w:val="en-GB"/>
        </w:rPr>
        <w:t xml:space="preserve">China </w:t>
      </w:r>
      <w:r w:rsidRPr="002B7B0F">
        <w:rPr>
          <w:rFonts w:cs="Times New Roman"/>
          <w:szCs w:val="24"/>
          <w:lang w:val="en-GB"/>
        </w:rPr>
        <w:t>target bidders</w:t>
      </w:r>
      <w:r w:rsidR="006B43AF" w:rsidRPr="002B7B0F">
        <w:rPr>
          <w:rFonts w:cs="Times New Roman"/>
          <w:szCs w:val="24"/>
          <w:lang w:val="en-GB"/>
        </w:rPr>
        <w:t xml:space="preserve">, </w:t>
      </w:r>
      <w:r w:rsidR="00CF72E9">
        <w:rPr>
          <w:rFonts w:cs="Times New Roman"/>
          <w:szCs w:val="24"/>
          <w:lang w:val="en-GB"/>
        </w:rPr>
        <w:t xml:space="preserve">the </w:t>
      </w:r>
      <w:r w:rsidR="006B43AF" w:rsidRPr="002B7B0F">
        <w:rPr>
          <w:rFonts w:cs="Times New Roman"/>
          <w:szCs w:val="24"/>
          <w:lang w:val="en-GB"/>
        </w:rPr>
        <w:t xml:space="preserve">results </w:t>
      </w:r>
      <w:r w:rsidRPr="002B7B0F">
        <w:rPr>
          <w:rFonts w:cs="Times New Roman"/>
          <w:szCs w:val="24"/>
          <w:lang w:val="en-GB"/>
        </w:rPr>
        <w:t>are very similar</w:t>
      </w:r>
      <w:r w:rsidR="006B43AF" w:rsidRPr="002B7B0F">
        <w:rPr>
          <w:rFonts w:cs="Times New Roman"/>
          <w:szCs w:val="24"/>
          <w:lang w:val="en-GB"/>
        </w:rPr>
        <w:t xml:space="preserve"> </w:t>
      </w:r>
      <w:r w:rsidR="00CF72E9">
        <w:rPr>
          <w:rFonts w:cs="Times New Roman"/>
          <w:szCs w:val="24"/>
          <w:lang w:val="en-GB"/>
        </w:rPr>
        <w:t>to the</w:t>
      </w:r>
      <w:r w:rsidR="00CF72E9" w:rsidRPr="002B7B0F">
        <w:rPr>
          <w:rFonts w:cs="Times New Roman"/>
          <w:szCs w:val="24"/>
          <w:lang w:val="en-GB"/>
        </w:rPr>
        <w:t xml:space="preserve"> </w:t>
      </w:r>
      <w:r w:rsidR="00EF14B0" w:rsidRPr="002B7B0F">
        <w:rPr>
          <w:rFonts w:cs="Times New Roman"/>
          <w:szCs w:val="24"/>
          <w:lang w:val="en-GB"/>
        </w:rPr>
        <w:t xml:space="preserve">above </w:t>
      </w:r>
      <w:r w:rsidR="006B43AF" w:rsidRPr="002B7B0F">
        <w:rPr>
          <w:rFonts w:cs="Times New Roman"/>
          <w:szCs w:val="24"/>
          <w:lang w:val="en-GB"/>
        </w:rPr>
        <w:t xml:space="preserve">but </w:t>
      </w:r>
      <w:r w:rsidR="00C75FFB" w:rsidRPr="002B7B0F">
        <w:rPr>
          <w:rFonts w:cs="Times New Roman"/>
          <w:szCs w:val="24"/>
          <w:lang w:val="en-GB"/>
        </w:rPr>
        <w:t>m</w:t>
      </w:r>
      <w:r w:rsidR="00C11D61" w:rsidRPr="002B7B0F">
        <w:rPr>
          <w:rFonts w:cs="Times New Roman"/>
          <w:szCs w:val="24"/>
          <w:lang w:val="en-GB"/>
        </w:rPr>
        <w:t>ore</w:t>
      </w:r>
      <w:r w:rsidR="00C75FFB" w:rsidRPr="002B7B0F">
        <w:rPr>
          <w:rFonts w:cs="Times New Roman"/>
          <w:szCs w:val="24"/>
          <w:lang w:val="en-GB"/>
        </w:rPr>
        <w:t xml:space="preserve"> </w:t>
      </w:r>
      <w:r w:rsidR="00C11D61" w:rsidRPr="002B7B0F">
        <w:rPr>
          <w:rFonts w:cs="Times New Roman"/>
          <w:szCs w:val="24"/>
          <w:lang w:val="en-GB"/>
        </w:rPr>
        <w:t>robust</w:t>
      </w:r>
      <w:r w:rsidRPr="002B7B0F">
        <w:rPr>
          <w:rFonts w:cs="Times New Roman"/>
          <w:szCs w:val="24"/>
          <w:lang w:val="en-GB"/>
        </w:rPr>
        <w:t>. The cumul</w:t>
      </w:r>
      <w:r w:rsidR="00EF14B0" w:rsidRPr="002B7B0F">
        <w:rPr>
          <w:rFonts w:cs="Times New Roman"/>
          <w:szCs w:val="24"/>
          <w:lang w:val="en-GB"/>
        </w:rPr>
        <w:t>ative average abnormal return</w:t>
      </w:r>
      <w:r w:rsidR="00C75FFB" w:rsidRPr="002B7B0F">
        <w:rPr>
          <w:rFonts w:cs="Times New Roman"/>
          <w:szCs w:val="24"/>
          <w:lang w:val="en-GB"/>
        </w:rPr>
        <w:t>s</w:t>
      </w:r>
      <w:r w:rsidR="00EF14B0" w:rsidRPr="002B7B0F">
        <w:rPr>
          <w:rFonts w:cs="Times New Roman"/>
          <w:szCs w:val="24"/>
          <w:lang w:val="en-GB"/>
        </w:rPr>
        <w:t xml:space="preserve"> of</w:t>
      </w:r>
      <w:r w:rsidRPr="002B7B0F">
        <w:rPr>
          <w:rFonts w:cs="Times New Roman"/>
          <w:szCs w:val="24"/>
          <w:lang w:val="en-GB"/>
        </w:rPr>
        <w:t xml:space="preserve"> </w:t>
      </w:r>
      <w:r w:rsidR="00C75FFB" w:rsidRPr="002B7B0F">
        <w:rPr>
          <w:rFonts w:cs="Times New Roman"/>
          <w:szCs w:val="24"/>
          <w:lang w:val="en-GB"/>
        </w:rPr>
        <w:t xml:space="preserve">the </w:t>
      </w:r>
      <w:r w:rsidR="006B43AF" w:rsidRPr="002B7B0F">
        <w:rPr>
          <w:rFonts w:cs="Times New Roman"/>
          <w:szCs w:val="24"/>
          <w:lang w:val="en-GB"/>
        </w:rPr>
        <w:t>entire</w:t>
      </w:r>
      <w:r w:rsidRPr="002B7B0F">
        <w:rPr>
          <w:rFonts w:cs="Times New Roman"/>
          <w:szCs w:val="24"/>
          <w:lang w:val="en-GB"/>
        </w:rPr>
        <w:t xml:space="preserve"> period </w:t>
      </w:r>
      <w:r w:rsidR="006B43AF" w:rsidRPr="002B7B0F">
        <w:rPr>
          <w:rFonts w:cs="Times New Roman"/>
          <w:szCs w:val="24"/>
          <w:lang w:val="en-GB"/>
        </w:rPr>
        <w:t>generated from all three models are significant</w:t>
      </w:r>
      <w:r w:rsidR="00EF14B0" w:rsidRPr="002B7B0F">
        <w:rPr>
          <w:rFonts w:cs="Times New Roman"/>
          <w:szCs w:val="24"/>
          <w:lang w:val="en-GB"/>
        </w:rPr>
        <w:t>ly</w:t>
      </w:r>
      <w:r w:rsidR="006B43AF" w:rsidRPr="002B7B0F">
        <w:rPr>
          <w:rFonts w:cs="Times New Roman"/>
          <w:szCs w:val="24"/>
          <w:lang w:val="en-GB"/>
        </w:rPr>
        <w:t xml:space="preserve"> positive. Abnormal returns before </w:t>
      </w:r>
      <w:r w:rsidR="00EF14B0" w:rsidRPr="002B7B0F">
        <w:rPr>
          <w:rFonts w:cs="Times New Roman"/>
          <w:szCs w:val="24"/>
          <w:lang w:val="en-GB"/>
        </w:rPr>
        <w:t>acquisitions as well as on</w:t>
      </w:r>
      <w:r w:rsidR="006B43AF" w:rsidRPr="002B7B0F">
        <w:rPr>
          <w:rFonts w:cs="Times New Roman"/>
          <w:szCs w:val="24"/>
          <w:lang w:val="en-GB"/>
        </w:rPr>
        <w:t xml:space="preserve"> event day</w:t>
      </w:r>
      <w:r w:rsidR="00EF14B0" w:rsidRPr="002B7B0F">
        <w:rPr>
          <w:rFonts w:cs="Times New Roman"/>
          <w:szCs w:val="24"/>
          <w:lang w:val="en-GB"/>
        </w:rPr>
        <w:t>s</w:t>
      </w:r>
      <w:r w:rsidR="006B43AF" w:rsidRPr="002B7B0F">
        <w:rPr>
          <w:rFonts w:cs="Times New Roman"/>
          <w:szCs w:val="24"/>
          <w:lang w:val="en-GB"/>
        </w:rPr>
        <w:t xml:space="preserve"> are significant</w:t>
      </w:r>
      <w:r w:rsidR="00EF14B0" w:rsidRPr="002B7B0F">
        <w:rPr>
          <w:rFonts w:cs="Times New Roman"/>
          <w:szCs w:val="24"/>
          <w:lang w:val="en-GB"/>
        </w:rPr>
        <w:t>ly</w:t>
      </w:r>
      <w:r w:rsidR="006B43AF" w:rsidRPr="002B7B0F">
        <w:rPr>
          <w:rFonts w:cs="Times New Roman"/>
          <w:szCs w:val="24"/>
          <w:lang w:val="en-GB"/>
        </w:rPr>
        <w:t xml:space="preserve"> positive while post-acquisition outcomes</w:t>
      </w:r>
      <w:r w:rsidRPr="002B7B0F">
        <w:rPr>
          <w:rFonts w:cs="Times New Roman"/>
          <w:szCs w:val="24"/>
          <w:lang w:val="en-GB"/>
        </w:rPr>
        <w:t xml:space="preserve"> are not very </w:t>
      </w:r>
      <w:r w:rsidR="00C75FFB" w:rsidRPr="002B7B0F">
        <w:rPr>
          <w:rFonts w:cs="Times New Roman"/>
          <w:szCs w:val="24"/>
          <w:lang w:val="en-GB"/>
        </w:rPr>
        <w:t>far</w:t>
      </w:r>
      <w:r w:rsidRPr="002B7B0F">
        <w:rPr>
          <w:rFonts w:cs="Times New Roman"/>
          <w:szCs w:val="24"/>
          <w:lang w:val="en-GB"/>
        </w:rPr>
        <w:t xml:space="preserve"> from zero. </w:t>
      </w:r>
      <w:r w:rsidR="00C75FFB" w:rsidRPr="002B7B0F">
        <w:rPr>
          <w:rFonts w:cs="Times New Roman"/>
          <w:szCs w:val="24"/>
          <w:lang w:val="en-GB"/>
        </w:rPr>
        <w:t>Overall,</w:t>
      </w:r>
      <w:r w:rsidRPr="002B7B0F">
        <w:rPr>
          <w:rFonts w:cs="Times New Roman"/>
          <w:szCs w:val="24"/>
          <w:lang w:val="en-GB"/>
        </w:rPr>
        <w:t xml:space="preserve"> </w:t>
      </w:r>
      <w:r w:rsidR="00C75FFB" w:rsidRPr="002B7B0F">
        <w:rPr>
          <w:rFonts w:cs="Times New Roman"/>
          <w:szCs w:val="24"/>
          <w:lang w:val="en-GB"/>
        </w:rPr>
        <w:t xml:space="preserve">for companies acquiring targets from both markets, </w:t>
      </w:r>
      <w:r w:rsidRPr="002B7B0F">
        <w:rPr>
          <w:rFonts w:cs="Times New Roman"/>
          <w:szCs w:val="24"/>
          <w:lang w:val="en-GB"/>
        </w:rPr>
        <w:t xml:space="preserve">results </w:t>
      </w:r>
      <w:r w:rsidR="00C75FFB" w:rsidRPr="002B7B0F">
        <w:rPr>
          <w:rFonts w:cs="Times New Roman"/>
          <w:szCs w:val="24"/>
          <w:lang w:val="en-GB"/>
        </w:rPr>
        <w:t>exhibit</w:t>
      </w:r>
      <w:r w:rsidRPr="002B7B0F">
        <w:rPr>
          <w:rFonts w:cs="Times New Roman"/>
          <w:szCs w:val="24"/>
          <w:lang w:val="en-GB"/>
        </w:rPr>
        <w:t xml:space="preserve"> significant</w:t>
      </w:r>
      <w:r w:rsidR="00C75FFB" w:rsidRPr="002B7B0F">
        <w:rPr>
          <w:rFonts w:cs="Times New Roman"/>
          <w:szCs w:val="24"/>
          <w:lang w:val="en-GB"/>
        </w:rPr>
        <w:t>ly</w:t>
      </w:r>
      <w:r w:rsidRPr="002B7B0F">
        <w:rPr>
          <w:rFonts w:cs="Times New Roman"/>
          <w:szCs w:val="24"/>
          <w:lang w:val="en-GB"/>
        </w:rPr>
        <w:t xml:space="preserve"> positive market reaction</w:t>
      </w:r>
      <w:r w:rsidR="00C75FFB" w:rsidRPr="002B7B0F">
        <w:rPr>
          <w:rFonts w:cs="Times New Roman"/>
          <w:szCs w:val="24"/>
          <w:lang w:val="en-GB"/>
        </w:rPr>
        <w:t>s</w:t>
      </w:r>
      <w:r w:rsidRPr="002B7B0F">
        <w:rPr>
          <w:rFonts w:cs="Times New Roman"/>
          <w:szCs w:val="24"/>
          <w:lang w:val="en-GB"/>
        </w:rPr>
        <w:t xml:space="preserve"> </w:t>
      </w:r>
      <w:r w:rsidR="00EF14B0" w:rsidRPr="002B7B0F">
        <w:rPr>
          <w:rFonts w:cs="Times New Roman"/>
          <w:szCs w:val="24"/>
          <w:lang w:val="en-GB"/>
        </w:rPr>
        <w:t>during</w:t>
      </w:r>
      <w:r w:rsidRPr="002B7B0F">
        <w:rPr>
          <w:rFonts w:cs="Times New Roman"/>
          <w:szCs w:val="24"/>
          <w:lang w:val="en-GB"/>
        </w:rPr>
        <w:t xml:space="preserve"> the announcement </w:t>
      </w:r>
      <w:r w:rsidR="00EF14B0" w:rsidRPr="002B7B0F">
        <w:rPr>
          <w:rFonts w:cs="Times New Roman"/>
          <w:szCs w:val="24"/>
          <w:lang w:val="en-GB"/>
        </w:rPr>
        <w:t>period</w:t>
      </w:r>
      <w:r w:rsidRPr="002B7B0F">
        <w:rPr>
          <w:rFonts w:cs="Times New Roman"/>
          <w:szCs w:val="24"/>
          <w:lang w:val="en-GB"/>
        </w:rPr>
        <w:t xml:space="preserve">. Bidders </w:t>
      </w:r>
      <w:r w:rsidR="00EF14B0" w:rsidRPr="002B7B0F">
        <w:rPr>
          <w:rFonts w:cs="Times New Roman"/>
          <w:szCs w:val="24"/>
          <w:lang w:val="en-GB"/>
        </w:rPr>
        <w:t xml:space="preserve">tend to have significantly positive abnormal returns prior </w:t>
      </w:r>
      <w:r w:rsidR="00C75FFB" w:rsidRPr="002B7B0F">
        <w:rPr>
          <w:rFonts w:cs="Times New Roman"/>
          <w:szCs w:val="24"/>
          <w:lang w:val="en-GB"/>
        </w:rPr>
        <w:t xml:space="preserve">and upon </w:t>
      </w:r>
      <w:r w:rsidR="00EF14B0" w:rsidRPr="002B7B0F">
        <w:rPr>
          <w:rFonts w:cs="Times New Roman"/>
          <w:szCs w:val="24"/>
          <w:lang w:val="en-GB"/>
        </w:rPr>
        <w:t xml:space="preserve">the acquisition and close to zero post-takeover abnormal results. </w:t>
      </w:r>
      <w:r w:rsidR="00BA74BF" w:rsidRPr="002B7B0F">
        <w:rPr>
          <w:rFonts w:cs="Times New Roman"/>
          <w:szCs w:val="24"/>
          <w:lang w:val="en-GB"/>
        </w:rPr>
        <w:t>However, bidding</w:t>
      </w:r>
      <w:r w:rsidRPr="002B7B0F">
        <w:rPr>
          <w:rFonts w:cs="Times New Roman"/>
          <w:szCs w:val="24"/>
          <w:lang w:val="en-GB"/>
        </w:rPr>
        <w:t xml:space="preserve"> </w:t>
      </w:r>
      <w:r w:rsidR="00EF14B0" w:rsidRPr="002B7B0F">
        <w:rPr>
          <w:rFonts w:cs="Times New Roman"/>
          <w:szCs w:val="24"/>
          <w:lang w:val="en-GB"/>
        </w:rPr>
        <w:t>companies</w:t>
      </w:r>
      <w:r w:rsidRPr="002B7B0F">
        <w:rPr>
          <w:rFonts w:cs="Times New Roman"/>
          <w:szCs w:val="24"/>
          <w:lang w:val="en-GB"/>
        </w:rPr>
        <w:t xml:space="preserve"> </w:t>
      </w:r>
      <w:r w:rsidR="00EF14B0" w:rsidRPr="002B7B0F">
        <w:rPr>
          <w:rFonts w:cs="Times New Roman"/>
          <w:szCs w:val="24"/>
          <w:lang w:val="en-GB"/>
        </w:rPr>
        <w:t xml:space="preserve">earn higher and more significant </w:t>
      </w:r>
      <w:r w:rsidRPr="002B7B0F">
        <w:rPr>
          <w:rFonts w:cs="Times New Roman"/>
          <w:szCs w:val="24"/>
          <w:lang w:val="en-GB"/>
        </w:rPr>
        <w:t xml:space="preserve">excess returns </w:t>
      </w:r>
      <w:r w:rsidR="00EF14B0" w:rsidRPr="002B7B0F">
        <w:rPr>
          <w:rFonts w:cs="Times New Roman"/>
          <w:szCs w:val="24"/>
          <w:lang w:val="en-GB"/>
        </w:rPr>
        <w:t xml:space="preserve">during the entire announcement period </w:t>
      </w:r>
      <w:r w:rsidRPr="002B7B0F">
        <w:rPr>
          <w:rFonts w:cs="Times New Roman"/>
          <w:szCs w:val="24"/>
          <w:lang w:val="en-GB"/>
        </w:rPr>
        <w:t xml:space="preserve">in acquisitions of </w:t>
      </w:r>
      <w:r w:rsidR="00392FA6">
        <w:rPr>
          <w:rFonts w:cs="Times New Roman"/>
          <w:szCs w:val="24"/>
          <w:lang w:val="en-GB"/>
        </w:rPr>
        <w:t xml:space="preserve">Mainland </w:t>
      </w:r>
      <w:r w:rsidRPr="002B7B0F">
        <w:rPr>
          <w:rFonts w:cs="Times New Roman"/>
          <w:szCs w:val="24"/>
          <w:lang w:val="en-GB"/>
        </w:rPr>
        <w:t xml:space="preserve">China targets </w:t>
      </w:r>
      <w:r w:rsidR="00EF14B0" w:rsidRPr="002B7B0F">
        <w:rPr>
          <w:rFonts w:cs="Times New Roman"/>
          <w:szCs w:val="24"/>
          <w:lang w:val="en-GB"/>
        </w:rPr>
        <w:t>than their</w:t>
      </w:r>
      <w:r w:rsidRPr="002B7B0F">
        <w:rPr>
          <w:rFonts w:cs="Times New Roman"/>
          <w:szCs w:val="24"/>
          <w:lang w:val="en-GB"/>
        </w:rPr>
        <w:t xml:space="preserve"> Hong Kong target acquir</w:t>
      </w:r>
      <w:r w:rsidR="00EF14B0" w:rsidRPr="002B7B0F">
        <w:rPr>
          <w:rFonts w:cs="Times New Roman"/>
          <w:szCs w:val="24"/>
          <w:lang w:val="en-GB"/>
        </w:rPr>
        <w:t>ing counterparts.</w:t>
      </w:r>
      <w:r w:rsidRPr="002B7B0F">
        <w:rPr>
          <w:rFonts w:cs="Times New Roman"/>
          <w:szCs w:val="24"/>
          <w:lang w:val="en-GB"/>
        </w:rPr>
        <w:t xml:space="preserve"> This provides strong support for Hypothesis 1 and it cannot be rejected. Moreover, the abnormal returns of bidders acquiring from both </w:t>
      </w:r>
      <w:r w:rsidR="00AF45B6" w:rsidRPr="002B7B0F">
        <w:rPr>
          <w:rFonts w:cs="Times New Roman"/>
          <w:szCs w:val="24"/>
          <w:lang w:val="en-GB"/>
        </w:rPr>
        <w:t xml:space="preserve">target </w:t>
      </w:r>
      <w:r w:rsidRPr="002B7B0F">
        <w:rPr>
          <w:rFonts w:cs="Times New Roman"/>
          <w:szCs w:val="24"/>
          <w:lang w:val="en-GB"/>
        </w:rPr>
        <w:t xml:space="preserve">markets are significant </w:t>
      </w:r>
      <w:r w:rsidR="00AF45B6" w:rsidRPr="002B7B0F">
        <w:rPr>
          <w:rFonts w:cs="Times New Roman"/>
          <w:szCs w:val="24"/>
          <w:lang w:val="en-GB"/>
        </w:rPr>
        <w:t>in different time periods. On the whole, t</w:t>
      </w:r>
      <w:r w:rsidRPr="002B7B0F">
        <w:rPr>
          <w:rFonts w:cs="Times New Roman"/>
          <w:szCs w:val="24"/>
          <w:lang w:val="en-GB"/>
        </w:rPr>
        <w:t xml:space="preserve">he volatility period of Hong Kong target acquirers’ abnormal returns is </w:t>
      </w:r>
      <w:r w:rsidR="00AF45B6" w:rsidRPr="002B7B0F">
        <w:rPr>
          <w:rFonts w:cs="Times New Roman"/>
          <w:szCs w:val="24"/>
          <w:lang w:val="en-GB"/>
        </w:rPr>
        <w:t>shorter and less significant</w:t>
      </w:r>
      <w:r w:rsidRPr="002B7B0F">
        <w:rPr>
          <w:rFonts w:cs="Times New Roman"/>
          <w:szCs w:val="24"/>
          <w:lang w:val="en-GB"/>
        </w:rPr>
        <w:t xml:space="preserve"> than the fluctuation </w:t>
      </w:r>
      <w:r w:rsidR="002F1D33" w:rsidRPr="002B7B0F">
        <w:rPr>
          <w:rFonts w:cs="Times New Roman"/>
          <w:szCs w:val="24"/>
          <w:lang w:val="en-GB"/>
        </w:rPr>
        <w:t>time range</w:t>
      </w:r>
      <w:r w:rsidRPr="002B7B0F">
        <w:rPr>
          <w:rFonts w:cs="Times New Roman"/>
          <w:szCs w:val="24"/>
          <w:lang w:val="en-GB"/>
        </w:rPr>
        <w:t xml:space="preserve"> of Mainland</w:t>
      </w:r>
      <w:r w:rsidR="00392FA6">
        <w:rPr>
          <w:rFonts w:cs="Times New Roman"/>
          <w:szCs w:val="24"/>
          <w:lang w:val="en-GB"/>
        </w:rPr>
        <w:t xml:space="preserve"> China</w:t>
      </w:r>
      <w:r w:rsidRPr="002B7B0F">
        <w:rPr>
          <w:rFonts w:cs="Times New Roman"/>
          <w:szCs w:val="24"/>
          <w:lang w:val="en-GB"/>
        </w:rPr>
        <w:t xml:space="preserve"> target bidders. Thus, </w:t>
      </w:r>
      <w:r w:rsidR="00BD2F03">
        <w:rPr>
          <w:rFonts w:cs="Times New Roman"/>
          <w:szCs w:val="24"/>
          <w:lang w:val="en-GB"/>
        </w:rPr>
        <w:t>H</w:t>
      </w:r>
      <w:r w:rsidRPr="002B7B0F">
        <w:rPr>
          <w:rFonts w:cs="Times New Roman"/>
          <w:szCs w:val="24"/>
          <w:lang w:val="en-GB"/>
        </w:rPr>
        <w:t xml:space="preserve">ypothesis 2 should </w:t>
      </w:r>
      <w:r w:rsidR="00AF45B6" w:rsidRPr="002B7B0F">
        <w:rPr>
          <w:rFonts w:cs="Times New Roman"/>
          <w:szCs w:val="24"/>
          <w:lang w:val="en-GB"/>
        </w:rPr>
        <w:t xml:space="preserve">not </w:t>
      </w:r>
      <w:r w:rsidRPr="002B7B0F">
        <w:rPr>
          <w:rFonts w:cs="Times New Roman"/>
          <w:szCs w:val="24"/>
          <w:lang w:val="en-GB"/>
        </w:rPr>
        <w:t xml:space="preserve">be rejected. Furthermore, it is also evidenced that </w:t>
      </w:r>
      <w:r w:rsidR="00BD2F03">
        <w:rPr>
          <w:rFonts w:cs="Times New Roman"/>
          <w:szCs w:val="24"/>
          <w:lang w:val="en-GB"/>
        </w:rPr>
        <w:t xml:space="preserve">the </w:t>
      </w:r>
      <w:r w:rsidRPr="002B7B0F">
        <w:rPr>
          <w:rFonts w:cs="Times New Roman"/>
          <w:szCs w:val="24"/>
          <w:lang w:val="en-GB"/>
        </w:rPr>
        <w:t xml:space="preserve">three-factor model </w:t>
      </w:r>
      <w:r w:rsidR="00BD2F03">
        <w:rPr>
          <w:rFonts w:cs="Times New Roman"/>
          <w:szCs w:val="24"/>
          <w:lang w:val="en-GB"/>
        </w:rPr>
        <w:t>is</w:t>
      </w:r>
      <w:r w:rsidR="00BD2F03" w:rsidRPr="002B7B0F">
        <w:rPr>
          <w:rFonts w:cs="Times New Roman"/>
          <w:szCs w:val="24"/>
          <w:lang w:val="en-GB"/>
        </w:rPr>
        <w:t xml:space="preserve"> </w:t>
      </w:r>
      <w:r w:rsidRPr="002B7B0F">
        <w:rPr>
          <w:rFonts w:cs="Times New Roman"/>
          <w:szCs w:val="24"/>
          <w:lang w:val="en-GB"/>
        </w:rPr>
        <w:t xml:space="preserve">better at capturing abnormal returns on the announcement period compared to </w:t>
      </w:r>
      <w:r w:rsidR="00BD2F03">
        <w:rPr>
          <w:rFonts w:cs="Times New Roman"/>
          <w:szCs w:val="24"/>
          <w:lang w:val="en-GB"/>
        </w:rPr>
        <w:t xml:space="preserve">the </w:t>
      </w:r>
      <w:r w:rsidRPr="002B7B0F">
        <w:rPr>
          <w:rFonts w:cs="Times New Roman"/>
          <w:szCs w:val="24"/>
          <w:lang w:val="en-GB"/>
        </w:rPr>
        <w:t>market return</w:t>
      </w:r>
      <w:r w:rsidR="00BD2F03">
        <w:rPr>
          <w:rFonts w:cs="Times New Roman"/>
          <w:szCs w:val="24"/>
          <w:lang w:val="en-GB"/>
        </w:rPr>
        <w:t xml:space="preserve"> model</w:t>
      </w:r>
      <w:r w:rsidRPr="002B7B0F">
        <w:rPr>
          <w:rFonts w:cs="Times New Roman"/>
          <w:szCs w:val="24"/>
          <w:lang w:val="en-GB"/>
        </w:rPr>
        <w:t>, which supports the importance of incorporating market parameters in estimating average excess returns.</w:t>
      </w:r>
    </w:p>
    <w:p w14:paraId="11C2D8C9" w14:textId="0943F8C1" w:rsidR="006950BB" w:rsidRPr="00B8251D" w:rsidRDefault="00714E5C" w:rsidP="00714E5C">
      <w:pPr>
        <w:ind w:firstLine="480"/>
        <w:jc w:val="center"/>
        <w:rPr>
          <w:rFonts w:cs="Times New Roman"/>
          <w:b/>
          <w:szCs w:val="24"/>
          <w:lang w:val="en-GB"/>
        </w:rPr>
      </w:pPr>
      <w:r w:rsidRPr="00B8251D">
        <w:rPr>
          <w:rFonts w:cs="Times New Roman"/>
          <w:b/>
          <w:szCs w:val="24"/>
          <w:lang w:val="en-GB"/>
        </w:rPr>
        <w:t>[I</w:t>
      </w:r>
      <w:r w:rsidR="00B8251D" w:rsidRPr="00B8251D">
        <w:rPr>
          <w:rFonts w:cs="Times New Roman"/>
          <w:b/>
          <w:szCs w:val="24"/>
          <w:lang w:val="en-GB"/>
        </w:rPr>
        <w:t>NSERT TABLE 4 HERE</w:t>
      </w:r>
      <w:r w:rsidRPr="00B8251D">
        <w:rPr>
          <w:rFonts w:cs="Times New Roman"/>
          <w:b/>
          <w:szCs w:val="24"/>
          <w:lang w:val="en-GB"/>
        </w:rPr>
        <w:t>]</w:t>
      </w:r>
    </w:p>
    <w:p w14:paraId="1E9D0B19" w14:textId="77777777" w:rsidR="00A2593C" w:rsidRPr="002B7B0F" w:rsidRDefault="00A2593C" w:rsidP="00AF45B6">
      <w:pPr>
        <w:ind w:firstLine="480"/>
        <w:rPr>
          <w:rFonts w:cs="Times New Roman"/>
          <w:szCs w:val="24"/>
          <w:lang w:val="en-GB"/>
        </w:rPr>
      </w:pPr>
    </w:p>
    <w:p w14:paraId="46661146" w14:textId="020AB474" w:rsidR="006C7B4E" w:rsidRPr="002B7B0F" w:rsidRDefault="00423026" w:rsidP="006C7B4E">
      <w:pPr>
        <w:ind w:firstLine="480"/>
        <w:rPr>
          <w:rFonts w:cs="Times New Roman"/>
          <w:szCs w:val="24"/>
          <w:lang w:val="en-GB"/>
        </w:rPr>
      </w:pPr>
      <w:r w:rsidRPr="002B7B0F">
        <w:rPr>
          <w:rFonts w:cs="Times New Roman"/>
          <w:szCs w:val="24"/>
          <w:lang w:val="en-GB"/>
        </w:rPr>
        <w:t>Through analy</w:t>
      </w:r>
      <w:r w:rsidR="00BC028C">
        <w:rPr>
          <w:rFonts w:cs="Times New Roman"/>
          <w:szCs w:val="24"/>
          <w:lang w:val="en-GB"/>
        </w:rPr>
        <w:t>s</w:t>
      </w:r>
      <w:r w:rsidRPr="002B7B0F">
        <w:rPr>
          <w:rFonts w:cs="Times New Roman"/>
          <w:szCs w:val="24"/>
          <w:lang w:val="en-GB"/>
        </w:rPr>
        <w:t>ing the</w:t>
      </w:r>
      <w:r w:rsidR="00AF45B6" w:rsidRPr="002B7B0F">
        <w:rPr>
          <w:rFonts w:cs="Times New Roman"/>
          <w:szCs w:val="24"/>
          <w:lang w:val="en-GB"/>
        </w:rPr>
        <w:t xml:space="preserve"> data</w:t>
      </w:r>
      <w:r w:rsidRPr="002B7B0F">
        <w:rPr>
          <w:rFonts w:cs="Times New Roman"/>
          <w:szCs w:val="24"/>
          <w:lang w:val="en-GB"/>
        </w:rPr>
        <w:t xml:space="preserve"> above</w:t>
      </w:r>
      <w:r w:rsidR="00AF45B6" w:rsidRPr="002B7B0F">
        <w:rPr>
          <w:rFonts w:cs="Times New Roman"/>
          <w:szCs w:val="24"/>
          <w:lang w:val="en-GB"/>
        </w:rPr>
        <w:t xml:space="preserve">, we find that bidders of target firms from both markets record significant excess returns </w:t>
      </w:r>
      <w:r w:rsidR="00BD2F03">
        <w:rPr>
          <w:rFonts w:cs="Times New Roman"/>
          <w:szCs w:val="24"/>
          <w:lang w:val="en-GB"/>
        </w:rPr>
        <w:t xml:space="preserve">in periods </w:t>
      </w:r>
      <w:r w:rsidR="00AF45B6" w:rsidRPr="002B7B0F">
        <w:rPr>
          <w:rFonts w:cs="Times New Roman"/>
          <w:szCs w:val="24"/>
          <w:lang w:val="en-GB"/>
        </w:rPr>
        <w:t>b</w:t>
      </w:r>
      <w:r w:rsidRPr="002B7B0F">
        <w:rPr>
          <w:rFonts w:cs="Times New Roman"/>
          <w:szCs w:val="24"/>
          <w:lang w:val="en-GB"/>
        </w:rPr>
        <w:t>efore</w:t>
      </w:r>
      <w:r w:rsidR="00AF45B6" w:rsidRPr="002B7B0F">
        <w:rPr>
          <w:rFonts w:cs="Times New Roman"/>
          <w:szCs w:val="24"/>
          <w:lang w:val="en-GB"/>
        </w:rPr>
        <w:t xml:space="preserve"> </w:t>
      </w:r>
      <w:r w:rsidR="00BD2F03">
        <w:rPr>
          <w:rFonts w:cs="Times New Roman"/>
          <w:szCs w:val="24"/>
          <w:lang w:val="en-GB"/>
        </w:rPr>
        <w:t xml:space="preserve">the </w:t>
      </w:r>
      <w:r w:rsidR="00AF45B6" w:rsidRPr="002B7B0F">
        <w:rPr>
          <w:rFonts w:cs="Times New Roman"/>
          <w:szCs w:val="24"/>
          <w:lang w:val="en-GB"/>
        </w:rPr>
        <w:t>announcement, which indicates inf</w:t>
      </w:r>
      <w:r w:rsidRPr="002B7B0F">
        <w:rPr>
          <w:rFonts w:cs="Times New Roman"/>
          <w:szCs w:val="24"/>
          <w:lang w:val="en-GB"/>
        </w:rPr>
        <w:t>ormation disclosure prior to</w:t>
      </w:r>
      <w:r w:rsidR="00AF45B6" w:rsidRPr="002B7B0F">
        <w:rPr>
          <w:rFonts w:cs="Times New Roman"/>
          <w:szCs w:val="24"/>
          <w:lang w:val="en-GB"/>
        </w:rPr>
        <w:t xml:space="preserve"> announcement</w:t>
      </w:r>
      <w:r w:rsidRPr="002B7B0F">
        <w:rPr>
          <w:rFonts w:cs="Times New Roman"/>
          <w:szCs w:val="24"/>
          <w:lang w:val="en-GB"/>
        </w:rPr>
        <w:t>s</w:t>
      </w:r>
      <w:r w:rsidR="00AF45B6" w:rsidRPr="002B7B0F">
        <w:rPr>
          <w:rFonts w:cs="Times New Roman"/>
          <w:szCs w:val="24"/>
          <w:lang w:val="en-GB"/>
        </w:rPr>
        <w:t xml:space="preserve">. Also, the insignificant post-takeover abnormal returns </w:t>
      </w:r>
      <w:r w:rsidR="00E016D0" w:rsidRPr="002B7B0F">
        <w:rPr>
          <w:rFonts w:cs="Times New Roman"/>
          <w:szCs w:val="24"/>
          <w:lang w:val="en-GB"/>
        </w:rPr>
        <w:t xml:space="preserve">of these acquirers </w:t>
      </w:r>
      <w:r w:rsidR="00BD2F03">
        <w:rPr>
          <w:rFonts w:cs="Times New Roman"/>
          <w:szCs w:val="24"/>
          <w:lang w:val="en-GB"/>
        </w:rPr>
        <w:t>show</w:t>
      </w:r>
      <w:r w:rsidR="00BD2F03" w:rsidRPr="002B7B0F">
        <w:rPr>
          <w:rFonts w:cs="Times New Roman"/>
          <w:szCs w:val="24"/>
          <w:lang w:val="en-GB"/>
        </w:rPr>
        <w:t xml:space="preserve"> </w:t>
      </w:r>
      <w:r w:rsidR="00AF45B6" w:rsidRPr="002B7B0F">
        <w:rPr>
          <w:rFonts w:cs="Times New Roman"/>
          <w:szCs w:val="24"/>
          <w:lang w:val="en-GB"/>
        </w:rPr>
        <w:t xml:space="preserve">no </w:t>
      </w:r>
      <w:r w:rsidR="00E016D0" w:rsidRPr="002B7B0F">
        <w:rPr>
          <w:rFonts w:cs="Times New Roman"/>
          <w:szCs w:val="24"/>
          <w:lang w:val="en-GB"/>
        </w:rPr>
        <w:t>delayed reaction</w:t>
      </w:r>
      <w:r w:rsidR="00AF45B6" w:rsidRPr="002B7B0F">
        <w:rPr>
          <w:rFonts w:cs="Times New Roman"/>
          <w:szCs w:val="24"/>
          <w:lang w:val="en-GB"/>
        </w:rPr>
        <w:t xml:space="preserve"> to acquisition announcements. Additionally, bidders of Mainland </w:t>
      </w:r>
      <w:r w:rsidR="00392FA6">
        <w:rPr>
          <w:rFonts w:cs="Times New Roman"/>
          <w:szCs w:val="24"/>
          <w:lang w:val="en-GB"/>
        </w:rPr>
        <w:t xml:space="preserve">China </w:t>
      </w:r>
      <w:r w:rsidR="00AF45B6" w:rsidRPr="002B7B0F">
        <w:rPr>
          <w:rFonts w:cs="Times New Roman"/>
          <w:szCs w:val="24"/>
          <w:lang w:val="en-GB"/>
        </w:rPr>
        <w:t xml:space="preserve">target companies </w:t>
      </w:r>
      <w:r w:rsidR="00E016D0" w:rsidRPr="002B7B0F">
        <w:rPr>
          <w:rFonts w:cs="Times New Roman"/>
          <w:szCs w:val="24"/>
          <w:lang w:val="en-GB"/>
        </w:rPr>
        <w:t>realize</w:t>
      </w:r>
      <w:r w:rsidR="00A50A46" w:rsidRPr="002B7B0F">
        <w:rPr>
          <w:rFonts w:cs="Times New Roman"/>
          <w:szCs w:val="24"/>
          <w:lang w:val="en-GB"/>
        </w:rPr>
        <w:t xml:space="preserve"> higher abnormal returns than </w:t>
      </w:r>
      <w:r w:rsidR="00E016D0" w:rsidRPr="002B7B0F">
        <w:rPr>
          <w:rFonts w:cs="Times New Roman"/>
          <w:szCs w:val="24"/>
          <w:lang w:val="en-GB"/>
        </w:rPr>
        <w:t>acquirers of</w:t>
      </w:r>
      <w:r w:rsidR="00A50A46" w:rsidRPr="002B7B0F">
        <w:rPr>
          <w:rFonts w:cs="Times New Roman"/>
          <w:szCs w:val="24"/>
          <w:lang w:val="en-GB"/>
        </w:rPr>
        <w:t xml:space="preserve"> Hong Kong targets. </w:t>
      </w:r>
      <w:r w:rsidR="00E016D0" w:rsidRPr="002B7B0F">
        <w:rPr>
          <w:rFonts w:cs="Times New Roman"/>
          <w:szCs w:val="24"/>
          <w:lang w:val="en-GB"/>
        </w:rPr>
        <w:t>This</w:t>
      </w:r>
      <w:r w:rsidR="00AF45B6" w:rsidRPr="002B7B0F">
        <w:rPr>
          <w:rFonts w:cs="Times New Roman"/>
          <w:szCs w:val="24"/>
          <w:lang w:val="en-GB"/>
        </w:rPr>
        <w:t xml:space="preserve"> suggests that investors believe managers of these bidding companies create </w:t>
      </w:r>
      <w:r w:rsidR="00A50A46" w:rsidRPr="002B7B0F">
        <w:rPr>
          <w:rFonts w:cs="Times New Roman"/>
          <w:szCs w:val="24"/>
          <w:lang w:val="en-GB"/>
        </w:rPr>
        <w:t xml:space="preserve">more </w:t>
      </w:r>
      <w:r w:rsidR="00AF45B6" w:rsidRPr="002B7B0F">
        <w:rPr>
          <w:rFonts w:cs="Times New Roman"/>
          <w:szCs w:val="24"/>
          <w:lang w:val="en-GB"/>
        </w:rPr>
        <w:t xml:space="preserve">value when </w:t>
      </w:r>
      <w:r w:rsidR="00E016D0" w:rsidRPr="002B7B0F">
        <w:rPr>
          <w:rFonts w:cs="Times New Roman"/>
          <w:szCs w:val="24"/>
          <w:lang w:val="en-GB"/>
        </w:rPr>
        <w:t>purchasing</w:t>
      </w:r>
      <w:r w:rsidR="00AF45B6" w:rsidRPr="002B7B0F">
        <w:rPr>
          <w:rFonts w:cs="Times New Roman"/>
          <w:szCs w:val="24"/>
          <w:lang w:val="en-GB"/>
        </w:rPr>
        <w:t xml:space="preserve"> Mainland</w:t>
      </w:r>
      <w:r w:rsidR="00392FA6">
        <w:rPr>
          <w:rFonts w:cs="Times New Roman"/>
          <w:szCs w:val="24"/>
          <w:lang w:val="en-GB"/>
        </w:rPr>
        <w:t xml:space="preserve"> China</w:t>
      </w:r>
      <w:r w:rsidR="00AF45B6" w:rsidRPr="002B7B0F">
        <w:rPr>
          <w:rFonts w:cs="Times New Roman"/>
          <w:szCs w:val="24"/>
          <w:lang w:val="en-GB"/>
        </w:rPr>
        <w:t xml:space="preserve"> targets rather than Hong Kong targets.</w:t>
      </w:r>
      <w:r w:rsidR="00A50A46" w:rsidRPr="002B7B0F">
        <w:rPr>
          <w:rFonts w:cs="Times New Roman"/>
          <w:szCs w:val="24"/>
          <w:lang w:val="en-GB"/>
        </w:rPr>
        <w:t xml:space="preserve"> </w:t>
      </w:r>
      <w:r w:rsidR="00E016D0" w:rsidRPr="002B7B0F">
        <w:rPr>
          <w:rFonts w:cs="Times New Roman"/>
          <w:szCs w:val="24"/>
          <w:lang w:val="en-GB"/>
        </w:rPr>
        <w:t>It is clearly shown in</w:t>
      </w:r>
      <w:r w:rsidR="00A50A46" w:rsidRPr="002B7B0F">
        <w:rPr>
          <w:rFonts w:cs="Times New Roman"/>
          <w:szCs w:val="24"/>
          <w:lang w:val="en-GB"/>
        </w:rPr>
        <w:t xml:space="preserve"> </w:t>
      </w:r>
      <w:r w:rsidR="00A50A46" w:rsidRPr="002B7B0F">
        <w:rPr>
          <w:rFonts w:cs="Times New Roman"/>
          <w:color w:val="000000" w:themeColor="text1"/>
          <w:szCs w:val="24"/>
          <w:lang w:val="en-GB"/>
        </w:rPr>
        <w:t xml:space="preserve">Figure 1, which </w:t>
      </w:r>
      <w:r w:rsidR="00BD2F03">
        <w:rPr>
          <w:rFonts w:cs="Times New Roman"/>
          <w:szCs w:val="24"/>
          <w:lang w:val="en-GB"/>
        </w:rPr>
        <w:t>shows the</w:t>
      </w:r>
      <w:r w:rsidR="00BD2F03" w:rsidRPr="002B7B0F">
        <w:rPr>
          <w:rFonts w:cs="Times New Roman"/>
          <w:szCs w:val="24"/>
          <w:lang w:val="en-GB"/>
        </w:rPr>
        <w:t xml:space="preserve"> </w:t>
      </w:r>
      <w:r w:rsidR="00A50A46" w:rsidRPr="002B7B0F">
        <w:rPr>
          <w:rFonts w:cs="Times New Roman"/>
          <w:szCs w:val="24"/>
          <w:lang w:val="en-GB"/>
        </w:rPr>
        <w:t xml:space="preserve">cumulative average abnormal returns </w:t>
      </w:r>
      <w:r w:rsidR="00E016D0" w:rsidRPr="002B7B0F">
        <w:rPr>
          <w:rFonts w:cs="Times New Roman"/>
          <w:szCs w:val="24"/>
          <w:lang w:val="en-GB"/>
        </w:rPr>
        <w:t xml:space="preserve">of acquirers during the 53-day announcement period </w:t>
      </w:r>
      <w:r w:rsidR="00A50A46" w:rsidRPr="002B7B0F">
        <w:rPr>
          <w:rFonts w:cs="Times New Roman"/>
          <w:szCs w:val="24"/>
          <w:lang w:val="en-GB"/>
        </w:rPr>
        <w:t xml:space="preserve">generated from </w:t>
      </w:r>
      <w:r w:rsidR="00BD2F03">
        <w:rPr>
          <w:rFonts w:cs="Times New Roman"/>
          <w:szCs w:val="24"/>
          <w:lang w:val="en-GB"/>
        </w:rPr>
        <w:t xml:space="preserve">the </w:t>
      </w:r>
      <w:r w:rsidR="00A50A46" w:rsidRPr="002B7B0F">
        <w:rPr>
          <w:rFonts w:cs="Times New Roman"/>
          <w:szCs w:val="24"/>
          <w:lang w:val="en-GB"/>
        </w:rPr>
        <w:t>three-factor model.</w:t>
      </w:r>
    </w:p>
    <w:p w14:paraId="4FEB8D42" w14:textId="77777777" w:rsidR="00E016D0" w:rsidRPr="002B7B0F" w:rsidRDefault="00E016D0" w:rsidP="006C7B4E">
      <w:pPr>
        <w:ind w:firstLine="480"/>
        <w:rPr>
          <w:rFonts w:cs="Times New Roman"/>
          <w:szCs w:val="24"/>
          <w:lang w:val="en-GB"/>
        </w:rPr>
      </w:pPr>
    </w:p>
    <w:p w14:paraId="0ED1C7E5" w14:textId="77777777" w:rsidR="00714E5C" w:rsidRPr="002B7B0F" w:rsidRDefault="00714E5C" w:rsidP="006C7B4E">
      <w:pPr>
        <w:ind w:firstLine="480"/>
        <w:rPr>
          <w:rFonts w:cs="Times New Roman"/>
          <w:szCs w:val="24"/>
          <w:lang w:val="en-GB"/>
        </w:rPr>
      </w:pPr>
    </w:p>
    <w:p w14:paraId="3D6ED0EA" w14:textId="77777777" w:rsidR="00714E5C" w:rsidRPr="002B7B0F" w:rsidRDefault="00714E5C" w:rsidP="006C7B4E">
      <w:pPr>
        <w:ind w:firstLine="480"/>
        <w:rPr>
          <w:rFonts w:cs="Times New Roman"/>
          <w:szCs w:val="24"/>
          <w:lang w:val="en-GB"/>
        </w:rPr>
      </w:pPr>
    </w:p>
    <w:p w14:paraId="5F51718E" w14:textId="77777777" w:rsidR="00714E5C" w:rsidRPr="002B7B0F" w:rsidRDefault="00714E5C" w:rsidP="006C7B4E">
      <w:pPr>
        <w:ind w:firstLine="480"/>
        <w:rPr>
          <w:rFonts w:cs="Times New Roman"/>
          <w:szCs w:val="24"/>
          <w:lang w:val="en-GB"/>
        </w:rPr>
      </w:pPr>
    </w:p>
    <w:p w14:paraId="527E388A" w14:textId="77777777" w:rsidR="00714E5C" w:rsidRPr="002B7B0F" w:rsidRDefault="00714E5C" w:rsidP="006C7B4E">
      <w:pPr>
        <w:ind w:firstLine="480"/>
        <w:rPr>
          <w:rFonts w:cs="Times New Roman"/>
          <w:szCs w:val="24"/>
          <w:lang w:val="en-GB"/>
        </w:rPr>
      </w:pPr>
    </w:p>
    <w:p w14:paraId="4F4BEBCF" w14:textId="77777777" w:rsidR="00714E5C" w:rsidRPr="002B7B0F" w:rsidRDefault="00714E5C" w:rsidP="006C7B4E">
      <w:pPr>
        <w:ind w:firstLine="480"/>
        <w:rPr>
          <w:rFonts w:cs="Times New Roman"/>
          <w:szCs w:val="24"/>
          <w:lang w:val="en-GB"/>
        </w:rPr>
      </w:pPr>
    </w:p>
    <w:p w14:paraId="2EA250B2" w14:textId="77777777" w:rsidR="00714E5C" w:rsidRPr="002B7B0F" w:rsidRDefault="00714E5C" w:rsidP="006C7B4E">
      <w:pPr>
        <w:ind w:firstLine="480"/>
        <w:rPr>
          <w:rFonts w:cs="Times New Roman"/>
          <w:szCs w:val="24"/>
          <w:lang w:val="en-GB"/>
        </w:rPr>
      </w:pPr>
    </w:p>
    <w:p w14:paraId="23FE971B" w14:textId="77777777" w:rsidR="00714E5C" w:rsidRPr="002B7B0F" w:rsidRDefault="00714E5C" w:rsidP="006C7B4E">
      <w:pPr>
        <w:ind w:firstLine="480"/>
        <w:rPr>
          <w:rFonts w:cs="Times New Roman"/>
          <w:szCs w:val="24"/>
          <w:lang w:val="en-GB"/>
        </w:rPr>
      </w:pPr>
    </w:p>
    <w:p w14:paraId="78F7A37F" w14:textId="77777777" w:rsidR="00714E5C" w:rsidRPr="002B7B0F" w:rsidRDefault="00714E5C" w:rsidP="006C7B4E">
      <w:pPr>
        <w:ind w:firstLine="480"/>
        <w:rPr>
          <w:rFonts w:cs="Times New Roman"/>
          <w:szCs w:val="24"/>
          <w:lang w:val="en-GB"/>
        </w:rPr>
      </w:pPr>
    </w:p>
    <w:p w14:paraId="15821D3F" w14:textId="66DB50C5" w:rsidR="002F1D33" w:rsidRPr="00AE0DFE" w:rsidRDefault="00AE0DFE" w:rsidP="00AE0DFE">
      <w:pPr>
        <w:ind w:firstLine="480"/>
        <w:jc w:val="center"/>
        <w:rPr>
          <w:rFonts w:cs="Times New Roman"/>
          <w:b/>
          <w:szCs w:val="24"/>
          <w:lang w:val="en-GB"/>
          <w14:textOutline w14:w="9525" w14:cap="rnd" w14:cmpd="sng" w14:algn="ctr">
            <w14:solidFill>
              <w14:schemeClr w14:val="tx1">
                <w14:lumMod w14:val="15000"/>
                <w14:lumOff w14:val="85000"/>
              </w14:schemeClr>
            </w14:solidFill>
            <w14:prstDash w14:val="solid"/>
            <w14:bevel/>
          </w14:textOutline>
        </w:rPr>
      </w:pPr>
      <w:r w:rsidRPr="00AE0DFE">
        <w:rPr>
          <w:b/>
          <w:noProof/>
          <w:lang w:val="en-GB" w:eastAsia="en-GB"/>
        </w:rPr>
        <w:t>[INSERT FIGURE 1</w:t>
      </w:r>
      <w:r>
        <w:rPr>
          <w:b/>
          <w:noProof/>
          <w:lang w:val="en-GB" w:eastAsia="en-GB"/>
        </w:rPr>
        <w:t xml:space="preserve"> HERE</w:t>
      </w:r>
      <w:r w:rsidRPr="00AE0DFE">
        <w:rPr>
          <w:b/>
          <w:noProof/>
          <w:lang w:val="en-GB" w:eastAsia="en-GB"/>
        </w:rPr>
        <w:t>]</w:t>
      </w:r>
    </w:p>
    <w:p w14:paraId="1A970BDF" w14:textId="77777777" w:rsidR="00E016D0" w:rsidRPr="002B7B0F" w:rsidRDefault="00E016D0" w:rsidP="00A50A46">
      <w:pPr>
        <w:ind w:firstLine="480"/>
        <w:rPr>
          <w:rFonts w:cs="Times New Roman"/>
          <w:szCs w:val="24"/>
          <w:lang w:val="en-GB"/>
        </w:rPr>
      </w:pPr>
    </w:p>
    <w:p w14:paraId="11B6C86E" w14:textId="767520DC" w:rsidR="00151A9D" w:rsidRPr="00AE0DFE" w:rsidRDefault="00714E5C" w:rsidP="00714E5C">
      <w:pPr>
        <w:ind w:firstLine="480"/>
        <w:jc w:val="center"/>
        <w:rPr>
          <w:rFonts w:cs="Times New Roman"/>
          <w:b/>
          <w:szCs w:val="24"/>
          <w:lang w:val="en-GB"/>
        </w:rPr>
      </w:pPr>
      <w:r w:rsidRPr="00AE0DFE">
        <w:rPr>
          <w:rFonts w:cs="Times New Roman"/>
          <w:b/>
          <w:szCs w:val="24"/>
          <w:lang w:val="en-GB"/>
        </w:rPr>
        <w:t>[I</w:t>
      </w:r>
      <w:r w:rsidR="00AE0DFE" w:rsidRPr="00AE0DFE">
        <w:rPr>
          <w:rFonts w:cs="Times New Roman"/>
          <w:b/>
          <w:szCs w:val="24"/>
          <w:lang w:val="en-GB"/>
        </w:rPr>
        <w:t>NSERT TABLE 5 HERE</w:t>
      </w:r>
      <w:r w:rsidRPr="00AE0DFE">
        <w:rPr>
          <w:rFonts w:cs="Times New Roman"/>
          <w:b/>
          <w:szCs w:val="24"/>
          <w:lang w:val="en-GB"/>
        </w:rPr>
        <w:t>]</w:t>
      </w:r>
    </w:p>
    <w:p w14:paraId="779E7765" w14:textId="42268B98" w:rsidR="00F06223" w:rsidRPr="002B7B0F" w:rsidRDefault="00F06223" w:rsidP="00F06223">
      <w:pPr>
        <w:ind w:firstLine="480"/>
        <w:rPr>
          <w:rFonts w:cs="Times New Roman"/>
          <w:szCs w:val="24"/>
          <w:lang w:val="en-GB"/>
        </w:rPr>
      </w:pPr>
      <w:r w:rsidRPr="002B7B0F">
        <w:rPr>
          <w:rFonts w:cs="Times New Roman"/>
          <w:szCs w:val="24"/>
          <w:lang w:val="en-GB"/>
        </w:rPr>
        <w:t>Previous</w:t>
      </w:r>
      <w:r w:rsidR="00151A9D" w:rsidRPr="002B7B0F">
        <w:rPr>
          <w:rFonts w:cs="Times New Roman"/>
          <w:szCs w:val="24"/>
          <w:lang w:val="en-GB"/>
        </w:rPr>
        <w:t xml:space="preserve"> studies have confirmed that companies’</w:t>
      </w:r>
      <w:r w:rsidRPr="002B7B0F">
        <w:rPr>
          <w:rFonts w:cs="Times New Roman"/>
          <w:szCs w:val="24"/>
          <w:lang w:val="en-GB"/>
        </w:rPr>
        <w:t xml:space="preserve"> abnormal returns can be sensitive to payment methods. As stated in the litera</w:t>
      </w:r>
      <w:r w:rsidR="00151A9D" w:rsidRPr="002B7B0F">
        <w:rPr>
          <w:rFonts w:cs="Times New Roman"/>
          <w:szCs w:val="24"/>
          <w:lang w:val="en-GB"/>
        </w:rPr>
        <w:t>ture, the market</w:t>
      </w:r>
      <w:r w:rsidR="00BD2F03">
        <w:rPr>
          <w:rFonts w:cs="Times New Roman"/>
          <w:szCs w:val="24"/>
          <w:lang w:val="en-GB"/>
        </w:rPr>
        <w:t>’</w:t>
      </w:r>
      <w:r w:rsidR="00151A9D" w:rsidRPr="002B7B0F">
        <w:rPr>
          <w:rFonts w:cs="Times New Roman"/>
          <w:szCs w:val="24"/>
          <w:lang w:val="en-GB"/>
        </w:rPr>
        <w:t>s view of cash-financing is more favo</w:t>
      </w:r>
      <w:r w:rsidR="00BC028C">
        <w:rPr>
          <w:rFonts w:cs="Times New Roman"/>
          <w:szCs w:val="24"/>
          <w:lang w:val="en-GB"/>
        </w:rPr>
        <w:t>u</w:t>
      </w:r>
      <w:r w:rsidR="00151A9D" w:rsidRPr="002B7B0F">
        <w:rPr>
          <w:rFonts w:cs="Times New Roman"/>
          <w:szCs w:val="24"/>
          <w:lang w:val="en-GB"/>
        </w:rPr>
        <w:t>rable than stock-financing</w:t>
      </w:r>
      <w:r w:rsidRPr="002B7B0F">
        <w:rPr>
          <w:rFonts w:cs="Times New Roman"/>
          <w:szCs w:val="24"/>
          <w:lang w:val="en-GB"/>
        </w:rPr>
        <w:t xml:space="preserve"> in several markets. According to</w:t>
      </w:r>
      <w:r w:rsidR="00EA2F64" w:rsidRPr="002B7B0F">
        <w:rPr>
          <w:rFonts w:cs="Times New Roman"/>
          <w:szCs w:val="24"/>
          <w:lang w:val="en-GB"/>
        </w:rPr>
        <w:t xml:space="preserve"> our results</w:t>
      </w:r>
      <w:r w:rsidRPr="002B7B0F">
        <w:rPr>
          <w:rFonts w:cs="Times New Roman"/>
          <w:szCs w:val="24"/>
          <w:lang w:val="en-GB"/>
        </w:rPr>
        <w:t xml:space="preserve">, companies who purchase targets from </w:t>
      </w:r>
      <w:r w:rsidR="00BD2F03">
        <w:rPr>
          <w:rFonts w:cs="Times New Roman"/>
          <w:szCs w:val="24"/>
          <w:lang w:val="en-GB"/>
        </w:rPr>
        <w:t xml:space="preserve">the </w:t>
      </w:r>
      <w:r w:rsidRPr="002B7B0F">
        <w:rPr>
          <w:rFonts w:cs="Times New Roman"/>
          <w:szCs w:val="24"/>
          <w:lang w:val="en-GB"/>
        </w:rPr>
        <w:t xml:space="preserve">Hong Kong </w:t>
      </w:r>
      <w:r w:rsidR="00151A9D" w:rsidRPr="002B7B0F">
        <w:rPr>
          <w:rFonts w:cs="Times New Roman"/>
          <w:szCs w:val="24"/>
          <w:lang w:val="en-GB"/>
        </w:rPr>
        <w:t xml:space="preserve">market </w:t>
      </w:r>
      <w:r w:rsidRPr="002B7B0F">
        <w:rPr>
          <w:rFonts w:cs="Times New Roman"/>
          <w:szCs w:val="24"/>
          <w:lang w:val="en-GB"/>
        </w:rPr>
        <w:t xml:space="preserve">tend to </w:t>
      </w:r>
      <w:r w:rsidR="00BD2F03">
        <w:rPr>
          <w:rFonts w:cs="Times New Roman"/>
          <w:szCs w:val="24"/>
          <w:lang w:val="en-GB"/>
        </w:rPr>
        <w:t>receive significantly greater</w:t>
      </w:r>
      <w:r w:rsidR="00BD2F03" w:rsidRPr="002B7B0F">
        <w:rPr>
          <w:rFonts w:cs="Times New Roman"/>
          <w:szCs w:val="24"/>
          <w:lang w:val="en-GB"/>
        </w:rPr>
        <w:t xml:space="preserve"> </w:t>
      </w:r>
      <w:r w:rsidRPr="002B7B0F">
        <w:rPr>
          <w:rFonts w:cs="Times New Roman"/>
          <w:szCs w:val="24"/>
          <w:lang w:val="en-GB"/>
        </w:rPr>
        <w:t xml:space="preserve">reward </w:t>
      </w:r>
      <w:r w:rsidR="00BD2F03">
        <w:rPr>
          <w:rFonts w:cs="Times New Roman"/>
          <w:szCs w:val="24"/>
          <w:lang w:val="en-GB"/>
        </w:rPr>
        <w:t>from</w:t>
      </w:r>
      <w:r w:rsidR="00BD2F03" w:rsidRPr="002B7B0F">
        <w:rPr>
          <w:rFonts w:cs="Times New Roman"/>
          <w:szCs w:val="24"/>
          <w:lang w:val="en-GB"/>
        </w:rPr>
        <w:t xml:space="preserve"> </w:t>
      </w:r>
      <w:r w:rsidRPr="002B7B0F">
        <w:rPr>
          <w:rFonts w:cs="Times New Roman"/>
          <w:szCs w:val="24"/>
          <w:lang w:val="en-GB"/>
        </w:rPr>
        <w:t>cash-</w:t>
      </w:r>
      <w:r w:rsidR="00151A9D" w:rsidRPr="002B7B0F">
        <w:rPr>
          <w:rFonts w:cs="Times New Roman"/>
          <w:szCs w:val="24"/>
          <w:lang w:val="en-GB"/>
        </w:rPr>
        <w:t>payment</w:t>
      </w:r>
      <w:r w:rsidRPr="002B7B0F">
        <w:rPr>
          <w:rFonts w:cs="Times New Roman"/>
          <w:szCs w:val="24"/>
          <w:lang w:val="en-GB"/>
        </w:rPr>
        <w:t xml:space="preserve"> takeovers than </w:t>
      </w:r>
      <w:r w:rsidR="00BD2F03">
        <w:rPr>
          <w:rFonts w:cs="Times New Roman"/>
          <w:szCs w:val="24"/>
          <w:lang w:val="en-GB"/>
        </w:rPr>
        <w:t>from</w:t>
      </w:r>
      <w:r w:rsidR="00BD2F03" w:rsidRPr="002B7B0F">
        <w:rPr>
          <w:rFonts w:cs="Times New Roman"/>
          <w:szCs w:val="24"/>
          <w:lang w:val="en-GB"/>
        </w:rPr>
        <w:t xml:space="preserve"> </w:t>
      </w:r>
      <w:r w:rsidRPr="002B7B0F">
        <w:rPr>
          <w:rFonts w:cs="Times New Roman"/>
          <w:szCs w:val="24"/>
          <w:lang w:val="en-GB"/>
        </w:rPr>
        <w:t>stock-</w:t>
      </w:r>
      <w:r w:rsidR="00151A9D" w:rsidRPr="002B7B0F">
        <w:rPr>
          <w:rFonts w:cs="Times New Roman"/>
          <w:szCs w:val="24"/>
          <w:lang w:val="en-GB"/>
        </w:rPr>
        <w:t>payment</w:t>
      </w:r>
      <w:r w:rsidRPr="002B7B0F">
        <w:rPr>
          <w:rFonts w:cs="Times New Roman"/>
          <w:szCs w:val="24"/>
          <w:lang w:val="en-GB"/>
        </w:rPr>
        <w:t xml:space="preserve"> transactions. Bidders of Mainland</w:t>
      </w:r>
      <w:r w:rsidR="00392FA6">
        <w:rPr>
          <w:rFonts w:cs="Times New Roman"/>
          <w:szCs w:val="24"/>
          <w:lang w:val="en-GB"/>
        </w:rPr>
        <w:t xml:space="preserve"> China</w:t>
      </w:r>
      <w:r w:rsidRPr="002B7B0F">
        <w:rPr>
          <w:rFonts w:cs="Times New Roman"/>
          <w:szCs w:val="24"/>
          <w:lang w:val="en-GB"/>
        </w:rPr>
        <w:t xml:space="preserve"> targets experience quite the opposite</w:t>
      </w:r>
      <w:r w:rsidR="00151A9D" w:rsidRPr="002B7B0F">
        <w:rPr>
          <w:rFonts w:cs="Times New Roman"/>
          <w:szCs w:val="24"/>
          <w:lang w:val="en-GB"/>
        </w:rPr>
        <w:t xml:space="preserve"> situation</w:t>
      </w:r>
      <w:r w:rsidRPr="002B7B0F">
        <w:rPr>
          <w:rFonts w:cs="Times New Roman"/>
          <w:szCs w:val="24"/>
          <w:lang w:val="en-GB"/>
        </w:rPr>
        <w:t xml:space="preserve">, in which companies earn </w:t>
      </w:r>
      <w:r w:rsidR="00BD2F03" w:rsidRPr="002B7B0F">
        <w:rPr>
          <w:rFonts w:cs="Times New Roman"/>
          <w:szCs w:val="24"/>
          <w:lang w:val="en-GB"/>
        </w:rPr>
        <w:t>significant</w:t>
      </w:r>
      <w:r w:rsidR="00BD2F03">
        <w:rPr>
          <w:rFonts w:cs="Times New Roman"/>
          <w:szCs w:val="24"/>
          <w:lang w:val="en-GB"/>
        </w:rPr>
        <w:t xml:space="preserve"> and</w:t>
      </w:r>
      <w:r w:rsidR="00BD2F03" w:rsidRPr="002B7B0F">
        <w:rPr>
          <w:rFonts w:cs="Times New Roman"/>
          <w:szCs w:val="24"/>
          <w:lang w:val="en-GB"/>
        </w:rPr>
        <w:t xml:space="preserve"> </w:t>
      </w:r>
      <w:r w:rsidRPr="002B7B0F">
        <w:rPr>
          <w:rFonts w:cs="Times New Roman"/>
          <w:szCs w:val="24"/>
          <w:lang w:val="en-GB"/>
        </w:rPr>
        <w:t xml:space="preserve">extremely higher abnormal returns </w:t>
      </w:r>
      <w:r w:rsidR="00BD2F03">
        <w:rPr>
          <w:rFonts w:cs="Times New Roman"/>
          <w:szCs w:val="24"/>
          <w:lang w:val="en-GB"/>
        </w:rPr>
        <w:t>from</w:t>
      </w:r>
      <w:r w:rsidR="00BD2F03" w:rsidRPr="002B7B0F">
        <w:rPr>
          <w:rFonts w:cs="Times New Roman"/>
          <w:szCs w:val="24"/>
          <w:lang w:val="en-GB"/>
        </w:rPr>
        <w:t xml:space="preserve"> </w:t>
      </w:r>
      <w:r w:rsidRPr="002B7B0F">
        <w:rPr>
          <w:rFonts w:cs="Times New Roman"/>
          <w:szCs w:val="24"/>
          <w:lang w:val="en-GB"/>
        </w:rPr>
        <w:t>stock-</w:t>
      </w:r>
      <w:r w:rsidR="00B51567" w:rsidRPr="002B7B0F">
        <w:rPr>
          <w:rFonts w:cs="Times New Roman"/>
          <w:szCs w:val="24"/>
          <w:lang w:val="en-GB"/>
        </w:rPr>
        <w:t>payment</w:t>
      </w:r>
      <w:r w:rsidRPr="002B7B0F">
        <w:rPr>
          <w:rFonts w:cs="Times New Roman"/>
          <w:szCs w:val="24"/>
          <w:lang w:val="en-GB"/>
        </w:rPr>
        <w:t xml:space="preserve"> acquisitions during the announcement period th</w:t>
      </w:r>
      <w:r w:rsidR="00B51567" w:rsidRPr="002B7B0F">
        <w:rPr>
          <w:rFonts w:cs="Times New Roman"/>
          <w:szCs w:val="24"/>
          <w:lang w:val="en-GB"/>
        </w:rPr>
        <w:t xml:space="preserve">an takeover events paid by cash. </w:t>
      </w:r>
      <w:r w:rsidRPr="002B7B0F">
        <w:rPr>
          <w:rFonts w:cs="Times New Roman"/>
          <w:szCs w:val="24"/>
          <w:lang w:val="en-GB"/>
        </w:rPr>
        <w:t xml:space="preserve">This response lends support to the argument that stock financing can be regarded as a means to reduce the asymmetry of target information. Shareholders of the bidding company may believe that such transactions can create value because the stock financing </w:t>
      </w:r>
      <w:r w:rsidR="00F66FE7">
        <w:rPr>
          <w:rFonts w:cs="Times New Roman"/>
          <w:szCs w:val="24"/>
          <w:lang w:val="en-GB"/>
        </w:rPr>
        <w:t xml:space="preserve">the </w:t>
      </w:r>
      <w:r w:rsidRPr="002B7B0F">
        <w:rPr>
          <w:rFonts w:cs="Times New Roman"/>
          <w:szCs w:val="24"/>
          <w:lang w:val="en-GB"/>
        </w:rPr>
        <w:t xml:space="preserve">acquisitions </w:t>
      </w:r>
      <w:r w:rsidR="00F66FE7">
        <w:rPr>
          <w:rFonts w:cs="Times New Roman"/>
          <w:szCs w:val="24"/>
          <w:lang w:val="en-GB"/>
        </w:rPr>
        <w:t>communicates</w:t>
      </w:r>
      <w:r w:rsidR="00F66FE7" w:rsidRPr="002B7B0F">
        <w:rPr>
          <w:rFonts w:cs="Times New Roman"/>
          <w:szCs w:val="24"/>
          <w:lang w:val="en-GB"/>
        </w:rPr>
        <w:t xml:space="preserve"> </w:t>
      </w:r>
      <w:r w:rsidRPr="002B7B0F">
        <w:rPr>
          <w:rFonts w:cs="Times New Roman"/>
          <w:szCs w:val="24"/>
          <w:lang w:val="en-GB"/>
        </w:rPr>
        <w:t>positive information on the bidding company</w:t>
      </w:r>
      <w:r w:rsidR="00B51567" w:rsidRPr="002B7B0F">
        <w:rPr>
          <w:rFonts w:cs="Times New Roman"/>
          <w:szCs w:val="24"/>
          <w:lang w:val="en-GB"/>
        </w:rPr>
        <w:t>’s value</w:t>
      </w:r>
      <w:r w:rsidRPr="002B7B0F">
        <w:rPr>
          <w:rFonts w:cs="Times New Roman"/>
          <w:szCs w:val="24"/>
          <w:lang w:val="en-GB"/>
        </w:rPr>
        <w:t xml:space="preserve"> in the market, as the seller would </w:t>
      </w:r>
      <w:r w:rsidR="00F66FE7">
        <w:rPr>
          <w:rFonts w:cs="Times New Roman"/>
          <w:szCs w:val="24"/>
          <w:lang w:val="en-GB"/>
        </w:rPr>
        <w:t>retain</w:t>
      </w:r>
      <w:r w:rsidR="00F66FE7" w:rsidRPr="002B7B0F">
        <w:rPr>
          <w:rFonts w:cs="Times New Roman"/>
          <w:szCs w:val="24"/>
          <w:lang w:val="en-GB"/>
        </w:rPr>
        <w:t xml:space="preserve"> </w:t>
      </w:r>
      <w:r w:rsidRPr="002B7B0F">
        <w:rPr>
          <w:rFonts w:cs="Times New Roman"/>
          <w:szCs w:val="24"/>
          <w:lang w:val="en-GB"/>
        </w:rPr>
        <w:t xml:space="preserve">economic benefits in the sustained viability of the business assets or shares that have been sold (Andrew 2006). On the other hand, the results from </w:t>
      </w:r>
      <w:r w:rsidR="005B0890" w:rsidRPr="002B7B0F">
        <w:rPr>
          <w:rFonts w:cs="Times New Roman"/>
          <w:szCs w:val="24"/>
          <w:lang w:val="en-GB"/>
        </w:rPr>
        <w:t>Hong Kong</w:t>
      </w:r>
      <w:r w:rsidRPr="002B7B0F">
        <w:rPr>
          <w:rFonts w:cs="Times New Roman"/>
          <w:szCs w:val="24"/>
          <w:lang w:val="en-GB"/>
        </w:rPr>
        <w:t xml:space="preserve"> target takeovers are very similar to those of </w:t>
      </w:r>
      <w:r w:rsidR="00F66FE7">
        <w:rPr>
          <w:rFonts w:cs="Times New Roman"/>
          <w:szCs w:val="24"/>
          <w:lang w:val="en-GB"/>
        </w:rPr>
        <w:t xml:space="preserve">the </w:t>
      </w:r>
      <w:r w:rsidRPr="002B7B0F">
        <w:rPr>
          <w:rFonts w:cs="Times New Roman"/>
          <w:szCs w:val="24"/>
          <w:lang w:val="en-GB"/>
        </w:rPr>
        <w:t xml:space="preserve">US market and UK market in this field </w:t>
      </w:r>
      <w:r w:rsidR="00F66FE7">
        <w:rPr>
          <w:rFonts w:cs="Times New Roman"/>
          <w:szCs w:val="24"/>
          <w:lang w:val="en-GB"/>
        </w:rPr>
        <w:t>where</w:t>
      </w:r>
      <w:r w:rsidR="00F66FE7" w:rsidRPr="002B7B0F">
        <w:rPr>
          <w:rFonts w:cs="Times New Roman"/>
          <w:szCs w:val="24"/>
          <w:lang w:val="en-GB"/>
        </w:rPr>
        <w:t xml:space="preserve"> </w:t>
      </w:r>
      <w:r w:rsidRPr="002B7B0F">
        <w:rPr>
          <w:rFonts w:cs="Times New Roman"/>
          <w:szCs w:val="24"/>
          <w:lang w:val="en-GB"/>
        </w:rPr>
        <w:t xml:space="preserve">equity-financed acquisitions should have an inverse relationship with abnormal returns. </w:t>
      </w:r>
      <w:r w:rsidR="005B0890" w:rsidRPr="002B7B0F">
        <w:rPr>
          <w:rFonts w:cs="Times New Roman"/>
          <w:szCs w:val="24"/>
          <w:lang w:val="en-GB"/>
        </w:rPr>
        <w:t>C</w:t>
      </w:r>
      <w:r w:rsidRPr="002B7B0F">
        <w:rPr>
          <w:rFonts w:cs="Times New Roman"/>
          <w:szCs w:val="24"/>
          <w:lang w:val="en-GB"/>
        </w:rPr>
        <w:t xml:space="preserve">ash-financed takeovers </w:t>
      </w:r>
      <w:r w:rsidR="005B0890" w:rsidRPr="002B7B0F">
        <w:rPr>
          <w:rFonts w:cs="Times New Roman"/>
          <w:szCs w:val="24"/>
          <w:lang w:val="en-GB"/>
        </w:rPr>
        <w:t xml:space="preserve">of Hong Kong targets </w:t>
      </w:r>
      <w:r w:rsidRPr="002B7B0F">
        <w:rPr>
          <w:rFonts w:cs="Times New Roman"/>
          <w:szCs w:val="24"/>
          <w:lang w:val="en-GB"/>
        </w:rPr>
        <w:t>perform much better than their stock-financed counterparts. This finding supports previous arguments that stock financ</w:t>
      </w:r>
      <w:r w:rsidR="00F66FE7">
        <w:rPr>
          <w:rFonts w:cs="Times New Roman"/>
          <w:szCs w:val="24"/>
          <w:lang w:val="en-GB"/>
        </w:rPr>
        <w:t>ed</w:t>
      </w:r>
      <w:r w:rsidRPr="002B7B0F">
        <w:rPr>
          <w:rFonts w:cs="Times New Roman"/>
          <w:szCs w:val="24"/>
          <w:lang w:val="en-GB"/>
        </w:rPr>
        <w:t xml:space="preserve"> takeovers are more likely to be obtained by overrated acquirers to purchase relatively less overrated targets so that these takeover events are negatively related with abnormal returns (Draper and Paudyal 1999; Shleifer and Vishny 2003; Moeller et al. 2004). </w:t>
      </w:r>
    </w:p>
    <w:p w14:paraId="7BC0497D" w14:textId="32D16350" w:rsidR="00E90693" w:rsidRPr="002B7B0F" w:rsidRDefault="00D4667A" w:rsidP="00E90693">
      <w:pPr>
        <w:ind w:firstLine="480"/>
        <w:rPr>
          <w:rFonts w:cs="Times New Roman"/>
          <w:szCs w:val="24"/>
          <w:lang w:val="en-GB"/>
        </w:rPr>
      </w:pPr>
      <w:r w:rsidRPr="002B7B0F">
        <w:rPr>
          <w:rFonts w:cs="Times New Roman"/>
          <w:szCs w:val="24"/>
          <w:lang w:val="en-GB"/>
        </w:rPr>
        <w:t xml:space="preserve">Referring to other bid variables, </w:t>
      </w:r>
      <w:r w:rsidR="00B51567" w:rsidRPr="002B7B0F">
        <w:rPr>
          <w:rFonts w:cs="Times New Roman"/>
          <w:szCs w:val="24"/>
          <w:lang w:val="en-GB"/>
        </w:rPr>
        <w:t xml:space="preserve">generally </w:t>
      </w:r>
      <w:r w:rsidR="005B0890" w:rsidRPr="002B7B0F">
        <w:rPr>
          <w:rFonts w:cs="Times New Roman"/>
          <w:szCs w:val="24"/>
          <w:lang w:val="en-GB"/>
        </w:rPr>
        <w:t>acquisitions of high relative size targets ca</w:t>
      </w:r>
      <w:r w:rsidR="00B51567" w:rsidRPr="002B7B0F">
        <w:rPr>
          <w:rFonts w:cs="Times New Roman"/>
          <w:szCs w:val="24"/>
          <w:lang w:val="en-GB"/>
        </w:rPr>
        <w:t>n create more synergies than</w:t>
      </w:r>
      <w:r w:rsidR="005B0890" w:rsidRPr="002B7B0F">
        <w:rPr>
          <w:rFonts w:cs="Times New Roman"/>
          <w:szCs w:val="24"/>
          <w:lang w:val="en-GB"/>
        </w:rPr>
        <w:t xml:space="preserve"> acquisition</w:t>
      </w:r>
      <w:r w:rsidR="00B51567" w:rsidRPr="002B7B0F">
        <w:rPr>
          <w:rFonts w:cs="Times New Roman"/>
          <w:szCs w:val="24"/>
          <w:lang w:val="en-GB"/>
        </w:rPr>
        <w:t>s</w:t>
      </w:r>
      <w:r w:rsidR="005B0890" w:rsidRPr="002B7B0F">
        <w:rPr>
          <w:rFonts w:cs="Times New Roman"/>
          <w:szCs w:val="24"/>
          <w:lang w:val="en-GB"/>
        </w:rPr>
        <w:t xml:space="preserve"> of low relative size targets</w:t>
      </w:r>
      <w:r w:rsidRPr="002B7B0F">
        <w:rPr>
          <w:rFonts w:cs="Times New Roman"/>
          <w:szCs w:val="24"/>
          <w:lang w:val="en-GB"/>
        </w:rPr>
        <w:t>.</w:t>
      </w:r>
      <w:r w:rsidR="005B0890" w:rsidRPr="002B7B0F">
        <w:rPr>
          <w:rFonts w:cs="Times New Roman"/>
          <w:szCs w:val="24"/>
          <w:lang w:val="en-GB"/>
        </w:rPr>
        <w:t xml:space="preserve"> </w:t>
      </w:r>
      <w:r w:rsidRPr="002B7B0F">
        <w:rPr>
          <w:rFonts w:cs="Times New Roman"/>
          <w:szCs w:val="24"/>
          <w:lang w:val="en-GB"/>
        </w:rPr>
        <w:t>Therefore,</w:t>
      </w:r>
      <w:r w:rsidR="005B0890" w:rsidRPr="002B7B0F">
        <w:rPr>
          <w:rFonts w:cs="Times New Roman"/>
          <w:szCs w:val="24"/>
          <w:lang w:val="en-GB"/>
        </w:rPr>
        <w:t xml:space="preserve"> high relative size bidders are more likel</w:t>
      </w:r>
      <w:r w:rsidR="00B51567" w:rsidRPr="002B7B0F">
        <w:rPr>
          <w:rFonts w:cs="Times New Roman"/>
          <w:szCs w:val="24"/>
          <w:lang w:val="en-GB"/>
        </w:rPr>
        <w:t xml:space="preserve">y to earn higher excess returns </w:t>
      </w:r>
      <w:r w:rsidR="005B0890" w:rsidRPr="002B7B0F">
        <w:rPr>
          <w:rFonts w:cs="Times New Roman"/>
          <w:szCs w:val="24"/>
          <w:lang w:val="en-GB"/>
        </w:rPr>
        <w:t>(Asquith et al</w:t>
      </w:r>
      <w:r w:rsidR="00BC028C">
        <w:rPr>
          <w:rFonts w:cs="Times New Roman"/>
          <w:szCs w:val="24"/>
          <w:lang w:val="en-GB"/>
        </w:rPr>
        <w:t>.</w:t>
      </w:r>
      <w:r w:rsidR="005B0890" w:rsidRPr="002B7B0F">
        <w:rPr>
          <w:rFonts w:cs="Times New Roman"/>
          <w:szCs w:val="24"/>
          <w:lang w:val="en-GB"/>
        </w:rPr>
        <w:t xml:space="preserve"> 1983; Draper and Paudyal 2006). The finding</w:t>
      </w:r>
      <w:r w:rsidR="00F66FE7">
        <w:rPr>
          <w:rFonts w:cs="Times New Roman"/>
          <w:szCs w:val="24"/>
          <w:lang w:val="en-GB"/>
        </w:rPr>
        <w:t>s</w:t>
      </w:r>
      <w:r w:rsidR="005B0890" w:rsidRPr="002B7B0F">
        <w:rPr>
          <w:rFonts w:cs="Times New Roman"/>
          <w:szCs w:val="24"/>
          <w:lang w:val="en-GB"/>
        </w:rPr>
        <w:t xml:space="preserve"> </w:t>
      </w:r>
      <w:r w:rsidR="00F66FE7">
        <w:rPr>
          <w:rFonts w:cs="Times New Roman"/>
          <w:szCs w:val="24"/>
          <w:lang w:val="en-GB"/>
        </w:rPr>
        <w:t>on</w:t>
      </w:r>
      <w:r w:rsidR="00F66FE7" w:rsidRPr="002B7B0F">
        <w:rPr>
          <w:rFonts w:cs="Times New Roman"/>
          <w:szCs w:val="24"/>
          <w:lang w:val="en-GB"/>
        </w:rPr>
        <w:t xml:space="preserve"> </w:t>
      </w:r>
      <w:r w:rsidR="005B0890" w:rsidRPr="002B7B0F">
        <w:rPr>
          <w:rFonts w:cs="Times New Roman"/>
          <w:szCs w:val="24"/>
          <w:lang w:val="en-GB"/>
        </w:rPr>
        <w:t>acquisition</w:t>
      </w:r>
      <w:r w:rsidR="00B51567" w:rsidRPr="002B7B0F">
        <w:rPr>
          <w:rFonts w:cs="Times New Roman"/>
          <w:szCs w:val="24"/>
          <w:lang w:val="en-GB"/>
        </w:rPr>
        <w:t>s</w:t>
      </w:r>
      <w:r w:rsidR="005B0890" w:rsidRPr="002B7B0F">
        <w:rPr>
          <w:rFonts w:cs="Times New Roman"/>
          <w:szCs w:val="24"/>
          <w:lang w:val="en-GB"/>
        </w:rPr>
        <w:t xml:space="preserve"> of target</w:t>
      </w:r>
      <w:r w:rsidR="00B51567" w:rsidRPr="002B7B0F">
        <w:rPr>
          <w:rFonts w:cs="Times New Roman"/>
          <w:szCs w:val="24"/>
          <w:lang w:val="en-GB"/>
        </w:rPr>
        <w:t>s</w:t>
      </w:r>
      <w:r w:rsidR="005B0890" w:rsidRPr="002B7B0F">
        <w:rPr>
          <w:rFonts w:cs="Times New Roman"/>
          <w:szCs w:val="24"/>
          <w:lang w:val="en-GB"/>
        </w:rPr>
        <w:t xml:space="preserve"> </w:t>
      </w:r>
      <w:r w:rsidRPr="002B7B0F">
        <w:rPr>
          <w:rFonts w:cs="Times New Roman"/>
          <w:szCs w:val="24"/>
          <w:lang w:val="en-GB"/>
        </w:rPr>
        <w:t>from both market</w:t>
      </w:r>
      <w:r w:rsidR="00F66FE7">
        <w:rPr>
          <w:rFonts w:cs="Times New Roman"/>
          <w:szCs w:val="24"/>
          <w:lang w:val="en-GB"/>
        </w:rPr>
        <w:t>s</w:t>
      </w:r>
      <w:r w:rsidRPr="002B7B0F">
        <w:rPr>
          <w:rFonts w:cs="Times New Roman"/>
          <w:szCs w:val="24"/>
          <w:lang w:val="en-GB"/>
        </w:rPr>
        <w:t xml:space="preserve"> </w:t>
      </w:r>
      <w:r w:rsidR="005B0890" w:rsidRPr="002B7B0F">
        <w:rPr>
          <w:rFonts w:cs="Times New Roman"/>
          <w:szCs w:val="24"/>
          <w:lang w:val="en-GB"/>
        </w:rPr>
        <w:t xml:space="preserve">is </w:t>
      </w:r>
      <w:r w:rsidR="00B51567" w:rsidRPr="002B7B0F">
        <w:rPr>
          <w:rFonts w:cs="Times New Roman"/>
          <w:szCs w:val="24"/>
          <w:lang w:val="en-GB"/>
        </w:rPr>
        <w:t>consistent</w:t>
      </w:r>
      <w:r w:rsidR="005B0890" w:rsidRPr="002B7B0F">
        <w:rPr>
          <w:rFonts w:cs="Times New Roman"/>
          <w:szCs w:val="24"/>
          <w:lang w:val="en-GB"/>
        </w:rPr>
        <w:t xml:space="preserve"> with this theory, which presents that high relative size acquirers receive significant</w:t>
      </w:r>
      <w:r w:rsidRPr="002B7B0F">
        <w:rPr>
          <w:rFonts w:cs="Times New Roman"/>
          <w:szCs w:val="24"/>
          <w:lang w:val="en-GB"/>
        </w:rPr>
        <w:t xml:space="preserve"> positive abnormal </w:t>
      </w:r>
      <w:r w:rsidR="00F66FE7">
        <w:rPr>
          <w:rFonts w:cs="Times New Roman"/>
          <w:szCs w:val="24"/>
          <w:lang w:val="en-GB"/>
        </w:rPr>
        <w:t xml:space="preserve">returns </w:t>
      </w:r>
      <w:r w:rsidR="005B0890" w:rsidRPr="002B7B0F">
        <w:rPr>
          <w:rFonts w:cs="Times New Roman"/>
          <w:szCs w:val="24"/>
          <w:lang w:val="en-GB"/>
        </w:rPr>
        <w:t>whilst low relative size bidders obtain sign</w:t>
      </w:r>
      <w:r w:rsidRPr="002B7B0F">
        <w:rPr>
          <w:rFonts w:cs="Times New Roman"/>
          <w:szCs w:val="24"/>
          <w:lang w:val="en-GB"/>
        </w:rPr>
        <w:t>ificant negative earnings.</w:t>
      </w:r>
      <w:r w:rsidR="006F3218" w:rsidRPr="002B7B0F">
        <w:rPr>
          <w:rFonts w:cs="Times New Roman"/>
          <w:szCs w:val="24"/>
          <w:lang w:val="en-GB"/>
        </w:rPr>
        <w:t xml:space="preserve"> </w:t>
      </w:r>
      <w:r w:rsidR="00F66FE7">
        <w:rPr>
          <w:rFonts w:cs="Times New Roman"/>
          <w:szCs w:val="24"/>
          <w:lang w:val="en-GB"/>
        </w:rPr>
        <w:t>The l</w:t>
      </w:r>
      <w:r w:rsidR="006F3218" w:rsidRPr="002B7B0F">
        <w:rPr>
          <w:rFonts w:cs="Times New Roman"/>
          <w:szCs w:val="24"/>
          <w:lang w:val="en-GB"/>
        </w:rPr>
        <w:t>iterature also shows that bidders involved in multiple acquisitions are mo</w:t>
      </w:r>
      <w:r w:rsidR="00B51567" w:rsidRPr="002B7B0F">
        <w:rPr>
          <w:rFonts w:cs="Times New Roman"/>
          <w:szCs w:val="24"/>
          <w:lang w:val="en-GB"/>
        </w:rPr>
        <w:t>re experienced in this field so</w:t>
      </w:r>
      <w:r w:rsidR="006F3218" w:rsidRPr="002B7B0F">
        <w:rPr>
          <w:rFonts w:cs="Times New Roman"/>
          <w:szCs w:val="24"/>
          <w:lang w:val="en-GB"/>
        </w:rPr>
        <w:t xml:space="preserve"> that positive reactions may occur in subsequent bids (Antoniou et al. 2007). </w:t>
      </w:r>
      <w:r w:rsidR="00B51567" w:rsidRPr="002B7B0F">
        <w:rPr>
          <w:rFonts w:cs="Times New Roman"/>
          <w:szCs w:val="24"/>
          <w:lang w:val="en-GB"/>
        </w:rPr>
        <w:t>R</w:t>
      </w:r>
      <w:r w:rsidR="006F3218" w:rsidRPr="002B7B0F">
        <w:rPr>
          <w:rFonts w:cs="Times New Roman"/>
          <w:szCs w:val="24"/>
          <w:lang w:val="en-GB"/>
        </w:rPr>
        <w:t xml:space="preserve">esults from Mainland </w:t>
      </w:r>
      <w:r w:rsidR="00392FA6">
        <w:rPr>
          <w:rFonts w:cs="Times New Roman"/>
          <w:szCs w:val="24"/>
          <w:lang w:val="en-GB"/>
        </w:rPr>
        <w:t xml:space="preserve">China </w:t>
      </w:r>
      <w:r w:rsidR="006F3218" w:rsidRPr="002B7B0F">
        <w:rPr>
          <w:rFonts w:cs="Times New Roman"/>
          <w:szCs w:val="24"/>
          <w:lang w:val="en-GB"/>
        </w:rPr>
        <w:t xml:space="preserve">target multiple bidders </w:t>
      </w:r>
      <w:r w:rsidR="00B51567" w:rsidRPr="002B7B0F">
        <w:rPr>
          <w:rFonts w:cs="Times New Roman"/>
          <w:szCs w:val="24"/>
          <w:lang w:val="en-GB"/>
        </w:rPr>
        <w:t>also show</w:t>
      </w:r>
      <w:r w:rsidR="006F3218" w:rsidRPr="002B7B0F">
        <w:rPr>
          <w:rFonts w:cs="Times New Roman"/>
          <w:szCs w:val="24"/>
          <w:lang w:val="en-GB"/>
        </w:rPr>
        <w:t xml:space="preserve"> significantly higher abnormal return</w:t>
      </w:r>
      <w:r w:rsidR="00B51567" w:rsidRPr="002B7B0F">
        <w:rPr>
          <w:rFonts w:cs="Times New Roman"/>
          <w:szCs w:val="24"/>
          <w:lang w:val="en-GB"/>
        </w:rPr>
        <w:t>s</w:t>
      </w:r>
      <w:r w:rsidR="006F3218" w:rsidRPr="002B7B0F">
        <w:rPr>
          <w:rFonts w:cs="Times New Roman"/>
          <w:szCs w:val="24"/>
          <w:lang w:val="en-GB"/>
        </w:rPr>
        <w:t xml:space="preserve"> while single bidders earn relatively lower return</w:t>
      </w:r>
      <w:r w:rsidR="00B51567" w:rsidRPr="002B7B0F">
        <w:rPr>
          <w:rFonts w:cs="Times New Roman"/>
          <w:szCs w:val="24"/>
          <w:lang w:val="en-GB"/>
        </w:rPr>
        <w:t>s</w:t>
      </w:r>
      <w:r w:rsidR="006F3218" w:rsidRPr="002B7B0F">
        <w:rPr>
          <w:rFonts w:cs="Times New Roman"/>
          <w:szCs w:val="24"/>
          <w:lang w:val="en-GB"/>
        </w:rPr>
        <w:t>.</w:t>
      </w:r>
      <w:r w:rsidR="00CE2101" w:rsidRPr="002B7B0F">
        <w:rPr>
          <w:rFonts w:cs="Times New Roman"/>
          <w:szCs w:val="24"/>
          <w:lang w:val="en-GB"/>
        </w:rPr>
        <w:t xml:space="preserve"> However, </w:t>
      </w:r>
      <w:r w:rsidR="00FF384D" w:rsidRPr="002B7B0F">
        <w:rPr>
          <w:rFonts w:cs="Times New Roman"/>
          <w:szCs w:val="24"/>
          <w:lang w:val="en-GB"/>
        </w:rPr>
        <w:t>Hong Kong target</w:t>
      </w:r>
      <w:r w:rsidR="00CE2101" w:rsidRPr="002B7B0F">
        <w:rPr>
          <w:rFonts w:cs="Times New Roman"/>
          <w:szCs w:val="24"/>
          <w:lang w:val="en-GB"/>
        </w:rPr>
        <w:t xml:space="preserve"> acquirers yield negatively </w:t>
      </w:r>
      <w:r w:rsidR="00B51567" w:rsidRPr="002B7B0F">
        <w:rPr>
          <w:rFonts w:cs="Times New Roman"/>
          <w:szCs w:val="24"/>
          <w:lang w:val="en-GB"/>
        </w:rPr>
        <w:t xml:space="preserve">in subsequent acquisitions </w:t>
      </w:r>
      <w:r w:rsidR="00CE2101" w:rsidRPr="002B7B0F">
        <w:rPr>
          <w:rFonts w:cs="Times New Roman"/>
          <w:szCs w:val="24"/>
          <w:lang w:val="en-GB"/>
        </w:rPr>
        <w:t>whereas first bidder</w:t>
      </w:r>
      <w:r w:rsidR="00B51567" w:rsidRPr="002B7B0F">
        <w:rPr>
          <w:rFonts w:cs="Times New Roman"/>
          <w:szCs w:val="24"/>
          <w:lang w:val="en-GB"/>
        </w:rPr>
        <w:t>s</w:t>
      </w:r>
      <w:r w:rsidR="00CE2101" w:rsidRPr="002B7B0F">
        <w:rPr>
          <w:rFonts w:cs="Times New Roman"/>
          <w:szCs w:val="24"/>
          <w:lang w:val="en-GB"/>
        </w:rPr>
        <w:t xml:space="preserve"> obtain significant positive return</w:t>
      </w:r>
      <w:r w:rsidR="00B51567" w:rsidRPr="002B7B0F">
        <w:rPr>
          <w:rFonts w:cs="Times New Roman"/>
          <w:szCs w:val="24"/>
          <w:lang w:val="en-GB"/>
        </w:rPr>
        <w:t>s</w:t>
      </w:r>
      <w:r w:rsidR="00CE2101" w:rsidRPr="002B7B0F">
        <w:rPr>
          <w:rFonts w:cs="Times New Roman"/>
          <w:szCs w:val="24"/>
          <w:lang w:val="en-GB"/>
        </w:rPr>
        <w:t xml:space="preserve">, which </w:t>
      </w:r>
      <w:r w:rsidR="00FF384D" w:rsidRPr="002B7B0F">
        <w:rPr>
          <w:rFonts w:cs="Times New Roman"/>
          <w:szCs w:val="24"/>
          <w:lang w:val="en-GB"/>
        </w:rPr>
        <w:t>indicate</w:t>
      </w:r>
      <w:r w:rsidR="00CE2101" w:rsidRPr="002B7B0F">
        <w:rPr>
          <w:rFonts w:cs="Times New Roman"/>
          <w:szCs w:val="24"/>
          <w:lang w:val="en-GB"/>
        </w:rPr>
        <w:t>s</w:t>
      </w:r>
      <w:r w:rsidR="00FF384D" w:rsidRPr="002B7B0F">
        <w:rPr>
          <w:rFonts w:cs="Times New Roman"/>
          <w:szCs w:val="24"/>
          <w:lang w:val="en-GB"/>
        </w:rPr>
        <w:t xml:space="preserve"> that</w:t>
      </w:r>
      <w:r w:rsidR="00330925" w:rsidRPr="002B7B0F">
        <w:rPr>
          <w:rFonts w:cs="Times New Roman"/>
          <w:szCs w:val="24"/>
          <w:lang w:val="en-GB"/>
        </w:rPr>
        <w:t xml:space="preserve"> multiple takeover attempts </w:t>
      </w:r>
      <w:bookmarkStart w:id="32" w:name="OLE_LINK1"/>
      <w:r w:rsidR="00330925" w:rsidRPr="002B7B0F">
        <w:rPr>
          <w:rFonts w:cs="Times New Roman"/>
          <w:szCs w:val="24"/>
          <w:lang w:val="en-GB"/>
        </w:rPr>
        <w:t xml:space="preserve">are not seen as </w:t>
      </w:r>
      <w:r w:rsidR="00CE2101" w:rsidRPr="002B7B0F">
        <w:rPr>
          <w:rFonts w:cs="Times New Roman"/>
          <w:szCs w:val="24"/>
          <w:lang w:val="en-GB"/>
        </w:rPr>
        <w:t>favo</w:t>
      </w:r>
      <w:r w:rsidR="00F66FE7">
        <w:rPr>
          <w:rFonts w:cs="Times New Roman"/>
          <w:szCs w:val="24"/>
          <w:lang w:val="en-GB"/>
        </w:rPr>
        <w:t>u</w:t>
      </w:r>
      <w:r w:rsidR="00CE2101" w:rsidRPr="002B7B0F">
        <w:rPr>
          <w:rFonts w:cs="Times New Roman"/>
          <w:szCs w:val="24"/>
          <w:lang w:val="en-GB"/>
        </w:rPr>
        <w:t>rabl</w:t>
      </w:r>
      <w:r w:rsidR="00F66FE7">
        <w:rPr>
          <w:rFonts w:cs="Times New Roman"/>
          <w:szCs w:val="24"/>
          <w:lang w:val="en-GB"/>
        </w:rPr>
        <w:t>y</w:t>
      </w:r>
      <w:r w:rsidR="00330925" w:rsidRPr="002B7B0F">
        <w:rPr>
          <w:rFonts w:cs="Times New Roman"/>
          <w:szCs w:val="24"/>
          <w:lang w:val="en-GB"/>
        </w:rPr>
        <w:t xml:space="preserve"> as </w:t>
      </w:r>
      <w:bookmarkEnd w:id="32"/>
      <w:r w:rsidR="00330925" w:rsidRPr="002B7B0F">
        <w:rPr>
          <w:rFonts w:cs="Times New Roman"/>
          <w:szCs w:val="24"/>
          <w:lang w:val="en-GB"/>
        </w:rPr>
        <w:t>single takeover attempts by the capital market.</w:t>
      </w:r>
      <w:r w:rsidR="00CE2101" w:rsidRPr="002B7B0F">
        <w:rPr>
          <w:rFonts w:cs="Times New Roman"/>
          <w:szCs w:val="24"/>
          <w:lang w:val="en-GB"/>
        </w:rPr>
        <w:t xml:space="preserve"> In addition, </w:t>
      </w:r>
      <w:r w:rsidR="00D63FF6" w:rsidRPr="002B7B0F">
        <w:rPr>
          <w:rFonts w:cs="Times New Roman"/>
          <w:szCs w:val="24"/>
          <w:lang w:val="en-GB"/>
        </w:rPr>
        <w:t>o</w:t>
      </w:r>
      <w:r w:rsidR="00CE2101" w:rsidRPr="002B7B0F">
        <w:rPr>
          <w:rFonts w:cs="Times New Roman"/>
          <w:szCs w:val="24"/>
          <w:lang w:val="en-GB"/>
        </w:rPr>
        <w:t xml:space="preserve">ne prominent argument of </w:t>
      </w:r>
      <w:r w:rsidR="00D63FF6" w:rsidRPr="002B7B0F">
        <w:rPr>
          <w:rFonts w:cs="Times New Roman"/>
          <w:szCs w:val="24"/>
          <w:lang w:val="en-GB"/>
        </w:rPr>
        <w:t xml:space="preserve">the relationship between acquirers’ announcement period returns and </w:t>
      </w:r>
      <w:r w:rsidR="00F66FE7">
        <w:rPr>
          <w:rFonts w:cs="Times New Roman"/>
          <w:szCs w:val="24"/>
          <w:lang w:val="en-GB"/>
        </w:rPr>
        <w:t xml:space="preserve">the </w:t>
      </w:r>
      <w:r w:rsidR="00D63FF6" w:rsidRPr="002B7B0F">
        <w:rPr>
          <w:rFonts w:cs="Times New Roman"/>
          <w:szCs w:val="24"/>
          <w:lang w:val="en-GB"/>
        </w:rPr>
        <w:t xml:space="preserve">relevance of industry </w:t>
      </w:r>
      <w:r w:rsidR="00CE2101" w:rsidRPr="002B7B0F">
        <w:rPr>
          <w:rFonts w:cs="Times New Roman"/>
          <w:szCs w:val="24"/>
          <w:lang w:val="en-GB"/>
        </w:rPr>
        <w:t xml:space="preserve">is that, </w:t>
      </w:r>
      <w:r w:rsidR="00F66FE7">
        <w:rPr>
          <w:rFonts w:cs="Times New Roman"/>
          <w:szCs w:val="24"/>
          <w:lang w:val="en-GB"/>
        </w:rPr>
        <w:t>in contrast to</w:t>
      </w:r>
      <w:r w:rsidR="00CE2101" w:rsidRPr="002B7B0F">
        <w:rPr>
          <w:rFonts w:cs="Times New Roman"/>
          <w:szCs w:val="24"/>
          <w:lang w:val="en-GB"/>
        </w:rPr>
        <w:t xml:space="preserve"> foc</w:t>
      </w:r>
      <w:r w:rsidR="00B51567" w:rsidRPr="002B7B0F">
        <w:rPr>
          <w:rFonts w:cs="Times New Roman"/>
          <w:szCs w:val="24"/>
          <w:lang w:val="en-GB"/>
        </w:rPr>
        <w:t xml:space="preserve">us increasing acquisitions, the </w:t>
      </w:r>
      <w:r w:rsidR="00CE2101" w:rsidRPr="002B7B0F">
        <w:rPr>
          <w:rFonts w:cs="Times New Roman"/>
          <w:szCs w:val="24"/>
          <w:lang w:val="en-GB"/>
        </w:rPr>
        <w:t>diversification of acquisitions in bidding companies would lead to lower earnings (</w:t>
      </w:r>
      <w:r w:rsidR="00BA74BF" w:rsidRPr="002B7B0F">
        <w:rPr>
          <w:rFonts w:cs="Times New Roman"/>
          <w:szCs w:val="24"/>
          <w:lang w:val="en-GB"/>
        </w:rPr>
        <w:t>Morck</w:t>
      </w:r>
      <w:r w:rsidR="00CE2101" w:rsidRPr="002B7B0F">
        <w:rPr>
          <w:rFonts w:cs="Times New Roman"/>
          <w:szCs w:val="24"/>
          <w:lang w:val="en-GB"/>
        </w:rPr>
        <w:t xml:space="preserve"> et al</w:t>
      </w:r>
      <w:r w:rsidR="00BC028C">
        <w:rPr>
          <w:rFonts w:cs="Times New Roman"/>
          <w:szCs w:val="24"/>
          <w:lang w:val="en-GB"/>
        </w:rPr>
        <w:t>.</w:t>
      </w:r>
      <w:r w:rsidR="00CE2101" w:rsidRPr="002B7B0F">
        <w:rPr>
          <w:rFonts w:cs="Times New Roman"/>
          <w:szCs w:val="24"/>
          <w:lang w:val="en-GB"/>
        </w:rPr>
        <w:t xml:space="preserve"> 1990; Servaes 1996; Maquieira et al. 1998;</w:t>
      </w:r>
      <w:r w:rsidR="00B51567" w:rsidRPr="002B7B0F">
        <w:rPr>
          <w:rFonts w:cs="Times New Roman"/>
          <w:szCs w:val="24"/>
          <w:lang w:val="en-GB"/>
        </w:rPr>
        <w:t xml:space="preserve"> Draper and Paudyal 2006). R</w:t>
      </w:r>
      <w:r w:rsidR="00CE2101" w:rsidRPr="002B7B0F">
        <w:rPr>
          <w:rFonts w:cs="Times New Roman"/>
          <w:szCs w:val="24"/>
          <w:lang w:val="en-GB"/>
        </w:rPr>
        <w:t>esult</w:t>
      </w:r>
      <w:r w:rsidR="00D63FF6" w:rsidRPr="002B7B0F">
        <w:rPr>
          <w:rFonts w:cs="Times New Roman"/>
          <w:szCs w:val="24"/>
          <w:lang w:val="en-GB"/>
        </w:rPr>
        <w:t>s</w:t>
      </w:r>
      <w:r w:rsidR="00CE2101" w:rsidRPr="002B7B0F">
        <w:rPr>
          <w:rFonts w:cs="Times New Roman"/>
          <w:szCs w:val="24"/>
          <w:lang w:val="en-GB"/>
        </w:rPr>
        <w:t xml:space="preserve"> from acquirers of target</w:t>
      </w:r>
      <w:r w:rsidR="00B51567" w:rsidRPr="002B7B0F">
        <w:rPr>
          <w:rFonts w:cs="Times New Roman"/>
          <w:szCs w:val="24"/>
          <w:lang w:val="en-GB"/>
        </w:rPr>
        <w:t>s</w:t>
      </w:r>
      <w:r w:rsidR="00CE2101" w:rsidRPr="002B7B0F">
        <w:rPr>
          <w:rFonts w:cs="Times New Roman"/>
          <w:szCs w:val="24"/>
          <w:lang w:val="en-GB"/>
        </w:rPr>
        <w:t xml:space="preserve"> </w:t>
      </w:r>
      <w:r w:rsidR="00D63FF6" w:rsidRPr="002B7B0F">
        <w:rPr>
          <w:rFonts w:cs="Times New Roman"/>
          <w:szCs w:val="24"/>
          <w:lang w:val="en-GB"/>
        </w:rPr>
        <w:t>from both markets are</w:t>
      </w:r>
      <w:r w:rsidR="00CE2101" w:rsidRPr="002B7B0F">
        <w:rPr>
          <w:rFonts w:cs="Times New Roman"/>
          <w:szCs w:val="24"/>
          <w:lang w:val="en-GB"/>
        </w:rPr>
        <w:t xml:space="preserve"> consistent with this argument, which shows a </w:t>
      </w:r>
      <w:r w:rsidR="00D63FF6" w:rsidRPr="002B7B0F">
        <w:rPr>
          <w:rFonts w:cs="Times New Roman"/>
          <w:szCs w:val="24"/>
          <w:lang w:val="en-GB"/>
        </w:rPr>
        <w:t xml:space="preserve">higher and more </w:t>
      </w:r>
      <w:r w:rsidR="00CE2101" w:rsidRPr="002B7B0F">
        <w:rPr>
          <w:rFonts w:cs="Times New Roman"/>
          <w:szCs w:val="24"/>
          <w:lang w:val="en-GB"/>
        </w:rPr>
        <w:t xml:space="preserve">significant abnormal return in related acquisitions and a </w:t>
      </w:r>
      <w:r w:rsidR="00D63FF6" w:rsidRPr="002B7B0F">
        <w:rPr>
          <w:rFonts w:cs="Times New Roman"/>
          <w:szCs w:val="24"/>
          <w:lang w:val="en-GB"/>
        </w:rPr>
        <w:t>lower and in</w:t>
      </w:r>
      <w:r w:rsidR="00CE2101" w:rsidRPr="002B7B0F">
        <w:rPr>
          <w:rFonts w:cs="Times New Roman"/>
          <w:szCs w:val="24"/>
          <w:lang w:val="en-GB"/>
        </w:rPr>
        <w:t xml:space="preserve">significant excess return in unrelated takeovers. </w:t>
      </w:r>
    </w:p>
    <w:p w14:paraId="7944F51D" w14:textId="2A4C7DDE" w:rsidR="00702C60" w:rsidRPr="002B7B0F" w:rsidRDefault="00FE5D48" w:rsidP="00702C60">
      <w:pPr>
        <w:ind w:firstLine="480"/>
        <w:rPr>
          <w:rFonts w:cs="Times New Roman"/>
          <w:szCs w:val="24"/>
          <w:lang w:val="en-GB"/>
        </w:rPr>
      </w:pPr>
      <w:r w:rsidRPr="002B7B0F">
        <w:rPr>
          <w:rFonts w:cs="Times New Roman"/>
          <w:szCs w:val="24"/>
          <w:lang w:val="en-GB"/>
        </w:rPr>
        <w:t>As to firm characteristics,</w:t>
      </w:r>
      <w:r w:rsidR="00E90693" w:rsidRPr="002B7B0F">
        <w:rPr>
          <w:lang w:val="en-GB"/>
        </w:rPr>
        <w:t xml:space="preserve"> </w:t>
      </w:r>
      <w:r w:rsidR="00F66FE7">
        <w:rPr>
          <w:lang w:val="en-GB"/>
        </w:rPr>
        <w:t xml:space="preserve">the </w:t>
      </w:r>
      <w:r w:rsidR="00E90693" w:rsidRPr="002B7B0F">
        <w:rPr>
          <w:lang w:val="en-GB"/>
        </w:rPr>
        <w:t>size of the acquiring company has been considered as an important determining factor of the abnormal return</w:t>
      </w:r>
      <w:r w:rsidRPr="002B7B0F">
        <w:rPr>
          <w:lang w:val="en-GB"/>
        </w:rPr>
        <w:t>s</w:t>
      </w:r>
      <w:r w:rsidR="00E90693" w:rsidRPr="002B7B0F">
        <w:rPr>
          <w:lang w:val="en-GB"/>
        </w:rPr>
        <w:t xml:space="preserve"> generated by these companies.</w:t>
      </w:r>
      <w:r w:rsidRPr="002B7B0F">
        <w:rPr>
          <w:lang w:val="en-GB"/>
        </w:rPr>
        <w:t xml:space="preserve"> According to the result</w:t>
      </w:r>
      <w:r w:rsidR="00F66FE7">
        <w:rPr>
          <w:lang w:val="en-GB"/>
        </w:rPr>
        <w:t>s</w:t>
      </w:r>
      <w:r w:rsidRPr="002B7B0F">
        <w:rPr>
          <w:lang w:val="en-GB"/>
        </w:rPr>
        <w:t>,</w:t>
      </w:r>
      <w:r w:rsidR="0064410C" w:rsidRPr="002B7B0F">
        <w:rPr>
          <w:lang w:val="en-GB"/>
        </w:rPr>
        <w:t xml:space="preserve"> </w:t>
      </w:r>
      <w:r w:rsidR="00F66FE7">
        <w:rPr>
          <w:lang w:val="en-GB"/>
        </w:rPr>
        <w:t xml:space="preserve">the </w:t>
      </w:r>
      <w:r w:rsidR="0064410C" w:rsidRPr="002B7B0F">
        <w:rPr>
          <w:lang w:val="en-GB"/>
        </w:rPr>
        <w:t>abnormal return</w:t>
      </w:r>
      <w:r w:rsidRPr="002B7B0F">
        <w:rPr>
          <w:lang w:val="en-GB"/>
        </w:rPr>
        <w:t>s</w:t>
      </w:r>
      <w:r w:rsidR="0064410C" w:rsidRPr="002B7B0F">
        <w:rPr>
          <w:lang w:val="en-GB"/>
        </w:rPr>
        <w:t xml:space="preserve"> a</w:t>
      </w:r>
      <w:r w:rsidRPr="002B7B0F">
        <w:rPr>
          <w:lang w:val="en-GB"/>
        </w:rPr>
        <w:t>chieved by small size bidders are</w:t>
      </w:r>
      <w:r w:rsidR="0064410C" w:rsidRPr="002B7B0F">
        <w:rPr>
          <w:lang w:val="en-GB"/>
        </w:rPr>
        <w:t xml:space="preserve"> higher than </w:t>
      </w:r>
      <w:r w:rsidR="00F66FE7">
        <w:rPr>
          <w:lang w:val="en-GB"/>
        </w:rPr>
        <w:t xml:space="preserve">those of </w:t>
      </w:r>
      <w:r w:rsidR="0064410C" w:rsidRPr="002B7B0F">
        <w:rPr>
          <w:lang w:val="en-GB"/>
        </w:rPr>
        <w:t xml:space="preserve">large bidders </w:t>
      </w:r>
      <w:r w:rsidRPr="002B7B0F">
        <w:rPr>
          <w:lang w:val="en-GB"/>
        </w:rPr>
        <w:t>who</w:t>
      </w:r>
      <w:r w:rsidR="0064410C" w:rsidRPr="002B7B0F">
        <w:rPr>
          <w:lang w:val="en-GB"/>
        </w:rPr>
        <w:t xml:space="preserve"> acquire targets from </w:t>
      </w:r>
      <w:r w:rsidRPr="002B7B0F">
        <w:rPr>
          <w:lang w:val="en-GB"/>
        </w:rPr>
        <w:t>Hong Kong markets.</w:t>
      </w:r>
      <w:r w:rsidR="0064410C" w:rsidRPr="002B7B0F">
        <w:rPr>
          <w:lang w:val="en-GB"/>
        </w:rPr>
        <w:t xml:space="preserve"> </w:t>
      </w:r>
      <w:r w:rsidRPr="002B7B0F">
        <w:rPr>
          <w:lang w:val="en-GB"/>
        </w:rPr>
        <w:t xml:space="preserve">However, when these firms purchase targets from </w:t>
      </w:r>
      <w:r w:rsidR="00F66FE7">
        <w:rPr>
          <w:lang w:val="en-GB"/>
        </w:rPr>
        <w:t xml:space="preserve">the </w:t>
      </w:r>
      <w:r w:rsidRPr="002B7B0F">
        <w:rPr>
          <w:lang w:val="en-GB"/>
        </w:rPr>
        <w:t xml:space="preserve">Mainland </w:t>
      </w:r>
      <w:r w:rsidR="00392FA6">
        <w:rPr>
          <w:lang w:val="en-GB"/>
        </w:rPr>
        <w:t xml:space="preserve">China </w:t>
      </w:r>
      <w:r w:rsidRPr="002B7B0F">
        <w:rPr>
          <w:lang w:val="en-GB"/>
        </w:rPr>
        <w:t xml:space="preserve">market, </w:t>
      </w:r>
      <w:r w:rsidR="00DB6812" w:rsidRPr="002B7B0F">
        <w:rPr>
          <w:lang w:val="en-GB"/>
        </w:rPr>
        <w:t xml:space="preserve">there </w:t>
      </w:r>
      <w:r w:rsidRPr="002B7B0F">
        <w:rPr>
          <w:lang w:val="en-GB"/>
        </w:rPr>
        <w:t>is no difference between</w:t>
      </w:r>
      <w:r w:rsidR="00DB6812" w:rsidRPr="002B7B0F">
        <w:rPr>
          <w:lang w:val="en-GB"/>
        </w:rPr>
        <w:t xml:space="preserve"> </w:t>
      </w:r>
      <w:r w:rsidR="00F66FE7">
        <w:rPr>
          <w:lang w:val="en-GB"/>
        </w:rPr>
        <w:t xml:space="preserve">the </w:t>
      </w:r>
      <w:r w:rsidR="00DB6812" w:rsidRPr="002B7B0F">
        <w:rPr>
          <w:lang w:val="en-GB"/>
        </w:rPr>
        <w:t>abnormal return</w:t>
      </w:r>
      <w:r w:rsidRPr="002B7B0F">
        <w:rPr>
          <w:lang w:val="en-GB"/>
        </w:rPr>
        <w:t>s</w:t>
      </w:r>
      <w:r w:rsidR="00DB6812" w:rsidRPr="002B7B0F">
        <w:rPr>
          <w:lang w:val="en-GB"/>
        </w:rPr>
        <w:t xml:space="preserve"> of large acquirers and small acquirers. This supports the argument to a certain extent that large acquirers yield significantly lower than their small counterparts </w:t>
      </w:r>
      <w:r w:rsidRPr="002B7B0F">
        <w:rPr>
          <w:lang w:val="en-GB"/>
        </w:rPr>
        <w:t>as</w:t>
      </w:r>
      <w:r w:rsidR="00DB6812" w:rsidRPr="002B7B0F">
        <w:rPr>
          <w:lang w:val="en-GB"/>
        </w:rPr>
        <w:t xml:space="preserve"> managers of large acquiring companies are more likely to be motivated by hubris (Roll 1986). Then, </w:t>
      </w:r>
      <w:r w:rsidR="00A25ADD" w:rsidRPr="002B7B0F">
        <w:rPr>
          <w:rFonts w:cs="Times New Roman"/>
          <w:szCs w:val="24"/>
          <w:lang w:val="en-GB"/>
        </w:rPr>
        <w:t xml:space="preserve">based on Jensen’s (1986) free cash flow theory, highly authorized managers are more willing to invest overmuch free cash flow in projects with negative net present value (NPV) rather than paying them to shareholders. </w:t>
      </w:r>
      <w:r w:rsidR="00F66FE7">
        <w:rPr>
          <w:rFonts w:cs="Times New Roman"/>
          <w:szCs w:val="24"/>
          <w:lang w:val="en-GB"/>
        </w:rPr>
        <w:t>The r</w:t>
      </w:r>
      <w:r w:rsidRPr="002B7B0F">
        <w:rPr>
          <w:rFonts w:cs="Times New Roman"/>
          <w:szCs w:val="24"/>
          <w:lang w:val="en-GB"/>
        </w:rPr>
        <w:t>esults</w:t>
      </w:r>
      <w:r w:rsidR="00A25ADD" w:rsidRPr="002B7B0F">
        <w:rPr>
          <w:rFonts w:cs="Times New Roman"/>
          <w:szCs w:val="24"/>
          <w:lang w:val="en-GB"/>
        </w:rPr>
        <w:t xml:space="preserve"> </w:t>
      </w:r>
      <w:r w:rsidR="00F66FE7">
        <w:rPr>
          <w:rFonts w:cs="Times New Roman"/>
          <w:szCs w:val="24"/>
          <w:lang w:val="en-GB"/>
        </w:rPr>
        <w:t>relating to</w:t>
      </w:r>
      <w:r w:rsidR="00F66FE7" w:rsidRPr="002B7B0F">
        <w:rPr>
          <w:rFonts w:cs="Times New Roman"/>
          <w:szCs w:val="24"/>
          <w:lang w:val="en-GB"/>
        </w:rPr>
        <w:t xml:space="preserve"> </w:t>
      </w:r>
      <w:r w:rsidR="00BC028C" w:rsidRPr="002B7B0F">
        <w:rPr>
          <w:rFonts w:cs="Times New Roman"/>
          <w:szCs w:val="24"/>
          <w:lang w:val="en-GB"/>
        </w:rPr>
        <w:t xml:space="preserve">Mainland </w:t>
      </w:r>
      <w:r w:rsidR="00A25ADD" w:rsidRPr="002B7B0F">
        <w:rPr>
          <w:rFonts w:cs="Times New Roman"/>
          <w:szCs w:val="24"/>
          <w:lang w:val="en-GB"/>
        </w:rPr>
        <w:t>China target acquirers is quite conspicuous with</w:t>
      </w:r>
      <w:r w:rsidR="00F66FE7">
        <w:rPr>
          <w:rFonts w:cs="Times New Roman"/>
          <w:szCs w:val="24"/>
          <w:lang w:val="en-GB"/>
        </w:rPr>
        <w:t>in</w:t>
      </w:r>
      <w:r w:rsidR="00A25ADD" w:rsidRPr="002B7B0F">
        <w:rPr>
          <w:rFonts w:cs="Times New Roman"/>
          <w:szCs w:val="24"/>
          <w:lang w:val="en-GB"/>
        </w:rPr>
        <w:t xml:space="preserve"> the literature, in which bidders wh</w:t>
      </w:r>
      <w:r w:rsidR="0028778C" w:rsidRPr="002B7B0F">
        <w:rPr>
          <w:rFonts w:cs="Times New Roman"/>
          <w:szCs w:val="24"/>
          <w:lang w:val="en-GB"/>
        </w:rPr>
        <w:t>o lack cash make</w:t>
      </w:r>
      <w:r w:rsidR="00A25ADD" w:rsidRPr="002B7B0F">
        <w:rPr>
          <w:rFonts w:cs="Times New Roman"/>
          <w:szCs w:val="24"/>
          <w:lang w:val="en-GB"/>
        </w:rPr>
        <w:t xml:space="preserve"> significant</w:t>
      </w:r>
      <w:r w:rsidR="00C26CF5">
        <w:rPr>
          <w:rFonts w:cs="Times New Roman"/>
          <w:szCs w:val="24"/>
          <w:lang w:val="en-GB"/>
        </w:rPr>
        <w:t>ly</w:t>
      </w:r>
      <w:r w:rsidR="00A25ADD" w:rsidRPr="002B7B0F">
        <w:rPr>
          <w:rFonts w:cs="Times New Roman"/>
          <w:szCs w:val="24"/>
          <w:lang w:val="en-GB"/>
        </w:rPr>
        <w:t xml:space="preserve"> higher positive returns than companies with excess cash. As Jensen (1986) emphasized, the market is more willing to accept takeover program</w:t>
      </w:r>
      <w:r w:rsidR="00C26CF5">
        <w:rPr>
          <w:rFonts w:cs="Times New Roman"/>
          <w:szCs w:val="24"/>
          <w:lang w:val="en-GB"/>
        </w:rPr>
        <w:t>me</w:t>
      </w:r>
      <w:r w:rsidR="00A25ADD" w:rsidRPr="002B7B0F">
        <w:rPr>
          <w:rFonts w:cs="Times New Roman"/>
          <w:szCs w:val="24"/>
          <w:lang w:val="en-GB"/>
        </w:rPr>
        <w:t>s of corporates with less free cash flow as value enhancing activities. Cash-rich companies tend to participate in value decreasing acquisiti</w:t>
      </w:r>
      <w:r w:rsidR="004B10CA" w:rsidRPr="002B7B0F">
        <w:rPr>
          <w:rFonts w:cs="Times New Roman"/>
          <w:szCs w:val="24"/>
          <w:lang w:val="en-GB"/>
        </w:rPr>
        <w:t>ons (Harford 1999). However,</w:t>
      </w:r>
      <w:r w:rsidR="00A25ADD" w:rsidRPr="002B7B0F">
        <w:rPr>
          <w:rFonts w:cs="Times New Roman"/>
          <w:szCs w:val="24"/>
          <w:lang w:val="en-GB"/>
        </w:rPr>
        <w:t xml:space="preserve"> cumulative abnormal return</w:t>
      </w:r>
      <w:r w:rsidR="004B10CA" w:rsidRPr="002B7B0F">
        <w:rPr>
          <w:rFonts w:cs="Times New Roman"/>
          <w:szCs w:val="24"/>
          <w:lang w:val="en-GB"/>
        </w:rPr>
        <w:t>s</w:t>
      </w:r>
      <w:r w:rsidR="00A25ADD" w:rsidRPr="002B7B0F">
        <w:rPr>
          <w:rFonts w:cs="Times New Roman"/>
          <w:szCs w:val="24"/>
          <w:lang w:val="en-GB"/>
        </w:rPr>
        <w:t xml:space="preserve"> generated by bidders of Hong Kong targets present </w:t>
      </w:r>
      <w:r w:rsidR="004B10CA" w:rsidRPr="002B7B0F">
        <w:rPr>
          <w:rFonts w:cs="Times New Roman"/>
          <w:szCs w:val="24"/>
          <w:lang w:val="en-GB"/>
        </w:rPr>
        <w:t>adverse</w:t>
      </w:r>
      <w:r w:rsidR="00A25ADD" w:rsidRPr="002B7B0F">
        <w:rPr>
          <w:rFonts w:cs="Times New Roman"/>
          <w:szCs w:val="24"/>
          <w:lang w:val="en-GB"/>
        </w:rPr>
        <w:t xml:space="preserve"> outcome</w:t>
      </w:r>
      <w:r w:rsidR="00C26CF5">
        <w:rPr>
          <w:rFonts w:cs="Times New Roman"/>
          <w:szCs w:val="24"/>
          <w:lang w:val="en-GB"/>
        </w:rPr>
        <w:t>s</w:t>
      </w:r>
      <w:r w:rsidR="00A25ADD" w:rsidRPr="002B7B0F">
        <w:rPr>
          <w:rFonts w:cs="Times New Roman"/>
          <w:szCs w:val="24"/>
          <w:lang w:val="en-GB"/>
        </w:rPr>
        <w:t xml:space="preserve"> but the difference is relatively low. </w:t>
      </w:r>
      <w:r w:rsidR="00C7321B" w:rsidRPr="002B7B0F">
        <w:rPr>
          <w:rFonts w:cs="Times New Roman"/>
          <w:szCs w:val="24"/>
          <w:lang w:val="en-GB"/>
        </w:rPr>
        <w:t>Moreover, previous research shows that high leverage would limit managemen</w:t>
      </w:r>
      <w:r w:rsidR="004B10CA" w:rsidRPr="002B7B0F">
        <w:rPr>
          <w:rFonts w:cs="Times New Roman"/>
          <w:szCs w:val="24"/>
          <w:lang w:val="en-GB"/>
        </w:rPr>
        <w:t>t discretion due to the decreasing trend</w:t>
      </w:r>
      <w:r w:rsidR="00C7321B" w:rsidRPr="002B7B0F">
        <w:rPr>
          <w:rFonts w:cs="Times New Roman"/>
          <w:szCs w:val="24"/>
          <w:lang w:val="en-GB"/>
        </w:rPr>
        <w:t xml:space="preserve"> of future free cash flows</w:t>
      </w:r>
      <w:r w:rsidR="00C7321B" w:rsidRPr="002B7B0F">
        <w:rPr>
          <w:rFonts w:cs="Times New Roman"/>
          <w:lang w:val="en-GB"/>
        </w:rPr>
        <w:t xml:space="preserve"> </w:t>
      </w:r>
      <w:r w:rsidR="00C7321B" w:rsidRPr="002B7B0F">
        <w:rPr>
          <w:rFonts w:cs="Times New Roman"/>
          <w:szCs w:val="24"/>
          <w:lang w:val="en-GB"/>
        </w:rPr>
        <w:t>(Masulis et al. 2007). As a result, managers of highly leveraged companies are more likely to improve their performance</w:t>
      </w:r>
      <w:r w:rsidR="00613DF3" w:rsidRPr="002B7B0F">
        <w:rPr>
          <w:rFonts w:cs="Times New Roman"/>
          <w:szCs w:val="24"/>
          <w:lang w:val="en-GB"/>
        </w:rPr>
        <w:t>s</w:t>
      </w:r>
      <w:r w:rsidR="00C7321B" w:rsidRPr="002B7B0F">
        <w:rPr>
          <w:rFonts w:cs="Times New Roman"/>
          <w:szCs w:val="24"/>
          <w:lang w:val="en-GB"/>
        </w:rPr>
        <w:t xml:space="preserve"> to avoid financial crisis</w:t>
      </w:r>
      <w:r w:rsidR="00C7321B" w:rsidRPr="002B7B0F">
        <w:rPr>
          <w:rFonts w:cs="Times New Roman"/>
          <w:lang w:val="en-GB"/>
        </w:rPr>
        <w:t xml:space="preserve"> </w:t>
      </w:r>
      <w:r w:rsidR="00C7321B" w:rsidRPr="002B7B0F">
        <w:rPr>
          <w:rFonts w:cs="Times New Roman"/>
          <w:szCs w:val="24"/>
          <w:lang w:val="en-GB"/>
        </w:rPr>
        <w:t xml:space="preserve">(Maloney et al. 1993). </w:t>
      </w:r>
      <w:r w:rsidR="00613DF3" w:rsidRPr="002B7B0F">
        <w:rPr>
          <w:rFonts w:cs="Times New Roman"/>
          <w:szCs w:val="24"/>
          <w:lang w:val="en-GB"/>
        </w:rPr>
        <w:t>Consistently, r</w:t>
      </w:r>
      <w:r w:rsidR="00C7321B" w:rsidRPr="002B7B0F">
        <w:rPr>
          <w:rFonts w:cs="Times New Roman"/>
          <w:szCs w:val="24"/>
          <w:lang w:val="en-GB"/>
        </w:rPr>
        <w:t>esults from Mainland</w:t>
      </w:r>
      <w:r w:rsidR="00392FA6">
        <w:rPr>
          <w:rFonts w:cs="Times New Roman"/>
          <w:szCs w:val="24"/>
          <w:lang w:val="en-GB"/>
        </w:rPr>
        <w:t xml:space="preserve"> China</w:t>
      </w:r>
      <w:r w:rsidR="00C7321B" w:rsidRPr="002B7B0F">
        <w:rPr>
          <w:rFonts w:cs="Times New Roman"/>
          <w:szCs w:val="24"/>
          <w:lang w:val="en-GB"/>
        </w:rPr>
        <w:t xml:space="preserve"> target </w:t>
      </w:r>
      <w:r w:rsidR="00613DF3" w:rsidRPr="002B7B0F">
        <w:rPr>
          <w:rFonts w:cs="Times New Roman"/>
          <w:szCs w:val="24"/>
          <w:lang w:val="en-GB"/>
        </w:rPr>
        <w:t>acquirers show that</w:t>
      </w:r>
      <w:r w:rsidR="00C7321B" w:rsidRPr="002B7B0F">
        <w:rPr>
          <w:rFonts w:cs="Times New Roman"/>
          <w:szCs w:val="24"/>
          <w:lang w:val="en-GB"/>
        </w:rPr>
        <w:t xml:space="preserve"> highly leveraged bidders observe significant </w:t>
      </w:r>
      <w:r w:rsidR="00135CF2" w:rsidRPr="002B7B0F">
        <w:rPr>
          <w:rFonts w:cs="Times New Roman"/>
          <w:szCs w:val="24"/>
          <w:lang w:val="en-GB"/>
        </w:rPr>
        <w:t xml:space="preserve">positive </w:t>
      </w:r>
      <w:r w:rsidR="00C7321B" w:rsidRPr="002B7B0F">
        <w:rPr>
          <w:rFonts w:cs="Times New Roman"/>
          <w:szCs w:val="24"/>
          <w:lang w:val="en-GB"/>
        </w:rPr>
        <w:t xml:space="preserve">abnormal returns whereas low leveraged </w:t>
      </w:r>
      <w:r w:rsidR="00613DF3" w:rsidRPr="002B7B0F">
        <w:rPr>
          <w:rFonts w:cs="Times New Roman"/>
          <w:szCs w:val="24"/>
          <w:lang w:val="en-GB"/>
        </w:rPr>
        <w:t>bidders</w:t>
      </w:r>
      <w:r w:rsidR="00C7321B" w:rsidRPr="002B7B0F">
        <w:rPr>
          <w:rFonts w:cs="Times New Roman"/>
          <w:szCs w:val="24"/>
          <w:lang w:val="en-GB"/>
        </w:rPr>
        <w:t xml:space="preserve"> observe significant negative</w:t>
      </w:r>
      <w:r w:rsidR="00135CF2" w:rsidRPr="002B7B0F">
        <w:rPr>
          <w:rFonts w:cs="Times New Roman"/>
          <w:szCs w:val="24"/>
          <w:lang w:val="en-GB"/>
        </w:rPr>
        <w:t xml:space="preserve"> </w:t>
      </w:r>
      <w:r w:rsidR="00613DF3" w:rsidRPr="002B7B0F">
        <w:rPr>
          <w:rFonts w:cs="Times New Roman"/>
          <w:szCs w:val="24"/>
          <w:lang w:val="en-GB"/>
        </w:rPr>
        <w:t>excess</w:t>
      </w:r>
      <w:r w:rsidR="00135CF2" w:rsidRPr="002B7B0F">
        <w:rPr>
          <w:rFonts w:cs="Times New Roman"/>
          <w:szCs w:val="24"/>
          <w:lang w:val="en-GB"/>
        </w:rPr>
        <w:t xml:space="preserve"> returns. On the basis of free cash fl</w:t>
      </w:r>
      <w:r w:rsidR="004F510F" w:rsidRPr="002B7B0F">
        <w:rPr>
          <w:rFonts w:cs="Times New Roman"/>
          <w:szCs w:val="24"/>
          <w:lang w:val="en-GB"/>
        </w:rPr>
        <w:t>ow theory (Jensen 1986), managers of highly leveraged companies</w:t>
      </w:r>
      <w:r w:rsidR="00135CF2" w:rsidRPr="002B7B0F">
        <w:rPr>
          <w:rFonts w:cs="Times New Roman"/>
          <w:szCs w:val="24"/>
          <w:lang w:val="en-GB"/>
        </w:rPr>
        <w:t xml:space="preserve"> should make decisions </w:t>
      </w:r>
      <w:r w:rsidR="004F510F" w:rsidRPr="002B7B0F">
        <w:rPr>
          <w:rFonts w:cs="Times New Roman"/>
          <w:szCs w:val="24"/>
          <w:lang w:val="en-GB"/>
        </w:rPr>
        <w:t xml:space="preserve">that </w:t>
      </w:r>
      <w:r w:rsidR="00135CF2" w:rsidRPr="002B7B0F">
        <w:rPr>
          <w:rFonts w:cs="Times New Roman"/>
          <w:szCs w:val="24"/>
          <w:lang w:val="en-GB"/>
        </w:rPr>
        <w:t xml:space="preserve">aim to create value, including </w:t>
      </w:r>
      <w:r w:rsidR="004F510F" w:rsidRPr="002B7B0F">
        <w:rPr>
          <w:rFonts w:cs="Times New Roman"/>
          <w:szCs w:val="24"/>
          <w:lang w:val="en-GB"/>
        </w:rPr>
        <w:t>acquisition decisions</w:t>
      </w:r>
      <w:r w:rsidR="00135CF2" w:rsidRPr="002B7B0F">
        <w:rPr>
          <w:rFonts w:cs="Times New Roman"/>
          <w:szCs w:val="24"/>
          <w:lang w:val="en-GB"/>
        </w:rPr>
        <w:t>. But finding</w:t>
      </w:r>
      <w:r w:rsidR="004F510F" w:rsidRPr="002B7B0F">
        <w:rPr>
          <w:rFonts w:cs="Times New Roman"/>
          <w:szCs w:val="24"/>
          <w:lang w:val="en-GB"/>
        </w:rPr>
        <w:t>s</w:t>
      </w:r>
      <w:r w:rsidR="00135CF2" w:rsidRPr="002B7B0F">
        <w:rPr>
          <w:rFonts w:cs="Times New Roman"/>
          <w:szCs w:val="24"/>
          <w:lang w:val="en-GB"/>
        </w:rPr>
        <w:t xml:space="preserve"> from acquirers of Hong Kong target</w:t>
      </w:r>
      <w:r w:rsidR="004F510F" w:rsidRPr="002B7B0F">
        <w:rPr>
          <w:rFonts w:cs="Times New Roman"/>
          <w:szCs w:val="24"/>
          <w:lang w:val="en-GB"/>
        </w:rPr>
        <w:t>s</w:t>
      </w:r>
      <w:r w:rsidR="00135CF2" w:rsidRPr="002B7B0F">
        <w:rPr>
          <w:rFonts w:cs="Times New Roman"/>
          <w:szCs w:val="24"/>
          <w:lang w:val="en-GB"/>
        </w:rPr>
        <w:t xml:space="preserve"> </w:t>
      </w:r>
      <w:r w:rsidR="00C26CF5">
        <w:rPr>
          <w:rFonts w:cs="Times New Roman"/>
          <w:szCs w:val="24"/>
          <w:lang w:val="en-GB"/>
        </w:rPr>
        <w:t>run counter to</w:t>
      </w:r>
      <w:r w:rsidR="00C26CF5" w:rsidRPr="002B7B0F">
        <w:rPr>
          <w:rFonts w:cs="Times New Roman"/>
          <w:szCs w:val="24"/>
          <w:lang w:val="en-GB"/>
        </w:rPr>
        <w:t xml:space="preserve"> </w:t>
      </w:r>
      <w:r w:rsidR="00135CF2" w:rsidRPr="002B7B0F">
        <w:rPr>
          <w:rFonts w:cs="Times New Roman"/>
          <w:szCs w:val="24"/>
          <w:lang w:val="en-GB"/>
        </w:rPr>
        <w:t xml:space="preserve">the above argument, </w:t>
      </w:r>
      <w:r w:rsidR="00C26CF5">
        <w:rPr>
          <w:rFonts w:cs="Times New Roman"/>
          <w:szCs w:val="24"/>
          <w:lang w:val="en-GB"/>
        </w:rPr>
        <w:t>as they do not show</w:t>
      </w:r>
      <w:r w:rsidR="00135CF2" w:rsidRPr="002B7B0F">
        <w:rPr>
          <w:rFonts w:cs="Times New Roman"/>
          <w:szCs w:val="24"/>
          <w:lang w:val="en-GB"/>
        </w:rPr>
        <w:t xml:space="preserve"> a positive association between highly leveraged enterprises and acquirers’ </w:t>
      </w:r>
      <w:r w:rsidR="004F510F" w:rsidRPr="002B7B0F">
        <w:rPr>
          <w:rFonts w:cs="Times New Roman"/>
          <w:szCs w:val="24"/>
          <w:lang w:val="en-GB"/>
        </w:rPr>
        <w:t xml:space="preserve">short-run </w:t>
      </w:r>
      <w:r w:rsidR="00135CF2" w:rsidRPr="002B7B0F">
        <w:rPr>
          <w:rFonts w:cs="Times New Roman"/>
          <w:szCs w:val="24"/>
          <w:lang w:val="en-GB"/>
        </w:rPr>
        <w:t>post-acquisition abnormal returns.</w:t>
      </w:r>
      <w:r w:rsidR="005F041B" w:rsidRPr="002B7B0F">
        <w:rPr>
          <w:rFonts w:cs="Times New Roman"/>
          <w:szCs w:val="24"/>
          <w:lang w:val="en-GB"/>
        </w:rPr>
        <w:t xml:space="preserve"> Additionally, regarding acquiring firms of target</w:t>
      </w:r>
      <w:r w:rsidR="004F510F" w:rsidRPr="002B7B0F">
        <w:rPr>
          <w:rFonts w:cs="Times New Roman"/>
          <w:szCs w:val="24"/>
          <w:lang w:val="en-GB"/>
        </w:rPr>
        <w:t>s</w:t>
      </w:r>
      <w:r w:rsidR="005F041B" w:rsidRPr="002B7B0F">
        <w:rPr>
          <w:rFonts w:cs="Times New Roman"/>
          <w:szCs w:val="24"/>
          <w:lang w:val="en-GB"/>
        </w:rPr>
        <w:t xml:space="preserve"> from both markets, there is evidence that the magnitude of average abnormal returns generated by low-margin acquirers is lower than that of high-margin acquirers. This can be supportive to Morck et al. (1990), who argue that acquirers with poor performance are more likely to earn negative abnormal returns.</w:t>
      </w:r>
    </w:p>
    <w:p w14:paraId="1EF0CC3E" w14:textId="216D8B7E" w:rsidR="009729E6" w:rsidRPr="002B7B0F" w:rsidRDefault="00702C60" w:rsidP="00BF730E">
      <w:pPr>
        <w:pStyle w:val="Heading1"/>
        <w:numPr>
          <w:ilvl w:val="0"/>
          <w:numId w:val="0"/>
        </w:numPr>
        <w:spacing w:before="360" w:after="360"/>
        <w:jc w:val="left"/>
        <w:rPr>
          <w:lang w:val="en-GB"/>
        </w:rPr>
      </w:pPr>
      <w:bookmarkStart w:id="33" w:name="_Toc491851535"/>
      <w:r w:rsidRPr="002B7B0F">
        <w:rPr>
          <w:lang w:val="en-GB"/>
        </w:rPr>
        <w:t>5.</w:t>
      </w:r>
      <w:r w:rsidR="00BC028C">
        <w:rPr>
          <w:lang w:val="en-GB"/>
        </w:rPr>
        <w:t xml:space="preserve"> </w:t>
      </w:r>
      <w:r w:rsidR="00BF730E" w:rsidRPr="002B7B0F">
        <w:rPr>
          <w:lang w:val="en-GB"/>
        </w:rPr>
        <w:t>Conclusion</w:t>
      </w:r>
      <w:bookmarkEnd w:id="33"/>
    </w:p>
    <w:p w14:paraId="53C7A765" w14:textId="44AD98B8" w:rsidR="00FC7768" w:rsidRPr="002B7B0F" w:rsidRDefault="00FC7768" w:rsidP="009729E6">
      <w:pPr>
        <w:ind w:firstLine="480"/>
        <w:rPr>
          <w:rFonts w:cs="Times New Roman"/>
          <w:szCs w:val="24"/>
          <w:lang w:val="en-GB"/>
        </w:rPr>
      </w:pPr>
      <w:r w:rsidRPr="002B7B0F">
        <w:rPr>
          <w:rFonts w:cs="Times New Roman"/>
          <w:szCs w:val="24"/>
          <w:lang w:val="en-GB"/>
        </w:rPr>
        <w:t xml:space="preserve">This </w:t>
      </w:r>
      <w:r w:rsidR="009729E6" w:rsidRPr="002B7B0F">
        <w:rPr>
          <w:rFonts w:cs="Times New Roman"/>
          <w:szCs w:val="24"/>
          <w:lang w:val="en-GB"/>
        </w:rPr>
        <w:t>study</w:t>
      </w:r>
      <w:r w:rsidRPr="002B7B0F">
        <w:rPr>
          <w:rFonts w:cs="Times New Roman"/>
          <w:szCs w:val="24"/>
          <w:lang w:val="en-GB"/>
        </w:rPr>
        <w:t xml:space="preserve"> examines short-term market responses to </w:t>
      </w:r>
      <w:r w:rsidR="00B224B8" w:rsidRPr="002B7B0F">
        <w:rPr>
          <w:rFonts w:cs="Times New Roman"/>
          <w:szCs w:val="24"/>
          <w:lang w:val="en-GB"/>
        </w:rPr>
        <w:t xml:space="preserve">domestic acquisition </w:t>
      </w:r>
      <w:r w:rsidRPr="002B7B0F">
        <w:rPr>
          <w:rFonts w:cs="Times New Roman"/>
          <w:szCs w:val="24"/>
          <w:lang w:val="en-GB"/>
        </w:rPr>
        <w:t>announceme</w:t>
      </w:r>
      <w:r w:rsidR="00B224B8" w:rsidRPr="002B7B0F">
        <w:rPr>
          <w:rFonts w:cs="Times New Roman"/>
          <w:szCs w:val="24"/>
          <w:lang w:val="en-GB"/>
        </w:rPr>
        <w:t>nts made by Hong Kong bidders</w:t>
      </w:r>
      <w:r w:rsidRPr="002B7B0F">
        <w:rPr>
          <w:rFonts w:cs="Times New Roman"/>
          <w:szCs w:val="24"/>
          <w:lang w:val="en-GB"/>
        </w:rPr>
        <w:t>. Prior research has proposed that abnormal returns of acquiring firms are related to the level of development and competition in the target market, which has la</w:t>
      </w:r>
      <w:r w:rsidR="001625F6">
        <w:rPr>
          <w:rFonts w:cs="Times New Roman"/>
          <w:szCs w:val="24"/>
          <w:lang w:val="en-GB"/>
        </w:rPr>
        <w:t>id</w:t>
      </w:r>
      <w:r w:rsidRPr="002B7B0F">
        <w:rPr>
          <w:rFonts w:cs="Times New Roman"/>
          <w:szCs w:val="24"/>
          <w:lang w:val="en-GB"/>
        </w:rPr>
        <w:t xml:space="preserve"> the foundation of this study</w:t>
      </w:r>
      <w:r w:rsidR="00B224B8" w:rsidRPr="002B7B0F">
        <w:rPr>
          <w:rFonts w:cs="Times New Roman"/>
          <w:szCs w:val="24"/>
          <w:lang w:val="en-GB"/>
        </w:rPr>
        <w:t xml:space="preserve"> (Alexandridis et al. 2010)</w:t>
      </w:r>
      <w:r w:rsidRPr="002B7B0F">
        <w:rPr>
          <w:rFonts w:cs="Times New Roman"/>
          <w:szCs w:val="24"/>
          <w:lang w:val="en-GB"/>
        </w:rPr>
        <w:t xml:space="preserve">. Accordingly, this </w:t>
      </w:r>
      <w:r w:rsidR="009729E6" w:rsidRPr="002B7B0F">
        <w:rPr>
          <w:rFonts w:cs="Times New Roman"/>
          <w:szCs w:val="24"/>
          <w:lang w:val="en-GB"/>
        </w:rPr>
        <w:t>study</w:t>
      </w:r>
      <w:r w:rsidR="00B224B8" w:rsidRPr="002B7B0F">
        <w:rPr>
          <w:rFonts w:cs="Times New Roman"/>
          <w:szCs w:val="24"/>
          <w:lang w:val="en-GB"/>
        </w:rPr>
        <w:t xml:space="preserve"> focuses on short-</w:t>
      </w:r>
      <w:r w:rsidRPr="002B7B0F">
        <w:rPr>
          <w:rFonts w:cs="Times New Roman"/>
          <w:szCs w:val="24"/>
          <w:lang w:val="en-GB"/>
        </w:rPr>
        <w:t>term market response</w:t>
      </w:r>
      <w:r w:rsidR="00B224B8" w:rsidRPr="002B7B0F">
        <w:rPr>
          <w:rFonts w:cs="Times New Roman"/>
          <w:szCs w:val="24"/>
          <w:lang w:val="en-GB"/>
        </w:rPr>
        <w:t>s</w:t>
      </w:r>
      <w:r w:rsidRPr="002B7B0F">
        <w:rPr>
          <w:rFonts w:cs="Times New Roman"/>
          <w:szCs w:val="24"/>
          <w:lang w:val="en-GB"/>
        </w:rPr>
        <w:t xml:space="preserve"> to acquisitions of Hong Kong target firms (targets from </w:t>
      </w:r>
      <w:r w:rsidR="001625F6">
        <w:rPr>
          <w:rFonts w:cs="Times New Roman"/>
          <w:szCs w:val="24"/>
          <w:lang w:val="en-GB"/>
        </w:rPr>
        <w:t xml:space="preserve">a </w:t>
      </w:r>
      <w:r w:rsidRPr="002B7B0F">
        <w:rPr>
          <w:rFonts w:cs="Times New Roman"/>
          <w:szCs w:val="24"/>
          <w:lang w:val="en-GB"/>
        </w:rPr>
        <w:t xml:space="preserve">developed and highly competitive market) and </w:t>
      </w:r>
      <w:r w:rsidR="00BC028C" w:rsidRPr="002B7B0F">
        <w:rPr>
          <w:rFonts w:cs="Times New Roman"/>
          <w:szCs w:val="24"/>
          <w:lang w:val="en-GB"/>
        </w:rPr>
        <w:t xml:space="preserve">Mainland </w:t>
      </w:r>
      <w:r w:rsidRPr="002B7B0F">
        <w:rPr>
          <w:rFonts w:cs="Times New Roman"/>
          <w:szCs w:val="24"/>
          <w:lang w:val="en-GB"/>
        </w:rPr>
        <w:t xml:space="preserve">China target firms (targets from </w:t>
      </w:r>
      <w:r w:rsidR="001625F6">
        <w:rPr>
          <w:rFonts w:cs="Times New Roman"/>
          <w:szCs w:val="24"/>
          <w:lang w:val="en-GB"/>
        </w:rPr>
        <w:t xml:space="preserve">a </w:t>
      </w:r>
      <w:r w:rsidRPr="002B7B0F">
        <w:rPr>
          <w:rFonts w:cs="Times New Roman"/>
          <w:szCs w:val="24"/>
          <w:lang w:val="en-GB"/>
        </w:rPr>
        <w:t xml:space="preserve">developing and less competitive market) in </w:t>
      </w:r>
      <w:r w:rsidR="009729E6" w:rsidRPr="002B7B0F">
        <w:rPr>
          <w:rFonts w:cs="Times New Roman"/>
          <w:szCs w:val="24"/>
          <w:lang w:val="en-GB"/>
        </w:rPr>
        <w:t xml:space="preserve">five </w:t>
      </w:r>
      <w:r w:rsidRPr="002B7B0F">
        <w:rPr>
          <w:rFonts w:cs="Times New Roman"/>
          <w:szCs w:val="24"/>
          <w:lang w:val="en-GB"/>
        </w:rPr>
        <w:t>financial year</w:t>
      </w:r>
      <w:r w:rsidR="001625F6">
        <w:rPr>
          <w:rFonts w:cs="Times New Roman"/>
          <w:szCs w:val="24"/>
          <w:lang w:val="en-GB"/>
        </w:rPr>
        <w:t>s</w:t>
      </w:r>
      <w:r w:rsidRPr="002B7B0F">
        <w:rPr>
          <w:rFonts w:cs="Times New Roman"/>
          <w:szCs w:val="24"/>
          <w:lang w:val="en-GB"/>
        </w:rPr>
        <w:t xml:space="preserve"> (</w:t>
      </w:r>
      <w:r w:rsidR="009729E6" w:rsidRPr="002B7B0F">
        <w:rPr>
          <w:rFonts w:cs="Times New Roman"/>
          <w:szCs w:val="24"/>
          <w:lang w:val="en-GB"/>
        </w:rPr>
        <w:t>2012-</w:t>
      </w:r>
      <w:r w:rsidRPr="002B7B0F">
        <w:rPr>
          <w:rFonts w:cs="Times New Roman"/>
          <w:szCs w:val="24"/>
          <w:lang w:val="en-GB"/>
        </w:rPr>
        <w:t>2016). The main finding</w:t>
      </w:r>
      <w:r w:rsidR="00B224B8" w:rsidRPr="002B7B0F">
        <w:rPr>
          <w:rFonts w:cs="Times New Roman"/>
          <w:szCs w:val="24"/>
          <w:lang w:val="en-GB"/>
        </w:rPr>
        <w:t xml:space="preserve"> of this research is that short-</w:t>
      </w:r>
      <w:r w:rsidRPr="002B7B0F">
        <w:rPr>
          <w:rFonts w:cs="Times New Roman"/>
          <w:szCs w:val="24"/>
          <w:lang w:val="en-GB"/>
        </w:rPr>
        <w:t xml:space="preserve">term abnormal returns received by acquiring companies are largely dependent on </w:t>
      </w:r>
      <w:r w:rsidR="001625F6">
        <w:rPr>
          <w:rFonts w:cs="Times New Roman"/>
          <w:szCs w:val="24"/>
          <w:lang w:val="en-GB"/>
        </w:rPr>
        <w:t xml:space="preserve">the </w:t>
      </w:r>
      <w:r w:rsidRPr="002B7B0F">
        <w:rPr>
          <w:rFonts w:cs="Times New Roman"/>
          <w:szCs w:val="24"/>
          <w:lang w:val="en-GB"/>
        </w:rPr>
        <w:t xml:space="preserve">locations of </w:t>
      </w:r>
      <w:r w:rsidR="00B224B8" w:rsidRPr="002B7B0F">
        <w:rPr>
          <w:rFonts w:cs="Times New Roman"/>
          <w:szCs w:val="24"/>
          <w:lang w:val="en-GB"/>
        </w:rPr>
        <w:t>acquiring</w:t>
      </w:r>
      <w:r w:rsidRPr="002B7B0F">
        <w:rPr>
          <w:rFonts w:cs="Times New Roman"/>
          <w:szCs w:val="24"/>
          <w:lang w:val="en-GB"/>
        </w:rPr>
        <w:t xml:space="preserve"> </w:t>
      </w:r>
      <w:r w:rsidR="00B224B8" w:rsidRPr="002B7B0F">
        <w:rPr>
          <w:rFonts w:cs="Times New Roman"/>
          <w:szCs w:val="24"/>
          <w:lang w:val="en-GB"/>
        </w:rPr>
        <w:t>targets. The acquisition events which</w:t>
      </w:r>
      <w:r w:rsidRPr="002B7B0F">
        <w:rPr>
          <w:rFonts w:cs="Times New Roman"/>
          <w:szCs w:val="24"/>
          <w:lang w:val="en-GB"/>
        </w:rPr>
        <w:t xml:space="preserve"> </w:t>
      </w:r>
      <w:r w:rsidR="001625F6">
        <w:rPr>
          <w:rFonts w:cs="Times New Roman"/>
          <w:szCs w:val="24"/>
          <w:lang w:val="en-GB"/>
        </w:rPr>
        <w:t>select</w:t>
      </w:r>
      <w:r w:rsidR="001625F6" w:rsidRPr="002B7B0F">
        <w:rPr>
          <w:rFonts w:cs="Times New Roman"/>
          <w:szCs w:val="24"/>
          <w:lang w:val="en-GB"/>
        </w:rPr>
        <w:t xml:space="preserve"> </w:t>
      </w:r>
      <w:r w:rsidRPr="002B7B0F">
        <w:rPr>
          <w:rFonts w:cs="Times New Roman"/>
          <w:szCs w:val="24"/>
          <w:lang w:val="en-GB"/>
        </w:rPr>
        <w:t xml:space="preserve">targets from </w:t>
      </w:r>
      <w:r w:rsidR="009729E6" w:rsidRPr="002B7B0F">
        <w:rPr>
          <w:rFonts w:cs="Times New Roman"/>
          <w:szCs w:val="24"/>
          <w:lang w:val="en-GB"/>
        </w:rPr>
        <w:t xml:space="preserve">both </w:t>
      </w:r>
      <w:r w:rsidR="001625F6">
        <w:rPr>
          <w:rFonts w:cs="Times New Roman"/>
          <w:szCs w:val="24"/>
          <w:lang w:val="en-GB"/>
        </w:rPr>
        <w:t xml:space="preserve">the </w:t>
      </w:r>
      <w:r w:rsidR="009729E6" w:rsidRPr="002B7B0F">
        <w:rPr>
          <w:rFonts w:cs="Times New Roman"/>
          <w:szCs w:val="24"/>
          <w:lang w:val="en-GB"/>
        </w:rPr>
        <w:t xml:space="preserve">Hong Kong market and </w:t>
      </w:r>
      <w:r w:rsidR="00BC028C" w:rsidRPr="002B7B0F">
        <w:rPr>
          <w:rFonts w:cs="Times New Roman"/>
          <w:szCs w:val="24"/>
          <w:lang w:val="en-GB"/>
        </w:rPr>
        <w:t xml:space="preserve">Mainland </w:t>
      </w:r>
      <w:r w:rsidRPr="002B7B0F">
        <w:rPr>
          <w:rFonts w:cs="Times New Roman"/>
          <w:szCs w:val="24"/>
          <w:lang w:val="en-GB"/>
        </w:rPr>
        <w:t>China market earn positive average abnormal returns</w:t>
      </w:r>
      <w:r w:rsidR="001625F6">
        <w:rPr>
          <w:rFonts w:cs="Times New Roman"/>
          <w:szCs w:val="24"/>
          <w:lang w:val="en-GB"/>
        </w:rPr>
        <w:t>,</w:t>
      </w:r>
      <w:r w:rsidRPr="002B7B0F">
        <w:rPr>
          <w:rFonts w:cs="Times New Roman"/>
          <w:szCs w:val="24"/>
          <w:lang w:val="en-GB"/>
        </w:rPr>
        <w:t xml:space="preserve"> </w:t>
      </w:r>
      <w:r w:rsidR="009729E6" w:rsidRPr="002B7B0F">
        <w:rPr>
          <w:rFonts w:cs="Times New Roman"/>
          <w:szCs w:val="24"/>
          <w:lang w:val="en-GB"/>
        </w:rPr>
        <w:t>but</w:t>
      </w:r>
      <w:r w:rsidRPr="002B7B0F">
        <w:rPr>
          <w:rFonts w:cs="Times New Roman"/>
          <w:szCs w:val="24"/>
          <w:lang w:val="en-GB"/>
        </w:rPr>
        <w:t xml:space="preserve"> bidders of </w:t>
      </w:r>
      <w:r w:rsidR="00BC028C" w:rsidRPr="002B7B0F">
        <w:rPr>
          <w:rFonts w:cs="Times New Roman"/>
          <w:szCs w:val="24"/>
          <w:lang w:val="en-GB"/>
        </w:rPr>
        <w:t xml:space="preserve">Mainland </w:t>
      </w:r>
      <w:r w:rsidR="009729E6" w:rsidRPr="002B7B0F">
        <w:rPr>
          <w:rFonts w:cs="Times New Roman"/>
          <w:szCs w:val="24"/>
          <w:lang w:val="en-GB"/>
        </w:rPr>
        <w:t>China targets perform better</w:t>
      </w:r>
      <w:r w:rsidRPr="002B7B0F">
        <w:rPr>
          <w:rFonts w:cs="Times New Roman"/>
          <w:szCs w:val="24"/>
          <w:lang w:val="en-GB"/>
        </w:rPr>
        <w:t xml:space="preserve">. In other words, acquisitions </w:t>
      </w:r>
      <w:r w:rsidR="009729E6" w:rsidRPr="002B7B0F">
        <w:rPr>
          <w:rFonts w:cs="Times New Roman"/>
          <w:szCs w:val="24"/>
          <w:lang w:val="en-GB"/>
        </w:rPr>
        <w:t xml:space="preserve">in both markets </w:t>
      </w:r>
      <w:r w:rsidRPr="002B7B0F">
        <w:rPr>
          <w:rFonts w:cs="Times New Roman"/>
          <w:szCs w:val="24"/>
          <w:lang w:val="en-GB"/>
        </w:rPr>
        <w:t xml:space="preserve">are perceived as value </w:t>
      </w:r>
      <w:r w:rsidR="00860192" w:rsidRPr="002B7B0F">
        <w:rPr>
          <w:rFonts w:cs="Times New Roman"/>
          <w:szCs w:val="24"/>
          <w:lang w:val="en-GB"/>
        </w:rPr>
        <w:t>increasing</w:t>
      </w:r>
      <w:r w:rsidRPr="002B7B0F">
        <w:rPr>
          <w:rFonts w:cs="Times New Roman"/>
          <w:szCs w:val="24"/>
          <w:lang w:val="en-GB"/>
        </w:rPr>
        <w:t xml:space="preserve"> actions</w:t>
      </w:r>
      <w:r w:rsidR="001625F6">
        <w:rPr>
          <w:rFonts w:cs="Times New Roman"/>
          <w:szCs w:val="24"/>
          <w:lang w:val="en-GB"/>
        </w:rPr>
        <w:t>,</w:t>
      </w:r>
      <w:r w:rsidRPr="002B7B0F">
        <w:rPr>
          <w:rFonts w:cs="Times New Roman"/>
          <w:szCs w:val="24"/>
          <w:lang w:val="en-GB"/>
        </w:rPr>
        <w:t xml:space="preserve"> </w:t>
      </w:r>
      <w:r w:rsidR="009729E6" w:rsidRPr="002B7B0F">
        <w:rPr>
          <w:rFonts w:cs="Times New Roman"/>
          <w:szCs w:val="24"/>
          <w:lang w:val="en-GB"/>
        </w:rPr>
        <w:t xml:space="preserve">but events </w:t>
      </w:r>
      <w:r w:rsidR="00E74FF2" w:rsidRPr="002B7B0F">
        <w:rPr>
          <w:rFonts w:cs="Times New Roman"/>
          <w:szCs w:val="24"/>
          <w:lang w:val="en-GB"/>
        </w:rPr>
        <w:t xml:space="preserve">that </w:t>
      </w:r>
      <w:r w:rsidR="009729E6" w:rsidRPr="002B7B0F">
        <w:rPr>
          <w:rFonts w:cs="Times New Roman"/>
          <w:szCs w:val="24"/>
          <w:lang w:val="en-GB"/>
        </w:rPr>
        <w:t xml:space="preserve">take place between Hong Kong bidders and </w:t>
      </w:r>
      <w:r w:rsidR="00BC028C" w:rsidRPr="002B7B0F">
        <w:rPr>
          <w:rFonts w:cs="Times New Roman"/>
          <w:szCs w:val="24"/>
          <w:lang w:val="en-GB"/>
        </w:rPr>
        <w:t xml:space="preserve">Mainland </w:t>
      </w:r>
      <w:r w:rsidR="009729E6" w:rsidRPr="002B7B0F">
        <w:rPr>
          <w:rFonts w:cs="Times New Roman"/>
          <w:szCs w:val="24"/>
          <w:lang w:val="en-GB"/>
        </w:rPr>
        <w:t>China targets create more value for shareholders.</w:t>
      </w:r>
      <w:r w:rsidRPr="002B7B0F">
        <w:rPr>
          <w:szCs w:val="24"/>
          <w:lang w:val="en-GB"/>
        </w:rPr>
        <w:t xml:space="preserve"> </w:t>
      </w:r>
      <w:r w:rsidRPr="002B7B0F">
        <w:rPr>
          <w:rFonts w:cs="Times New Roman"/>
          <w:szCs w:val="24"/>
          <w:lang w:val="en-GB"/>
        </w:rPr>
        <w:t xml:space="preserve">This finding is confirmed by all three </w:t>
      </w:r>
      <w:r w:rsidR="00E74FF2" w:rsidRPr="002B7B0F">
        <w:rPr>
          <w:rFonts w:cs="Times New Roman"/>
          <w:szCs w:val="24"/>
          <w:lang w:val="en-GB"/>
        </w:rPr>
        <w:t xml:space="preserve">models used in this study. </w:t>
      </w:r>
      <w:r w:rsidR="001625F6">
        <w:rPr>
          <w:rFonts w:cs="Times New Roman"/>
          <w:szCs w:val="24"/>
          <w:lang w:val="en-GB"/>
        </w:rPr>
        <w:t>The r</w:t>
      </w:r>
      <w:r w:rsidRPr="002B7B0F">
        <w:rPr>
          <w:rFonts w:cs="Times New Roman"/>
          <w:szCs w:val="24"/>
          <w:lang w:val="en-GB"/>
        </w:rPr>
        <w:t xml:space="preserve">esults of this </w:t>
      </w:r>
      <w:r w:rsidR="00E74FF2" w:rsidRPr="002B7B0F">
        <w:rPr>
          <w:rFonts w:cs="Times New Roman"/>
          <w:szCs w:val="24"/>
          <w:lang w:val="en-GB"/>
        </w:rPr>
        <w:t>study</w:t>
      </w:r>
      <w:r w:rsidRPr="002B7B0F">
        <w:rPr>
          <w:rFonts w:cs="Times New Roman"/>
          <w:szCs w:val="24"/>
          <w:lang w:val="en-GB"/>
        </w:rPr>
        <w:t xml:space="preserve"> show strong support to the first hypothesis that bidders of </w:t>
      </w:r>
      <w:r w:rsidR="00BC028C" w:rsidRPr="002B7B0F">
        <w:rPr>
          <w:rFonts w:cs="Times New Roman"/>
          <w:szCs w:val="24"/>
          <w:lang w:val="en-GB"/>
        </w:rPr>
        <w:t xml:space="preserve">Mainland </w:t>
      </w:r>
      <w:r w:rsidRPr="002B7B0F">
        <w:rPr>
          <w:rFonts w:cs="Times New Roman"/>
          <w:szCs w:val="24"/>
          <w:lang w:val="en-GB"/>
        </w:rPr>
        <w:t>China targets earn higher excess returns than acquirers of Hong Kong targets. A reasonable interpretation is that the market for corporate control of Hong Kong firms is increasingly competitive (</w:t>
      </w:r>
      <w:r w:rsidR="00E74FF2" w:rsidRPr="002B7B0F">
        <w:rPr>
          <w:rFonts w:cs="Times New Roman"/>
          <w:szCs w:val="24"/>
          <w:lang w:val="en-GB"/>
        </w:rPr>
        <w:t>Asquith 1983). Therefore,</w:t>
      </w:r>
      <w:r w:rsidRPr="002B7B0F">
        <w:rPr>
          <w:rFonts w:cs="Times New Roman"/>
          <w:szCs w:val="24"/>
          <w:lang w:val="en-GB"/>
        </w:rPr>
        <w:t xml:space="preserve"> bidder</w:t>
      </w:r>
      <w:r w:rsidR="00E74FF2" w:rsidRPr="002B7B0F">
        <w:rPr>
          <w:rFonts w:cs="Times New Roman"/>
          <w:szCs w:val="24"/>
          <w:lang w:val="en-GB"/>
        </w:rPr>
        <w:t>s in this market</w:t>
      </w:r>
      <w:r w:rsidRPr="002B7B0F">
        <w:rPr>
          <w:rFonts w:cs="Times New Roman"/>
          <w:szCs w:val="24"/>
          <w:lang w:val="en-GB"/>
        </w:rPr>
        <w:t xml:space="preserve"> </w:t>
      </w:r>
      <w:r w:rsidR="00E74FF2" w:rsidRPr="002B7B0F">
        <w:rPr>
          <w:rFonts w:cs="Times New Roman"/>
          <w:szCs w:val="24"/>
          <w:lang w:val="en-GB"/>
        </w:rPr>
        <w:t>tend</w:t>
      </w:r>
      <w:r w:rsidRPr="002B7B0F">
        <w:rPr>
          <w:rFonts w:cs="Times New Roman"/>
          <w:szCs w:val="24"/>
          <w:lang w:val="en-GB"/>
        </w:rPr>
        <w:t xml:space="preserve"> to purchase more aggressively and pay higher price</w:t>
      </w:r>
      <w:r w:rsidR="00E74FF2" w:rsidRPr="002B7B0F">
        <w:rPr>
          <w:rFonts w:cs="Times New Roman"/>
          <w:szCs w:val="24"/>
          <w:lang w:val="en-GB"/>
        </w:rPr>
        <w:t>s</w:t>
      </w:r>
      <w:r w:rsidRPr="002B7B0F">
        <w:rPr>
          <w:rFonts w:cs="Times New Roman"/>
          <w:szCs w:val="24"/>
          <w:lang w:val="en-GB"/>
        </w:rPr>
        <w:t xml:space="preserve"> to </w:t>
      </w:r>
      <w:r w:rsidR="00E74FF2" w:rsidRPr="002B7B0F">
        <w:rPr>
          <w:rFonts w:cs="Times New Roman"/>
          <w:szCs w:val="24"/>
          <w:lang w:val="en-GB"/>
        </w:rPr>
        <w:t>target companies, in which</w:t>
      </w:r>
      <w:r w:rsidRPr="002B7B0F">
        <w:rPr>
          <w:rFonts w:cs="Times New Roman"/>
          <w:szCs w:val="24"/>
          <w:lang w:val="en-GB"/>
        </w:rPr>
        <w:t xml:space="preserve"> </w:t>
      </w:r>
      <w:r w:rsidR="00E74FF2" w:rsidRPr="002B7B0F">
        <w:rPr>
          <w:rFonts w:cs="Times New Roman"/>
          <w:szCs w:val="24"/>
          <w:lang w:val="en-GB"/>
        </w:rPr>
        <w:t xml:space="preserve">these </w:t>
      </w:r>
      <w:r w:rsidRPr="002B7B0F">
        <w:rPr>
          <w:rFonts w:cs="Times New Roman"/>
          <w:szCs w:val="24"/>
          <w:lang w:val="en-GB"/>
        </w:rPr>
        <w:t>target</w:t>
      </w:r>
      <w:r w:rsidR="00E74FF2" w:rsidRPr="002B7B0F">
        <w:rPr>
          <w:rFonts w:cs="Times New Roman"/>
          <w:szCs w:val="24"/>
          <w:lang w:val="en-GB"/>
        </w:rPr>
        <w:t>s actually receive the majority of takeover benefits and enjoy</w:t>
      </w:r>
      <w:r w:rsidRPr="002B7B0F">
        <w:rPr>
          <w:rFonts w:cs="Times New Roman"/>
          <w:szCs w:val="24"/>
          <w:lang w:val="en-GB"/>
        </w:rPr>
        <w:t xml:space="preserve"> significant </w:t>
      </w:r>
      <w:r w:rsidR="00247FDF">
        <w:rPr>
          <w:rFonts w:cs="Times New Roman"/>
          <w:szCs w:val="24"/>
          <w:lang w:val="en-GB"/>
        </w:rPr>
        <w:t xml:space="preserve">price </w:t>
      </w:r>
      <w:r w:rsidRPr="002B7B0F">
        <w:rPr>
          <w:rFonts w:cs="Times New Roman"/>
          <w:szCs w:val="24"/>
          <w:lang w:val="en-GB"/>
        </w:rPr>
        <w:t>appreciation</w:t>
      </w:r>
      <w:r w:rsidR="00E74FF2" w:rsidRPr="002B7B0F">
        <w:rPr>
          <w:rFonts w:cs="Times New Roman"/>
          <w:szCs w:val="24"/>
          <w:lang w:val="en-GB"/>
        </w:rPr>
        <w:t>s</w:t>
      </w:r>
      <w:r w:rsidRPr="002B7B0F">
        <w:rPr>
          <w:rFonts w:cs="Times New Roman"/>
          <w:szCs w:val="24"/>
          <w:lang w:val="en-GB"/>
        </w:rPr>
        <w:t xml:space="preserve">. </w:t>
      </w:r>
      <w:r w:rsidR="00422FAF" w:rsidRPr="002B7B0F">
        <w:rPr>
          <w:rFonts w:cs="Times New Roman"/>
          <w:szCs w:val="24"/>
          <w:lang w:val="en-GB"/>
        </w:rPr>
        <w:t>In addition</w:t>
      </w:r>
      <w:r w:rsidRPr="002B7B0F">
        <w:rPr>
          <w:rFonts w:cs="Times New Roman"/>
          <w:szCs w:val="24"/>
          <w:lang w:val="en-GB"/>
        </w:rPr>
        <w:t xml:space="preserve">, the existence of competition may intensify the negative impact of agency issues (Jensen 1986, 2005). Overall, bidders </w:t>
      </w:r>
      <w:r w:rsidR="00422FAF" w:rsidRPr="002B7B0F">
        <w:rPr>
          <w:rFonts w:cs="Times New Roman"/>
          <w:szCs w:val="24"/>
          <w:lang w:val="en-GB"/>
        </w:rPr>
        <w:t xml:space="preserve">who purchase targets </w:t>
      </w:r>
      <w:r w:rsidRPr="002B7B0F">
        <w:rPr>
          <w:rFonts w:cs="Times New Roman"/>
          <w:szCs w:val="24"/>
          <w:lang w:val="en-GB"/>
        </w:rPr>
        <w:t>in the developed markets are significantly underperform</w:t>
      </w:r>
      <w:r w:rsidR="001625F6">
        <w:rPr>
          <w:rFonts w:cs="Times New Roman"/>
          <w:szCs w:val="24"/>
          <w:lang w:val="en-GB"/>
        </w:rPr>
        <w:t>ing</w:t>
      </w:r>
      <w:r w:rsidRPr="002B7B0F">
        <w:rPr>
          <w:rFonts w:cs="Times New Roman"/>
          <w:szCs w:val="24"/>
          <w:lang w:val="en-GB"/>
        </w:rPr>
        <w:t xml:space="preserve"> compare</w:t>
      </w:r>
      <w:r w:rsidR="001625F6">
        <w:rPr>
          <w:rFonts w:cs="Times New Roman"/>
          <w:szCs w:val="24"/>
          <w:lang w:val="en-GB"/>
        </w:rPr>
        <w:t>d</w:t>
      </w:r>
      <w:r w:rsidRPr="002B7B0F">
        <w:rPr>
          <w:rFonts w:cs="Times New Roman"/>
          <w:szCs w:val="24"/>
          <w:lang w:val="en-GB"/>
        </w:rPr>
        <w:t xml:space="preserve"> to those </w:t>
      </w:r>
      <w:r w:rsidR="00422FAF" w:rsidRPr="002B7B0F">
        <w:rPr>
          <w:rFonts w:cs="Times New Roman"/>
          <w:szCs w:val="24"/>
          <w:lang w:val="en-GB"/>
        </w:rPr>
        <w:t xml:space="preserve">acquiring </w:t>
      </w:r>
      <w:r w:rsidRPr="002B7B0F">
        <w:rPr>
          <w:rFonts w:cs="Times New Roman"/>
          <w:szCs w:val="24"/>
          <w:lang w:val="en-GB"/>
        </w:rPr>
        <w:t xml:space="preserve">in the emerging markets. Hypothesis </w:t>
      </w:r>
      <w:r w:rsidR="00BD2F03">
        <w:rPr>
          <w:rFonts w:cs="Times New Roman"/>
          <w:szCs w:val="24"/>
          <w:lang w:val="en-GB"/>
        </w:rPr>
        <w:t>2</w:t>
      </w:r>
      <w:r w:rsidR="00BD2F03" w:rsidRPr="002B7B0F">
        <w:rPr>
          <w:rFonts w:cs="Times New Roman"/>
          <w:szCs w:val="24"/>
          <w:lang w:val="en-GB"/>
        </w:rPr>
        <w:t xml:space="preserve"> </w:t>
      </w:r>
      <w:r w:rsidRPr="002B7B0F">
        <w:rPr>
          <w:rFonts w:cs="Times New Roman"/>
          <w:szCs w:val="24"/>
          <w:lang w:val="en-GB"/>
        </w:rPr>
        <w:t xml:space="preserve">that the </w:t>
      </w:r>
      <w:r w:rsidR="00422FAF" w:rsidRPr="002B7B0F">
        <w:rPr>
          <w:rFonts w:cs="Times New Roman"/>
          <w:szCs w:val="24"/>
          <w:lang w:val="en-GB"/>
        </w:rPr>
        <w:t>fluctuating</w:t>
      </w:r>
      <w:r w:rsidRPr="002B7B0F">
        <w:rPr>
          <w:rFonts w:cs="Times New Roman"/>
          <w:szCs w:val="24"/>
          <w:lang w:val="en-GB"/>
        </w:rPr>
        <w:t xml:space="preserve"> period of Hong Kong target acquirers is </w:t>
      </w:r>
      <w:r w:rsidR="009729E6" w:rsidRPr="002B7B0F">
        <w:rPr>
          <w:rFonts w:cs="Times New Roman"/>
          <w:szCs w:val="24"/>
          <w:lang w:val="en-GB"/>
        </w:rPr>
        <w:t>shorter</w:t>
      </w:r>
      <w:r w:rsidRPr="002B7B0F">
        <w:rPr>
          <w:rFonts w:cs="Times New Roman"/>
          <w:szCs w:val="24"/>
          <w:lang w:val="en-GB"/>
        </w:rPr>
        <w:t xml:space="preserve"> than the volatility period of </w:t>
      </w:r>
      <w:r w:rsidR="00BC028C" w:rsidRPr="002B7B0F">
        <w:rPr>
          <w:rFonts w:cs="Times New Roman"/>
          <w:szCs w:val="24"/>
          <w:lang w:val="en-GB"/>
        </w:rPr>
        <w:t xml:space="preserve">Mainland </w:t>
      </w:r>
      <w:r w:rsidRPr="002B7B0F">
        <w:rPr>
          <w:rFonts w:cs="Times New Roman"/>
          <w:szCs w:val="24"/>
          <w:lang w:val="en-GB"/>
        </w:rPr>
        <w:t>China target bidders</w:t>
      </w:r>
      <w:r w:rsidR="00247FDF" w:rsidRPr="00247FDF">
        <w:rPr>
          <w:rFonts w:cs="Times New Roman"/>
          <w:szCs w:val="24"/>
          <w:lang w:val="en-GB"/>
        </w:rPr>
        <w:t xml:space="preserve"> </w:t>
      </w:r>
      <w:r w:rsidR="00247FDF" w:rsidRPr="002B7B0F">
        <w:rPr>
          <w:rFonts w:cs="Times New Roman"/>
          <w:szCs w:val="24"/>
          <w:lang w:val="en-GB"/>
        </w:rPr>
        <w:t>is also not rejected</w:t>
      </w:r>
      <w:r w:rsidRPr="002B7B0F">
        <w:rPr>
          <w:rFonts w:cs="Times New Roman"/>
          <w:szCs w:val="24"/>
          <w:lang w:val="en-GB"/>
        </w:rPr>
        <w:t>. This suggests that the speed of information flow depend</w:t>
      </w:r>
      <w:r w:rsidR="009729E6" w:rsidRPr="002B7B0F">
        <w:rPr>
          <w:rFonts w:cs="Times New Roman"/>
          <w:szCs w:val="24"/>
          <w:lang w:val="en-GB"/>
        </w:rPr>
        <w:t>s</w:t>
      </w:r>
      <w:r w:rsidRPr="002B7B0F">
        <w:rPr>
          <w:rFonts w:cs="Times New Roman"/>
          <w:szCs w:val="24"/>
          <w:lang w:val="en-GB"/>
        </w:rPr>
        <w:t xml:space="preserve"> on the location of targets</w:t>
      </w:r>
      <w:r w:rsidR="00B555F8" w:rsidRPr="002B7B0F">
        <w:rPr>
          <w:rFonts w:cs="Times New Roman"/>
          <w:szCs w:val="24"/>
          <w:lang w:val="en-GB"/>
        </w:rPr>
        <w:t xml:space="preserve"> and i</w:t>
      </w:r>
      <w:r w:rsidR="00422FAF" w:rsidRPr="002B7B0F">
        <w:rPr>
          <w:rFonts w:cs="Times New Roman"/>
          <w:szCs w:val="24"/>
          <w:lang w:val="en-GB"/>
        </w:rPr>
        <w:t>nformation dissemination tend</w:t>
      </w:r>
      <w:r w:rsidR="001625F6">
        <w:rPr>
          <w:rFonts w:cs="Times New Roman"/>
          <w:szCs w:val="24"/>
          <w:lang w:val="en-GB"/>
        </w:rPr>
        <w:t>s</w:t>
      </w:r>
      <w:r w:rsidR="00422FAF" w:rsidRPr="002B7B0F">
        <w:rPr>
          <w:rFonts w:cs="Times New Roman"/>
          <w:szCs w:val="24"/>
          <w:lang w:val="en-GB"/>
        </w:rPr>
        <w:t xml:space="preserve"> to be</w:t>
      </w:r>
      <w:r w:rsidR="00B555F8" w:rsidRPr="002B7B0F">
        <w:rPr>
          <w:rFonts w:cs="Times New Roman"/>
          <w:szCs w:val="24"/>
          <w:lang w:val="en-GB"/>
        </w:rPr>
        <w:t xml:space="preserve"> faster in developed markets.</w:t>
      </w:r>
      <w:r w:rsidRPr="002B7B0F">
        <w:rPr>
          <w:rFonts w:cs="Times New Roman"/>
          <w:szCs w:val="24"/>
          <w:lang w:val="en-GB"/>
        </w:rPr>
        <w:t xml:space="preserve"> In conclusion, managers of </w:t>
      </w:r>
      <w:r w:rsidR="00BC028C">
        <w:rPr>
          <w:rFonts w:cs="Times New Roman"/>
          <w:szCs w:val="24"/>
          <w:lang w:val="en-GB"/>
        </w:rPr>
        <w:t>M</w:t>
      </w:r>
      <w:r w:rsidR="00BC028C" w:rsidRPr="002B7B0F">
        <w:rPr>
          <w:rFonts w:cs="Times New Roman"/>
          <w:szCs w:val="24"/>
          <w:lang w:val="en-GB"/>
        </w:rPr>
        <w:t xml:space="preserve">ainland </w:t>
      </w:r>
      <w:r w:rsidRPr="002B7B0F">
        <w:rPr>
          <w:rFonts w:cs="Times New Roman"/>
          <w:szCs w:val="24"/>
          <w:lang w:val="en-GB"/>
        </w:rPr>
        <w:t>China target bidding firms are more involved in value creating acquisition events than their counterparts who purchase Hong Kong targets.</w:t>
      </w:r>
    </w:p>
    <w:p w14:paraId="2D6DA356" w14:textId="5B49C922" w:rsidR="00FC7768" w:rsidRPr="002B7B0F" w:rsidRDefault="00FC7768" w:rsidP="00FC7768">
      <w:pPr>
        <w:ind w:firstLine="480"/>
        <w:rPr>
          <w:rFonts w:cs="Times New Roman"/>
          <w:szCs w:val="24"/>
          <w:lang w:val="en-GB"/>
        </w:rPr>
      </w:pPr>
      <w:r w:rsidRPr="002B7B0F">
        <w:rPr>
          <w:rFonts w:cs="Times New Roman"/>
          <w:szCs w:val="24"/>
          <w:lang w:val="en-GB"/>
        </w:rPr>
        <w:t>Regarding bid characteristics considered in this research, it has been noticed that significan</w:t>
      </w:r>
      <w:r w:rsidR="00176803" w:rsidRPr="002B7B0F">
        <w:rPr>
          <w:rFonts w:cs="Times New Roman"/>
          <w:szCs w:val="24"/>
          <w:lang w:val="en-GB"/>
        </w:rPr>
        <w:t>t correlations exist between</w:t>
      </w:r>
      <w:r w:rsidRPr="002B7B0F">
        <w:rPr>
          <w:rFonts w:cs="Times New Roman"/>
          <w:szCs w:val="24"/>
          <w:lang w:val="en-GB"/>
        </w:rPr>
        <w:t xml:space="preserve"> abnormal returns of acquiring companies and their payment me</w:t>
      </w:r>
      <w:r w:rsidR="00B555F8" w:rsidRPr="002B7B0F">
        <w:rPr>
          <w:rFonts w:cs="Times New Roman"/>
          <w:szCs w:val="24"/>
          <w:lang w:val="en-GB"/>
        </w:rPr>
        <w:t xml:space="preserve">thods, </w:t>
      </w:r>
      <w:r w:rsidR="00247FDF">
        <w:rPr>
          <w:rFonts w:cs="Times New Roman"/>
          <w:szCs w:val="24"/>
          <w:lang w:val="en-GB"/>
        </w:rPr>
        <w:t xml:space="preserve">the </w:t>
      </w:r>
      <w:r w:rsidR="00B555F8" w:rsidRPr="002B7B0F">
        <w:rPr>
          <w:rFonts w:cs="Times New Roman"/>
          <w:szCs w:val="24"/>
          <w:lang w:val="en-GB"/>
        </w:rPr>
        <w:t>targets</w:t>
      </w:r>
      <w:r w:rsidR="00247FDF">
        <w:rPr>
          <w:rFonts w:cs="Times New Roman"/>
          <w:szCs w:val="24"/>
          <w:lang w:val="en-GB"/>
        </w:rPr>
        <w:t>’</w:t>
      </w:r>
      <w:r w:rsidR="00B555F8" w:rsidRPr="002B7B0F">
        <w:rPr>
          <w:rFonts w:cs="Times New Roman"/>
          <w:szCs w:val="24"/>
          <w:lang w:val="en-GB"/>
        </w:rPr>
        <w:t xml:space="preserve"> relative size, </w:t>
      </w:r>
      <w:r w:rsidRPr="002B7B0F">
        <w:rPr>
          <w:rFonts w:cs="Times New Roman"/>
          <w:szCs w:val="24"/>
          <w:lang w:val="en-GB"/>
        </w:rPr>
        <w:t>industry</w:t>
      </w:r>
      <w:r w:rsidR="00B555F8" w:rsidRPr="002B7B0F">
        <w:rPr>
          <w:rFonts w:cs="Times New Roman"/>
          <w:szCs w:val="24"/>
          <w:lang w:val="en-GB"/>
        </w:rPr>
        <w:t xml:space="preserve"> and number of acquisitions</w:t>
      </w:r>
      <w:r w:rsidRPr="002B7B0F">
        <w:rPr>
          <w:rFonts w:cs="Times New Roman"/>
          <w:szCs w:val="24"/>
          <w:lang w:val="en-GB"/>
        </w:rPr>
        <w:t>. As to mode of payment, the market</w:t>
      </w:r>
      <w:r w:rsidR="00247FDF">
        <w:rPr>
          <w:rFonts w:cs="Times New Roman"/>
          <w:szCs w:val="24"/>
          <w:lang w:val="en-GB"/>
        </w:rPr>
        <w:t>’</w:t>
      </w:r>
      <w:r w:rsidRPr="002B7B0F">
        <w:rPr>
          <w:rFonts w:cs="Times New Roman"/>
          <w:szCs w:val="24"/>
          <w:lang w:val="en-GB"/>
        </w:rPr>
        <w:t>s view of cash financing acquisitions is more favo</w:t>
      </w:r>
      <w:r w:rsidR="00BC028C">
        <w:rPr>
          <w:rFonts w:cs="Times New Roman"/>
          <w:szCs w:val="24"/>
          <w:lang w:val="en-GB"/>
        </w:rPr>
        <w:t>u</w:t>
      </w:r>
      <w:r w:rsidRPr="002B7B0F">
        <w:rPr>
          <w:rFonts w:cs="Times New Roman"/>
          <w:szCs w:val="24"/>
          <w:lang w:val="en-GB"/>
        </w:rPr>
        <w:t xml:space="preserve">rable than stocks </w:t>
      </w:r>
      <w:r w:rsidR="00F34168" w:rsidRPr="002B7B0F">
        <w:rPr>
          <w:rFonts w:cs="Times New Roman"/>
          <w:szCs w:val="24"/>
          <w:lang w:val="en-GB"/>
        </w:rPr>
        <w:t>for</w:t>
      </w:r>
      <w:r w:rsidRPr="002B7B0F">
        <w:rPr>
          <w:rFonts w:cs="Times New Roman"/>
          <w:szCs w:val="24"/>
          <w:lang w:val="en-GB"/>
        </w:rPr>
        <w:t xml:space="preserve"> </w:t>
      </w:r>
      <w:r w:rsidR="00F34168" w:rsidRPr="002B7B0F">
        <w:rPr>
          <w:rFonts w:cs="Times New Roman"/>
          <w:szCs w:val="24"/>
          <w:lang w:val="en-GB"/>
        </w:rPr>
        <w:t>Hong Kong</w:t>
      </w:r>
      <w:r w:rsidRPr="002B7B0F">
        <w:rPr>
          <w:rFonts w:cs="Times New Roman"/>
          <w:szCs w:val="24"/>
          <w:lang w:val="en-GB"/>
        </w:rPr>
        <w:t xml:space="preserve"> target</w:t>
      </w:r>
      <w:r w:rsidR="00F34168" w:rsidRPr="002B7B0F">
        <w:rPr>
          <w:rFonts w:cs="Times New Roman"/>
          <w:szCs w:val="24"/>
          <w:lang w:val="en-GB"/>
        </w:rPr>
        <w:t xml:space="preserve"> acquirers</w:t>
      </w:r>
      <w:r w:rsidR="00247FDF">
        <w:rPr>
          <w:rFonts w:cs="Times New Roman"/>
          <w:szCs w:val="24"/>
          <w:lang w:val="en-GB"/>
        </w:rPr>
        <w:t>,</w:t>
      </w:r>
      <w:r w:rsidR="00F34168" w:rsidRPr="002B7B0F">
        <w:rPr>
          <w:rFonts w:cs="Times New Roman"/>
          <w:szCs w:val="24"/>
          <w:lang w:val="en-GB"/>
        </w:rPr>
        <w:t xml:space="preserve"> while b</w:t>
      </w:r>
      <w:r w:rsidRPr="002B7B0F">
        <w:rPr>
          <w:rFonts w:cs="Times New Roman"/>
          <w:szCs w:val="24"/>
          <w:lang w:val="en-GB"/>
        </w:rPr>
        <w:t xml:space="preserve">idders of </w:t>
      </w:r>
      <w:r w:rsidR="00BC028C" w:rsidRPr="002B7B0F">
        <w:rPr>
          <w:rFonts w:cs="Times New Roman"/>
          <w:szCs w:val="24"/>
          <w:lang w:val="en-GB"/>
        </w:rPr>
        <w:t xml:space="preserve">Mainland </w:t>
      </w:r>
      <w:r w:rsidR="00DB37AD" w:rsidRPr="002B7B0F">
        <w:rPr>
          <w:rFonts w:cs="Times New Roman"/>
          <w:szCs w:val="24"/>
          <w:lang w:val="en-GB"/>
        </w:rPr>
        <w:t xml:space="preserve">China </w:t>
      </w:r>
      <w:r w:rsidRPr="002B7B0F">
        <w:rPr>
          <w:rFonts w:cs="Times New Roman"/>
          <w:szCs w:val="24"/>
          <w:lang w:val="en-GB"/>
        </w:rPr>
        <w:t xml:space="preserve">targets </w:t>
      </w:r>
      <w:r w:rsidR="00F34168" w:rsidRPr="002B7B0F">
        <w:rPr>
          <w:rFonts w:cs="Times New Roman"/>
          <w:szCs w:val="24"/>
          <w:lang w:val="en-GB"/>
        </w:rPr>
        <w:t xml:space="preserve">experience </w:t>
      </w:r>
      <w:r w:rsidR="00DB37AD" w:rsidRPr="002B7B0F">
        <w:rPr>
          <w:rFonts w:cs="Times New Roman"/>
          <w:szCs w:val="24"/>
          <w:lang w:val="en-GB"/>
        </w:rPr>
        <w:t xml:space="preserve">the </w:t>
      </w:r>
      <w:r w:rsidR="00F34168" w:rsidRPr="002B7B0F">
        <w:rPr>
          <w:rFonts w:cs="Times New Roman"/>
          <w:szCs w:val="24"/>
          <w:lang w:val="en-GB"/>
        </w:rPr>
        <w:t xml:space="preserve">opposite situation. </w:t>
      </w:r>
      <w:r w:rsidRPr="002B7B0F">
        <w:rPr>
          <w:rFonts w:cs="Times New Roman"/>
          <w:szCs w:val="24"/>
          <w:lang w:val="en-GB"/>
        </w:rPr>
        <w:t xml:space="preserve">With respect to </w:t>
      </w:r>
      <w:r w:rsidR="00247FDF">
        <w:rPr>
          <w:rFonts w:cs="Times New Roman"/>
          <w:szCs w:val="24"/>
          <w:lang w:val="en-GB"/>
        </w:rPr>
        <w:t xml:space="preserve">the </w:t>
      </w:r>
      <w:r w:rsidRPr="002B7B0F">
        <w:rPr>
          <w:rFonts w:cs="Times New Roman"/>
          <w:szCs w:val="24"/>
          <w:lang w:val="en-GB"/>
        </w:rPr>
        <w:t>relative size of the target, it has been rev</w:t>
      </w:r>
      <w:r w:rsidR="002E7ECF" w:rsidRPr="002B7B0F">
        <w:rPr>
          <w:rFonts w:cs="Times New Roman"/>
          <w:szCs w:val="24"/>
          <w:lang w:val="en-GB"/>
        </w:rPr>
        <w:t>ealed that bidders of relative</w:t>
      </w:r>
      <w:r w:rsidR="00247FDF">
        <w:rPr>
          <w:rFonts w:cs="Times New Roman"/>
          <w:szCs w:val="24"/>
          <w:lang w:val="en-GB"/>
        </w:rPr>
        <w:t>ly</w:t>
      </w:r>
      <w:r w:rsidRPr="002B7B0F">
        <w:rPr>
          <w:rFonts w:cs="Times New Roman"/>
          <w:szCs w:val="24"/>
          <w:lang w:val="en-GB"/>
        </w:rPr>
        <w:t xml:space="preserve"> large targets </w:t>
      </w:r>
      <w:r w:rsidR="00F34168" w:rsidRPr="002B7B0F">
        <w:rPr>
          <w:rFonts w:cs="Times New Roman"/>
          <w:szCs w:val="24"/>
          <w:lang w:val="en-GB"/>
        </w:rPr>
        <w:t>from both</w:t>
      </w:r>
      <w:r w:rsidRPr="002B7B0F">
        <w:rPr>
          <w:rFonts w:cs="Times New Roman"/>
          <w:szCs w:val="24"/>
          <w:lang w:val="en-GB"/>
        </w:rPr>
        <w:t xml:space="preserve"> market</w:t>
      </w:r>
      <w:r w:rsidR="002E7ECF" w:rsidRPr="002B7B0F">
        <w:rPr>
          <w:rFonts w:cs="Times New Roman"/>
          <w:szCs w:val="24"/>
          <w:lang w:val="en-GB"/>
        </w:rPr>
        <w:t>s</w:t>
      </w:r>
      <w:r w:rsidRPr="002B7B0F">
        <w:rPr>
          <w:rFonts w:cs="Times New Roman"/>
          <w:szCs w:val="24"/>
          <w:lang w:val="en-GB"/>
        </w:rPr>
        <w:t xml:space="preserve"> obtain higher abnormal returns, which may </w:t>
      </w:r>
      <w:r w:rsidR="00247FDF">
        <w:rPr>
          <w:rFonts w:cs="Times New Roman"/>
          <w:szCs w:val="24"/>
          <w:lang w:val="en-GB"/>
        </w:rPr>
        <w:t xml:space="preserve">be </w:t>
      </w:r>
      <w:r w:rsidRPr="002B7B0F">
        <w:rPr>
          <w:rFonts w:cs="Times New Roman"/>
          <w:szCs w:val="24"/>
          <w:lang w:val="en-GB"/>
        </w:rPr>
        <w:t xml:space="preserve">due to the fact that </w:t>
      </w:r>
      <w:r w:rsidR="00CD5D76" w:rsidRPr="002B7B0F">
        <w:rPr>
          <w:rFonts w:cs="Times New Roman"/>
          <w:szCs w:val="24"/>
          <w:lang w:val="en-GB"/>
        </w:rPr>
        <w:t>large size</w:t>
      </w:r>
      <w:r w:rsidRPr="002B7B0F">
        <w:rPr>
          <w:rFonts w:cs="Times New Roman"/>
          <w:szCs w:val="24"/>
          <w:lang w:val="en-GB"/>
        </w:rPr>
        <w:t xml:space="preserve"> targets are more likely to </w:t>
      </w:r>
      <w:r w:rsidR="0077781F" w:rsidRPr="002B7B0F">
        <w:rPr>
          <w:rFonts w:cs="Times New Roman"/>
          <w:szCs w:val="24"/>
          <w:lang w:val="en-GB"/>
        </w:rPr>
        <w:t>create</w:t>
      </w:r>
      <w:r w:rsidRPr="002B7B0F">
        <w:rPr>
          <w:rFonts w:cs="Times New Roman"/>
          <w:szCs w:val="24"/>
          <w:lang w:val="en-GB"/>
        </w:rPr>
        <w:t xml:space="preserve"> more synergies. </w:t>
      </w:r>
      <w:r w:rsidR="00F34168" w:rsidRPr="002B7B0F">
        <w:rPr>
          <w:rFonts w:cs="Times New Roman"/>
          <w:szCs w:val="24"/>
          <w:lang w:val="en-GB"/>
        </w:rPr>
        <w:t xml:space="preserve">Then, </w:t>
      </w:r>
      <w:r w:rsidR="0097019C" w:rsidRPr="002B7B0F">
        <w:rPr>
          <w:rFonts w:cs="Times New Roman"/>
          <w:szCs w:val="24"/>
          <w:lang w:val="en-GB"/>
        </w:rPr>
        <w:t>single bidders of Hong Kong targets obtain higher abnormal returns compared with multiple bidders</w:t>
      </w:r>
      <w:r w:rsidR="00247FDF">
        <w:rPr>
          <w:rFonts w:cs="Times New Roman"/>
          <w:szCs w:val="24"/>
          <w:lang w:val="en-GB"/>
        </w:rPr>
        <w:t>,</w:t>
      </w:r>
      <w:r w:rsidR="0097019C" w:rsidRPr="002B7B0F">
        <w:rPr>
          <w:rFonts w:cs="Times New Roman"/>
          <w:szCs w:val="24"/>
          <w:lang w:val="en-GB"/>
        </w:rPr>
        <w:t xml:space="preserve"> whilst multiple bidders of </w:t>
      </w:r>
      <w:r w:rsidR="00BC028C" w:rsidRPr="002B7B0F">
        <w:rPr>
          <w:rFonts w:cs="Times New Roman"/>
          <w:szCs w:val="24"/>
          <w:lang w:val="en-GB"/>
        </w:rPr>
        <w:t xml:space="preserve">Mainland </w:t>
      </w:r>
      <w:r w:rsidR="0097019C" w:rsidRPr="002B7B0F">
        <w:rPr>
          <w:rFonts w:cs="Times New Roman"/>
          <w:szCs w:val="24"/>
          <w:lang w:val="en-GB"/>
        </w:rPr>
        <w:t xml:space="preserve">China targets are associated with </w:t>
      </w:r>
      <w:r w:rsidR="0077781F" w:rsidRPr="002B7B0F">
        <w:rPr>
          <w:rFonts w:cs="Times New Roman"/>
          <w:szCs w:val="24"/>
          <w:lang w:val="en-GB"/>
        </w:rPr>
        <w:t>better performances</w:t>
      </w:r>
      <w:r w:rsidR="0097019C" w:rsidRPr="002B7B0F">
        <w:rPr>
          <w:rFonts w:cs="Times New Roman"/>
          <w:szCs w:val="24"/>
          <w:lang w:val="en-GB"/>
        </w:rPr>
        <w:t xml:space="preserve">. </w:t>
      </w:r>
      <w:r w:rsidR="00247FDF">
        <w:rPr>
          <w:rFonts w:cs="Times New Roman"/>
          <w:szCs w:val="24"/>
          <w:lang w:val="en-GB"/>
        </w:rPr>
        <w:t>With regard</w:t>
      </w:r>
      <w:r w:rsidR="00247FDF" w:rsidRPr="002B7B0F">
        <w:rPr>
          <w:rFonts w:cs="Times New Roman"/>
          <w:szCs w:val="24"/>
          <w:lang w:val="en-GB"/>
        </w:rPr>
        <w:t xml:space="preserve"> </w:t>
      </w:r>
      <w:r w:rsidRPr="002B7B0F">
        <w:rPr>
          <w:rFonts w:cs="Times New Roman"/>
          <w:szCs w:val="24"/>
          <w:lang w:val="en-GB"/>
        </w:rPr>
        <w:t xml:space="preserve">to </w:t>
      </w:r>
      <w:r w:rsidR="00247FDF">
        <w:rPr>
          <w:rFonts w:cs="Times New Roman"/>
          <w:szCs w:val="24"/>
          <w:lang w:val="en-GB"/>
        </w:rPr>
        <w:t xml:space="preserve">the </w:t>
      </w:r>
      <w:r w:rsidRPr="002B7B0F">
        <w:rPr>
          <w:rFonts w:cs="Times New Roman"/>
          <w:szCs w:val="24"/>
          <w:lang w:val="en-GB"/>
        </w:rPr>
        <w:t>releva</w:t>
      </w:r>
      <w:r w:rsidR="00F34168" w:rsidRPr="002B7B0F">
        <w:rPr>
          <w:rFonts w:cs="Times New Roman"/>
          <w:szCs w:val="24"/>
          <w:lang w:val="en-GB"/>
        </w:rPr>
        <w:t>nce of the industry, both market targets’ bidders benefit</w:t>
      </w:r>
      <w:r w:rsidRPr="002B7B0F">
        <w:rPr>
          <w:rFonts w:cs="Times New Roman"/>
          <w:szCs w:val="24"/>
          <w:lang w:val="en-GB"/>
        </w:rPr>
        <w:t xml:space="preserve"> more from focus increasing acquisitions. </w:t>
      </w:r>
    </w:p>
    <w:p w14:paraId="5B9E3FFC" w14:textId="06E959BD" w:rsidR="00F44F82" w:rsidRPr="002B7B0F" w:rsidRDefault="00FC7768" w:rsidP="003B736B">
      <w:pPr>
        <w:ind w:firstLine="480"/>
        <w:rPr>
          <w:rFonts w:cs="Times New Roman"/>
          <w:szCs w:val="24"/>
          <w:lang w:val="en-GB"/>
        </w:rPr>
      </w:pPr>
      <w:r w:rsidRPr="002B7B0F">
        <w:rPr>
          <w:rFonts w:cs="Times New Roman"/>
          <w:szCs w:val="24"/>
          <w:lang w:val="en-GB"/>
        </w:rPr>
        <w:t xml:space="preserve">In conclusion, </w:t>
      </w:r>
      <w:r w:rsidR="00517001">
        <w:rPr>
          <w:rFonts w:cs="Times New Roman"/>
          <w:szCs w:val="24"/>
          <w:lang w:val="en-GB"/>
        </w:rPr>
        <w:t xml:space="preserve">the </w:t>
      </w:r>
      <w:r w:rsidRPr="002B7B0F">
        <w:rPr>
          <w:rFonts w:cs="Times New Roman"/>
          <w:szCs w:val="24"/>
          <w:lang w:val="en-GB"/>
        </w:rPr>
        <w:t xml:space="preserve">results from this </w:t>
      </w:r>
      <w:r w:rsidR="003B736B" w:rsidRPr="002B7B0F">
        <w:rPr>
          <w:rFonts w:cs="Times New Roman"/>
          <w:szCs w:val="24"/>
          <w:lang w:val="en-GB"/>
        </w:rPr>
        <w:t>study</w:t>
      </w:r>
      <w:r w:rsidRPr="002B7B0F">
        <w:rPr>
          <w:rFonts w:cs="Times New Roman"/>
          <w:szCs w:val="24"/>
          <w:lang w:val="en-GB"/>
        </w:rPr>
        <w:t xml:space="preserve"> </w:t>
      </w:r>
      <w:r w:rsidR="00517001">
        <w:rPr>
          <w:rFonts w:cs="Times New Roman"/>
          <w:szCs w:val="24"/>
          <w:lang w:val="en-GB"/>
        </w:rPr>
        <w:t>demonstrate</w:t>
      </w:r>
      <w:r w:rsidRPr="002B7B0F">
        <w:rPr>
          <w:rFonts w:cs="Times New Roman"/>
          <w:szCs w:val="24"/>
          <w:lang w:val="en-GB"/>
        </w:rPr>
        <w:t xml:space="preserve"> that bidders’ short-term average abnormal returns substantially depend on </w:t>
      </w:r>
      <w:r w:rsidR="00517001">
        <w:rPr>
          <w:rFonts w:cs="Times New Roman"/>
          <w:szCs w:val="24"/>
          <w:lang w:val="en-GB"/>
        </w:rPr>
        <w:t xml:space="preserve">the </w:t>
      </w:r>
      <w:r w:rsidRPr="002B7B0F">
        <w:rPr>
          <w:rFonts w:cs="Times New Roman"/>
          <w:szCs w:val="24"/>
          <w:lang w:val="en-GB"/>
        </w:rPr>
        <w:t>location of target companies. Moreover, the abnormal return is strongly related to the p</w:t>
      </w:r>
      <w:r w:rsidR="0097019C" w:rsidRPr="002B7B0F">
        <w:rPr>
          <w:rFonts w:cs="Times New Roman"/>
          <w:szCs w:val="24"/>
          <w:lang w:val="en-GB"/>
        </w:rPr>
        <w:t>ayment method, relative size, bidder status and</w:t>
      </w:r>
      <w:r w:rsidRPr="002B7B0F">
        <w:rPr>
          <w:rFonts w:cs="Times New Roman"/>
          <w:szCs w:val="24"/>
          <w:lang w:val="en-GB"/>
        </w:rPr>
        <w:t xml:space="preserve"> relevance of </w:t>
      </w:r>
      <w:r w:rsidR="00517001">
        <w:rPr>
          <w:rFonts w:cs="Times New Roman"/>
          <w:szCs w:val="24"/>
          <w:lang w:val="en-GB"/>
        </w:rPr>
        <w:t xml:space="preserve">the </w:t>
      </w:r>
      <w:r w:rsidRPr="002B7B0F">
        <w:rPr>
          <w:rFonts w:cs="Times New Roman"/>
          <w:szCs w:val="24"/>
          <w:lang w:val="en-GB"/>
        </w:rPr>
        <w:t xml:space="preserve">industry. This gain is also related to </w:t>
      </w:r>
      <w:r w:rsidR="00517001">
        <w:rPr>
          <w:rFonts w:cs="Times New Roman"/>
          <w:szCs w:val="24"/>
          <w:lang w:val="en-GB"/>
        </w:rPr>
        <w:t xml:space="preserve">the </w:t>
      </w:r>
      <w:r w:rsidRPr="002B7B0F">
        <w:rPr>
          <w:rFonts w:cs="Times New Roman"/>
          <w:szCs w:val="24"/>
          <w:lang w:val="en-GB"/>
        </w:rPr>
        <w:t xml:space="preserve">size of the acquiring firm, bidders’ free cash flow holdings, leverage and pre-takeover profitability. </w:t>
      </w:r>
      <w:r w:rsidR="00F44F82" w:rsidRPr="002B7B0F">
        <w:rPr>
          <w:rFonts w:cs="Times New Roman"/>
          <w:szCs w:val="24"/>
          <w:lang w:val="en-GB"/>
        </w:rPr>
        <w:t>However, some limitat</w:t>
      </w:r>
      <w:r w:rsidR="003B736B" w:rsidRPr="002B7B0F">
        <w:rPr>
          <w:rFonts w:cs="Times New Roman"/>
          <w:szCs w:val="24"/>
          <w:lang w:val="en-GB"/>
        </w:rPr>
        <w:t>ions still exist in this study s</w:t>
      </w:r>
      <w:r w:rsidR="00F44F82" w:rsidRPr="002B7B0F">
        <w:rPr>
          <w:rFonts w:cs="Times New Roman"/>
          <w:szCs w:val="24"/>
          <w:lang w:val="en-GB"/>
        </w:rPr>
        <w:t xml:space="preserve">ince only four bid characteristics and four firm characteristics are included in </w:t>
      </w:r>
      <w:r w:rsidR="00517001">
        <w:rPr>
          <w:rFonts w:cs="Times New Roman"/>
          <w:szCs w:val="24"/>
          <w:lang w:val="en-GB"/>
        </w:rPr>
        <w:t xml:space="preserve">the </w:t>
      </w:r>
      <w:r w:rsidR="00F44F82" w:rsidRPr="002B7B0F">
        <w:rPr>
          <w:rFonts w:cs="Times New Roman"/>
          <w:szCs w:val="24"/>
          <w:lang w:val="en-GB"/>
        </w:rPr>
        <w:t>analysi</w:t>
      </w:r>
      <w:r w:rsidR="00517001">
        <w:rPr>
          <w:rFonts w:cs="Times New Roman"/>
          <w:szCs w:val="24"/>
          <w:lang w:val="en-GB"/>
        </w:rPr>
        <w:t>s</w:t>
      </w:r>
      <w:r w:rsidR="00F44F82" w:rsidRPr="002B7B0F">
        <w:rPr>
          <w:rFonts w:cs="Times New Roman"/>
          <w:szCs w:val="24"/>
          <w:lang w:val="en-GB"/>
        </w:rPr>
        <w:t xml:space="preserve">. It may be interesting to consider more influencing factors </w:t>
      </w:r>
      <w:r w:rsidR="003B736B" w:rsidRPr="002B7B0F">
        <w:rPr>
          <w:rFonts w:cs="Times New Roman"/>
          <w:szCs w:val="24"/>
          <w:lang w:val="en-GB"/>
        </w:rPr>
        <w:t>and</w:t>
      </w:r>
      <w:r w:rsidR="00F44F82" w:rsidRPr="002B7B0F">
        <w:rPr>
          <w:rFonts w:cs="Times New Roman"/>
          <w:szCs w:val="24"/>
          <w:lang w:val="en-GB"/>
        </w:rPr>
        <w:t xml:space="preserve"> see </w:t>
      </w:r>
      <w:r w:rsidR="00715FDD" w:rsidRPr="002B7B0F">
        <w:rPr>
          <w:rFonts w:cs="Times New Roman"/>
          <w:szCs w:val="24"/>
          <w:lang w:val="en-GB"/>
        </w:rPr>
        <w:t>how they affect the results</w:t>
      </w:r>
      <w:r w:rsidR="00F44F82" w:rsidRPr="002B7B0F">
        <w:rPr>
          <w:rFonts w:cs="Times New Roman"/>
          <w:szCs w:val="24"/>
          <w:lang w:val="en-GB"/>
        </w:rPr>
        <w:t>.</w:t>
      </w:r>
    </w:p>
    <w:p w14:paraId="209A35E7" w14:textId="1D0513CA" w:rsidR="00FC7768" w:rsidRPr="002B7B0F" w:rsidRDefault="00F4333D" w:rsidP="00FC7768">
      <w:pPr>
        <w:ind w:firstLine="480"/>
        <w:rPr>
          <w:rFonts w:cs="Times New Roman"/>
          <w:szCs w:val="24"/>
          <w:lang w:val="en-GB"/>
        </w:rPr>
      </w:pPr>
      <w:r w:rsidRPr="002B7B0F">
        <w:rPr>
          <w:rFonts w:cs="Times New Roman"/>
          <w:szCs w:val="24"/>
          <w:lang w:val="en-GB"/>
        </w:rPr>
        <w:t xml:space="preserve">Finally, </w:t>
      </w:r>
      <w:r w:rsidR="00FC7768" w:rsidRPr="002B7B0F">
        <w:rPr>
          <w:rFonts w:cs="Times New Roman"/>
          <w:szCs w:val="24"/>
          <w:lang w:val="en-GB"/>
        </w:rPr>
        <w:t>to the best knowledge of the author</w:t>
      </w:r>
      <w:r w:rsidR="003E1144">
        <w:rPr>
          <w:rFonts w:cs="Times New Roman"/>
          <w:szCs w:val="24"/>
          <w:lang w:val="en-GB"/>
        </w:rPr>
        <w:t>s</w:t>
      </w:r>
      <w:r w:rsidR="00FC7768" w:rsidRPr="002B7B0F">
        <w:rPr>
          <w:rFonts w:cs="Times New Roman"/>
          <w:szCs w:val="24"/>
          <w:lang w:val="en-GB"/>
        </w:rPr>
        <w:t>, this is the first Hong Kong study that inv</w:t>
      </w:r>
      <w:r w:rsidR="003B736B" w:rsidRPr="002B7B0F">
        <w:rPr>
          <w:rFonts w:cs="Times New Roman"/>
          <w:szCs w:val="24"/>
          <w:lang w:val="en-GB"/>
        </w:rPr>
        <w:t>estigates the market response of</w:t>
      </w:r>
      <w:r w:rsidR="00FC7768" w:rsidRPr="002B7B0F">
        <w:rPr>
          <w:rFonts w:cs="Times New Roman"/>
          <w:szCs w:val="24"/>
          <w:lang w:val="en-GB"/>
        </w:rPr>
        <w:t xml:space="preserve"> domestic acquisition announcements</w:t>
      </w:r>
      <w:r w:rsidR="00517001">
        <w:rPr>
          <w:rFonts w:cs="Times New Roman"/>
          <w:szCs w:val="24"/>
          <w:lang w:val="en-GB"/>
        </w:rPr>
        <w:t>,</w:t>
      </w:r>
      <w:r w:rsidR="00FC7768" w:rsidRPr="002B7B0F">
        <w:rPr>
          <w:rFonts w:cs="Times New Roman"/>
          <w:szCs w:val="24"/>
          <w:lang w:val="en-GB"/>
        </w:rPr>
        <w:t xml:space="preserve"> </w:t>
      </w:r>
      <w:r w:rsidR="00517001">
        <w:rPr>
          <w:rFonts w:cs="Times New Roman"/>
          <w:szCs w:val="24"/>
          <w:lang w:val="en-GB"/>
        </w:rPr>
        <w:t>and</w:t>
      </w:r>
      <w:r w:rsidR="00517001" w:rsidRPr="002B7B0F">
        <w:rPr>
          <w:rFonts w:cs="Times New Roman"/>
          <w:szCs w:val="24"/>
          <w:lang w:val="en-GB"/>
        </w:rPr>
        <w:t xml:space="preserve"> </w:t>
      </w:r>
      <w:r w:rsidR="003B736B" w:rsidRPr="002B7B0F">
        <w:rPr>
          <w:rFonts w:cs="Times New Roman"/>
          <w:szCs w:val="24"/>
          <w:lang w:val="en-GB"/>
        </w:rPr>
        <w:t>has</w:t>
      </w:r>
      <w:r w:rsidR="00FC7768" w:rsidRPr="002B7B0F">
        <w:rPr>
          <w:rFonts w:cs="Times New Roman"/>
          <w:szCs w:val="24"/>
          <w:lang w:val="en-GB"/>
        </w:rPr>
        <w:t xml:space="preserve"> categorized targets into two groups based on their different location</w:t>
      </w:r>
      <w:r w:rsidR="003B736B" w:rsidRPr="002B7B0F">
        <w:rPr>
          <w:rFonts w:cs="Times New Roman"/>
          <w:szCs w:val="24"/>
          <w:lang w:val="en-GB"/>
        </w:rPr>
        <w:t>s</w:t>
      </w:r>
      <w:r w:rsidR="00FC7768" w:rsidRPr="002B7B0F">
        <w:rPr>
          <w:rFonts w:cs="Times New Roman"/>
          <w:szCs w:val="24"/>
          <w:lang w:val="en-GB"/>
        </w:rPr>
        <w:t xml:space="preserve">. Consistent with </w:t>
      </w:r>
      <w:r w:rsidRPr="002B7B0F">
        <w:rPr>
          <w:rFonts w:cs="Times New Roman"/>
          <w:szCs w:val="24"/>
          <w:lang w:val="en-GB"/>
        </w:rPr>
        <w:t>Alexandridis et al. (2010)</w:t>
      </w:r>
      <w:r w:rsidR="00FC7768" w:rsidRPr="002B7B0F">
        <w:rPr>
          <w:rFonts w:cs="Times New Roman"/>
          <w:szCs w:val="24"/>
          <w:lang w:val="en-GB"/>
        </w:rPr>
        <w:t xml:space="preserve">, managers can create higher value through purchasing targets in </w:t>
      </w:r>
      <w:r w:rsidR="00517001">
        <w:rPr>
          <w:rFonts w:cs="Times New Roman"/>
          <w:szCs w:val="24"/>
          <w:lang w:val="en-GB"/>
        </w:rPr>
        <w:t xml:space="preserve">a </w:t>
      </w:r>
      <w:r w:rsidR="00FC7768" w:rsidRPr="002B7B0F">
        <w:rPr>
          <w:rFonts w:cs="Times New Roman"/>
          <w:szCs w:val="24"/>
          <w:lang w:val="en-GB"/>
        </w:rPr>
        <w:t xml:space="preserve">less competitive market than </w:t>
      </w:r>
      <w:r w:rsidR="003B736B" w:rsidRPr="002B7B0F">
        <w:rPr>
          <w:rFonts w:cs="Times New Roman"/>
          <w:szCs w:val="24"/>
          <w:lang w:val="en-GB"/>
        </w:rPr>
        <w:t>by</w:t>
      </w:r>
      <w:r w:rsidR="00FC7768" w:rsidRPr="002B7B0F">
        <w:rPr>
          <w:rFonts w:cs="Times New Roman"/>
          <w:szCs w:val="24"/>
          <w:lang w:val="en-GB"/>
        </w:rPr>
        <w:t xml:space="preserve"> acquiring targets in </w:t>
      </w:r>
      <w:r w:rsidR="00517001">
        <w:rPr>
          <w:rFonts w:cs="Times New Roman"/>
          <w:szCs w:val="24"/>
          <w:lang w:val="en-GB"/>
        </w:rPr>
        <w:t xml:space="preserve">a </w:t>
      </w:r>
      <w:r w:rsidR="00FC7768" w:rsidRPr="002B7B0F">
        <w:rPr>
          <w:rFonts w:cs="Times New Roman"/>
          <w:szCs w:val="24"/>
          <w:lang w:val="en-GB"/>
        </w:rPr>
        <w:t xml:space="preserve">market with fierce competition. </w:t>
      </w:r>
      <w:r w:rsidR="00517001">
        <w:rPr>
          <w:rFonts w:cs="Times New Roman"/>
          <w:szCs w:val="24"/>
          <w:lang w:val="en-GB"/>
        </w:rPr>
        <w:t>Furthermore</w:t>
      </w:r>
      <w:r w:rsidR="00FC7768" w:rsidRPr="002B7B0F">
        <w:rPr>
          <w:rFonts w:cs="Times New Roman"/>
          <w:szCs w:val="24"/>
          <w:lang w:val="en-GB"/>
        </w:rPr>
        <w:t xml:space="preserve">, this research tests the relationship between several bid and firm characteristics and bidders’ announcement period abnormal returns. </w:t>
      </w:r>
      <w:r w:rsidR="00544EF0" w:rsidRPr="002B7B0F">
        <w:rPr>
          <w:rFonts w:cs="Times New Roman"/>
          <w:szCs w:val="24"/>
          <w:lang w:val="en-GB"/>
        </w:rPr>
        <w:t xml:space="preserve">The findings in this paper have implications for other </w:t>
      </w:r>
      <w:r w:rsidR="00E65FF5" w:rsidRPr="002B7B0F">
        <w:rPr>
          <w:rFonts w:cs="Times New Roman"/>
          <w:szCs w:val="24"/>
          <w:lang w:val="en-GB"/>
        </w:rPr>
        <w:t>merger and acquisition</w:t>
      </w:r>
      <w:r w:rsidR="00544EF0" w:rsidRPr="002B7B0F">
        <w:rPr>
          <w:rFonts w:cs="Times New Roman"/>
          <w:szCs w:val="24"/>
          <w:lang w:val="en-GB"/>
        </w:rPr>
        <w:t xml:space="preserve"> studies, especially for </w:t>
      </w:r>
      <w:r w:rsidR="00517001">
        <w:rPr>
          <w:rFonts w:cs="Times New Roman"/>
          <w:szCs w:val="24"/>
          <w:lang w:val="en-GB"/>
        </w:rPr>
        <w:t>those</w:t>
      </w:r>
      <w:r w:rsidR="00544EF0" w:rsidRPr="002B7B0F">
        <w:rPr>
          <w:rFonts w:cs="Times New Roman"/>
          <w:szCs w:val="24"/>
          <w:lang w:val="en-GB"/>
        </w:rPr>
        <w:t xml:space="preserve"> in emerging markets</w:t>
      </w:r>
      <w:r w:rsidR="00E65FF5" w:rsidRPr="002B7B0F">
        <w:rPr>
          <w:rFonts w:cs="Times New Roman"/>
          <w:szCs w:val="24"/>
          <w:lang w:val="en-GB"/>
        </w:rPr>
        <w:t>.</w:t>
      </w:r>
    </w:p>
    <w:p w14:paraId="6573FDF5" w14:textId="7F8A9A42" w:rsidR="00D438EF" w:rsidRDefault="00FC7768" w:rsidP="00FC7768">
      <w:pPr>
        <w:ind w:firstLine="480"/>
        <w:rPr>
          <w:rFonts w:cs="Times New Roman"/>
          <w:szCs w:val="24"/>
          <w:lang w:val="en-GB"/>
        </w:rPr>
      </w:pPr>
      <w:r w:rsidRPr="002B7B0F">
        <w:rPr>
          <w:rFonts w:cs="Times New Roman"/>
          <w:szCs w:val="24"/>
          <w:lang w:val="en-GB"/>
        </w:rPr>
        <w:t>Mergers and acquisitions events have significant influences on various stakeholders, such as investors and regulators. Thus, reinforcing and developing the existing literature through further research on the influence</w:t>
      </w:r>
      <w:r w:rsidR="003B736B" w:rsidRPr="002B7B0F">
        <w:rPr>
          <w:rFonts w:cs="Times New Roman"/>
          <w:szCs w:val="24"/>
          <w:lang w:val="en-GB"/>
        </w:rPr>
        <w:t>s</w:t>
      </w:r>
      <w:r w:rsidRPr="002B7B0F">
        <w:rPr>
          <w:rFonts w:cs="Times New Roman"/>
          <w:szCs w:val="24"/>
          <w:lang w:val="en-GB"/>
        </w:rPr>
        <w:t xml:space="preserve"> </w:t>
      </w:r>
      <w:bookmarkStart w:id="34" w:name="_GoBack"/>
      <w:r w:rsidRPr="002B7B0F">
        <w:rPr>
          <w:rFonts w:cs="Times New Roman"/>
          <w:szCs w:val="24"/>
          <w:lang w:val="en-GB"/>
        </w:rPr>
        <w:t xml:space="preserve">of mergers and acquisitions to determine whether these </w:t>
      </w:r>
      <w:r w:rsidR="003B736B" w:rsidRPr="002B7B0F">
        <w:rPr>
          <w:rFonts w:cs="Times New Roman"/>
          <w:szCs w:val="24"/>
          <w:lang w:val="en-GB"/>
        </w:rPr>
        <w:t>decisions increase value for</w:t>
      </w:r>
      <w:r w:rsidRPr="002B7B0F">
        <w:rPr>
          <w:rFonts w:cs="Times New Roman"/>
          <w:szCs w:val="24"/>
          <w:lang w:val="en-GB"/>
        </w:rPr>
        <w:t xml:space="preserve"> shareholders of the bidding company seem to be necessary. </w:t>
      </w:r>
      <w:r w:rsidR="00715FDD" w:rsidRPr="002B7B0F">
        <w:rPr>
          <w:rFonts w:cs="Times New Roman"/>
          <w:szCs w:val="24"/>
          <w:lang w:val="en-GB"/>
        </w:rPr>
        <w:t>T</w:t>
      </w:r>
      <w:r w:rsidR="003B736B" w:rsidRPr="002B7B0F">
        <w:rPr>
          <w:rFonts w:cs="Times New Roman"/>
          <w:szCs w:val="24"/>
          <w:lang w:val="en-GB"/>
        </w:rPr>
        <w:t>his study attempts to expose</w:t>
      </w:r>
      <w:r w:rsidRPr="002B7B0F">
        <w:rPr>
          <w:rFonts w:cs="Times New Roman"/>
          <w:szCs w:val="24"/>
          <w:lang w:val="en-GB"/>
        </w:rPr>
        <w:t xml:space="preserve"> actual </w:t>
      </w:r>
      <w:r w:rsidR="003B736B" w:rsidRPr="002B7B0F">
        <w:rPr>
          <w:rFonts w:cs="Times New Roman"/>
          <w:szCs w:val="24"/>
          <w:lang w:val="en-GB"/>
        </w:rPr>
        <w:t>economic benefits related to</w:t>
      </w:r>
      <w:r w:rsidRPr="002B7B0F">
        <w:rPr>
          <w:rFonts w:cs="Times New Roman"/>
          <w:szCs w:val="24"/>
          <w:lang w:val="en-GB"/>
        </w:rPr>
        <w:t xml:space="preserve"> acquisition</w:t>
      </w:r>
      <w:r w:rsidR="003B736B" w:rsidRPr="002B7B0F">
        <w:rPr>
          <w:rFonts w:cs="Times New Roman"/>
          <w:szCs w:val="24"/>
          <w:lang w:val="en-GB"/>
        </w:rPr>
        <w:t>s</w:t>
      </w:r>
      <w:r w:rsidRPr="002B7B0F">
        <w:rPr>
          <w:rFonts w:cs="Times New Roman"/>
          <w:szCs w:val="24"/>
          <w:lang w:val="en-GB"/>
        </w:rPr>
        <w:t xml:space="preserve">. </w:t>
      </w:r>
      <w:r w:rsidR="00B9414C" w:rsidRPr="00923871">
        <w:rPr>
          <w:rFonts w:cs="Times New Roman"/>
          <w:szCs w:val="24"/>
          <w:lang w:val="en-GB"/>
        </w:rPr>
        <w:t>Recent development of Fama and French (2016) five-factor model could be used as robustness in further studies which adds profitability and investment factors to the three-factor model of Fama and French (1993).</w:t>
      </w:r>
      <w:r w:rsidR="00B9414C">
        <w:rPr>
          <w:rFonts w:cs="Times New Roman"/>
          <w:szCs w:val="24"/>
          <w:lang w:val="en-GB"/>
        </w:rPr>
        <w:t xml:space="preserve"> </w:t>
      </w:r>
      <w:r w:rsidR="006E0B5E">
        <w:rPr>
          <w:rFonts w:cs="Times New Roman"/>
          <w:szCs w:val="24"/>
          <w:lang w:val="en-GB"/>
        </w:rPr>
        <w:t>Our</w:t>
      </w:r>
      <w:r w:rsidR="003B736B" w:rsidRPr="002B7B0F">
        <w:rPr>
          <w:rFonts w:cs="Times New Roman"/>
          <w:szCs w:val="24"/>
          <w:lang w:val="en-GB"/>
        </w:rPr>
        <w:t xml:space="preserve"> </w:t>
      </w:r>
      <w:r w:rsidR="006E0B5E">
        <w:rPr>
          <w:rFonts w:cs="Times New Roman"/>
          <w:szCs w:val="24"/>
          <w:lang w:val="en-GB"/>
        </w:rPr>
        <w:t>findings</w:t>
      </w:r>
      <w:r w:rsidRPr="002B7B0F">
        <w:rPr>
          <w:rFonts w:cs="Times New Roman"/>
          <w:szCs w:val="24"/>
          <w:lang w:val="en-GB"/>
        </w:rPr>
        <w:t xml:space="preserve"> will help regulators to develo</w:t>
      </w:r>
      <w:bookmarkEnd w:id="34"/>
      <w:r w:rsidRPr="002B7B0F">
        <w:rPr>
          <w:rFonts w:cs="Times New Roman"/>
          <w:szCs w:val="24"/>
          <w:lang w:val="en-GB"/>
        </w:rPr>
        <w:t xml:space="preserve">p strategies </w:t>
      </w:r>
      <w:r w:rsidR="00517001">
        <w:rPr>
          <w:rFonts w:cs="Times New Roman"/>
          <w:szCs w:val="24"/>
          <w:lang w:val="en-GB"/>
        </w:rPr>
        <w:t>that</w:t>
      </w:r>
      <w:r w:rsidR="00517001" w:rsidRPr="002B7B0F">
        <w:rPr>
          <w:rFonts w:cs="Times New Roman"/>
          <w:szCs w:val="24"/>
          <w:lang w:val="en-GB"/>
        </w:rPr>
        <w:t xml:space="preserve"> </w:t>
      </w:r>
      <w:r w:rsidRPr="002B7B0F">
        <w:rPr>
          <w:rFonts w:cs="Times New Roman"/>
          <w:szCs w:val="24"/>
          <w:lang w:val="en-GB"/>
        </w:rPr>
        <w:t xml:space="preserve">can encourage businesses to conduct mergers and acquisitions events under </w:t>
      </w:r>
      <w:r w:rsidR="002E317A" w:rsidRPr="002B7B0F">
        <w:rPr>
          <w:rFonts w:cs="Times New Roman"/>
          <w:szCs w:val="24"/>
          <w:lang w:val="en-GB"/>
        </w:rPr>
        <w:t>certain</w:t>
      </w:r>
      <w:r w:rsidRPr="002B7B0F">
        <w:rPr>
          <w:rFonts w:cs="Times New Roman"/>
          <w:szCs w:val="24"/>
          <w:lang w:val="en-GB"/>
        </w:rPr>
        <w:t xml:space="preserve"> </w:t>
      </w:r>
      <w:r w:rsidR="00517001">
        <w:rPr>
          <w:rFonts w:cs="Times New Roman"/>
          <w:szCs w:val="24"/>
          <w:lang w:val="en-GB"/>
        </w:rPr>
        <w:t>conditions</w:t>
      </w:r>
      <w:r w:rsidR="00517001" w:rsidRPr="002B7B0F">
        <w:rPr>
          <w:rFonts w:cs="Times New Roman"/>
          <w:szCs w:val="24"/>
          <w:lang w:val="en-GB"/>
        </w:rPr>
        <w:t xml:space="preserve"> </w:t>
      </w:r>
      <w:r w:rsidRPr="002B7B0F">
        <w:rPr>
          <w:rFonts w:cs="Times New Roman"/>
          <w:szCs w:val="24"/>
          <w:lang w:val="en-GB"/>
        </w:rPr>
        <w:t>and provide protection against managers who tend to concentrate more on their own interests at the expense of shareholders’</w:t>
      </w:r>
      <w:r w:rsidR="007C4CC7" w:rsidRPr="002B7B0F">
        <w:rPr>
          <w:rFonts w:cs="Times New Roman"/>
          <w:szCs w:val="24"/>
          <w:lang w:val="en-GB"/>
        </w:rPr>
        <w:t xml:space="preserve"> value. F</w:t>
      </w:r>
      <w:r w:rsidRPr="002B7B0F">
        <w:rPr>
          <w:rFonts w:cs="Times New Roman"/>
          <w:szCs w:val="24"/>
          <w:lang w:val="en-GB"/>
        </w:rPr>
        <w:t>indings from this research can also help shareholders and other investors understand the nature of potential benefits related to these companies’ activities. As a result, investors can estimate the</w:t>
      </w:r>
      <w:r w:rsidR="001E79D1" w:rsidRPr="002B7B0F">
        <w:rPr>
          <w:rFonts w:cs="Times New Roman"/>
          <w:szCs w:val="24"/>
          <w:lang w:val="en-GB"/>
        </w:rPr>
        <w:t>ir</w:t>
      </w:r>
      <w:r w:rsidRPr="002B7B0F">
        <w:rPr>
          <w:rFonts w:cs="Times New Roman"/>
          <w:szCs w:val="24"/>
          <w:lang w:val="en-GB"/>
        </w:rPr>
        <w:t xml:space="preserve"> investment income when coming to similar business decisions. </w:t>
      </w:r>
      <w:r w:rsidR="00BF730E" w:rsidRPr="002B7B0F">
        <w:rPr>
          <w:rFonts w:cs="Times New Roman"/>
          <w:szCs w:val="24"/>
          <w:lang w:val="en-GB"/>
        </w:rPr>
        <w:t>S</w:t>
      </w:r>
      <w:r w:rsidRPr="002B7B0F">
        <w:rPr>
          <w:rFonts w:cs="Times New Roman"/>
          <w:szCs w:val="24"/>
          <w:lang w:val="en-GB"/>
        </w:rPr>
        <w:t xml:space="preserve">takeholders will be better </w:t>
      </w:r>
      <w:r w:rsidR="001E79D1" w:rsidRPr="002B7B0F">
        <w:rPr>
          <w:rFonts w:cs="Times New Roman"/>
          <w:szCs w:val="24"/>
          <w:lang w:val="en-GB"/>
        </w:rPr>
        <w:t>at identifying</w:t>
      </w:r>
      <w:r w:rsidRPr="002B7B0F">
        <w:rPr>
          <w:rFonts w:cs="Times New Roman"/>
          <w:szCs w:val="24"/>
          <w:lang w:val="en-GB"/>
        </w:rPr>
        <w:t xml:space="preserve"> potential synergies in terms of </w:t>
      </w:r>
      <w:r w:rsidR="00517001">
        <w:rPr>
          <w:rFonts w:cs="Times New Roman"/>
          <w:szCs w:val="24"/>
          <w:lang w:val="en-GB"/>
        </w:rPr>
        <w:t xml:space="preserve">the </w:t>
      </w:r>
      <w:r w:rsidRPr="002B7B0F">
        <w:rPr>
          <w:rFonts w:cs="Times New Roman"/>
          <w:szCs w:val="24"/>
          <w:lang w:val="en-GB"/>
        </w:rPr>
        <w:t>operational and financial efficiency of acquisitions.</w:t>
      </w:r>
    </w:p>
    <w:p w14:paraId="1680C978" w14:textId="77777777" w:rsidR="00D438EF" w:rsidRDefault="00D438EF" w:rsidP="00D438EF">
      <w:pPr>
        <w:pStyle w:val="Heading1"/>
        <w:numPr>
          <w:ilvl w:val="0"/>
          <w:numId w:val="0"/>
        </w:numPr>
        <w:spacing w:before="360" w:after="360"/>
        <w:jc w:val="left"/>
      </w:pPr>
      <w:bookmarkStart w:id="35" w:name="_Toc491700356"/>
      <w:bookmarkStart w:id="36" w:name="_Toc491701490"/>
      <w:bookmarkStart w:id="37" w:name="_Toc491851536"/>
      <w:r w:rsidRPr="00052E20">
        <w:t>References</w:t>
      </w:r>
      <w:bookmarkEnd w:id="35"/>
      <w:bookmarkEnd w:id="36"/>
      <w:bookmarkEnd w:id="37"/>
    </w:p>
    <w:p w14:paraId="049C3A3B" w14:textId="574041AD" w:rsidR="00E24AC4" w:rsidRDefault="00E24AC4" w:rsidP="00E24AC4">
      <w:pPr>
        <w:keepNext/>
        <w:widowControl/>
        <w:spacing w:afterLines="100" w:after="240" w:line="240" w:lineRule="auto"/>
        <w:ind w:left="480" w:hangingChars="200" w:hanging="480"/>
        <w:rPr>
          <w:rFonts w:cs="Times New Roman"/>
          <w:szCs w:val="24"/>
        </w:rPr>
      </w:pPr>
      <w:r w:rsidRPr="00815670">
        <w:rPr>
          <w:rFonts w:cs="Times New Roman"/>
          <w:szCs w:val="24"/>
        </w:rPr>
        <w:t>Ahern, K.R., Daminelli, D. and Fracassi, C., 2015. Lost in translation? The effect of cultural</w:t>
      </w:r>
      <w:r>
        <w:rPr>
          <w:rFonts w:cs="Times New Roman"/>
          <w:szCs w:val="24"/>
        </w:rPr>
        <w:t xml:space="preserve"> </w:t>
      </w:r>
      <w:r w:rsidRPr="00815670">
        <w:rPr>
          <w:rFonts w:cs="Times New Roman"/>
          <w:szCs w:val="24"/>
        </w:rPr>
        <w:t>values on mergers around the world. </w:t>
      </w:r>
      <w:r w:rsidRPr="00E24AC4">
        <w:rPr>
          <w:rFonts w:cs="Times New Roman"/>
          <w:i/>
          <w:szCs w:val="24"/>
        </w:rPr>
        <w:t>Journal of Financial Economics</w:t>
      </w:r>
      <w:r w:rsidRPr="00815670">
        <w:rPr>
          <w:rFonts w:cs="Times New Roman"/>
          <w:szCs w:val="24"/>
        </w:rPr>
        <w:t>, 117(1), pp.165-189.</w:t>
      </w:r>
    </w:p>
    <w:p w14:paraId="07BBB01B" w14:textId="2F8B121A" w:rsidR="00DA63C4" w:rsidRDefault="00DA63C4" w:rsidP="00D438EF">
      <w:pPr>
        <w:keepNext/>
        <w:widowControl/>
        <w:spacing w:afterLines="100" w:after="240" w:line="240" w:lineRule="auto"/>
        <w:ind w:left="480" w:hangingChars="200" w:hanging="480"/>
        <w:rPr>
          <w:rFonts w:cs="Times New Roman"/>
          <w:szCs w:val="24"/>
        </w:rPr>
      </w:pPr>
      <w:r w:rsidRPr="00815670">
        <w:rPr>
          <w:rFonts w:cs="Times New Roman"/>
          <w:szCs w:val="24"/>
        </w:rPr>
        <w:t>Alexandridis, G., Fuller, K.P., Terhaar, L. and Travlos, N.G., 2013. Deal size, acquisition</w:t>
      </w:r>
      <w:r>
        <w:rPr>
          <w:rFonts w:cs="Times New Roman"/>
          <w:szCs w:val="24"/>
        </w:rPr>
        <w:t xml:space="preserve"> </w:t>
      </w:r>
      <w:r w:rsidRPr="00815670">
        <w:rPr>
          <w:rFonts w:cs="Times New Roman"/>
          <w:szCs w:val="24"/>
        </w:rPr>
        <w:t>premia and shareholder gains. </w:t>
      </w:r>
      <w:r w:rsidRPr="00DA63C4">
        <w:rPr>
          <w:rFonts w:cs="Times New Roman"/>
          <w:i/>
          <w:szCs w:val="24"/>
        </w:rPr>
        <w:t>Journal of Corporate Finance</w:t>
      </w:r>
      <w:r w:rsidRPr="00815670">
        <w:rPr>
          <w:rFonts w:cs="Times New Roman"/>
          <w:szCs w:val="24"/>
        </w:rPr>
        <w:t>, 20, pp.1-13.</w:t>
      </w:r>
    </w:p>
    <w:p w14:paraId="65BDB185" w14:textId="6EFDADA6" w:rsidR="00D438EF" w:rsidRPr="00052E20" w:rsidRDefault="00D438EF" w:rsidP="00DA63C4">
      <w:pPr>
        <w:keepNext/>
        <w:widowControl/>
        <w:spacing w:afterLines="100" w:after="240" w:line="240" w:lineRule="auto"/>
        <w:ind w:left="480" w:hangingChars="200" w:hanging="480"/>
        <w:rPr>
          <w:rFonts w:cs="Times New Roman"/>
          <w:szCs w:val="24"/>
        </w:rPr>
      </w:pPr>
      <w:r w:rsidRPr="00052E20">
        <w:rPr>
          <w:rFonts w:cs="Times New Roman"/>
          <w:szCs w:val="24"/>
        </w:rPr>
        <w:t xml:space="preserve">Alexandridis, G., Petmezas, D. and Travlos, N. G. 2010. Gains from mergers and acquisitions around the world: new evidence. </w:t>
      </w:r>
      <w:r w:rsidRPr="00052E20">
        <w:rPr>
          <w:rFonts w:cs="Times New Roman"/>
          <w:i/>
          <w:szCs w:val="24"/>
        </w:rPr>
        <w:t>Financial Management</w:t>
      </w:r>
      <w:r w:rsidRPr="00052E20">
        <w:rPr>
          <w:rFonts w:cs="Times New Roman"/>
          <w:szCs w:val="24"/>
        </w:rPr>
        <w:t xml:space="preserve"> 39(4), pp. 1671-1695.</w:t>
      </w:r>
    </w:p>
    <w:p w14:paraId="39502C9C"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Andrade, G., Mitchell, M. and Stafford, E. 2001. New evidence and perspectives on mergers. </w:t>
      </w:r>
      <w:r w:rsidRPr="00052E20">
        <w:rPr>
          <w:rFonts w:cs="Times New Roman"/>
          <w:i/>
          <w:szCs w:val="24"/>
        </w:rPr>
        <w:t>The Journal of Economic Perspectives</w:t>
      </w:r>
      <w:r w:rsidRPr="00052E20">
        <w:rPr>
          <w:rFonts w:cs="Times New Roman"/>
          <w:szCs w:val="24"/>
        </w:rPr>
        <w:t xml:space="preserve"> 15(2), pp. 103-120.</w:t>
      </w:r>
    </w:p>
    <w:p w14:paraId="53CC28B9" w14:textId="77777777" w:rsidR="00D438EF"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Andrew, S. 2006. </w:t>
      </w:r>
      <w:r w:rsidRPr="00052E20">
        <w:rPr>
          <w:rFonts w:cs="Times New Roman"/>
          <w:i/>
          <w:szCs w:val="24"/>
        </w:rPr>
        <w:t>Mergers and acquisitions from A to Z</w:t>
      </w:r>
      <w:r w:rsidRPr="00052E20">
        <w:rPr>
          <w:rFonts w:cs="Times New Roman"/>
          <w:szCs w:val="24"/>
        </w:rPr>
        <w:t>. 3rd ed. Toronto: American Management Association.</w:t>
      </w:r>
    </w:p>
    <w:p w14:paraId="5A43290E"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Antoniou, A</w:t>
      </w:r>
      <w:r>
        <w:rPr>
          <w:rFonts w:cs="Times New Roman"/>
          <w:szCs w:val="24"/>
        </w:rPr>
        <w:t>., Arbour, P. and Zhao, H. 2008</w:t>
      </w:r>
      <w:r w:rsidRPr="00052E20">
        <w:rPr>
          <w:rFonts w:cs="Times New Roman"/>
          <w:szCs w:val="24"/>
        </w:rPr>
        <w:t xml:space="preserve">. How much is too much: are merger premiums too high? </w:t>
      </w:r>
      <w:r w:rsidRPr="00052E20">
        <w:rPr>
          <w:rFonts w:cs="Times New Roman"/>
          <w:i/>
          <w:szCs w:val="24"/>
        </w:rPr>
        <w:t>European Financial Management</w:t>
      </w:r>
      <w:r w:rsidRPr="00052E20">
        <w:rPr>
          <w:rFonts w:cs="Times New Roman"/>
          <w:szCs w:val="24"/>
        </w:rPr>
        <w:t xml:space="preserve"> 14(2), pp. 268-287.</w:t>
      </w:r>
    </w:p>
    <w:p w14:paraId="5D8AF4D9" w14:textId="47E735A0" w:rsidR="00D438EF" w:rsidRDefault="00D438EF" w:rsidP="00D438EF">
      <w:pPr>
        <w:keepNext/>
        <w:widowControl/>
        <w:spacing w:afterLines="100" w:after="240" w:line="240" w:lineRule="auto"/>
        <w:ind w:left="480" w:hangingChars="200" w:hanging="480"/>
        <w:rPr>
          <w:rFonts w:cs="Times New Roman"/>
          <w:szCs w:val="24"/>
          <w:lang w:val="en-GB"/>
        </w:rPr>
      </w:pPr>
      <w:r w:rsidRPr="008D4FC5">
        <w:rPr>
          <w:rFonts w:cs="Times New Roman"/>
          <w:szCs w:val="24"/>
          <w:lang w:val="en-GB"/>
        </w:rPr>
        <w:t xml:space="preserve">Antoniou, A., Petmezas, D. and Zhao, H. 2007. Bidder gains and losses of firms involved in many acquisitions. </w:t>
      </w:r>
      <w:r w:rsidRPr="008D4FC5">
        <w:rPr>
          <w:rFonts w:cs="Times New Roman"/>
          <w:i/>
          <w:szCs w:val="24"/>
          <w:lang w:val="en-GB"/>
        </w:rPr>
        <w:t>Journal of Business Finance and Accounting</w:t>
      </w:r>
      <w:r w:rsidRPr="008D4FC5">
        <w:rPr>
          <w:rFonts w:cs="Times New Roman"/>
          <w:szCs w:val="24"/>
          <w:lang w:val="en-GB"/>
        </w:rPr>
        <w:t xml:space="preserve"> 34(7-8), pp. 1221-1244.</w:t>
      </w:r>
    </w:p>
    <w:p w14:paraId="0C011CAF" w14:textId="3D967A65" w:rsidR="00E24AC4" w:rsidRDefault="00E24AC4" w:rsidP="00E24AC4">
      <w:pPr>
        <w:keepNext/>
        <w:widowControl/>
        <w:spacing w:afterLines="100" w:after="240" w:line="240" w:lineRule="auto"/>
        <w:ind w:left="480" w:hangingChars="200" w:hanging="480"/>
        <w:rPr>
          <w:rFonts w:cs="Times New Roman"/>
          <w:szCs w:val="24"/>
          <w:lang w:val="en-GB"/>
        </w:rPr>
      </w:pPr>
      <w:r w:rsidRPr="00E24AC4">
        <w:rPr>
          <w:rFonts w:cs="Times New Roman"/>
          <w:szCs w:val="24"/>
          <w:lang w:val="en-GB"/>
        </w:rPr>
        <w:t>Arikan, A.M. and Stulz, R.M., 2016. Corporate acquisitions, diversification, and the firm's life cycle. </w:t>
      </w:r>
      <w:r w:rsidRPr="00E24AC4">
        <w:rPr>
          <w:rFonts w:cs="Times New Roman"/>
          <w:i/>
          <w:szCs w:val="24"/>
          <w:lang w:val="en-GB"/>
        </w:rPr>
        <w:t>The Journal of Finance</w:t>
      </w:r>
      <w:r w:rsidRPr="00E24AC4">
        <w:rPr>
          <w:rFonts w:cs="Times New Roman"/>
          <w:szCs w:val="24"/>
          <w:lang w:val="en-GB"/>
        </w:rPr>
        <w:t>, 71(1), pp.139-194.</w:t>
      </w:r>
    </w:p>
    <w:p w14:paraId="117C7BF2" w14:textId="77777777" w:rsidR="00E24AC4" w:rsidRPr="00E24AC4" w:rsidRDefault="00E24AC4" w:rsidP="00E24AC4">
      <w:pPr>
        <w:keepNext/>
        <w:widowControl/>
        <w:spacing w:afterLines="100" w:after="240" w:line="240" w:lineRule="auto"/>
        <w:ind w:left="480" w:hangingChars="200" w:hanging="480"/>
        <w:rPr>
          <w:rFonts w:cs="Times New Roman"/>
          <w:szCs w:val="24"/>
          <w:lang w:val="en-GB"/>
        </w:rPr>
      </w:pPr>
      <w:r w:rsidRPr="00E24AC4">
        <w:rPr>
          <w:rFonts w:cs="Times New Roman"/>
          <w:szCs w:val="24"/>
          <w:lang w:val="en-GB"/>
        </w:rPr>
        <w:t>Bena, J. and Li, K., 2014. Corporate innovations and mergers and acquisitions. </w:t>
      </w:r>
      <w:r w:rsidRPr="00E24AC4">
        <w:rPr>
          <w:rFonts w:cs="Times New Roman"/>
          <w:i/>
          <w:szCs w:val="24"/>
          <w:lang w:val="en-GB"/>
        </w:rPr>
        <w:t>The Journal of Finance</w:t>
      </w:r>
      <w:r w:rsidRPr="00E24AC4">
        <w:rPr>
          <w:rFonts w:cs="Times New Roman"/>
          <w:szCs w:val="24"/>
          <w:lang w:val="en-GB"/>
        </w:rPr>
        <w:t>, 69(5), pp.1923-1960.</w:t>
      </w:r>
    </w:p>
    <w:p w14:paraId="36DFFEDA" w14:textId="27280C26" w:rsidR="00D438EF" w:rsidRDefault="00D438EF" w:rsidP="00D438EF">
      <w:pPr>
        <w:keepNext/>
        <w:widowControl/>
        <w:spacing w:afterLines="100" w:after="240" w:line="240" w:lineRule="auto"/>
        <w:ind w:left="480" w:hangingChars="200" w:hanging="480"/>
        <w:rPr>
          <w:rFonts w:cs="Times New Roman"/>
          <w:szCs w:val="24"/>
          <w:lang w:val="en-GB"/>
        </w:rPr>
      </w:pPr>
      <w:r w:rsidRPr="00052E20">
        <w:rPr>
          <w:rFonts w:cs="Times New Roman"/>
          <w:szCs w:val="24"/>
          <w:lang w:val="en-GB"/>
        </w:rPr>
        <w:t>Berger, P. G. and</w:t>
      </w:r>
      <w:r w:rsidRPr="00052E20">
        <w:rPr>
          <w:rFonts w:cs="Times New Roman"/>
          <w:szCs w:val="24"/>
        </w:rPr>
        <w:t xml:space="preserve"> Ofek, E. 1995</w:t>
      </w:r>
      <w:r w:rsidRPr="00052E20">
        <w:rPr>
          <w:rFonts w:cs="Times New Roman"/>
          <w:szCs w:val="24"/>
          <w:lang w:val="en-GB"/>
        </w:rPr>
        <w:t xml:space="preserve">. Diversification's effect on firm value. </w:t>
      </w:r>
      <w:r w:rsidRPr="00052E20">
        <w:rPr>
          <w:rFonts w:cs="Times New Roman"/>
          <w:i/>
          <w:szCs w:val="24"/>
          <w:lang w:val="en-GB"/>
        </w:rPr>
        <w:t>Journal of Financial Economics</w:t>
      </w:r>
      <w:r w:rsidRPr="00052E20">
        <w:rPr>
          <w:rFonts w:cs="Times New Roman"/>
          <w:szCs w:val="24"/>
          <w:lang w:val="en-GB"/>
        </w:rPr>
        <w:t xml:space="preserve"> 37(1), pp. 39-65.</w:t>
      </w:r>
    </w:p>
    <w:p w14:paraId="354C9758" w14:textId="0C45BBFA" w:rsidR="00E24AC4" w:rsidRPr="00E24AC4" w:rsidRDefault="00E24AC4" w:rsidP="00E24AC4">
      <w:pPr>
        <w:keepNext/>
        <w:widowControl/>
        <w:spacing w:afterLines="100" w:after="240" w:line="240" w:lineRule="auto"/>
        <w:ind w:left="480" w:hangingChars="200" w:hanging="480"/>
        <w:rPr>
          <w:rFonts w:cs="Times New Roman"/>
          <w:szCs w:val="24"/>
          <w:lang w:val="en-GB"/>
        </w:rPr>
      </w:pPr>
      <w:r w:rsidRPr="00E24AC4">
        <w:rPr>
          <w:rFonts w:cs="Times New Roman"/>
          <w:szCs w:val="24"/>
          <w:lang w:val="en-GB"/>
        </w:rPr>
        <w:t>Bhabra, H.S. and Huang, J., 2013. An empirical investigation of mergers and acquisitions by Chinese listed companies, 1997–2007. </w:t>
      </w:r>
      <w:r w:rsidRPr="00E24AC4">
        <w:rPr>
          <w:rFonts w:cs="Times New Roman"/>
          <w:i/>
          <w:szCs w:val="24"/>
          <w:lang w:val="en-GB"/>
        </w:rPr>
        <w:t>Journal of Multinational Financial Management</w:t>
      </w:r>
      <w:r w:rsidRPr="00E24AC4">
        <w:rPr>
          <w:rFonts w:cs="Times New Roman"/>
          <w:szCs w:val="24"/>
          <w:lang w:val="en-GB"/>
        </w:rPr>
        <w:t>, 23(3), pp.186-207.</w:t>
      </w:r>
    </w:p>
    <w:p w14:paraId="4A40B8C0"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Boubakri, N., Dionne, G. and Triki, T. 2008. Consolidation and value creation in the insurance industry: The role of governance. </w:t>
      </w:r>
      <w:r w:rsidRPr="00052E20">
        <w:rPr>
          <w:rFonts w:cs="Times New Roman"/>
          <w:i/>
          <w:szCs w:val="24"/>
        </w:rPr>
        <w:t>Journal of Banking and Finance</w:t>
      </w:r>
      <w:r w:rsidRPr="00052E20">
        <w:rPr>
          <w:rFonts w:cs="Times New Roman"/>
          <w:szCs w:val="24"/>
        </w:rPr>
        <w:t xml:space="preserve"> 32(1), pp. 56-68.</w:t>
      </w:r>
    </w:p>
    <w:p w14:paraId="2FFC8980"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Bradley, M., Desai, A. and Kim, E. H. 1988. Synergistic gains from corporate acquisitions and their division between the stockholders of target and acquiring firms. </w:t>
      </w:r>
      <w:r w:rsidRPr="00052E20">
        <w:rPr>
          <w:rFonts w:cs="Times New Roman"/>
          <w:i/>
          <w:szCs w:val="24"/>
        </w:rPr>
        <w:t>Journal of Financial Economics</w:t>
      </w:r>
      <w:r w:rsidRPr="00052E20">
        <w:rPr>
          <w:rFonts w:cs="Times New Roman"/>
          <w:szCs w:val="24"/>
        </w:rPr>
        <w:t xml:space="preserve"> 21(1), pp. 3-40.</w:t>
      </w:r>
    </w:p>
    <w:p w14:paraId="0633AE9F"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Brown, S. J. and Warner, J. B. 1980. Measuring security price performance. </w:t>
      </w:r>
      <w:r w:rsidRPr="00052E20">
        <w:rPr>
          <w:rFonts w:cs="Times New Roman"/>
          <w:i/>
          <w:szCs w:val="24"/>
        </w:rPr>
        <w:t>Journal of Financial Economics</w:t>
      </w:r>
      <w:r w:rsidRPr="00052E20">
        <w:rPr>
          <w:rFonts w:cs="Times New Roman"/>
          <w:szCs w:val="24"/>
        </w:rPr>
        <w:t xml:space="preserve"> 8(3), pp. 205-258.</w:t>
      </w:r>
    </w:p>
    <w:p w14:paraId="07BEC94E"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Brown, S. J. and Warner, J. B. 1985. Using daily stock returns. </w:t>
      </w:r>
      <w:r w:rsidRPr="00052E20">
        <w:rPr>
          <w:rFonts w:cs="Times New Roman"/>
          <w:i/>
          <w:szCs w:val="24"/>
        </w:rPr>
        <w:t>Journal of Financial Economics</w:t>
      </w:r>
      <w:r w:rsidRPr="00052E20">
        <w:rPr>
          <w:rFonts w:cs="Times New Roman"/>
          <w:szCs w:val="24"/>
        </w:rPr>
        <w:t xml:space="preserve"> 14(1), pp. 3-31.</w:t>
      </w:r>
    </w:p>
    <w:p w14:paraId="3D3D6A03"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Bruner, R. 2002. Does M&amp;A pay? A survey of evidence for the decision-maker. </w:t>
      </w:r>
      <w:r w:rsidRPr="00052E20">
        <w:rPr>
          <w:rFonts w:cs="Times New Roman"/>
          <w:i/>
          <w:szCs w:val="24"/>
        </w:rPr>
        <w:t xml:space="preserve">Journal of Applied Finance </w:t>
      </w:r>
      <w:r w:rsidRPr="00052E20">
        <w:rPr>
          <w:rFonts w:cs="Times New Roman"/>
          <w:szCs w:val="24"/>
        </w:rPr>
        <w:t>12(1), pp. 7-27.</w:t>
      </w:r>
    </w:p>
    <w:p w14:paraId="7818C329"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Bruner, R., Conroy, R., Estrada, J., Kritzman, M. and Li, W. 2002. Introduction to ‘valuation in emerging markets’. </w:t>
      </w:r>
      <w:r w:rsidRPr="00052E20">
        <w:rPr>
          <w:rFonts w:cs="Times New Roman"/>
          <w:i/>
          <w:szCs w:val="24"/>
        </w:rPr>
        <w:t>Emerging Markets Review</w:t>
      </w:r>
      <w:r w:rsidRPr="00052E20">
        <w:rPr>
          <w:rFonts w:cs="Times New Roman"/>
          <w:szCs w:val="24"/>
        </w:rPr>
        <w:t xml:space="preserve"> 21(1), pp. 3-40.</w:t>
      </w:r>
    </w:p>
    <w:p w14:paraId="6904066F"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Capron, L. and Shen, J.-C. 2007. Acquisitions of private vs. public firms: private information, target selection, and acquirer returns. </w:t>
      </w:r>
      <w:r w:rsidRPr="00052E20">
        <w:rPr>
          <w:rFonts w:cs="Times New Roman"/>
          <w:i/>
          <w:szCs w:val="24"/>
        </w:rPr>
        <w:t>Strategic Management Journal</w:t>
      </w:r>
      <w:r w:rsidRPr="00052E20">
        <w:rPr>
          <w:rFonts w:cs="Times New Roman"/>
          <w:szCs w:val="24"/>
        </w:rPr>
        <w:t xml:space="preserve"> 28(9), pp. 891-911.</w:t>
      </w:r>
    </w:p>
    <w:p w14:paraId="5A77CAFB"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Chang, S. 1998. Takeovers of privately held targets, methods of payment, and bidder returns. </w:t>
      </w:r>
      <w:r w:rsidRPr="00052E20">
        <w:rPr>
          <w:rFonts w:cs="Times New Roman"/>
          <w:i/>
          <w:szCs w:val="24"/>
        </w:rPr>
        <w:t>Journal of Finance</w:t>
      </w:r>
      <w:r w:rsidRPr="00052E20">
        <w:rPr>
          <w:rFonts w:cs="Times New Roman"/>
          <w:szCs w:val="24"/>
        </w:rPr>
        <w:t xml:space="preserve"> 53(2), pp. 773-784.</w:t>
      </w:r>
    </w:p>
    <w:p w14:paraId="40B2E649" w14:textId="77777777" w:rsidR="00D438EF"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Chatterjee, S. 1992. Sources of Value in Takeovers: Synergy or Restructuring-Implications for Target and Bidder Firms. </w:t>
      </w:r>
      <w:r w:rsidRPr="00052E20">
        <w:rPr>
          <w:rFonts w:cs="Times New Roman"/>
          <w:i/>
          <w:szCs w:val="24"/>
        </w:rPr>
        <w:t>Strategic Management Journal</w:t>
      </w:r>
      <w:r w:rsidRPr="00052E20">
        <w:rPr>
          <w:rFonts w:cs="Times New Roman"/>
          <w:szCs w:val="24"/>
        </w:rPr>
        <w:t xml:space="preserve"> 13(4), pp. 267-286.</w:t>
      </w:r>
    </w:p>
    <w:p w14:paraId="2A3955F6" w14:textId="77777777" w:rsidR="00D438EF" w:rsidRPr="00052E20" w:rsidRDefault="00D438EF" w:rsidP="00D438EF">
      <w:pPr>
        <w:keepNext/>
        <w:widowControl/>
        <w:spacing w:afterLines="100" w:after="240" w:line="240" w:lineRule="auto"/>
        <w:ind w:left="480" w:hangingChars="200" w:hanging="480"/>
        <w:rPr>
          <w:rFonts w:cs="Times New Roman"/>
          <w:szCs w:val="24"/>
        </w:rPr>
      </w:pPr>
      <w:r>
        <w:rPr>
          <w:rFonts w:cs="Times New Roman"/>
          <w:szCs w:val="24"/>
        </w:rPr>
        <w:t xml:space="preserve">Cheung, K.Y and Wong, A. 2009. </w:t>
      </w:r>
      <w:r w:rsidRPr="00684748">
        <w:rPr>
          <w:rFonts w:cs="Times New Roman"/>
          <w:szCs w:val="24"/>
        </w:rPr>
        <w:t>The Effects of Merger and Acquisition Announcements on the Security Prices of Bidding</w:t>
      </w:r>
      <w:r>
        <w:rPr>
          <w:rFonts w:cs="Times New Roman"/>
          <w:szCs w:val="24"/>
        </w:rPr>
        <w:t xml:space="preserve"> Firms and Target Firms in Asia.</w:t>
      </w:r>
      <w:r w:rsidRPr="00684748">
        <w:rPr>
          <w:rFonts w:cs="Times New Roman"/>
          <w:szCs w:val="24"/>
        </w:rPr>
        <w:t xml:space="preserve"> </w:t>
      </w:r>
      <w:r w:rsidRPr="00684748">
        <w:rPr>
          <w:rFonts w:cs="Times New Roman"/>
          <w:i/>
          <w:szCs w:val="24"/>
        </w:rPr>
        <w:t>International Journal of Economics and Finance</w:t>
      </w:r>
      <w:r w:rsidRPr="00684748">
        <w:rPr>
          <w:rFonts w:cs="Times New Roman"/>
          <w:szCs w:val="24"/>
        </w:rPr>
        <w:t xml:space="preserve"> 1(2), </w:t>
      </w:r>
      <w:r>
        <w:rPr>
          <w:rFonts w:cs="Times New Roman"/>
          <w:szCs w:val="24"/>
        </w:rPr>
        <w:t xml:space="preserve">pp. </w:t>
      </w:r>
      <w:r w:rsidRPr="00684748">
        <w:rPr>
          <w:rFonts w:cs="Times New Roman"/>
          <w:szCs w:val="24"/>
        </w:rPr>
        <w:t>274-283</w:t>
      </w:r>
    </w:p>
    <w:p w14:paraId="74A3973B" w14:textId="77777777" w:rsidR="00D438EF" w:rsidRDefault="00D438EF" w:rsidP="00D438EF">
      <w:pPr>
        <w:keepNext/>
        <w:widowControl/>
        <w:spacing w:afterLines="100" w:after="240" w:line="240" w:lineRule="auto"/>
        <w:ind w:left="480" w:hangingChars="200" w:hanging="480"/>
        <w:rPr>
          <w:rFonts w:cs="Times New Roman"/>
          <w:szCs w:val="24"/>
          <w:lang w:val="en-GB"/>
        </w:rPr>
      </w:pPr>
      <w:r>
        <w:rPr>
          <w:rFonts w:cs="Times New Roman"/>
          <w:szCs w:val="24"/>
          <w:lang w:val="en-GB"/>
        </w:rPr>
        <w:t xml:space="preserve">Chi, J., Sun, Q. and Young, M. 2011. Performance and characteristics of acquiring firms in the Chinese stock markets. </w:t>
      </w:r>
      <w:r w:rsidRPr="00063A8D">
        <w:rPr>
          <w:rFonts w:cs="Times New Roman"/>
          <w:i/>
          <w:szCs w:val="24"/>
          <w:lang w:val="en-GB"/>
        </w:rPr>
        <w:t>Emerging Markets Review</w:t>
      </w:r>
      <w:r>
        <w:rPr>
          <w:rFonts w:cs="Times New Roman"/>
          <w:szCs w:val="24"/>
          <w:lang w:val="en-GB"/>
        </w:rPr>
        <w:t xml:space="preserve"> 12, pp. 152-170.</w:t>
      </w:r>
    </w:p>
    <w:p w14:paraId="42ED9C9B"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Conn, R. C. L., Cosh, A., Guest, P. M. and Hughes, A. 2005. The impact on UK acquirers of domestic, cross-border, public and private acquisitions</w:t>
      </w:r>
      <w:r w:rsidRPr="00052E20">
        <w:rPr>
          <w:rFonts w:cs="Times New Roman"/>
          <w:i/>
          <w:szCs w:val="24"/>
        </w:rPr>
        <w:t>. Journal of Business Finance and Accounting</w:t>
      </w:r>
      <w:r w:rsidRPr="00052E20">
        <w:rPr>
          <w:rFonts w:cs="Times New Roman"/>
          <w:szCs w:val="24"/>
        </w:rPr>
        <w:t xml:space="preserve"> 32(5-6), pp. 815-870.</w:t>
      </w:r>
    </w:p>
    <w:p w14:paraId="309DCEFC" w14:textId="7740C55E" w:rsidR="00D438EF" w:rsidRDefault="00D438EF" w:rsidP="00D438EF">
      <w:pPr>
        <w:keepNext/>
        <w:widowControl/>
        <w:spacing w:afterLines="100" w:after="240" w:line="240" w:lineRule="auto"/>
        <w:ind w:left="480" w:hangingChars="200" w:hanging="480"/>
        <w:rPr>
          <w:rFonts w:cs="Times New Roman"/>
          <w:szCs w:val="24"/>
          <w:lang w:val="fr-FR"/>
        </w:rPr>
      </w:pPr>
      <w:r w:rsidRPr="00052E20">
        <w:rPr>
          <w:rFonts w:cs="Times New Roman"/>
          <w:szCs w:val="24"/>
        </w:rPr>
        <w:t xml:space="preserve">Draper, P. and Paudyal, K. 2006. </w:t>
      </w:r>
      <w:r w:rsidRPr="00052E20">
        <w:rPr>
          <w:rFonts w:cs="Times New Roman"/>
          <w:szCs w:val="24"/>
          <w:lang w:val="fr-FR"/>
        </w:rPr>
        <w:t xml:space="preserve">Acquisitions : private versus public. </w:t>
      </w:r>
      <w:r w:rsidRPr="00052E20">
        <w:rPr>
          <w:rFonts w:cs="Times New Roman"/>
          <w:i/>
          <w:szCs w:val="24"/>
          <w:lang w:val="fr-FR"/>
        </w:rPr>
        <w:t>European Financial Management</w:t>
      </w:r>
      <w:r w:rsidRPr="00052E20">
        <w:rPr>
          <w:rFonts w:cs="Times New Roman"/>
          <w:szCs w:val="24"/>
          <w:lang w:val="fr-FR"/>
        </w:rPr>
        <w:t xml:space="preserve"> 12(1), pp. 57-80.</w:t>
      </w:r>
    </w:p>
    <w:p w14:paraId="042ADEAA" w14:textId="77777777" w:rsidR="00E24AC4" w:rsidRPr="00815670" w:rsidRDefault="00E24AC4" w:rsidP="00E24AC4">
      <w:pPr>
        <w:keepNext/>
        <w:widowControl/>
        <w:spacing w:afterLines="100" w:after="240" w:line="240" w:lineRule="auto"/>
        <w:ind w:left="480" w:hangingChars="200" w:hanging="480"/>
        <w:rPr>
          <w:rFonts w:cs="Times New Roman"/>
          <w:szCs w:val="24"/>
        </w:rPr>
      </w:pPr>
      <w:r w:rsidRPr="00815670">
        <w:rPr>
          <w:rFonts w:cs="Times New Roman"/>
          <w:szCs w:val="24"/>
        </w:rPr>
        <w:t>Du, M. and Boateng, A., 2015. State ownership, institutional effects and value creation in cross-border mergers &amp; acquisitions by Chinese firms. </w:t>
      </w:r>
      <w:r w:rsidRPr="00E24AC4">
        <w:rPr>
          <w:rFonts w:cs="Times New Roman"/>
          <w:i/>
          <w:szCs w:val="24"/>
        </w:rPr>
        <w:t>International Business Review</w:t>
      </w:r>
      <w:r w:rsidRPr="00815670">
        <w:rPr>
          <w:rFonts w:cs="Times New Roman"/>
          <w:szCs w:val="24"/>
        </w:rPr>
        <w:t>, 24(3), pp.430-442.</w:t>
      </w:r>
    </w:p>
    <w:p w14:paraId="311A69DF" w14:textId="52B104B3" w:rsidR="00D438EF"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Eckbo, B. E., Giammarino, R. M. and Henkel, R. L. 1990. Asymmetric information and the medium of exchange in takeovers. </w:t>
      </w:r>
      <w:r w:rsidRPr="00052E20">
        <w:rPr>
          <w:rFonts w:cs="Times New Roman"/>
          <w:i/>
          <w:szCs w:val="24"/>
        </w:rPr>
        <w:t>Review of Financial Studies</w:t>
      </w:r>
      <w:r w:rsidRPr="00052E20">
        <w:rPr>
          <w:rFonts w:cs="Times New Roman"/>
          <w:szCs w:val="24"/>
        </w:rPr>
        <w:t xml:space="preserve"> 3(4), pp. 651-675.</w:t>
      </w:r>
    </w:p>
    <w:p w14:paraId="71F7126E" w14:textId="09F5188E" w:rsidR="00DA63C4" w:rsidRDefault="00DA63C4" w:rsidP="00DA63C4">
      <w:pPr>
        <w:keepNext/>
        <w:widowControl/>
        <w:spacing w:afterLines="100" w:after="240" w:line="240" w:lineRule="auto"/>
        <w:ind w:left="480" w:hangingChars="200" w:hanging="480"/>
        <w:rPr>
          <w:rFonts w:cs="Times New Roman"/>
          <w:szCs w:val="24"/>
        </w:rPr>
      </w:pPr>
      <w:r w:rsidRPr="00815670">
        <w:rPr>
          <w:rFonts w:cs="Times New Roman"/>
          <w:szCs w:val="24"/>
        </w:rPr>
        <w:t>Erel, I., Jang, Y. and Weisbach, M.S., 2015. Do acquisitions relieve target firms’ financial</w:t>
      </w:r>
      <w:r>
        <w:rPr>
          <w:rFonts w:cs="Times New Roman"/>
          <w:szCs w:val="24"/>
        </w:rPr>
        <w:t xml:space="preserve"> </w:t>
      </w:r>
      <w:r w:rsidRPr="00815670">
        <w:rPr>
          <w:rFonts w:cs="Times New Roman"/>
          <w:szCs w:val="24"/>
        </w:rPr>
        <w:t>constraints? </w:t>
      </w:r>
      <w:r w:rsidRPr="00DA63C4">
        <w:rPr>
          <w:rFonts w:cs="Times New Roman"/>
          <w:i/>
          <w:szCs w:val="24"/>
        </w:rPr>
        <w:t>The Journal of Finance</w:t>
      </w:r>
      <w:r w:rsidRPr="00815670">
        <w:rPr>
          <w:rFonts w:cs="Times New Roman"/>
          <w:szCs w:val="24"/>
        </w:rPr>
        <w:t>, 70(1), pp.289-328.</w:t>
      </w:r>
    </w:p>
    <w:p w14:paraId="6DEECAF7" w14:textId="77777777" w:rsidR="00E9329B" w:rsidRPr="00B2055B" w:rsidRDefault="00E9329B" w:rsidP="00E9329B">
      <w:pPr>
        <w:keepNext/>
        <w:widowControl/>
        <w:spacing w:afterLines="100" w:after="240" w:line="240" w:lineRule="auto"/>
        <w:ind w:left="480" w:hangingChars="200" w:hanging="480"/>
        <w:rPr>
          <w:rFonts w:cs="Times New Roman"/>
          <w:szCs w:val="24"/>
        </w:rPr>
      </w:pPr>
      <w:r w:rsidRPr="00B2055B">
        <w:rPr>
          <w:rFonts w:cs="Times New Roman"/>
          <w:szCs w:val="24"/>
        </w:rPr>
        <w:t xml:space="preserve">Fama, E. and French, K. (1993) ‘Common risk factors in the returns on stocks and bonds’, </w:t>
      </w:r>
      <w:r w:rsidRPr="00B2055B">
        <w:rPr>
          <w:rFonts w:cs="Times New Roman"/>
          <w:i/>
          <w:szCs w:val="24"/>
        </w:rPr>
        <w:t>Journal of Financial Economics</w:t>
      </w:r>
      <w:r w:rsidRPr="00B2055B">
        <w:rPr>
          <w:rFonts w:cs="Times New Roman"/>
          <w:szCs w:val="24"/>
        </w:rPr>
        <w:t>, 33(1), pp. 3-56.</w:t>
      </w:r>
    </w:p>
    <w:p w14:paraId="4BAA4EF2" w14:textId="0001BD5D" w:rsidR="00E9329B" w:rsidRPr="00815670" w:rsidRDefault="00E9329B" w:rsidP="00E9329B">
      <w:pPr>
        <w:keepNext/>
        <w:widowControl/>
        <w:spacing w:afterLines="100" w:after="240" w:line="240" w:lineRule="auto"/>
        <w:ind w:left="480" w:hangingChars="200" w:hanging="480"/>
        <w:rPr>
          <w:rFonts w:cs="Times New Roman"/>
          <w:szCs w:val="24"/>
        </w:rPr>
      </w:pPr>
      <w:r w:rsidRPr="00815670">
        <w:rPr>
          <w:rFonts w:cs="Times New Roman"/>
          <w:szCs w:val="24"/>
        </w:rPr>
        <w:t>Fama, E. and French, K., 2016. Dissecting anomalies with a five-factor model. </w:t>
      </w:r>
      <w:r w:rsidRPr="00815670">
        <w:rPr>
          <w:rFonts w:cs="Times New Roman"/>
          <w:i/>
          <w:szCs w:val="24"/>
        </w:rPr>
        <w:t>The Review of Financial Studies</w:t>
      </w:r>
      <w:r w:rsidRPr="00815670">
        <w:rPr>
          <w:rFonts w:cs="Times New Roman"/>
          <w:szCs w:val="24"/>
        </w:rPr>
        <w:t>, 29(1), pp.69-103.</w:t>
      </w:r>
    </w:p>
    <w:p w14:paraId="6B7B0616" w14:textId="77777777" w:rsidR="00E9329B" w:rsidRPr="00815670" w:rsidRDefault="00E9329B" w:rsidP="00E9329B">
      <w:pPr>
        <w:keepNext/>
        <w:widowControl/>
        <w:spacing w:afterLines="100" w:after="240" w:line="240" w:lineRule="auto"/>
        <w:ind w:left="480" w:hangingChars="200" w:hanging="480"/>
        <w:rPr>
          <w:rFonts w:cs="Times New Roman"/>
          <w:szCs w:val="24"/>
        </w:rPr>
      </w:pPr>
      <w:r w:rsidRPr="00815670">
        <w:rPr>
          <w:rFonts w:cs="Times New Roman"/>
          <w:szCs w:val="24"/>
        </w:rPr>
        <w:t>Ferreira, M.P., Santos, J.C., de Almeida, M.I.R. and Reis, N.R., 2014. Mergers &amp; acquisitions research: A bibliometric study of top strategy and international business journals, 1980–2010. </w:t>
      </w:r>
      <w:r w:rsidRPr="00E9329B">
        <w:rPr>
          <w:rFonts w:cs="Times New Roman"/>
          <w:i/>
          <w:szCs w:val="24"/>
        </w:rPr>
        <w:t>Journal of Business Research</w:t>
      </w:r>
      <w:r w:rsidRPr="00815670">
        <w:rPr>
          <w:rFonts w:cs="Times New Roman"/>
          <w:szCs w:val="24"/>
        </w:rPr>
        <w:t>, 67(12), pp.2550-2558.</w:t>
      </w:r>
    </w:p>
    <w:p w14:paraId="5D5C5F0F" w14:textId="77777777" w:rsidR="00D438EF" w:rsidRDefault="00D438EF" w:rsidP="00D438EF">
      <w:pPr>
        <w:keepNext/>
        <w:widowControl/>
        <w:spacing w:afterLines="100" w:after="240" w:line="240" w:lineRule="auto"/>
        <w:ind w:left="480" w:hangingChars="200" w:hanging="480"/>
        <w:rPr>
          <w:rFonts w:cs="Times New Roman"/>
          <w:szCs w:val="24"/>
          <w:lang w:val="en-GB"/>
        </w:rPr>
      </w:pPr>
      <w:r w:rsidRPr="00B2352E">
        <w:rPr>
          <w:rFonts w:cs="Times New Roman"/>
          <w:szCs w:val="24"/>
          <w:lang w:val="en-GB"/>
        </w:rPr>
        <w:t xml:space="preserve">Fowler, K. L. and Schmidt, D. R. 1989. Determinants of tender offer post- acquisition financial performance. </w:t>
      </w:r>
      <w:r w:rsidRPr="008202F8">
        <w:rPr>
          <w:rFonts w:cs="Times New Roman"/>
          <w:i/>
          <w:szCs w:val="24"/>
          <w:lang w:val="en-GB"/>
        </w:rPr>
        <w:t>Strategic Management Journal</w:t>
      </w:r>
      <w:r w:rsidRPr="00B2352E">
        <w:rPr>
          <w:rFonts w:cs="Times New Roman"/>
          <w:szCs w:val="24"/>
          <w:lang w:val="en-GB"/>
        </w:rPr>
        <w:t xml:space="preserve"> 10(4), pp. 339-350.</w:t>
      </w:r>
    </w:p>
    <w:p w14:paraId="3BB7B47E" w14:textId="11B526B4" w:rsidR="00D438EF" w:rsidRDefault="00D438EF" w:rsidP="00D438EF">
      <w:pPr>
        <w:keepNext/>
        <w:widowControl/>
        <w:spacing w:afterLines="100" w:after="240" w:line="240" w:lineRule="auto"/>
        <w:ind w:left="480" w:hangingChars="200" w:hanging="480"/>
        <w:rPr>
          <w:rFonts w:cs="Times New Roman"/>
          <w:szCs w:val="24"/>
          <w:lang w:val="en-GB"/>
        </w:rPr>
      </w:pPr>
      <w:r w:rsidRPr="007E01C2">
        <w:rPr>
          <w:rFonts w:cs="Times New Roman"/>
          <w:szCs w:val="24"/>
          <w:lang w:val="en-GB"/>
        </w:rPr>
        <w:t xml:space="preserve">Fuller, K., Netter, J. and Stegemoller, M. 2002. What do returns to acquiring firms tell us? evidence from firms that make many acquisitions. </w:t>
      </w:r>
      <w:r w:rsidRPr="008202F8">
        <w:rPr>
          <w:rFonts w:cs="Times New Roman"/>
          <w:i/>
          <w:szCs w:val="24"/>
          <w:lang w:val="en-GB"/>
        </w:rPr>
        <w:t>Journal of Finance</w:t>
      </w:r>
      <w:r w:rsidRPr="007E01C2">
        <w:rPr>
          <w:rFonts w:cs="Times New Roman"/>
          <w:szCs w:val="24"/>
          <w:lang w:val="en-GB"/>
        </w:rPr>
        <w:t xml:space="preserve"> 57(4), pp. 1763-1793.</w:t>
      </w:r>
    </w:p>
    <w:p w14:paraId="0C401302" w14:textId="77777777" w:rsidR="00E24AC4" w:rsidRPr="00E24AC4" w:rsidRDefault="00E24AC4" w:rsidP="00E24AC4">
      <w:pPr>
        <w:keepNext/>
        <w:widowControl/>
        <w:spacing w:afterLines="100" w:after="240" w:line="240" w:lineRule="auto"/>
        <w:ind w:left="480" w:hangingChars="200" w:hanging="480"/>
        <w:rPr>
          <w:rFonts w:cs="Times New Roman"/>
          <w:szCs w:val="24"/>
          <w:lang w:val="en-GB"/>
        </w:rPr>
      </w:pPr>
      <w:r w:rsidRPr="00E24AC4">
        <w:rPr>
          <w:rFonts w:cs="Times New Roman"/>
          <w:szCs w:val="24"/>
          <w:lang w:val="en-GB"/>
        </w:rPr>
        <w:t>Gaur, A.S., Malhotra, S. and Zhu, P., 2013. Acquisition announcements and stock market valuations of acquiring firms' rivals: A test of the growth probability hypothesis in China. </w:t>
      </w:r>
      <w:r w:rsidRPr="00E24AC4">
        <w:rPr>
          <w:rFonts w:cs="Times New Roman"/>
          <w:i/>
          <w:szCs w:val="24"/>
          <w:lang w:val="en-GB"/>
        </w:rPr>
        <w:t>Strategic Management Journal</w:t>
      </w:r>
      <w:r w:rsidRPr="00E24AC4">
        <w:rPr>
          <w:rFonts w:cs="Times New Roman"/>
          <w:szCs w:val="24"/>
          <w:lang w:val="en-GB"/>
        </w:rPr>
        <w:t>, 34(2), pp.215-232.</w:t>
      </w:r>
    </w:p>
    <w:p w14:paraId="11940AC9" w14:textId="45B6EAD4" w:rsidR="00D438EF"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Gregory, A. 1997. An examination of the long run performance of UK acquiring firms. </w:t>
      </w:r>
      <w:r w:rsidRPr="00052E20">
        <w:rPr>
          <w:rFonts w:cs="Times New Roman"/>
          <w:i/>
          <w:szCs w:val="24"/>
        </w:rPr>
        <w:t>Journal of Business Finance and Accounting</w:t>
      </w:r>
      <w:r w:rsidRPr="00052E20">
        <w:rPr>
          <w:rFonts w:cs="Times New Roman"/>
          <w:szCs w:val="24"/>
        </w:rPr>
        <w:t xml:space="preserve"> 24(7-8), pp. 971-1002.</w:t>
      </w:r>
    </w:p>
    <w:p w14:paraId="1A8B2CBD" w14:textId="77777777" w:rsidR="00E9329B" w:rsidRPr="00E9329B" w:rsidRDefault="00E9329B" w:rsidP="00E9329B">
      <w:pPr>
        <w:keepNext/>
        <w:widowControl/>
        <w:spacing w:afterLines="100" w:after="240" w:line="240" w:lineRule="auto"/>
        <w:ind w:left="480" w:hangingChars="200" w:hanging="480"/>
        <w:rPr>
          <w:rFonts w:cs="Times New Roman"/>
          <w:szCs w:val="24"/>
          <w:lang w:val="en-GB"/>
        </w:rPr>
      </w:pPr>
      <w:r w:rsidRPr="00E9329B">
        <w:rPr>
          <w:rFonts w:cs="Times New Roman"/>
          <w:szCs w:val="24"/>
          <w:lang w:val="en-GB"/>
        </w:rPr>
        <w:t>Grigorieva, S. and Petrunina, T., 2015. The performance of mergers and acquisitions in emerging capital markets: new angle. </w:t>
      </w:r>
      <w:r w:rsidRPr="00E9329B">
        <w:rPr>
          <w:rFonts w:cs="Times New Roman"/>
          <w:i/>
          <w:szCs w:val="24"/>
          <w:lang w:val="en-GB"/>
        </w:rPr>
        <w:t>Journal of Management Control</w:t>
      </w:r>
      <w:r w:rsidRPr="00E9329B">
        <w:rPr>
          <w:rFonts w:cs="Times New Roman"/>
          <w:szCs w:val="24"/>
          <w:lang w:val="en-GB"/>
        </w:rPr>
        <w:t>, 26(4), pp.377-403.</w:t>
      </w:r>
    </w:p>
    <w:p w14:paraId="776E7FA8" w14:textId="77777777" w:rsidR="00D438EF" w:rsidRDefault="00D438EF" w:rsidP="00D438EF">
      <w:pPr>
        <w:keepNext/>
        <w:widowControl/>
        <w:spacing w:afterLines="100" w:after="240" w:line="240" w:lineRule="auto"/>
        <w:ind w:left="480" w:hangingChars="200" w:hanging="480"/>
        <w:rPr>
          <w:rFonts w:cs="Times New Roman"/>
          <w:szCs w:val="24"/>
          <w:lang w:val="en-GB"/>
        </w:rPr>
      </w:pPr>
      <w:r>
        <w:rPr>
          <w:rFonts w:cs="Times New Roman"/>
          <w:szCs w:val="24"/>
          <w:lang w:val="en-GB"/>
        </w:rPr>
        <w:t xml:space="preserve">Gu, L.L. and Reed, W.R. </w:t>
      </w:r>
      <w:r w:rsidRPr="008202F8">
        <w:rPr>
          <w:rFonts w:cs="Times New Roman"/>
          <w:szCs w:val="24"/>
          <w:lang w:val="en-GB"/>
        </w:rPr>
        <w:t xml:space="preserve">2010. Chinese OMAs and the go global policy: an event study. Working paper. University of Canterbury. </w:t>
      </w:r>
    </w:p>
    <w:p w14:paraId="65244A89" w14:textId="77777777" w:rsidR="00D438EF" w:rsidRDefault="00D438EF" w:rsidP="00D438EF">
      <w:pPr>
        <w:keepNext/>
        <w:widowControl/>
        <w:spacing w:afterLines="100" w:after="240" w:line="240" w:lineRule="auto"/>
        <w:ind w:left="480" w:hangingChars="200" w:hanging="480"/>
        <w:rPr>
          <w:rFonts w:cs="Times New Roman"/>
          <w:szCs w:val="24"/>
        </w:rPr>
      </w:pPr>
      <w:r w:rsidRPr="00AB5D92">
        <w:rPr>
          <w:rFonts w:cs="Times New Roman"/>
          <w:szCs w:val="24"/>
        </w:rPr>
        <w:t xml:space="preserve">Gugler, K., Mueller, D. C., Yurtoglu, B. B. and Zulehner, C. 2003. The effects of mergers: an international comparison. </w:t>
      </w:r>
      <w:r w:rsidRPr="008202F8">
        <w:rPr>
          <w:rFonts w:cs="Times New Roman"/>
          <w:i/>
          <w:szCs w:val="24"/>
        </w:rPr>
        <w:t>International Journal of Industrial Organization</w:t>
      </w:r>
      <w:r w:rsidRPr="00AB5D92">
        <w:rPr>
          <w:rFonts w:cs="Times New Roman"/>
          <w:szCs w:val="24"/>
        </w:rPr>
        <w:t xml:space="preserve"> 21(5), pp. 625-653.</w:t>
      </w:r>
    </w:p>
    <w:p w14:paraId="3C4C695F"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Gujarati, D. 1995. </w:t>
      </w:r>
      <w:r w:rsidRPr="00052E20">
        <w:rPr>
          <w:rFonts w:cs="Times New Roman"/>
          <w:i/>
          <w:szCs w:val="24"/>
        </w:rPr>
        <w:t>Basic Econometrics</w:t>
      </w:r>
      <w:r w:rsidRPr="00052E20">
        <w:rPr>
          <w:rFonts w:cs="Times New Roman"/>
          <w:szCs w:val="24"/>
        </w:rPr>
        <w:t>. 3rd ed. Singapore: McGraw Hill.</w:t>
      </w:r>
    </w:p>
    <w:p w14:paraId="5A73482A"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Halpern, P. 1983. Corporate acquisitions: a theory of special cases? A review of event studies applied to acquisitions. </w:t>
      </w:r>
      <w:r w:rsidRPr="00052E20">
        <w:rPr>
          <w:rFonts w:cs="Times New Roman"/>
          <w:i/>
          <w:szCs w:val="24"/>
        </w:rPr>
        <w:t>Journal of Finance</w:t>
      </w:r>
      <w:r w:rsidRPr="00052E20">
        <w:rPr>
          <w:rFonts w:cs="Times New Roman"/>
          <w:szCs w:val="24"/>
        </w:rPr>
        <w:t xml:space="preserve"> 38(2), pp. 297-317.</w:t>
      </w:r>
    </w:p>
    <w:p w14:paraId="13A44741"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Hansen, R. G. 1987. A theory for the choice of exchange medium in mergers and acquisitions. </w:t>
      </w:r>
      <w:r w:rsidRPr="00052E20">
        <w:rPr>
          <w:rFonts w:cs="Times New Roman"/>
          <w:i/>
          <w:szCs w:val="24"/>
        </w:rPr>
        <w:t>The Journal of Business</w:t>
      </w:r>
      <w:r w:rsidRPr="00052E20">
        <w:rPr>
          <w:rFonts w:cs="Times New Roman"/>
          <w:szCs w:val="24"/>
        </w:rPr>
        <w:t xml:space="preserve"> 60(1), pp. 75-95.</w:t>
      </w:r>
    </w:p>
    <w:p w14:paraId="204E53D8"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Harford, J. 1999. Corporate cash reserves and acquisitions. </w:t>
      </w:r>
      <w:r w:rsidRPr="00052E20">
        <w:rPr>
          <w:rFonts w:cs="Times New Roman"/>
          <w:i/>
          <w:szCs w:val="24"/>
        </w:rPr>
        <w:t>Journal of Finance</w:t>
      </w:r>
      <w:r w:rsidRPr="00052E20">
        <w:rPr>
          <w:rFonts w:cs="Times New Roman"/>
          <w:szCs w:val="24"/>
        </w:rPr>
        <w:t xml:space="preserve"> 54(6), pp. 1969-1997.</w:t>
      </w:r>
    </w:p>
    <w:p w14:paraId="77F34707" w14:textId="77777777" w:rsidR="00D438EF" w:rsidRPr="00052E20" w:rsidRDefault="00D438EF" w:rsidP="00D438EF">
      <w:pPr>
        <w:keepNext/>
        <w:widowControl/>
        <w:spacing w:afterLines="100" w:after="240" w:line="240" w:lineRule="auto"/>
        <w:ind w:left="480" w:hangingChars="200" w:hanging="480"/>
        <w:rPr>
          <w:rFonts w:cs="Times New Roman"/>
          <w:szCs w:val="24"/>
          <w:lang w:val="en-GB"/>
        </w:rPr>
      </w:pPr>
      <w:r w:rsidRPr="00052E20">
        <w:rPr>
          <w:rFonts w:cs="Times New Roman"/>
          <w:szCs w:val="24"/>
          <w:lang w:val="en-GB"/>
        </w:rPr>
        <w:t xml:space="preserve">Healy, P., Palepu, K. and Ruback, R. 1992. Does corporate performance improve after mergers? </w:t>
      </w:r>
      <w:r w:rsidRPr="00052E20">
        <w:rPr>
          <w:rFonts w:cs="Times New Roman"/>
          <w:i/>
          <w:szCs w:val="24"/>
          <w:lang w:val="en-GB"/>
        </w:rPr>
        <w:t>Journal of Financial Economics</w:t>
      </w:r>
      <w:r w:rsidRPr="00052E20">
        <w:rPr>
          <w:rFonts w:cs="Times New Roman"/>
          <w:szCs w:val="24"/>
          <w:lang w:val="en-GB"/>
        </w:rPr>
        <w:t xml:space="preserve"> 31(2), pp. 135–175.</w:t>
      </w:r>
    </w:p>
    <w:p w14:paraId="4AF8D546"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Humphery-Jenner, M. L. and Powell, R. G. 2011. Firm size, takeover profitability, and the effectiveness of the market for corporate control: does the absence of anti-takeover provisions make a difference? </w:t>
      </w:r>
      <w:r w:rsidRPr="00052E20">
        <w:rPr>
          <w:rFonts w:cs="Times New Roman"/>
          <w:i/>
          <w:szCs w:val="24"/>
        </w:rPr>
        <w:t>Journal of Corporate Finance</w:t>
      </w:r>
      <w:r w:rsidRPr="00052E20">
        <w:rPr>
          <w:rFonts w:cs="Times New Roman"/>
          <w:szCs w:val="24"/>
        </w:rPr>
        <w:t xml:space="preserve"> 17(3), pp. 418-437.</w:t>
      </w:r>
    </w:p>
    <w:p w14:paraId="471AB07A"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Jensen, M. 1986. Agency costs of fr</w:t>
      </w:r>
      <w:r>
        <w:rPr>
          <w:rFonts w:cs="Times New Roman"/>
          <w:szCs w:val="24"/>
        </w:rPr>
        <w:t>ee cash flow, corporate finance</w:t>
      </w:r>
      <w:r w:rsidRPr="00052E20">
        <w:rPr>
          <w:rFonts w:cs="Times New Roman"/>
          <w:szCs w:val="24"/>
        </w:rPr>
        <w:t xml:space="preserve"> and takeovers. </w:t>
      </w:r>
      <w:r w:rsidRPr="00052E20">
        <w:rPr>
          <w:rFonts w:cs="Times New Roman"/>
          <w:i/>
          <w:szCs w:val="24"/>
        </w:rPr>
        <w:t>The</w:t>
      </w:r>
      <w:r w:rsidRPr="00052E20">
        <w:rPr>
          <w:rFonts w:cs="Times New Roman"/>
          <w:szCs w:val="24"/>
        </w:rPr>
        <w:t xml:space="preserve"> </w:t>
      </w:r>
      <w:r w:rsidRPr="00052E20">
        <w:rPr>
          <w:rFonts w:cs="Times New Roman"/>
          <w:i/>
          <w:szCs w:val="24"/>
        </w:rPr>
        <w:t>American Economic Review</w:t>
      </w:r>
      <w:r w:rsidRPr="00052E20">
        <w:rPr>
          <w:rFonts w:cs="Times New Roman"/>
          <w:szCs w:val="24"/>
        </w:rPr>
        <w:t xml:space="preserve"> 76 (2), pp. 323-329.</w:t>
      </w:r>
    </w:p>
    <w:p w14:paraId="65F10E30" w14:textId="0ED97D44" w:rsidR="00D438EF"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Jensen, M. C. 2005. Agency costs of overvalued equity</w:t>
      </w:r>
      <w:r w:rsidRPr="00052E20">
        <w:rPr>
          <w:rFonts w:cs="Times New Roman"/>
          <w:i/>
          <w:szCs w:val="24"/>
        </w:rPr>
        <w:t>. Financial Management</w:t>
      </w:r>
      <w:r w:rsidRPr="00052E20">
        <w:rPr>
          <w:rFonts w:cs="Times New Roman"/>
          <w:szCs w:val="24"/>
        </w:rPr>
        <w:t xml:space="preserve"> 34, pp. 5-19.</w:t>
      </w:r>
    </w:p>
    <w:p w14:paraId="19395CB7" w14:textId="77777777" w:rsidR="00E9329B" w:rsidRPr="00815670" w:rsidRDefault="00E9329B" w:rsidP="00E9329B">
      <w:pPr>
        <w:keepNext/>
        <w:widowControl/>
        <w:spacing w:afterLines="100" w:after="240" w:line="240" w:lineRule="auto"/>
        <w:ind w:left="480" w:hangingChars="200" w:hanging="480"/>
        <w:rPr>
          <w:rFonts w:cs="Times New Roman"/>
          <w:szCs w:val="24"/>
        </w:rPr>
      </w:pPr>
      <w:r w:rsidRPr="00815670">
        <w:rPr>
          <w:rFonts w:cs="Times New Roman"/>
          <w:szCs w:val="24"/>
        </w:rPr>
        <w:t>Kan, R., Robotti, C. and Shanken, J., 2013. Pricing model performance and the two‐pass cross‐sectional regression methodology. </w:t>
      </w:r>
      <w:r w:rsidRPr="00E9329B">
        <w:rPr>
          <w:rFonts w:cs="Times New Roman"/>
          <w:i/>
          <w:szCs w:val="24"/>
        </w:rPr>
        <w:t>The Journal of Finance</w:t>
      </w:r>
      <w:r w:rsidRPr="00815670">
        <w:rPr>
          <w:rFonts w:cs="Times New Roman"/>
          <w:szCs w:val="24"/>
        </w:rPr>
        <w:t>, 68(6), pp.2617-2649.</w:t>
      </w:r>
    </w:p>
    <w:p w14:paraId="39AFF1D9" w14:textId="2B45D2D3" w:rsidR="00E24AC4" w:rsidRDefault="00E24AC4" w:rsidP="00E24AC4">
      <w:pPr>
        <w:keepNext/>
        <w:widowControl/>
        <w:spacing w:afterLines="100" w:after="240" w:line="240" w:lineRule="auto"/>
        <w:ind w:left="480" w:hangingChars="200" w:hanging="480"/>
        <w:rPr>
          <w:rFonts w:cs="Times New Roman"/>
          <w:szCs w:val="24"/>
        </w:rPr>
      </w:pPr>
      <w:r w:rsidRPr="00815670">
        <w:rPr>
          <w:rFonts w:cs="Times New Roman"/>
          <w:szCs w:val="24"/>
        </w:rPr>
        <w:t>Karampatsas, N., Petmezas, D. and Travlos, N.G., 2014. Credit ratings and the choice of payment method in mergers and acquisitions</w:t>
      </w:r>
      <w:r w:rsidRPr="00E24AC4">
        <w:rPr>
          <w:rFonts w:cs="Times New Roman"/>
          <w:szCs w:val="24"/>
        </w:rPr>
        <w:t>. </w:t>
      </w:r>
      <w:r w:rsidRPr="00E24AC4">
        <w:rPr>
          <w:rFonts w:cs="Times New Roman"/>
          <w:i/>
          <w:szCs w:val="24"/>
        </w:rPr>
        <w:t>Journal of Corporate Finance</w:t>
      </w:r>
      <w:r w:rsidRPr="00815670">
        <w:rPr>
          <w:rFonts w:cs="Times New Roman"/>
          <w:szCs w:val="24"/>
        </w:rPr>
        <w:t>, 25, pp.474-493.</w:t>
      </w:r>
    </w:p>
    <w:p w14:paraId="4929DC9E" w14:textId="77777777" w:rsidR="00E24AC4" w:rsidRPr="00815670" w:rsidRDefault="00E24AC4" w:rsidP="00E24AC4">
      <w:pPr>
        <w:keepNext/>
        <w:spacing w:afterLines="100" w:after="240" w:line="240" w:lineRule="auto"/>
        <w:ind w:left="480" w:hangingChars="200" w:hanging="480"/>
        <w:rPr>
          <w:rFonts w:cs="Times New Roman"/>
          <w:szCs w:val="24"/>
        </w:rPr>
      </w:pPr>
      <w:r w:rsidRPr="00815670">
        <w:rPr>
          <w:rFonts w:cs="Times New Roman"/>
          <w:szCs w:val="24"/>
        </w:rPr>
        <w:t>Killing, P., 2013. </w:t>
      </w:r>
      <w:r w:rsidRPr="00815670">
        <w:rPr>
          <w:rFonts w:cs="Times New Roman"/>
          <w:i/>
          <w:szCs w:val="24"/>
        </w:rPr>
        <w:t>Strategies for joint venture success</w:t>
      </w:r>
      <w:r w:rsidRPr="00815670">
        <w:rPr>
          <w:rFonts w:cs="Times New Roman"/>
          <w:szCs w:val="24"/>
        </w:rPr>
        <w:t xml:space="preserve"> (RLE international business). Routledge.</w:t>
      </w:r>
    </w:p>
    <w:p w14:paraId="6BBA276B"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Kuehn, D. 1975. </w:t>
      </w:r>
      <w:r w:rsidRPr="00052E20">
        <w:rPr>
          <w:rFonts w:cs="Times New Roman"/>
          <w:i/>
          <w:szCs w:val="24"/>
        </w:rPr>
        <w:t>Takeovers and the theory of the firm: an empirical analysis for the United Kingdom</w:t>
      </w:r>
      <w:r w:rsidRPr="00052E20">
        <w:rPr>
          <w:rFonts w:cs="Times New Roman"/>
          <w:szCs w:val="24"/>
        </w:rPr>
        <w:t>. London: Macmillan.</w:t>
      </w:r>
    </w:p>
    <w:p w14:paraId="5F8727DC"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lang w:val="en-GB"/>
        </w:rPr>
        <w:t xml:space="preserve">Le, H. T. and Schultz, E. 2007. </w:t>
      </w:r>
      <w:r w:rsidRPr="00052E20">
        <w:rPr>
          <w:rFonts w:cs="Times New Roman"/>
          <w:szCs w:val="24"/>
        </w:rPr>
        <w:t xml:space="preserve">Toeholds and the bidder shareholder wealth effects of takeover announcements. </w:t>
      </w:r>
      <w:r w:rsidRPr="00052E20">
        <w:rPr>
          <w:rFonts w:cs="Times New Roman"/>
          <w:i/>
          <w:szCs w:val="24"/>
        </w:rPr>
        <w:t>Australian Journal of Management</w:t>
      </w:r>
      <w:r w:rsidRPr="00052E20">
        <w:rPr>
          <w:rFonts w:cs="Times New Roman"/>
          <w:szCs w:val="24"/>
        </w:rPr>
        <w:t xml:space="preserve"> 32(2), pp. 315-344.</w:t>
      </w:r>
    </w:p>
    <w:p w14:paraId="2AC60A9E" w14:textId="77777777" w:rsidR="00D438EF" w:rsidRDefault="00D438EF" w:rsidP="00D438EF">
      <w:pPr>
        <w:keepNext/>
        <w:widowControl/>
        <w:spacing w:afterLines="100" w:after="240" w:line="240" w:lineRule="auto"/>
        <w:ind w:left="480" w:hangingChars="200" w:hanging="480"/>
        <w:rPr>
          <w:rFonts w:cs="Times New Roman"/>
          <w:szCs w:val="24"/>
        </w:rPr>
      </w:pPr>
      <w:r w:rsidRPr="00AB5D92">
        <w:rPr>
          <w:rFonts w:cs="Times New Roman"/>
          <w:szCs w:val="24"/>
        </w:rPr>
        <w:t xml:space="preserve">Maloney, M. T., McCormick, R. E. and Mitchell, M. L. 1993. Managerial decision making and capital structure. </w:t>
      </w:r>
      <w:r w:rsidRPr="008202F8">
        <w:rPr>
          <w:rFonts w:cs="Times New Roman"/>
          <w:i/>
          <w:szCs w:val="24"/>
        </w:rPr>
        <w:t>The Journal of Business</w:t>
      </w:r>
      <w:r w:rsidRPr="00AB5D92">
        <w:rPr>
          <w:rFonts w:cs="Times New Roman"/>
          <w:szCs w:val="24"/>
        </w:rPr>
        <w:t xml:space="preserve"> 66(2), pp. 189-217.</w:t>
      </w:r>
    </w:p>
    <w:p w14:paraId="0A9206ED"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Markides, C. C. and Ittner, C. D. 1994. Shareholder benefits from corporate international diversification: evidence from U.S. international acquisitions. </w:t>
      </w:r>
      <w:r w:rsidRPr="00052E20">
        <w:rPr>
          <w:rFonts w:cs="Times New Roman"/>
          <w:i/>
          <w:szCs w:val="24"/>
        </w:rPr>
        <w:t>Journal of International Business Studies</w:t>
      </w:r>
      <w:r w:rsidRPr="00052E20">
        <w:rPr>
          <w:rFonts w:cs="Times New Roman"/>
          <w:szCs w:val="24"/>
        </w:rPr>
        <w:t xml:space="preserve"> 25(2), pp. 343-366.</w:t>
      </w:r>
    </w:p>
    <w:p w14:paraId="1F205611" w14:textId="77777777" w:rsidR="00D438EF" w:rsidRDefault="00D438EF" w:rsidP="00D438EF">
      <w:pPr>
        <w:keepNext/>
        <w:widowControl/>
        <w:spacing w:afterLines="100" w:after="240" w:line="240" w:lineRule="auto"/>
        <w:ind w:left="480" w:hangingChars="200" w:hanging="480"/>
        <w:rPr>
          <w:rFonts w:cs="Times New Roman"/>
          <w:szCs w:val="24"/>
        </w:rPr>
      </w:pPr>
      <w:r>
        <w:rPr>
          <w:rFonts w:cs="Times New Roman"/>
          <w:szCs w:val="24"/>
        </w:rPr>
        <w:t>Martynova, M., Oosting, S. and Renneboog, L. 2006</w:t>
      </w:r>
      <w:r w:rsidRPr="008202F8">
        <w:rPr>
          <w:rFonts w:cs="Times New Roman"/>
          <w:szCs w:val="24"/>
        </w:rPr>
        <w:t>. The long-term operating performance of European mergers and acquisitions. (ECGI - Working Paper No.137/2006) European Corporate Governance Institute, Belgium.</w:t>
      </w:r>
    </w:p>
    <w:p w14:paraId="369284D8"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Masulis, R.W., Wang, C. and Xie, F. 2007. Corporate governance and acquirer returns. </w:t>
      </w:r>
      <w:r w:rsidRPr="00052E20">
        <w:rPr>
          <w:rFonts w:cs="Times New Roman"/>
          <w:i/>
          <w:szCs w:val="24"/>
        </w:rPr>
        <w:t>Journal of Finance</w:t>
      </w:r>
      <w:r w:rsidRPr="00052E20">
        <w:rPr>
          <w:rFonts w:cs="Times New Roman"/>
          <w:szCs w:val="24"/>
        </w:rPr>
        <w:t xml:space="preserve"> 62(4), pp. 1851-1889.</w:t>
      </w:r>
    </w:p>
    <w:p w14:paraId="2DFF34ED" w14:textId="77777777" w:rsidR="00D438EF" w:rsidRDefault="00D438EF" w:rsidP="00D438EF">
      <w:pPr>
        <w:keepNext/>
        <w:widowControl/>
        <w:spacing w:afterLines="100" w:after="240" w:line="240" w:lineRule="auto"/>
        <w:ind w:left="480" w:hangingChars="200" w:hanging="480"/>
        <w:rPr>
          <w:rFonts w:cs="Times New Roman"/>
          <w:szCs w:val="24"/>
        </w:rPr>
      </w:pPr>
      <w:r w:rsidRPr="00AB5D92">
        <w:rPr>
          <w:rFonts w:cs="Times New Roman"/>
          <w:szCs w:val="24"/>
        </w:rPr>
        <w:t xml:space="preserve">Moeller, S. B., Schlingemann, F. P. and Stulz, R. M. 2004. Firm size and the gains from acquisitions. </w:t>
      </w:r>
      <w:r w:rsidRPr="008202F8">
        <w:rPr>
          <w:rFonts w:cs="Times New Roman"/>
          <w:i/>
          <w:szCs w:val="24"/>
        </w:rPr>
        <w:t>Journal of Financial Economics</w:t>
      </w:r>
      <w:r>
        <w:rPr>
          <w:rFonts w:cs="Times New Roman"/>
          <w:szCs w:val="24"/>
        </w:rPr>
        <w:t xml:space="preserve"> 73(2), pp. 201-</w:t>
      </w:r>
      <w:r w:rsidRPr="00AB5D92">
        <w:rPr>
          <w:rFonts w:cs="Times New Roman"/>
          <w:szCs w:val="24"/>
        </w:rPr>
        <w:t>228.</w:t>
      </w:r>
    </w:p>
    <w:p w14:paraId="329E3580"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lang w:val="en-GB"/>
        </w:rPr>
        <w:t>Morck, R., Shleifer, A.</w:t>
      </w:r>
      <w:r w:rsidRPr="00052E20">
        <w:rPr>
          <w:rFonts w:cs="Times New Roman"/>
          <w:szCs w:val="24"/>
        </w:rPr>
        <w:t xml:space="preserve"> and Vishny, R. W. 1990</w:t>
      </w:r>
      <w:r w:rsidRPr="00052E20">
        <w:rPr>
          <w:rFonts w:cs="Times New Roman"/>
          <w:szCs w:val="24"/>
          <w:lang w:val="en-GB"/>
        </w:rPr>
        <w:t xml:space="preserve">. </w:t>
      </w:r>
      <w:r w:rsidRPr="00052E20">
        <w:rPr>
          <w:rFonts w:cs="Times New Roman"/>
          <w:szCs w:val="24"/>
        </w:rPr>
        <w:t xml:space="preserve">Do managerial objectives drive bad acquisitions? </w:t>
      </w:r>
      <w:r w:rsidRPr="00052E20">
        <w:rPr>
          <w:rFonts w:cs="Times New Roman"/>
          <w:i/>
          <w:szCs w:val="24"/>
        </w:rPr>
        <w:t>The Journal of Finance</w:t>
      </w:r>
      <w:r w:rsidRPr="00052E20">
        <w:rPr>
          <w:rFonts w:cs="Times New Roman"/>
          <w:szCs w:val="24"/>
        </w:rPr>
        <w:t xml:space="preserve"> 45(1), pp. 31-48.</w:t>
      </w:r>
    </w:p>
    <w:p w14:paraId="7A773B53" w14:textId="3DBDBB3A" w:rsidR="00D438EF"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Myers, S. C. and Majiuf, N. S. 1984. Corporate financing and investment decisions when firms have information that investors do not have</w:t>
      </w:r>
      <w:r w:rsidRPr="00052E20">
        <w:rPr>
          <w:rFonts w:cs="Times New Roman"/>
          <w:i/>
          <w:szCs w:val="24"/>
        </w:rPr>
        <w:t>. Journal of Financial Economics</w:t>
      </w:r>
      <w:r w:rsidRPr="00052E20">
        <w:rPr>
          <w:rFonts w:cs="Times New Roman"/>
          <w:szCs w:val="24"/>
        </w:rPr>
        <w:t xml:space="preserve"> 13(2), pp. 187-221.</w:t>
      </w:r>
    </w:p>
    <w:p w14:paraId="267B1146" w14:textId="65F2B211" w:rsidR="00E9329B" w:rsidRDefault="00E9329B" w:rsidP="00E9329B">
      <w:pPr>
        <w:keepNext/>
        <w:spacing w:afterLines="100" w:after="240" w:line="240" w:lineRule="auto"/>
        <w:ind w:left="480" w:hangingChars="200" w:hanging="480"/>
        <w:rPr>
          <w:rFonts w:cs="Times New Roman"/>
          <w:szCs w:val="24"/>
        </w:rPr>
      </w:pPr>
      <w:r w:rsidRPr="00815670">
        <w:rPr>
          <w:rFonts w:cs="Times New Roman"/>
          <w:szCs w:val="24"/>
        </w:rPr>
        <w:t>Novy-Marx, R., 2013. The other side of value: The gross profitability premium. </w:t>
      </w:r>
      <w:r w:rsidRPr="00815670">
        <w:rPr>
          <w:rFonts w:cs="Times New Roman"/>
          <w:i/>
          <w:szCs w:val="24"/>
        </w:rPr>
        <w:t>Journal of Financial Economics</w:t>
      </w:r>
      <w:r w:rsidRPr="00815670">
        <w:rPr>
          <w:rFonts w:cs="Times New Roman"/>
          <w:szCs w:val="24"/>
        </w:rPr>
        <w:t>, 108(1), pp.1-28.</w:t>
      </w:r>
    </w:p>
    <w:p w14:paraId="023EE07E" w14:textId="77777777" w:rsidR="00E9329B" w:rsidRPr="00815670" w:rsidRDefault="00E9329B" w:rsidP="00E9329B">
      <w:pPr>
        <w:keepNext/>
        <w:spacing w:afterLines="100" w:after="240" w:line="240" w:lineRule="auto"/>
        <w:ind w:left="480" w:hangingChars="200" w:hanging="480"/>
        <w:rPr>
          <w:rFonts w:cs="Times New Roman"/>
          <w:szCs w:val="24"/>
        </w:rPr>
      </w:pPr>
      <w:r w:rsidRPr="00815670">
        <w:rPr>
          <w:rFonts w:cs="Times New Roman"/>
          <w:szCs w:val="24"/>
        </w:rPr>
        <w:t>Oberndorfer, U., Schmidt, P., Wagner, M. and Ziegler, A., 2013. Does the stock market value the inclusion in a sustainability stock index? An event study analysis for German firms. </w:t>
      </w:r>
      <w:r w:rsidRPr="00815670">
        <w:rPr>
          <w:rFonts w:cs="Times New Roman"/>
          <w:i/>
          <w:szCs w:val="24"/>
        </w:rPr>
        <w:t>Journal of Environmental Economics and Management</w:t>
      </w:r>
      <w:r w:rsidRPr="00815670">
        <w:rPr>
          <w:rFonts w:cs="Times New Roman"/>
          <w:szCs w:val="24"/>
        </w:rPr>
        <w:t>, 66(3), pp.497-509.</w:t>
      </w:r>
    </w:p>
    <w:p w14:paraId="6839B25C" w14:textId="77777777" w:rsidR="00E9329B" w:rsidRPr="00815670" w:rsidRDefault="00E9329B" w:rsidP="00E9329B">
      <w:pPr>
        <w:keepNext/>
        <w:spacing w:afterLines="100" w:after="240" w:line="240" w:lineRule="auto"/>
        <w:ind w:left="480" w:hangingChars="200" w:hanging="480"/>
        <w:rPr>
          <w:rFonts w:cs="Times New Roman"/>
          <w:szCs w:val="24"/>
        </w:rPr>
      </w:pPr>
      <w:r w:rsidRPr="00815670">
        <w:rPr>
          <w:rFonts w:cs="Times New Roman"/>
          <w:szCs w:val="24"/>
        </w:rPr>
        <w:t>Patro, D.K., Qi, M. and Sun, X., 2013. A simple indicator of systemic risk. </w:t>
      </w:r>
      <w:r w:rsidRPr="00815670">
        <w:rPr>
          <w:rFonts w:cs="Times New Roman"/>
          <w:i/>
          <w:szCs w:val="24"/>
        </w:rPr>
        <w:t>Journal of Financial Stability</w:t>
      </w:r>
      <w:r w:rsidRPr="00815670">
        <w:rPr>
          <w:rFonts w:cs="Times New Roman"/>
          <w:szCs w:val="24"/>
        </w:rPr>
        <w:t>, 9(1), pp.105-116.</w:t>
      </w:r>
    </w:p>
    <w:p w14:paraId="18A15261" w14:textId="231B0BFD" w:rsidR="00E24AC4" w:rsidRDefault="00E24AC4" w:rsidP="00E24AC4">
      <w:pPr>
        <w:keepNext/>
        <w:spacing w:afterLines="100" w:after="240" w:line="240" w:lineRule="auto"/>
        <w:ind w:left="480" w:hangingChars="200" w:hanging="480"/>
        <w:rPr>
          <w:rFonts w:cs="Times New Roman"/>
          <w:szCs w:val="24"/>
        </w:rPr>
      </w:pPr>
      <w:r w:rsidRPr="00815670">
        <w:rPr>
          <w:rFonts w:cs="Times New Roman"/>
          <w:szCs w:val="24"/>
        </w:rPr>
        <w:t>Phan, H.V., 2014. Inside debt and mergers and acquisitions. </w:t>
      </w:r>
      <w:r w:rsidRPr="00815670">
        <w:rPr>
          <w:rFonts w:cs="Times New Roman"/>
          <w:i/>
          <w:szCs w:val="24"/>
        </w:rPr>
        <w:t>Journal of Financial and Quantitative Analysis</w:t>
      </w:r>
      <w:r w:rsidRPr="00815670">
        <w:rPr>
          <w:rFonts w:cs="Times New Roman"/>
          <w:szCs w:val="24"/>
        </w:rPr>
        <w:t>, 49(5-6), pp.1365-1401.</w:t>
      </w:r>
    </w:p>
    <w:p w14:paraId="03FA10C9" w14:textId="27EFF0D9" w:rsidR="00E9329B" w:rsidRDefault="00E9329B" w:rsidP="00E9329B">
      <w:pPr>
        <w:keepNext/>
        <w:spacing w:afterLines="100" w:after="240" w:line="240" w:lineRule="auto"/>
        <w:ind w:left="480" w:hangingChars="200" w:hanging="480"/>
        <w:rPr>
          <w:rFonts w:cs="Times New Roman"/>
          <w:szCs w:val="24"/>
        </w:rPr>
      </w:pPr>
      <w:r w:rsidRPr="00815670">
        <w:rPr>
          <w:rFonts w:cs="Times New Roman"/>
          <w:szCs w:val="24"/>
        </w:rPr>
        <w:t>Rao-Nicholson, R., Salaber, J. and Cao, T.H., 2016. Long-term performance of mergers and acquisitions in ASEAN countries. </w:t>
      </w:r>
      <w:r w:rsidRPr="00815670">
        <w:rPr>
          <w:rFonts w:cs="Times New Roman"/>
          <w:i/>
          <w:szCs w:val="24"/>
        </w:rPr>
        <w:t>Research in International Business and Finance</w:t>
      </w:r>
      <w:r w:rsidRPr="00815670">
        <w:rPr>
          <w:rFonts w:cs="Times New Roman"/>
          <w:szCs w:val="24"/>
        </w:rPr>
        <w:t>, 36, pp.373-387.</w:t>
      </w:r>
    </w:p>
    <w:p w14:paraId="4EA83D3E" w14:textId="77777777" w:rsidR="00E9329B" w:rsidRPr="00815670" w:rsidRDefault="00E9329B" w:rsidP="00E9329B">
      <w:pPr>
        <w:keepNext/>
        <w:spacing w:afterLines="100" w:after="240" w:line="240" w:lineRule="auto"/>
        <w:ind w:left="480" w:hangingChars="200" w:hanging="480"/>
        <w:rPr>
          <w:rFonts w:cs="Times New Roman"/>
          <w:szCs w:val="24"/>
        </w:rPr>
      </w:pPr>
      <w:r w:rsidRPr="00815670">
        <w:rPr>
          <w:rFonts w:cs="Times New Roman"/>
          <w:szCs w:val="24"/>
        </w:rPr>
        <w:t>Reddy, K.S., Nangia, V.K. and Agrawal, R., 2014. The 2007–2008 global financial crisis, and cross-border mergers and acquisitions: A 26-nation exploratory study. </w:t>
      </w:r>
      <w:r w:rsidRPr="00815670">
        <w:rPr>
          <w:rFonts w:cs="Times New Roman"/>
          <w:i/>
          <w:szCs w:val="24"/>
        </w:rPr>
        <w:t>Global Journal of Emerging Market Economies</w:t>
      </w:r>
      <w:r w:rsidRPr="00815670">
        <w:rPr>
          <w:rFonts w:cs="Times New Roman"/>
          <w:szCs w:val="24"/>
        </w:rPr>
        <w:t xml:space="preserve">, 6(3), pp.257-281.  </w:t>
      </w:r>
    </w:p>
    <w:p w14:paraId="4B2BD876" w14:textId="3B036349" w:rsidR="00D438EF"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Roll, R. 1986. The hubris hypothesis of corporate takeovers</w:t>
      </w:r>
      <w:r w:rsidRPr="00052E20">
        <w:rPr>
          <w:rFonts w:cs="Times New Roman"/>
          <w:i/>
          <w:szCs w:val="24"/>
        </w:rPr>
        <w:t>. The Journal of Business</w:t>
      </w:r>
      <w:r w:rsidRPr="00052E20">
        <w:rPr>
          <w:rFonts w:cs="Times New Roman"/>
          <w:szCs w:val="24"/>
        </w:rPr>
        <w:t xml:space="preserve"> 59(2), pp. 197-216.</w:t>
      </w:r>
    </w:p>
    <w:p w14:paraId="6BAB016E" w14:textId="77777777" w:rsidR="00E24AC4" w:rsidRPr="00815670" w:rsidRDefault="00E24AC4" w:rsidP="00E24AC4">
      <w:pPr>
        <w:keepNext/>
        <w:spacing w:afterLines="100" w:after="240" w:line="240" w:lineRule="auto"/>
        <w:ind w:left="480" w:hangingChars="200" w:hanging="480"/>
        <w:rPr>
          <w:rFonts w:cs="Times New Roman"/>
          <w:szCs w:val="24"/>
        </w:rPr>
      </w:pPr>
      <w:r w:rsidRPr="00815670">
        <w:rPr>
          <w:rFonts w:cs="Times New Roman"/>
          <w:szCs w:val="24"/>
        </w:rPr>
        <w:t>Schmidt, B., 2015. Costs and benefits of friendly boards during mergers and acquisitions. </w:t>
      </w:r>
      <w:r w:rsidRPr="00815670">
        <w:rPr>
          <w:rFonts w:cs="Times New Roman"/>
          <w:i/>
          <w:szCs w:val="24"/>
        </w:rPr>
        <w:t>Journal of Financial Economics</w:t>
      </w:r>
      <w:r w:rsidRPr="00815670">
        <w:rPr>
          <w:rFonts w:cs="Times New Roman"/>
          <w:szCs w:val="24"/>
        </w:rPr>
        <w:t>, 117(2), pp.424-447.</w:t>
      </w:r>
    </w:p>
    <w:p w14:paraId="6C1C03B3" w14:textId="77777777" w:rsidR="00D438EF" w:rsidRPr="00B2352E" w:rsidRDefault="00D438EF" w:rsidP="00D438EF">
      <w:pPr>
        <w:keepNext/>
        <w:widowControl/>
        <w:spacing w:afterLines="100" w:after="240" w:line="240" w:lineRule="auto"/>
        <w:ind w:left="480" w:hangingChars="200" w:hanging="480"/>
        <w:rPr>
          <w:rFonts w:cs="Times New Roman"/>
          <w:szCs w:val="24"/>
          <w:lang w:val="fr-FR"/>
        </w:rPr>
      </w:pPr>
      <w:r>
        <w:rPr>
          <w:rFonts w:cs="Times New Roman"/>
          <w:szCs w:val="24"/>
          <w:lang w:val="fr-FR"/>
        </w:rPr>
        <w:t>Servaes, H. 1996</w:t>
      </w:r>
      <w:r w:rsidRPr="00B2352E">
        <w:rPr>
          <w:rFonts w:cs="Times New Roman"/>
          <w:szCs w:val="24"/>
          <w:lang w:val="fr-FR"/>
        </w:rPr>
        <w:t xml:space="preserve">. The value of diversification during the conglomerate merger wave. </w:t>
      </w:r>
      <w:r w:rsidRPr="00B2352E">
        <w:rPr>
          <w:rFonts w:cs="Times New Roman"/>
          <w:i/>
          <w:szCs w:val="24"/>
          <w:lang w:val="fr-FR"/>
        </w:rPr>
        <w:t>The Journal of Finance</w:t>
      </w:r>
      <w:r w:rsidRPr="00B2352E">
        <w:rPr>
          <w:rFonts w:cs="Times New Roman"/>
          <w:szCs w:val="24"/>
          <w:lang w:val="fr-FR"/>
        </w:rPr>
        <w:t xml:space="preserve"> 51(4), </w:t>
      </w:r>
      <w:r>
        <w:rPr>
          <w:rFonts w:cs="Times New Roman"/>
          <w:szCs w:val="24"/>
          <w:lang w:val="fr-FR"/>
        </w:rPr>
        <w:t xml:space="preserve">pp. </w:t>
      </w:r>
      <w:r w:rsidRPr="00B2352E">
        <w:rPr>
          <w:rFonts w:cs="Times New Roman"/>
          <w:szCs w:val="24"/>
          <w:lang w:val="fr-FR"/>
        </w:rPr>
        <w:t>1201-1225.</w:t>
      </w:r>
    </w:p>
    <w:p w14:paraId="09C6EC42"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Seth, A. 1990. Value creation in acquisitions: a re-examination of performance issues. </w:t>
      </w:r>
      <w:r w:rsidRPr="00052E20">
        <w:rPr>
          <w:rFonts w:cs="Times New Roman"/>
          <w:i/>
          <w:szCs w:val="24"/>
        </w:rPr>
        <w:t>Strategic Management Journal</w:t>
      </w:r>
      <w:r w:rsidRPr="00052E20">
        <w:rPr>
          <w:rFonts w:cs="Times New Roman"/>
          <w:szCs w:val="24"/>
        </w:rPr>
        <w:t xml:space="preserve"> 11(2), pp. 99-115.</w:t>
      </w:r>
    </w:p>
    <w:p w14:paraId="2F6247C4" w14:textId="30B6CFF6" w:rsidR="00D438EF"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Sharma, D. and Ho, Jonathan. 2002. The impact of acquisitions on operating performance: some Australian evidence</w:t>
      </w:r>
      <w:r w:rsidRPr="00052E20">
        <w:rPr>
          <w:rFonts w:cs="Times New Roman"/>
          <w:i/>
          <w:szCs w:val="24"/>
        </w:rPr>
        <w:t>. Journal of Business Finance and Accounting</w:t>
      </w:r>
      <w:r w:rsidRPr="00052E20">
        <w:rPr>
          <w:rFonts w:cs="Times New Roman"/>
          <w:szCs w:val="24"/>
        </w:rPr>
        <w:t xml:space="preserve"> 29(1-2), pp. 155-200.</w:t>
      </w:r>
    </w:p>
    <w:p w14:paraId="0EC0DF6B" w14:textId="77777777" w:rsidR="00E24AC4" w:rsidRPr="00815670" w:rsidRDefault="00E24AC4" w:rsidP="00E24AC4">
      <w:pPr>
        <w:keepNext/>
        <w:spacing w:afterLines="100" w:after="240" w:line="240" w:lineRule="auto"/>
        <w:ind w:left="480" w:hangingChars="200" w:hanging="480"/>
        <w:rPr>
          <w:rFonts w:cs="Times New Roman"/>
          <w:szCs w:val="24"/>
        </w:rPr>
      </w:pPr>
      <w:r w:rsidRPr="00815670">
        <w:rPr>
          <w:rFonts w:cs="Times New Roman"/>
          <w:szCs w:val="24"/>
        </w:rPr>
        <w:t>Sherman, A., 2018. </w:t>
      </w:r>
      <w:r w:rsidRPr="00815670">
        <w:rPr>
          <w:rFonts w:cs="Times New Roman"/>
          <w:i/>
          <w:szCs w:val="24"/>
        </w:rPr>
        <w:t>Mergers and Acquisitions from A to Z</w:t>
      </w:r>
      <w:r w:rsidRPr="00815670">
        <w:rPr>
          <w:rFonts w:cs="Times New Roman"/>
          <w:szCs w:val="24"/>
        </w:rPr>
        <w:t>. Amacom.</w:t>
      </w:r>
    </w:p>
    <w:p w14:paraId="6867EEFC" w14:textId="77777777" w:rsidR="00D438EF" w:rsidRPr="00052E20"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lang w:val="en-GB"/>
        </w:rPr>
        <w:t>Shleifer, A. a</w:t>
      </w:r>
      <w:r w:rsidRPr="00052E20">
        <w:rPr>
          <w:rFonts w:cs="Times New Roman"/>
          <w:szCs w:val="24"/>
        </w:rPr>
        <w:t>nd Vishny, R. W. 1989</w:t>
      </w:r>
      <w:r w:rsidRPr="00052E20">
        <w:rPr>
          <w:rFonts w:cs="Times New Roman"/>
          <w:szCs w:val="24"/>
          <w:lang w:val="en-GB"/>
        </w:rPr>
        <w:t xml:space="preserve">. </w:t>
      </w:r>
      <w:r w:rsidRPr="00052E20">
        <w:rPr>
          <w:rFonts w:cs="Times New Roman"/>
          <w:szCs w:val="24"/>
        </w:rPr>
        <w:t xml:space="preserve">Management entrenchment: the case of manager-specific investments. </w:t>
      </w:r>
      <w:r w:rsidRPr="00052E20">
        <w:rPr>
          <w:rFonts w:cs="Times New Roman"/>
          <w:i/>
          <w:szCs w:val="24"/>
        </w:rPr>
        <w:t>Journal of Financial Economics</w:t>
      </w:r>
      <w:r w:rsidRPr="00052E20">
        <w:rPr>
          <w:rFonts w:cs="Times New Roman"/>
          <w:szCs w:val="24"/>
        </w:rPr>
        <w:t xml:space="preserve"> 25(1), pp. 123-139.</w:t>
      </w:r>
    </w:p>
    <w:p w14:paraId="76483001" w14:textId="77777777" w:rsidR="00D438EF"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Sudarsanam, S., Holl, P. and Salami, A. 1996. Shareholder wealth gains in mergers: effect of synergy and ownership structure. </w:t>
      </w:r>
      <w:r w:rsidRPr="00052E20">
        <w:rPr>
          <w:rFonts w:cs="Times New Roman"/>
          <w:i/>
          <w:szCs w:val="24"/>
        </w:rPr>
        <w:t>Journal of Business Finance and Accounting</w:t>
      </w:r>
      <w:r w:rsidRPr="00052E20">
        <w:rPr>
          <w:rFonts w:cs="Times New Roman"/>
          <w:szCs w:val="24"/>
        </w:rPr>
        <w:t xml:space="preserve"> 23(5-6), pp. 673-698.</w:t>
      </w:r>
    </w:p>
    <w:p w14:paraId="4A669D3C" w14:textId="17AF9BE1" w:rsidR="00D438EF"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Switzer, J. 1996. Evidence of real gains in corporate acquisitions. </w:t>
      </w:r>
      <w:r w:rsidRPr="00052E20">
        <w:rPr>
          <w:rFonts w:cs="Times New Roman"/>
          <w:i/>
          <w:szCs w:val="24"/>
        </w:rPr>
        <w:t xml:space="preserve">Journal of Economics and Business </w:t>
      </w:r>
      <w:r w:rsidRPr="00052E20">
        <w:rPr>
          <w:rFonts w:cs="Times New Roman"/>
          <w:szCs w:val="24"/>
        </w:rPr>
        <w:t>48(5), pp. 443-460.</w:t>
      </w:r>
    </w:p>
    <w:p w14:paraId="79A7C017" w14:textId="1B325183" w:rsidR="00E24AC4" w:rsidRDefault="00E24AC4" w:rsidP="00E24AC4">
      <w:pPr>
        <w:keepNext/>
        <w:spacing w:afterLines="100" w:after="240" w:line="240" w:lineRule="auto"/>
        <w:ind w:left="480" w:hangingChars="200" w:hanging="480"/>
        <w:rPr>
          <w:rFonts w:cs="Times New Roman"/>
          <w:szCs w:val="24"/>
        </w:rPr>
      </w:pPr>
      <w:r w:rsidRPr="00815670">
        <w:rPr>
          <w:rFonts w:cs="Times New Roman"/>
          <w:szCs w:val="24"/>
        </w:rPr>
        <w:t>Tao, F., Liu, X., Gao, L. and Xia, E., 2017. Do cross-border mergers and acquisitions increase short-term market performance? The case of Chinese firms. </w:t>
      </w:r>
      <w:r w:rsidRPr="00815670">
        <w:rPr>
          <w:rFonts w:cs="Times New Roman"/>
          <w:i/>
          <w:szCs w:val="24"/>
        </w:rPr>
        <w:t>International Business Review</w:t>
      </w:r>
      <w:r w:rsidRPr="00815670">
        <w:rPr>
          <w:rFonts w:cs="Times New Roman"/>
          <w:szCs w:val="24"/>
        </w:rPr>
        <w:t>, 26(1), pp.189-202.</w:t>
      </w:r>
    </w:p>
    <w:p w14:paraId="5C487E1C" w14:textId="7294A727" w:rsidR="00E9329B" w:rsidRPr="00815670" w:rsidRDefault="00E9329B" w:rsidP="00E9329B">
      <w:pPr>
        <w:keepNext/>
        <w:spacing w:afterLines="100" w:after="240" w:line="240" w:lineRule="auto"/>
        <w:ind w:left="480" w:hangingChars="200" w:hanging="480"/>
        <w:rPr>
          <w:rFonts w:cs="Times New Roman"/>
          <w:szCs w:val="24"/>
        </w:rPr>
      </w:pPr>
      <w:r w:rsidRPr="00815670">
        <w:rPr>
          <w:rFonts w:cs="Times New Roman"/>
          <w:szCs w:val="24"/>
        </w:rPr>
        <w:t xml:space="preserve">Timpano, J. and Bacon, F., 2012. Is Beta Dead? In Allied Academies International Conference. </w:t>
      </w:r>
      <w:r w:rsidRPr="00815670">
        <w:rPr>
          <w:rFonts w:cs="Times New Roman"/>
          <w:i/>
          <w:szCs w:val="24"/>
        </w:rPr>
        <w:t>Academy of Accounting and Financial Studies</w:t>
      </w:r>
      <w:r w:rsidRPr="00815670">
        <w:rPr>
          <w:rFonts w:cs="Times New Roman"/>
          <w:szCs w:val="24"/>
        </w:rPr>
        <w:t xml:space="preserve"> </w:t>
      </w:r>
      <w:r w:rsidRPr="00815670">
        <w:rPr>
          <w:rFonts w:cs="Times New Roman"/>
          <w:i/>
          <w:szCs w:val="24"/>
        </w:rPr>
        <w:t>Proceedings</w:t>
      </w:r>
      <w:r w:rsidRPr="00815670">
        <w:rPr>
          <w:rFonts w:cs="Times New Roman"/>
          <w:szCs w:val="24"/>
        </w:rPr>
        <w:t>, Jordan Whitney Enterprises, Inc. 17(1), pp. 31.</w:t>
      </w:r>
    </w:p>
    <w:p w14:paraId="5DAADED6" w14:textId="77777777" w:rsidR="00D438EF" w:rsidRDefault="00D438EF" w:rsidP="00D438EF">
      <w:pPr>
        <w:keepNext/>
        <w:widowControl/>
        <w:spacing w:afterLines="100" w:after="240" w:line="240" w:lineRule="auto"/>
        <w:ind w:left="480" w:hangingChars="200" w:hanging="480"/>
        <w:rPr>
          <w:rFonts w:cs="Times New Roman"/>
          <w:szCs w:val="24"/>
        </w:rPr>
      </w:pPr>
      <w:r w:rsidRPr="00052E20">
        <w:rPr>
          <w:rFonts w:cs="Times New Roman"/>
          <w:szCs w:val="24"/>
        </w:rPr>
        <w:t xml:space="preserve">Walker, M. M. 2000. Corporate takeovers, strategic objectives, and acquiring firm shareholder wealth. </w:t>
      </w:r>
      <w:r w:rsidRPr="00052E20">
        <w:rPr>
          <w:rFonts w:cs="Times New Roman"/>
          <w:i/>
          <w:szCs w:val="24"/>
        </w:rPr>
        <w:t>Financial Management</w:t>
      </w:r>
      <w:r w:rsidRPr="00052E20">
        <w:rPr>
          <w:rFonts w:cs="Times New Roman"/>
          <w:szCs w:val="24"/>
        </w:rPr>
        <w:t xml:space="preserve"> 29(1), pp. 53-66.</w:t>
      </w:r>
    </w:p>
    <w:p w14:paraId="04BB0A24" w14:textId="77777777" w:rsidR="00D438EF" w:rsidRPr="002B7B0F" w:rsidRDefault="00D438EF" w:rsidP="00FC7768">
      <w:pPr>
        <w:ind w:firstLine="480"/>
        <w:rPr>
          <w:rFonts w:cs="Times New Roman"/>
          <w:szCs w:val="24"/>
          <w:lang w:val="en-GB"/>
        </w:rPr>
      </w:pPr>
    </w:p>
    <w:p w14:paraId="4DCF1010" w14:textId="77777777" w:rsidR="001E79D1" w:rsidRPr="002B7B0F" w:rsidRDefault="001E79D1" w:rsidP="00FC7768">
      <w:pPr>
        <w:ind w:firstLine="480"/>
        <w:rPr>
          <w:rFonts w:cs="Times New Roman"/>
          <w:szCs w:val="24"/>
          <w:lang w:val="en-GB"/>
        </w:rPr>
      </w:pPr>
    </w:p>
    <w:p w14:paraId="00BE4008" w14:textId="77777777" w:rsidR="003D7B3F" w:rsidRDefault="003D7B3F" w:rsidP="008576C8">
      <w:pPr>
        <w:ind w:firstLineChars="0" w:firstLine="0"/>
        <w:rPr>
          <w:rFonts w:cs="Times New Roman"/>
          <w:szCs w:val="24"/>
          <w:lang w:val="en-GB"/>
        </w:rPr>
      </w:pPr>
    </w:p>
    <w:p w14:paraId="663E3B78" w14:textId="77777777" w:rsidR="008576C8" w:rsidRDefault="008576C8" w:rsidP="008576C8">
      <w:pPr>
        <w:ind w:firstLineChars="0" w:firstLine="0"/>
        <w:rPr>
          <w:rFonts w:cs="Times New Roman"/>
          <w:szCs w:val="24"/>
          <w:lang w:val="en-GB"/>
        </w:rPr>
      </w:pPr>
    </w:p>
    <w:p w14:paraId="7C7C542A" w14:textId="77777777" w:rsidR="008576C8" w:rsidRDefault="008576C8" w:rsidP="008576C8">
      <w:pPr>
        <w:ind w:firstLineChars="0" w:firstLine="0"/>
        <w:rPr>
          <w:rFonts w:cs="Times New Roman"/>
          <w:szCs w:val="24"/>
          <w:lang w:val="en-GB"/>
        </w:rPr>
      </w:pPr>
    </w:p>
    <w:p w14:paraId="48B5CCD6" w14:textId="77777777" w:rsidR="008576C8" w:rsidRDefault="008576C8" w:rsidP="008576C8">
      <w:pPr>
        <w:ind w:firstLineChars="0" w:firstLine="0"/>
        <w:rPr>
          <w:rFonts w:cs="Times New Roman"/>
          <w:szCs w:val="24"/>
          <w:lang w:val="en-GB"/>
        </w:rPr>
      </w:pPr>
    </w:p>
    <w:p w14:paraId="48AC8575" w14:textId="77777777" w:rsidR="008576C8" w:rsidRPr="00E82D3A" w:rsidRDefault="008576C8" w:rsidP="008576C8">
      <w:pPr>
        <w:pStyle w:val="a"/>
        <w:ind w:firstLine="400"/>
        <w:jc w:val="left"/>
        <w:rPr>
          <w:sz w:val="20"/>
          <w:szCs w:val="20"/>
        </w:rPr>
      </w:pPr>
      <w:bookmarkStart w:id="38" w:name="_Toc491801683"/>
      <w:r w:rsidRPr="00E82D3A">
        <w:rPr>
          <w:sz w:val="20"/>
          <w:szCs w:val="20"/>
        </w:rPr>
        <w:t xml:space="preserve">Table </w:t>
      </w:r>
      <w:r w:rsidRPr="00E82D3A">
        <w:rPr>
          <w:rFonts w:hint="eastAsia"/>
          <w:sz w:val="20"/>
          <w:szCs w:val="20"/>
        </w:rPr>
        <w:t>1</w:t>
      </w:r>
      <w:r w:rsidRPr="00E82D3A">
        <w:rPr>
          <w:rFonts w:eastAsiaTheme="minorEastAsia"/>
          <w:sz w:val="20"/>
          <w:szCs w:val="20"/>
        </w:rPr>
        <w:t xml:space="preserve">: </w:t>
      </w:r>
      <w:r w:rsidRPr="00E82D3A">
        <w:rPr>
          <w:sz w:val="20"/>
          <w:szCs w:val="20"/>
        </w:rPr>
        <w:t>Sample Description: Bid and Firm characteristics</w:t>
      </w:r>
      <w:bookmarkEnd w:id="38"/>
    </w:p>
    <w:p w14:paraId="1D88ACC0" w14:textId="77777777" w:rsidR="008576C8" w:rsidRDefault="008576C8" w:rsidP="008576C8">
      <w:pPr>
        <w:pStyle w:val="a"/>
        <w:ind w:firstLine="480"/>
        <w:jc w:val="left"/>
      </w:pPr>
    </w:p>
    <w:p w14:paraId="1F581406" w14:textId="6CA7FDFB" w:rsidR="008576C8" w:rsidRPr="00BD0DE9" w:rsidRDefault="008576C8" w:rsidP="008576C8">
      <w:pPr>
        <w:pStyle w:val="a"/>
        <w:ind w:firstLineChars="0" w:firstLine="0"/>
        <w:jc w:val="both"/>
        <w:rPr>
          <w:rFonts w:eastAsiaTheme="minorEastAsia"/>
          <w:b w:val="0"/>
          <w:sz w:val="20"/>
          <w:szCs w:val="20"/>
          <w:u w:val="none"/>
        </w:rPr>
      </w:pPr>
      <w:r w:rsidRPr="00BD0DE9">
        <w:rPr>
          <w:b w:val="0"/>
          <w:sz w:val="20"/>
          <w:szCs w:val="20"/>
          <w:u w:val="none"/>
        </w:rPr>
        <w:t>Table 1 shows a</w:t>
      </w:r>
      <w:r w:rsidRPr="00BD0DE9">
        <w:rPr>
          <w:b w:val="0"/>
          <w:sz w:val="20"/>
          <w:szCs w:val="20"/>
          <w:u w:val="none"/>
          <w:lang w:val="en-GB"/>
        </w:rPr>
        <w:t xml:space="preserve"> year-by-year analysis</w:t>
      </w:r>
      <w:r w:rsidRPr="00BD0DE9">
        <w:rPr>
          <w:b w:val="0"/>
          <w:sz w:val="20"/>
          <w:szCs w:val="20"/>
          <w:u w:val="none"/>
        </w:rPr>
        <w:t xml:space="preserve"> of characteristics of acquisition transactions, which is divided into two parts based on the location of the target company (in Hong Kong or in China Mainland). </w:t>
      </w:r>
      <w:r>
        <w:rPr>
          <w:b w:val="0"/>
          <w:sz w:val="20"/>
          <w:szCs w:val="20"/>
          <w:u w:val="none"/>
        </w:rPr>
        <w:t xml:space="preserve">Number of acquisition mentioned separately for Hong Kong and China Mainland. </w:t>
      </w:r>
      <w:r w:rsidRPr="00BD0DE9">
        <w:rPr>
          <w:b w:val="0"/>
          <w:sz w:val="20"/>
          <w:szCs w:val="20"/>
          <w:u w:val="none"/>
        </w:rPr>
        <w:t xml:space="preserve">Relatedness </w:t>
      </w:r>
      <w:r>
        <w:rPr>
          <w:b w:val="0"/>
          <w:sz w:val="20"/>
          <w:szCs w:val="20"/>
          <w:u w:val="none"/>
        </w:rPr>
        <w:t xml:space="preserve">(%) </w:t>
      </w:r>
      <w:r w:rsidRPr="00BD0DE9">
        <w:rPr>
          <w:b w:val="0"/>
          <w:sz w:val="20"/>
          <w:szCs w:val="20"/>
          <w:u w:val="none"/>
        </w:rPr>
        <w:t xml:space="preserve">is defined when the bidding corporate and the target corporate are in the same business and unrelated </w:t>
      </w:r>
      <w:r>
        <w:rPr>
          <w:b w:val="0"/>
          <w:sz w:val="20"/>
          <w:szCs w:val="20"/>
          <w:u w:val="none"/>
        </w:rPr>
        <w:t xml:space="preserve">(%) </w:t>
      </w:r>
      <w:r w:rsidRPr="00BD0DE9">
        <w:rPr>
          <w:b w:val="0"/>
          <w:sz w:val="20"/>
          <w:szCs w:val="20"/>
          <w:u w:val="none"/>
        </w:rPr>
        <w:t>explained</w:t>
      </w:r>
      <w:r>
        <w:rPr>
          <w:b w:val="0"/>
          <w:sz w:val="20"/>
          <w:szCs w:val="20"/>
          <w:u w:val="none"/>
        </w:rPr>
        <w:t xml:space="preserve"> </w:t>
      </w:r>
      <w:r w:rsidRPr="00BD0DE9">
        <w:rPr>
          <w:b w:val="0"/>
          <w:sz w:val="20"/>
          <w:szCs w:val="20"/>
          <w:u w:val="none"/>
        </w:rPr>
        <w:t xml:space="preserve">bidding corporate and target corporate are in different business. The average </w:t>
      </w:r>
      <w:r>
        <w:rPr>
          <w:b w:val="0"/>
          <w:sz w:val="20"/>
          <w:szCs w:val="20"/>
          <w:u w:val="none"/>
        </w:rPr>
        <w:t xml:space="preserve">deal value represented into HK$ (m) </w:t>
      </w:r>
      <w:r w:rsidRPr="00BD0DE9">
        <w:rPr>
          <w:b w:val="0"/>
          <w:sz w:val="20"/>
          <w:szCs w:val="20"/>
          <w:u w:val="none"/>
        </w:rPr>
        <w:t>proportion of the outstanding shares obtained by bidding companies of targets from both markets. Moreover, method of payment classified into four categories such as cash, stock and combination of cash &amp; stock and others. Acquirer’s average market value</w:t>
      </w:r>
      <w:r w:rsidR="00D438EF">
        <w:rPr>
          <w:b w:val="0"/>
          <w:sz w:val="20"/>
          <w:szCs w:val="20"/>
          <w:u w:val="none"/>
        </w:rPr>
        <w:t xml:space="preserve"> of</w:t>
      </w:r>
      <w:r w:rsidRPr="00BD0DE9">
        <w:rPr>
          <w:b w:val="0"/>
          <w:sz w:val="20"/>
          <w:szCs w:val="20"/>
          <w:u w:val="none"/>
        </w:rPr>
        <w:t xml:space="preserve"> four weeks prior to acquisition represented in HK$ (m) and last column demonstrates acquirer’s average returns within 51 days of the announcement period. </w:t>
      </w:r>
    </w:p>
    <w:p w14:paraId="1104EE98" w14:textId="77777777" w:rsidR="008576C8" w:rsidRPr="00052E20" w:rsidRDefault="008576C8" w:rsidP="008576C8">
      <w:pPr>
        <w:pStyle w:val="a"/>
        <w:ind w:firstLine="482"/>
        <w:rPr>
          <w:rFonts w:eastAsiaTheme="minorEastAsia"/>
        </w:rPr>
      </w:pPr>
    </w:p>
    <w:tbl>
      <w:tblPr>
        <w:tblStyle w:val="TableGrid"/>
        <w:tblW w:w="8856" w:type="dxa"/>
        <w:jc w:val="center"/>
        <w:tblBorders>
          <w:top w:val="dotted" w:sz="6" w:space="0" w:color="auto"/>
          <w:left w:val="single" w:sz="8" w:space="0" w:color="auto"/>
          <w:bottom w:val="dotted" w:sz="6" w:space="0" w:color="auto"/>
          <w:right w:val="single" w:sz="8" w:space="0" w:color="auto"/>
          <w:insideH w:val="dotted" w:sz="6" w:space="0" w:color="auto"/>
          <w:insideV w:val="dotted" w:sz="6" w:space="0" w:color="auto"/>
        </w:tblBorders>
        <w:tblLayout w:type="fixed"/>
        <w:tblCellMar>
          <w:left w:w="57" w:type="dxa"/>
          <w:right w:w="57" w:type="dxa"/>
        </w:tblCellMar>
        <w:tblLook w:val="04A0" w:firstRow="1" w:lastRow="0" w:firstColumn="1" w:lastColumn="0" w:noHBand="0" w:noVBand="1"/>
      </w:tblPr>
      <w:tblGrid>
        <w:gridCol w:w="832"/>
        <w:gridCol w:w="910"/>
        <w:gridCol w:w="678"/>
        <w:gridCol w:w="841"/>
        <w:gridCol w:w="750"/>
        <w:gridCol w:w="740"/>
        <w:gridCol w:w="556"/>
        <w:gridCol w:w="560"/>
        <w:gridCol w:w="560"/>
        <w:gridCol w:w="623"/>
        <w:gridCol w:w="923"/>
        <w:gridCol w:w="875"/>
        <w:gridCol w:w="8"/>
      </w:tblGrid>
      <w:tr w:rsidR="008576C8" w:rsidRPr="00052E20" w14:paraId="4CCD1912" w14:textId="77777777" w:rsidTr="008576C8">
        <w:trPr>
          <w:trHeight w:val="207"/>
          <w:jc w:val="center"/>
        </w:trPr>
        <w:tc>
          <w:tcPr>
            <w:tcW w:w="8856" w:type="dxa"/>
            <w:gridSpan w:val="13"/>
            <w:vMerge w:val="restart"/>
            <w:tcBorders>
              <w:top w:val="single" w:sz="6" w:space="0" w:color="auto"/>
              <w:left w:val="nil"/>
              <w:bottom w:val="single" w:sz="6" w:space="0" w:color="auto"/>
              <w:right w:val="nil"/>
            </w:tcBorders>
            <w:noWrap/>
            <w:vAlign w:val="center"/>
            <w:hideMark/>
          </w:tcPr>
          <w:p w14:paraId="0541EA7B" w14:textId="77777777" w:rsidR="008576C8" w:rsidRPr="00052E20" w:rsidRDefault="008576C8" w:rsidP="008576C8">
            <w:pPr>
              <w:spacing w:line="240" w:lineRule="auto"/>
              <w:ind w:firstLineChars="0" w:firstLine="0"/>
              <w:jc w:val="center"/>
              <w:rPr>
                <w:rFonts w:cs="Times New Roman"/>
                <w:b/>
                <w:sz w:val="18"/>
                <w:szCs w:val="18"/>
              </w:rPr>
            </w:pPr>
            <w:r w:rsidRPr="00052E20">
              <w:rPr>
                <w:rFonts w:cs="Times New Roman"/>
                <w:b/>
                <w:sz w:val="18"/>
                <w:szCs w:val="18"/>
              </w:rPr>
              <w:t>Different target sample analysis</w:t>
            </w:r>
          </w:p>
        </w:tc>
      </w:tr>
      <w:tr w:rsidR="008576C8" w:rsidRPr="00052E20" w14:paraId="1D79FE40" w14:textId="77777777" w:rsidTr="008576C8">
        <w:trPr>
          <w:trHeight w:val="459"/>
          <w:jc w:val="center"/>
        </w:trPr>
        <w:tc>
          <w:tcPr>
            <w:tcW w:w="8856" w:type="dxa"/>
            <w:gridSpan w:val="13"/>
            <w:vMerge/>
            <w:tcBorders>
              <w:left w:val="nil"/>
              <w:bottom w:val="single" w:sz="6" w:space="0" w:color="auto"/>
              <w:right w:val="nil"/>
            </w:tcBorders>
            <w:vAlign w:val="center"/>
            <w:hideMark/>
          </w:tcPr>
          <w:p w14:paraId="73479DB4" w14:textId="77777777" w:rsidR="008576C8" w:rsidRPr="00052E20" w:rsidRDefault="008576C8" w:rsidP="008576C8">
            <w:pPr>
              <w:spacing w:line="240" w:lineRule="auto"/>
              <w:ind w:firstLineChars="0" w:firstLine="0"/>
              <w:jc w:val="center"/>
              <w:rPr>
                <w:rFonts w:cs="Times New Roman"/>
                <w:sz w:val="18"/>
                <w:szCs w:val="18"/>
              </w:rPr>
            </w:pPr>
          </w:p>
        </w:tc>
      </w:tr>
      <w:tr w:rsidR="008576C8" w:rsidRPr="00052E20" w14:paraId="33B30574" w14:textId="77777777" w:rsidTr="008576C8">
        <w:trPr>
          <w:gridAfter w:val="1"/>
          <w:wAfter w:w="4" w:type="dxa"/>
          <w:trHeight w:val="534"/>
          <w:jc w:val="center"/>
        </w:trPr>
        <w:tc>
          <w:tcPr>
            <w:tcW w:w="833" w:type="dxa"/>
            <w:vMerge w:val="restart"/>
            <w:tcBorders>
              <w:top w:val="single" w:sz="6" w:space="0" w:color="auto"/>
              <w:left w:val="nil"/>
              <w:bottom w:val="single" w:sz="6" w:space="0" w:color="auto"/>
              <w:right w:val="single" w:sz="6" w:space="0" w:color="auto"/>
            </w:tcBorders>
            <w:noWrap/>
            <w:vAlign w:val="center"/>
            <w:hideMark/>
          </w:tcPr>
          <w:p w14:paraId="6C1B9A77" w14:textId="77777777" w:rsidR="008576C8" w:rsidRPr="00052E20" w:rsidRDefault="008576C8" w:rsidP="008576C8">
            <w:pPr>
              <w:spacing w:line="240" w:lineRule="auto"/>
              <w:ind w:firstLineChars="0" w:firstLine="0"/>
              <w:jc w:val="center"/>
              <w:rPr>
                <w:rFonts w:cs="Times New Roman"/>
                <w:sz w:val="18"/>
                <w:szCs w:val="18"/>
              </w:rPr>
            </w:pPr>
            <w:r w:rsidRPr="00052E20">
              <w:rPr>
                <w:rFonts w:cs="Times New Roman"/>
                <w:sz w:val="18"/>
                <w:szCs w:val="18"/>
              </w:rPr>
              <w:t>Target</w:t>
            </w:r>
          </w:p>
        </w:tc>
        <w:tc>
          <w:tcPr>
            <w:tcW w:w="911" w:type="dxa"/>
            <w:vMerge w:val="restart"/>
            <w:tcBorders>
              <w:top w:val="single" w:sz="6" w:space="0" w:color="auto"/>
              <w:left w:val="single" w:sz="6" w:space="0" w:color="auto"/>
              <w:bottom w:val="single" w:sz="6" w:space="0" w:color="auto"/>
              <w:right w:val="single" w:sz="6" w:space="0" w:color="auto"/>
            </w:tcBorders>
            <w:vAlign w:val="center"/>
            <w:hideMark/>
          </w:tcPr>
          <w:p w14:paraId="7A01B06D" w14:textId="77777777" w:rsidR="008576C8" w:rsidRPr="00052E20" w:rsidRDefault="008576C8" w:rsidP="008576C8">
            <w:pPr>
              <w:spacing w:line="240" w:lineRule="auto"/>
              <w:ind w:firstLineChars="0" w:firstLine="0"/>
              <w:jc w:val="center"/>
              <w:rPr>
                <w:rFonts w:cs="Times New Roman"/>
                <w:sz w:val="18"/>
                <w:szCs w:val="18"/>
              </w:rPr>
            </w:pPr>
            <w:r w:rsidRPr="00052E20">
              <w:rPr>
                <w:rFonts w:cs="Times New Roman"/>
                <w:sz w:val="18"/>
                <w:szCs w:val="18"/>
              </w:rPr>
              <w:t xml:space="preserve">Number of </w:t>
            </w:r>
            <w:r w:rsidRPr="00052E20">
              <w:rPr>
                <w:rFonts w:cs="Times New Roman"/>
                <w:sz w:val="18"/>
                <w:szCs w:val="18"/>
              </w:rPr>
              <w:br/>
              <w:t>acquisition</w:t>
            </w:r>
          </w:p>
        </w:tc>
        <w:tc>
          <w:tcPr>
            <w:tcW w:w="1521" w:type="dxa"/>
            <w:gridSpan w:val="2"/>
            <w:tcBorders>
              <w:top w:val="single" w:sz="6" w:space="0" w:color="auto"/>
              <w:left w:val="single" w:sz="6" w:space="0" w:color="auto"/>
              <w:bottom w:val="single" w:sz="6" w:space="0" w:color="auto"/>
              <w:right w:val="single" w:sz="6" w:space="0" w:color="auto"/>
            </w:tcBorders>
            <w:vAlign w:val="center"/>
            <w:hideMark/>
          </w:tcPr>
          <w:p w14:paraId="2DDA46B3" w14:textId="77777777" w:rsidR="008576C8" w:rsidRPr="00052E20" w:rsidRDefault="008576C8" w:rsidP="008576C8">
            <w:pPr>
              <w:spacing w:line="240" w:lineRule="auto"/>
              <w:ind w:firstLineChars="0" w:firstLine="0"/>
              <w:jc w:val="center"/>
              <w:rPr>
                <w:rFonts w:eastAsiaTheme="minorEastAsia" w:cs="Times New Roman"/>
                <w:b/>
                <w:sz w:val="18"/>
                <w:szCs w:val="18"/>
              </w:rPr>
            </w:pPr>
            <w:r w:rsidRPr="00052E20">
              <w:rPr>
                <w:rFonts w:cs="Times New Roman"/>
                <w:b/>
                <w:sz w:val="18"/>
                <w:szCs w:val="18"/>
              </w:rPr>
              <w:t>Industry:</w:t>
            </w:r>
          </w:p>
          <w:p w14:paraId="29D719AB" w14:textId="77777777" w:rsidR="008576C8" w:rsidRPr="00052E20" w:rsidRDefault="008576C8" w:rsidP="008576C8">
            <w:pPr>
              <w:spacing w:line="240" w:lineRule="auto"/>
              <w:ind w:firstLineChars="0" w:firstLine="0"/>
              <w:jc w:val="center"/>
              <w:rPr>
                <w:rFonts w:cs="Times New Roman"/>
                <w:b/>
                <w:sz w:val="18"/>
                <w:szCs w:val="18"/>
              </w:rPr>
            </w:pPr>
            <w:r w:rsidRPr="00052E20">
              <w:rPr>
                <w:rFonts w:cs="Times New Roman"/>
                <w:b/>
                <w:sz w:val="18"/>
                <w:szCs w:val="18"/>
              </w:rPr>
              <w:t>proportion</w:t>
            </w:r>
          </w:p>
        </w:tc>
        <w:tc>
          <w:tcPr>
            <w:tcW w:w="750" w:type="dxa"/>
            <w:vMerge w:val="restart"/>
            <w:tcBorders>
              <w:top w:val="single" w:sz="6" w:space="0" w:color="auto"/>
              <w:left w:val="single" w:sz="6" w:space="0" w:color="auto"/>
              <w:bottom w:val="single" w:sz="6" w:space="0" w:color="auto"/>
              <w:right w:val="single" w:sz="6" w:space="0" w:color="auto"/>
            </w:tcBorders>
            <w:vAlign w:val="center"/>
            <w:hideMark/>
          </w:tcPr>
          <w:p w14:paraId="3C008A64" w14:textId="77777777" w:rsidR="008576C8" w:rsidRPr="00052E20" w:rsidRDefault="008576C8" w:rsidP="008576C8">
            <w:pPr>
              <w:spacing w:line="240" w:lineRule="auto"/>
              <w:ind w:firstLineChars="0" w:firstLine="0"/>
              <w:jc w:val="center"/>
              <w:rPr>
                <w:rFonts w:cs="Times New Roman"/>
                <w:sz w:val="18"/>
                <w:szCs w:val="18"/>
              </w:rPr>
            </w:pPr>
            <w:r w:rsidRPr="00052E20">
              <w:rPr>
                <w:rFonts w:cs="Times New Roman"/>
                <w:sz w:val="18"/>
                <w:szCs w:val="18"/>
              </w:rPr>
              <w:t xml:space="preserve">(%) of shares </w:t>
            </w:r>
            <w:r w:rsidRPr="00052E20">
              <w:rPr>
                <w:rFonts w:cs="Times New Roman"/>
                <w:sz w:val="18"/>
                <w:szCs w:val="18"/>
              </w:rPr>
              <w:br/>
              <w:t>acquired</w:t>
            </w:r>
          </w:p>
        </w:tc>
        <w:tc>
          <w:tcPr>
            <w:tcW w:w="740" w:type="dxa"/>
            <w:vMerge w:val="restart"/>
            <w:tcBorders>
              <w:top w:val="single" w:sz="6" w:space="0" w:color="auto"/>
              <w:left w:val="single" w:sz="6" w:space="0" w:color="auto"/>
              <w:bottom w:val="single" w:sz="6" w:space="0" w:color="auto"/>
              <w:right w:val="single" w:sz="6" w:space="0" w:color="auto"/>
            </w:tcBorders>
            <w:vAlign w:val="center"/>
            <w:hideMark/>
          </w:tcPr>
          <w:p w14:paraId="7BC9ECED" w14:textId="77777777" w:rsidR="008576C8" w:rsidRPr="00052E20" w:rsidRDefault="008576C8" w:rsidP="008576C8">
            <w:pPr>
              <w:spacing w:line="240" w:lineRule="auto"/>
              <w:ind w:firstLineChars="0" w:firstLine="0"/>
              <w:jc w:val="center"/>
              <w:rPr>
                <w:rFonts w:cs="Times New Roman"/>
                <w:sz w:val="18"/>
                <w:szCs w:val="18"/>
              </w:rPr>
            </w:pPr>
            <w:r w:rsidRPr="00052E20">
              <w:rPr>
                <w:rFonts w:cs="Times New Roman"/>
                <w:sz w:val="18"/>
                <w:szCs w:val="18"/>
              </w:rPr>
              <w:t>Average deal</w:t>
            </w:r>
            <w:r w:rsidRPr="00052E20">
              <w:rPr>
                <w:rFonts w:cs="Times New Roman"/>
                <w:sz w:val="18"/>
                <w:szCs w:val="18"/>
              </w:rPr>
              <w:br/>
              <w:t>value</w:t>
            </w:r>
            <w:r w:rsidRPr="00052E20">
              <w:rPr>
                <w:rFonts w:cs="Times New Roman"/>
                <w:sz w:val="18"/>
                <w:szCs w:val="18"/>
              </w:rPr>
              <w:br/>
              <w:t>(mHK$)</w:t>
            </w:r>
          </w:p>
        </w:tc>
        <w:tc>
          <w:tcPr>
            <w:tcW w:w="2299" w:type="dxa"/>
            <w:gridSpan w:val="4"/>
            <w:tcBorders>
              <w:top w:val="single" w:sz="6" w:space="0" w:color="auto"/>
              <w:left w:val="single" w:sz="6" w:space="0" w:color="auto"/>
              <w:bottom w:val="single" w:sz="6" w:space="0" w:color="auto"/>
              <w:right w:val="single" w:sz="6" w:space="0" w:color="auto"/>
            </w:tcBorders>
            <w:noWrap/>
            <w:vAlign w:val="center"/>
            <w:hideMark/>
          </w:tcPr>
          <w:p w14:paraId="0C932EB2" w14:textId="77777777" w:rsidR="008576C8" w:rsidRPr="00052E20" w:rsidRDefault="008576C8" w:rsidP="008576C8">
            <w:pPr>
              <w:spacing w:line="240" w:lineRule="auto"/>
              <w:ind w:firstLineChars="0" w:firstLine="0"/>
              <w:jc w:val="center"/>
              <w:rPr>
                <w:rFonts w:cs="Times New Roman"/>
                <w:b/>
                <w:sz w:val="18"/>
                <w:szCs w:val="18"/>
              </w:rPr>
            </w:pPr>
            <w:r w:rsidRPr="00052E20">
              <w:rPr>
                <w:rFonts w:cs="Times New Roman"/>
                <w:b/>
                <w:sz w:val="18"/>
                <w:szCs w:val="18"/>
              </w:rPr>
              <w:t>Method of payment: Percentage</w:t>
            </w:r>
          </w:p>
        </w:tc>
        <w:tc>
          <w:tcPr>
            <w:tcW w:w="923" w:type="dxa"/>
            <w:vMerge w:val="restart"/>
            <w:tcBorders>
              <w:top w:val="single" w:sz="6" w:space="0" w:color="auto"/>
              <w:left w:val="single" w:sz="6" w:space="0" w:color="auto"/>
              <w:bottom w:val="single" w:sz="6" w:space="0" w:color="auto"/>
              <w:right w:val="single" w:sz="6" w:space="0" w:color="auto"/>
            </w:tcBorders>
            <w:vAlign w:val="center"/>
            <w:hideMark/>
          </w:tcPr>
          <w:p w14:paraId="05731A0A" w14:textId="77777777" w:rsidR="008576C8" w:rsidRPr="00052E20" w:rsidRDefault="008576C8" w:rsidP="008576C8">
            <w:pPr>
              <w:spacing w:line="240" w:lineRule="auto"/>
              <w:ind w:firstLineChars="0" w:firstLine="0"/>
              <w:jc w:val="center"/>
              <w:rPr>
                <w:rFonts w:cs="Times New Roman"/>
                <w:sz w:val="18"/>
                <w:szCs w:val="18"/>
              </w:rPr>
            </w:pPr>
            <w:r w:rsidRPr="00052E20">
              <w:rPr>
                <w:rFonts w:cs="Times New Roman"/>
                <w:sz w:val="18"/>
                <w:szCs w:val="18"/>
              </w:rPr>
              <w:t>Acquirer's Avg. market value 4 weeks prior to acquisition</w:t>
            </w:r>
            <w:r w:rsidRPr="00052E20">
              <w:rPr>
                <w:rFonts w:cs="Times New Roman"/>
                <w:sz w:val="18"/>
                <w:szCs w:val="18"/>
              </w:rPr>
              <w:br/>
              <w:t>(mHK$)</w:t>
            </w:r>
          </w:p>
        </w:tc>
        <w:tc>
          <w:tcPr>
            <w:tcW w:w="875" w:type="dxa"/>
            <w:vMerge w:val="restart"/>
            <w:tcBorders>
              <w:top w:val="single" w:sz="6" w:space="0" w:color="auto"/>
              <w:left w:val="single" w:sz="6" w:space="0" w:color="auto"/>
              <w:bottom w:val="single" w:sz="6" w:space="0" w:color="auto"/>
              <w:right w:val="nil"/>
            </w:tcBorders>
            <w:vAlign w:val="center"/>
            <w:hideMark/>
          </w:tcPr>
          <w:p w14:paraId="2BBAAE07" w14:textId="77777777" w:rsidR="008576C8" w:rsidRPr="00052E20" w:rsidRDefault="008576C8" w:rsidP="008576C8">
            <w:pPr>
              <w:spacing w:line="240" w:lineRule="auto"/>
              <w:ind w:firstLineChars="0" w:firstLine="0"/>
              <w:jc w:val="center"/>
              <w:rPr>
                <w:rFonts w:cs="Times New Roman"/>
                <w:sz w:val="18"/>
                <w:szCs w:val="18"/>
              </w:rPr>
            </w:pPr>
            <w:r w:rsidRPr="00052E20">
              <w:rPr>
                <w:rFonts w:cs="Times New Roman"/>
                <w:sz w:val="18"/>
                <w:szCs w:val="18"/>
              </w:rPr>
              <w:t xml:space="preserve">Acquirer's </w:t>
            </w:r>
            <w:r w:rsidRPr="00052E20">
              <w:rPr>
                <w:rFonts w:cs="Times New Roman"/>
                <w:sz w:val="18"/>
                <w:szCs w:val="18"/>
              </w:rPr>
              <w:br/>
              <w:t>average raw return: Day -25 to Day +25</w:t>
            </w:r>
            <w:r w:rsidRPr="00052E20">
              <w:rPr>
                <w:rFonts w:cs="Times New Roman"/>
                <w:sz w:val="18"/>
                <w:szCs w:val="18"/>
              </w:rPr>
              <w:br/>
              <w:t>(%)</w:t>
            </w:r>
          </w:p>
        </w:tc>
      </w:tr>
      <w:tr w:rsidR="008576C8" w:rsidRPr="00052E20" w14:paraId="1B20AB26" w14:textId="77777777" w:rsidTr="008576C8">
        <w:trPr>
          <w:gridAfter w:val="1"/>
          <w:wAfter w:w="8" w:type="dxa"/>
          <w:trHeight w:val="1221"/>
          <w:jc w:val="center"/>
        </w:trPr>
        <w:tc>
          <w:tcPr>
            <w:tcW w:w="833" w:type="dxa"/>
            <w:vMerge/>
            <w:tcBorders>
              <w:top w:val="single" w:sz="6" w:space="0" w:color="auto"/>
              <w:left w:val="nil"/>
              <w:bottom w:val="single" w:sz="6" w:space="0" w:color="auto"/>
              <w:right w:val="single" w:sz="6" w:space="0" w:color="auto"/>
            </w:tcBorders>
            <w:vAlign w:val="center"/>
            <w:hideMark/>
          </w:tcPr>
          <w:p w14:paraId="75E514D8" w14:textId="77777777" w:rsidR="008576C8" w:rsidRPr="00052E20" w:rsidRDefault="008576C8" w:rsidP="008576C8">
            <w:pPr>
              <w:spacing w:line="240" w:lineRule="auto"/>
              <w:ind w:firstLineChars="0" w:firstLine="0"/>
              <w:jc w:val="center"/>
              <w:rPr>
                <w:rFonts w:cs="Times New Roman"/>
                <w:sz w:val="18"/>
                <w:szCs w:val="18"/>
              </w:rPr>
            </w:pPr>
          </w:p>
        </w:tc>
        <w:tc>
          <w:tcPr>
            <w:tcW w:w="911" w:type="dxa"/>
            <w:vMerge/>
            <w:tcBorders>
              <w:top w:val="single" w:sz="6" w:space="0" w:color="auto"/>
              <w:left w:val="single" w:sz="6" w:space="0" w:color="auto"/>
              <w:bottom w:val="single" w:sz="6" w:space="0" w:color="auto"/>
              <w:right w:val="single" w:sz="6" w:space="0" w:color="auto"/>
            </w:tcBorders>
            <w:vAlign w:val="center"/>
            <w:hideMark/>
          </w:tcPr>
          <w:p w14:paraId="705D9D46" w14:textId="77777777" w:rsidR="008576C8" w:rsidRPr="00052E20" w:rsidRDefault="008576C8" w:rsidP="008576C8">
            <w:pPr>
              <w:spacing w:line="240" w:lineRule="auto"/>
              <w:ind w:firstLineChars="0" w:firstLine="0"/>
              <w:jc w:val="center"/>
              <w:rPr>
                <w:rFonts w:cs="Times New Roman"/>
                <w:sz w:val="18"/>
                <w:szCs w:val="18"/>
              </w:rPr>
            </w:pPr>
          </w:p>
        </w:tc>
        <w:tc>
          <w:tcPr>
            <w:tcW w:w="679" w:type="dxa"/>
            <w:tcBorders>
              <w:top w:val="single" w:sz="6" w:space="0" w:color="auto"/>
              <w:left w:val="single" w:sz="6" w:space="0" w:color="auto"/>
              <w:bottom w:val="single" w:sz="6" w:space="0" w:color="auto"/>
              <w:right w:val="single" w:sz="6" w:space="0" w:color="auto"/>
            </w:tcBorders>
            <w:vAlign w:val="center"/>
            <w:hideMark/>
          </w:tcPr>
          <w:p w14:paraId="52677B8B" w14:textId="77777777" w:rsidR="008576C8" w:rsidRPr="00052E20" w:rsidRDefault="008576C8" w:rsidP="008576C8">
            <w:pPr>
              <w:spacing w:line="240" w:lineRule="auto"/>
              <w:ind w:firstLineChars="0" w:firstLine="0"/>
              <w:jc w:val="center"/>
              <w:rPr>
                <w:rFonts w:cs="Times New Roman"/>
                <w:sz w:val="18"/>
                <w:szCs w:val="18"/>
              </w:rPr>
            </w:pPr>
            <w:r w:rsidRPr="00052E20">
              <w:rPr>
                <w:rFonts w:cs="Times New Roman"/>
                <w:sz w:val="18"/>
                <w:szCs w:val="18"/>
              </w:rPr>
              <w:t>Related</w:t>
            </w:r>
            <w:r w:rsidRPr="00052E20">
              <w:rPr>
                <w:rFonts w:cs="Times New Roman"/>
                <w:sz w:val="18"/>
                <w:szCs w:val="18"/>
              </w:rPr>
              <w:br/>
              <w:t>(%)</w:t>
            </w:r>
          </w:p>
        </w:tc>
        <w:tc>
          <w:tcPr>
            <w:tcW w:w="841" w:type="dxa"/>
            <w:tcBorders>
              <w:top w:val="single" w:sz="6" w:space="0" w:color="auto"/>
              <w:left w:val="single" w:sz="6" w:space="0" w:color="auto"/>
              <w:bottom w:val="single" w:sz="6" w:space="0" w:color="auto"/>
              <w:right w:val="single" w:sz="6" w:space="0" w:color="auto"/>
            </w:tcBorders>
            <w:vAlign w:val="center"/>
            <w:hideMark/>
          </w:tcPr>
          <w:p w14:paraId="66FB59BD" w14:textId="77777777" w:rsidR="008576C8" w:rsidRPr="00052E20" w:rsidRDefault="008576C8" w:rsidP="008576C8">
            <w:pPr>
              <w:spacing w:line="240" w:lineRule="auto"/>
              <w:ind w:firstLineChars="0" w:firstLine="0"/>
              <w:jc w:val="center"/>
              <w:rPr>
                <w:rFonts w:cs="Times New Roman"/>
                <w:sz w:val="18"/>
                <w:szCs w:val="18"/>
              </w:rPr>
            </w:pPr>
            <w:r w:rsidRPr="00052E20">
              <w:rPr>
                <w:rFonts w:cs="Times New Roman"/>
                <w:sz w:val="18"/>
                <w:szCs w:val="18"/>
              </w:rPr>
              <w:t>Unrelated</w:t>
            </w:r>
            <w:r w:rsidRPr="00052E20">
              <w:rPr>
                <w:rFonts w:cs="Times New Roman"/>
                <w:sz w:val="18"/>
                <w:szCs w:val="18"/>
              </w:rPr>
              <w:br/>
              <w:t>(%)</w:t>
            </w:r>
          </w:p>
        </w:tc>
        <w:tc>
          <w:tcPr>
            <w:tcW w:w="750" w:type="dxa"/>
            <w:vMerge/>
            <w:tcBorders>
              <w:top w:val="single" w:sz="6" w:space="0" w:color="auto"/>
              <w:left w:val="single" w:sz="6" w:space="0" w:color="auto"/>
              <w:bottom w:val="single" w:sz="6" w:space="0" w:color="auto"/>
              <w:right w:val="single" w:sz="6" w:space="0" w:color="auto"/>
            </w:tcBorders>
            <w:vAlign w:val="center"/>
            <w:hideMark/>
          </w:tcPr>
          <w:p w14:paraId="53AE841F" w14:textId="77777777" w:rsidR="008576C8" w:rsidRPr="00052E20" w:rsidRDefault="008576C8" w:rsidP="008576C8">
            <w:pPr>
              <w:spacing w:line="240" w:lineRule="auto"/>
              <w:ind w:firstLineChars="0" w:firstLine="0"/>
              <w:jc w:val="center"/>
              <w:rPr>
                <w:rFonts w:cs="Times New Roman"/>
                <w:sz w:val="18"/>
                <w:szCs w:val="18"/>
              </w:rPr>
            </w:pPr>
          </w:p>
        </w:tc>
        <w:tc>
          <w:tcPr>
            <w:tcW w:w="740" w:type="dxa"/>
            <w:vMerge/>
            <w:tcBorders>
              <w:top w:val="single" w:sz="6" w:space="0" w:color="auto"/>
              <w:left w:val="single" w:sz="6" w:space="0" w:color="auto"/>
              <w:bottom w:val="single" w:sz="6" w:space="0" w:color="auto"/>
              <w:right w:val="single" w:sz="6" w:space="0" w:color="auto"/>
            </w:tcBorders>
            <w:vAlign w:val="center"/>
            <w:hideMark/>
          </w:tcPr>
          <w:p w14:paraId="690F78A5" w14:textId="77777777" w:rsidR="008576C8" w:rsidRPr="00052E20" w:rsidRDefault="008576C8" w:rsidP="008576C8">
            <w:pPr>
              <w:spacing w:line="240" w:lineRule="auto"/>
              <w:ind w:firstLineChars="0" w:firstLine="0"/>
              <w:jc w:val="center"/>
              <w:rPr>
                <w:rFonts w:cs="Times New Roman"/>
                <w:sz w:val="18"/>
                <w:szCs w:val="18"/>
              </w:rPr>
            </w:pPr>
          </w:p>
        </w:tc>
        <w:tc>
          <w:tcPr>
            <w:tcW w:w="556" w:type="dxa"/>
            <w:tcBorders>
              <w:top w:val="single" w:sz="6" w:space="0" w:color="auto"/>
              <w:left w:val="single" w:sz="6" w:space="0" w:color="auto"/>
              <w:bottom w:val="single" w:sz="6" w:space="0" w:color="auto"/>
              <w:right w:val="single" w:sz="6" w:space="0" w:color="auto"/>
            </w:tcBorders>
            <w:vAlign w:val="center"/>
            <w:hideMark/>
          </w:tcPr>
          <w:p w14:paraId="1194348D" w14:textId="77777777" w:rsidR="008576C8" w:rsidRPr="00052E20" w:rsidRDefault="008576C8" w:rsidP="008576C8">
            <w:pPr>
              <w:spacing w:line="240" w:lineRule="auto"/>
              <w:ind w:firstLineChars="0" w:firstLine="0"/>
              <w:jc w:val="center"/>
              <w:rPr>
                <w:rFonts w:cs="Times New Roman"/>
                <w:sz w:val="18"/>
                <w:szCs w:val="18"/>
              </w:rPr>
            </w:pPr>
            <w:r w:rsidRPr="00052E20">
              <w:rPr>
                <w:rFonts w:cs="Times New Roman"/>
                <w:sz w:val="18"/>
                <w:szCs w:val="18"/>
              </w:rPr>
              <w:t>Cash only</w:t>
            </w:r>
            <w:r w:rsidRPr="00052E20">
              <w:rPr>
                <w:rFonts w:cs="Times New Roman"/>
                <w:sz w:val="18"/>
                <w:szCs w:val="18"/>
              </w:rPr>
              <w:br/>
              <w:t>(%)</w:t>
            </w:r>
          </w:p>
        </w:tc>
        <w:tc>
          <w:tcPr>
            <w:tcW w:w="560" w:type="dxa"/>
            <w:tcBorders>
              <w:top w:val="single" w:sz="6" w:space="0" w:color="auto"/>
              <w:left w:val="single" w:sz="6" w:space="0" w:color="auto"/>
              <w:bottom w:val="single" w:sz="6" w:space="0" w:color="auto"/>
              <w:right w:val="single" w:sz="6" w:space="0" w:color="auto"/>
            </w:tcBorders>
            <w:vAlign w:val="center"/>
            <w:hideMark/>
          </w:tcPr>
          <w:p w14:paraId="7DB0BA32" w14:textId="77777777" w:rsidR="008576C8" w:rsidRPr="00052E20" w:rsidRDefault="008576C8" w:rsidP="008576C8">
            <w:pPr>
              <w:spacing w:line="240" w:lineRule="auto"/>
              <w:ind w:firstLineChars="0" w:firstLine="0"/>
              <w:jc w:val="center"/>
              <w:rPr>
                <w:rFonts w:cs="Times New Roman"/>
                <w:sz w:val="18"/>
                <w:szCs w:val="18"/>
              </w:rPr>
            </w:pPr>
            <w:r w:rsidRPr="00052E20">
              <w:rPr>
                <w:rFonts w:cs="Times New Roman"/>
                <w:sz w:val="18"/>
                <w:szCs w:val="18"/>
              </w:rPr>
              <w:t xml:space="preserve">Stock </w:t>
            </w:r>
            <w:r w:rsidRPr="00052E20">
              <w:rPr>
                <w:rFonts w:cs="Times New Roman"/>
                <w:sz w:val="18"/>
                <w:szCs w:val="18"/>
              </w:rPr>
              <w:br/>
              <w:t>only (%)</w:t>
            </w:r>
          </w:p>
        </w:tc>
        <w:tc>
          <w:tcPr>
            <w:tcW w:w="560" w:type="dxa"/>
            <w:tcBorders>
              <w:top w:val="single" w:sz="6" w:space="0" w:color="auto"/>
              <w:left w:val="single" w:sz="6" w:space="0" w:color="auto"/>
              <w:bottom w:val="single" w:sz="6" w:space="0" w:color="auto"/>
              <w:right w:val="single" w:sz="6" w:space="0" w:color="auto"/>
            </w:tcBorders>
            <w:vAlign w:val="center"/>
            <w:hideMark/>
          </w:tcPr>
          <w:p w14:paraId="7FE3FA1C" w14:textId="77777777" w:rsidR="008576C8" w:rsidRPr="00052E20" w:rsidRDefault="008576C8" w:rsidP="008576C8">
            <w:pPr>
              <w:spacing w:line="240" w:lineRule="auto"/>
              <w:ind w:firstLineChars="0" w:firstLine="0"/>
              <w:jc w:val="center"/>
              <w:rPr>
                <w:rFonts w:cs="Times New Roman"/>
                <w:sz w:val="18"/>
                <w:szCs w:val="18"/>
              </w:rPr>
            </w:pPr>
            <w:r w:rsidRPr="00052E20">
              <w:rPr>
                <w:rFonts w:cs="Times New Roman"/>
                <w:sz w:val="18"/>
                <w:szCs w:val="18"/>
              </w:rPr>
              <w:t xml:space="preserve">Cash </w:t>
            </w:r>
            <w:r w:rsidRPr="00052E20">
              <w:rPr>
                <w:rFonts w:cs="Times New Roman"/>
                <w:sz w:val="18"/>
                <w:szCs w:val="18"/>
              </w:rPr>
              <w:br/>
              <w:t>and Stock (%)</w:t>
            </w:r>
          </w:p>
        </w:tc>
        <w:tc>
          <w:tcPr>
            <w:tcW w:w="620" w:type="dxa"/>
            <w:tcBorders>
              <w:top w:val="single" w:sz="6" w:space="0" w:color="auto"/>
              <w:left w:val="single" w:sz="6" w:space="0" w:color="auto"/>
              <w:bottom w:val="single" w:sz="6" w:space="0" w:color="auto"/>
              <w:right w:val="single" w:sz="6" w:space="0" w:color="auto"/>
            </w:tcBorders>
            <w:vAlign w:val="center"/>
            <w:hideMark/>
          </w:tcPr>
          <w:p w14:paraId="67FEFE61" w14:textId="77777777" w:rsidR="008576C8" w:rsidRPr="00052E20" w:rsidRDefault="008576C8" w:rsidP="008576C8">
            <w:pPr>
              <w:spacing w:line="240" w:lineRule="auto"/>
              <w:ind w:firstLineChars="0" w:firstLine="0"/>
              <w:jc w:val="center"/>
              <w:rPr>
                <w:rFonts w:cs="Times New Roman"/>
                <w:sz w:val="18"/>
                <w:szCs w:val="18"/>
              </w:rPr>
            </w:pPr>
            <w:r w:rsidRPr="00052E20">
              <w:rPr>
                <w:rFonts w:cs="Times New Roman"/>
                <w:sz w:val="18"/>
                <w:szCs w:val="18"/>
              </w:rPr>
              <w:t>Others</w:t>
            </w:r>
            <w:r w:rsidRPr="00052E20">
              <w:rPr>
                <w:rFonts w:cs="Times New Roman"/>
                <w:sz w:val="18"/>
                <w:szCs w:val="18"/>
              </w:rPr>
              <w:br/>
              <w:t>(%)</w:t>
            </w:r>
          </w:p>
        </w:tc>
        <w:tc>
          <w:tcPr>
            <w:tcW w:w="923" w:type="dxa"/>
            <w:vMerge/>
            <w:tcBorders>
              <w:top w:val="single" w:sz="6" w:space="0" w:color="auto"/>
              <w:left w:val="single" w:sz="6" w:space="0" w:color="auto"/>
              <w:bottom w:val="single" w:sz="6" w:space="0" w:color="auto"/>
              <w:right w:val="single" w:sz="6" w:space="0" w:color="auto"/>
            </w:tcBorders>
            <w:vAlign w:val="center"/>
            <w:hideMark/>
          </w:tcPr>
          <w:p w14:paraId="3C71B2F8" w14:textId="77777777" w:rsidR="008576C8" w:rsidRPr="00052E20" w:rsidRDefault="008576C8" w:rsidP="008576C8">
            <w:pPr>
              <w:spacing w:line="240" w:lineRule="auto"/>
              <w:ind w:firstLineChars="0" w:firstLine="0"/>
              <w:jc w:val="center"/>
              <w:rPr>
                <w:rFonts w:cs="Times New Roman"/>
                <w:sz w:val="18"/>
                <w:szCs w:val="18"/>
              </w:rPr>
            </w:pPr>
          </w:p>
        </w:tc>
        <w:tc>
          <w:tcPr>
            <w:tcW w:w="875" w:type="dxa"/>
            <w:vMerge/>
            <w:tcBorders>
              <w:top w:val="single" w:sz="6" w:space="0" w:color="auto"/>
              <w:left w:val="single" w:sz="6" w:space="0" w:color="auto"/>
              <w:bottom w:val="single" w:sz="6" w:space="0" w:color="auto"/>
              <w:right w:val="nil"/>
            </w:tcBorders>
            <w:vAlign w:val="center"/>
            <w:hideMark/>
          </w:tcPr>
          <w:p w14:paraId="70EBA4DD" w14:textId="77777777" w:rsidR="008576C8" w:rsidRPr="00052E20" w:rsidRDefault="008576C8" w:rsidP="008576C8">
            <w:pPr>
              <w:spacing w:line="240" w:lineRule="auto"/>
              <w:ind w:firstLineChars="0" w:firstLine="0"/>
              <w:jc w:val="center"/>
              <w:rPr>
                <w:rFonts w:cs="Times New Roman"/>
                <w:sz w:val="18"/>
                <w:szCs w:val="18"/>
              </w:rPr>
            </w:pPr>
          </w:p>
        </w:tc>
      </w:tr>
      <w:tr w:rsidR="008576C8" w:rsidRPr="007C7AED" w14:paraId="2B98509B" w14:textId="77777777" w:rsidTr="008576C8">
        <w:trPr>
          <w:trHeight w:val="288"/>
          <w:jc w:val="center"/>
        </w:trPr>
        <w:tc>
          <w:tcPr>
            <w:tcW w:w="8856" w:type="dxa"/>
            <w:gridSpan w:val="13"/>
            <w:tcBorders>
              <w:top w:val="single" w:sz="6" w:space="0" w:color="auto"/>
              <w:left w:val="nil"/>
              <w:bottom w:val="dotted" w:sz="4" w:space="0" w:color="auto"/>
              <w:right w:val="nil"/>
            </w:tcBorders>
            <w:noWrap/>
            <w:vAlign w:val="center"/>
            <w:hideMark/>
          </w:tcPr>
          <w:p w14:paraId="4F5283D5" w14:textId="77777777" w:rsidR="008576C8" w:rsidRPr="00956F1F" w:rsidRDefault="008576C8" w:rsidP="008576C8">
            <w:pPr>
              <w:spacing w:line="240" w:lineRule="auto"/>
              <w:ind w:firstLineChars="0" w:firstLine="0"/>
              <w:jc w:val="left"/>
              <w:rPr>
                <w:rFonts w:cs="Times New Roman"/>
                <w:b/>
                <w:sz w:val="18"/>
                <w:szCs w:val="18"/>
              </w:rPr>
            </w:pPr>
            <w:r w:rsidRPr="00956F1F">
              <w:rPr>
                <w:rFonts w:cs="Times New Roman"/>
                <w:b/>
                <w:sz w:val="18"/>
                <w:szCs w:val="18"/>
              </w:rPr>
              <w:t>Hong Kong</w:t>
            </w:r>
          </w:p>
        </w:tc>
      </w:tr>
      <w:tr w:rsidR="008576C8" w:rsidRPr="00052E20" w14:paraId="79FEBDBC" w14:textId="77777777" w:rsidTr="008576C8">
        <w:trPr>
          <w:gridAfter w:val="1"/>
          <w:wAfter w:w="8" w:type="dxa"/>
          <w:trHeight w:val="288"/>
          <w:jc w:val="center"/>
        </w:trPr>
        <w:tc>
          <w:tcPr>
            <w:tcW w:w="833" w:type="dxa"/>
            <w:tcBorders>
              <w:top w:val="single" w:sz="4" w:space="0" w:color="auto"/>
              <w:left w:val="nil"/>
              <w:bottom w:val="nil"/>
              <w:right w:val="nil"/>
            </w:tcBorders>
            <w:noWrap/>
            <w:vAlign w:val="center"/>
          </w:tcPr>
          <w:p w14:paraId="0D591611"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2012</w:t>
            </w:r>
          </w:p>
        </w:tc>
        <w:tc>
          <w:tcPr>
            <w:tcW w:w="911" w:type="dxa"/>
            <w:tcBorders>
              <w:top w:val="single" w:sz="4" w:space="0" w:color="auto"/>
              <w:left w:val="nil"/>
              <w:bottom w:val="nil"/>
              <w:right w:val="nil"/>
            </w:tcBorders>
            <w:noWrap/>
            <w:vAlign w:val="center"/>
          </w:tcPr>
          <w:p w14:paraId="2DB02FCB"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65</w:t>
            </w:r>
          </w:p>
        </w:tc>
        <w:tc>
          <w:tcPr>
            <w:tcW w:w="679" w:type="dxa"/>
            <w:tcBorders>
              <w:top w:val="single" w:sz="4" w:space="0" w:color="auto"/>
              <w:left w:val="nil"/>
              <w:bottom w:val="nil"/>
              <w:right w:val="nil"/>
            </w:tcBorders>
            <w:noWrap/>
            <w:vAlign w:val="center"/>
          </w:tcPr>
          <w:p w14:paraId="5B263944"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30.77</w:t>
            </w:r>
          </w:p>
        </w:tc>
        <w:tc>
          <w:tcPr>
            <w:tcW w:w="841" w:type="dxa"/>
            <w:tcBorders>
              <w:top w:val="single" w:sz="4" w:space="0" w:color="auto"/>
              <w:left w:val="nil"/>
              <w:bottom w:val="nil"/>
              <w:right w:val="nil"/>
            </w:tcBorders>
            <w:noWrap/>
            <w:vAlign w:val="center"/>
          </w:tcPr>
          <w:p w14:paraId="646FBA38"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69.23</w:t>
            </w:r>
          </w:p>
        </w:tc>
        <w:tc>
          <w:tcPr>
            <w:tcW w:w="750" w:type="dxa"/>
            <w:tcBorders>
              <w:top w:val="single" w:sz="4" w:space="0" w:color="auto"/>
              <w:left w:val="nil"/>
              <w:bottom w:val="nil"/>
              <w:right w:val="nil"/>
            </w:tcBorders>
            <w:noWrap/>
            <w:vAlign w:val="center"/>
          </w:tcPr>
          <w:p w14:paraId="2D47F25A"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86.79</w:t>
            </w:r>
          </w:p>
        </w:tc>
        <w:tc>
          <w:tcPr>
            <w:tcW w:w="740" w:type="dxa"/>
            <w:tcBorders>
              <w:top w:val="single" w:sz="4" w:space="0" w:color="auto"/>
              <w:left w:val="nil"/>
              <w:bottom w:val="nil"/>
              <w:right w:val="nil"/>
            </w:tcBorders>
            <w:noWrap/>
            <w:vAlign w:val="center"/>
          </w:tcPr>
          <w:p w14:paraId="3C2931C6" w14:textId="77777777" w:rsidR="008576C8" w:rsidRPr="00685A4B" w:rsidRDefault="008576C8" w:rsidP="008576C8">
            <w:pPr>
              <w:spacing w:line="240" w:lineRule="auto"/>
              <w:ind w:firstLineChars="0" w:firstLine="0"/>
              <w:jc w:val="center"/>
              <w:rPr>
                <w:rFonts w:cs="Times New Roman"/>
                <w:sz w:val="18"/>
                <w:szCs w:val="18"/>
                <w:lang w:val="en-GB"/>
              </w:rPr>
            </w:pPr>
            <w:r>
              <w:rPr>
                <w:rFonts w:cs="Times New Roman" w:hint="eastAsia"/>
                <w:sz w:val="18"/>
                <w:szCs w:val="18"/>
                <w:lang w:val="en-GB"/>
              </w:rPr>
              <w:t>210.65</w:t>
            </w:r>
          </w:p>
        </w:tc>
        <w:tc>
          <w:tcPr>
            <w:tcW w:w="556" w:type="dxa"/>
            <w:tcBorders>
              <w:top w:val="single" w:sz="4" w:space="0" w:color="auto"/>
              <w:left w:val="nil"/>
              <w:bottom w:val="nil"/>
              <w:right w:val="nil"/>
            </w:tcBorders>
            <w:noWrap/>
            <w:vAlign w:val="center"/>
          </w:tcPr>
          <w:p w14:paraId="136752EC" w14:textId="77777777" w:rsidR="008576C8" w:rsidRPr="00EB1A10" w:rsidRDefault="008576C8" w:rsidP="008576C8">
            <w:pPr>
              <w:spacing w:line="240" w:lineRule="auto"/>
              <w:ind w:firstLineChars="0" w:firstLine="0"/>
              <w:jc w:val="center"/>
              <w:rPr>
                <w:rFonts w:cs="Times New Roman"/>
                <w:sz w:val="18"/>
                <w:szCs w:val="18"/>
                <w:lang w:val="en-GB"/>
              </w:rPr>
            </w:pPr>
            <w:r>
              <w:rPr>
                <w:rFonts w:cs="Times New Roman" w:hint="eastAsia"/>
                <w:sz w:val="18"/>
                <w:szCs w:val="18"/>
                <w:lang w:val="en-GB"/>
              </w:rPr>
              <w:t>85.80</w:t>
            </w:r>
          </w:p>
        </w:tc>
        <w:tc>
          <w:tcPr>
            <w:tcW w:w="560" w:type="dxa"/>
            <w:tcBorders>
              <w:top w:val="single" w:sz="4" w:space="0" w:color="auto"/>
              <w:left w:val="nil"/>
              <w:bottom w:val="nil"/>
              <w:right w:val="nil"/>
            </w:tcBorders>
            <w:noWrap/>
            <w:vAlign w:val="center"/>
          </w:tcPr>
          <w:p w14:paraId="7DE4E0FA" w14:textId="77777777" w:rsidR="008576C8" w:rsidRPr="00662751"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2.50</w:t>
            </w:r>
          </w:p>
        </w:tc>
        <w:tc>
          <w:tcPr>
            <w:tcW w:w="560" w:type="dxa"/>
            <w:tcBorders>
              <w:top w:val="single" w:sz="4" w:space="0" w:color="auto"/>
              <w:left w:val="nil"/>
              <w:bottom w:val="nil"/>
              <w:right w:val="nil"/>
            </w:tcBorders>
            <w:noWrap/>
            <w:vAlign w:val="center"/>
          </w:tcPr>
          <w:p w14:paraId="5097CE55" w14:textId="77777777" w:rsidR="008576C8" w:rsidRPr="00662751"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4.50</w:t>
            </w:r>
          </w:p>
        </w:tc>
        <w:tc>
          <w:tcPr>
            <w:tcW w:w="620" w:type="dxa"/>
            <w:tcBorders>
              <w:top w:val="single" w:sz="4" w:space="0" w:color="auto"/>
              <w:left w:val="nil"/>
              <w:bottom w:val="nil"/>
              <w:right w:val="nil"/>
            </w:tcBorders>
            <w:noWrap/>
            <w:vAlign w:val="center"/>
          </w:tcPr>
          <w:p w14:paraId="6AD361ED"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7.19</w:t>
            </w:r>
          </w:p>
        </w:tc>
        <w:tc>
          <w:tcPr>
            <w:tcW w:w="923" w:type="dxa"/>
            <w:tcBorders>
              <w:top w:val="single" w:sz="4" w:space="0" w:color="auto"/>
              <w:left w:val="nil"/>
              <w:bottom w:val="nil"/>
              <w:right w:val="nil"/>
            </w:tcBorders>
            <w:noWrap/>
            <w:vAlign w:val="center"/>
          </w:tcPr>
          <w:p w14:paraId="4A60B323" w14:textId="77777777" w:rsidR="008576C8" w:rsidRPr="00781BCC" w:rsidRDefault="008576C8" w:rsidP="008576C8">
            <w:pPr>
              <w:spacing w:line="240" w:lineRule="auto"/>
              <w:ind w:firstLineChars="0" w:firstLine="0"/>
              <w:jc w:val="center"/>
              <w:rPr>
                <w:rFonts w:cs="Times New Roman"/>
                <w:sz w:val="18"/>
                <w:szCs w:val="18"/>
                <w:lang w:val="en-GB"/>
              </w:rPr>
            </w:pPr>
            <w:r>
              <w:rPr>
                <w:rFonts w:cs="Times New Roman" w:hint="eastAsia"/>
                <w:sz w:val="18"/>
                <w:szCs w:val="18"/>
                <w:lang w:val="en-GB"/>
              </w:rPr>
              <w:t>2204.41</w:t>
            </w:r>
          </w:p>
        </w:tc>
        <w:tc>
          <w:tcPr>
            <w:tcW w:w="875" w:type="dxa"/>
            <w:tcBorders>
              <w:top w:val="single" w:sz="4" w:space="0" w:color="auto"/>
              <w:left w:val="nil"/>
              <w:bottom w:val="nil"/>
              <w:right w:val="nil"/>
            </w:tcBorders>
            <w:noWrap/>
            <w:vAlign w:val="center"/>
          </w:tcPr>
          <w:p w14:paraId="7AC5313C" w14:textId="77777777" w:rsidR="008576C8" w:rsidRPr="00052E20" w:rsidRDefault="008576C8" w:rsidP="008576C8">
            <w:pPr>
              <w:spacing w:line="240" w:lineRule="auto"/>
              <w:ind w:firstLineChars="0" w:firstLine="0"/>
              <w:jc w:val="center"/>
              <w:rPr>
                <w:rFonts w:cs="Times New Roman"/>
                <w:sz w:val="18"/>
                <w:szCs w:val="18"/>
              </w:rPr>
            </w:pPr>
            <w:r w:rsidRPr="00915FEA">
              <w:rPr>
                <w:rFonts w:cs="Times New Roman"/>
                <w:sz w:val="18"/>
                <w:szCs w:val="18"/>
              </w:rPr>
              <w:t>0.47</w:t>
            </w:r>
          </w:p>
        </w:tc>
      </w:tr>
      <w:tr w:rsidR="008576C8" w:rsidRPr="00052E20" w14:paraId="3BD25805" w14:textId="77777777" w:rsidTr="008576C8">
        <w:trPr>
          <w:gridAfter w:val="1"/>
          <w:wAfter w:w="8" w:type="dxa"/>
          <w:trHeight w:val="288"/>
          <w:jc w:val="center"/>
        </w:trPr>
        <w:tc>
          <w:tcPr>
            <w:tcW w:w="833" w:type="dxa"/>
            <w:tcBorders>
              <w:top w:val="nil"/>
              <w:left w:val="nil"/>
              <w:bottom w:val="nil"/>
              <w:right w:val="nil"/>
            </w:tcBorders>
            <w:noWrap/>
            <w:vAlign w:val="center"/>
          </w:tcPr>
          <w:p w14:paraId="3CC1C7B7"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2013</w:t>
            </w:r>
          </w:p>
        </w:tc>
        <w:tc>
          <w:tcPr>
            <w:tcW w:w="911" w:type="dxa"/>
            <w:tcBorders>
              <w:top w:val="nil"/>
              <w:left w:val="nil"/>
              <w:bottom w:val="nil"/>
              <w:right w:val="nil"/>
            </w:tcBorders>
            <w:noWrap/>
            <w:vAlign w:val="center"/>
          </w:tcPr>
          <w:p w14:paraId="7117790A"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70</w:t>
            </w:r>
          </w:p>
        </w:tc>
        <w:tc>
          <w:tcPr>
            <w:tcW w:w="679" w:type="dxa"/>
            <w:tcBorders>
              <w:top w:val="nil"/>
              <w:left w:val="nil"/>
              <w:bottom w:val="nil"/>
              <w:right w:val="nil"/>
            </w:tcBorders>
            <w:noWrap/>
            <w:vAlign w:val="center"/>
          </w:tcPr>
          <w:p w14:paraId="2C8B725D"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38.57</w:t>
            </w:r>
          </w:p>
        </w:tc>
        <w:tc>
          <w:tcPr>
            <w:tcW w:w="841" w:type="dxa"/>
            <w:tcBorders>
              <w:top w:val="nil"/>
              <w:left w:val="nil"/>
              <w:bottom w:val="nil"/>
              <w:right w:val="nil"/>
            </w:tcBorders>
            <w:noWrap/>
            <w:vAlign w:val="center"/>
          </w:tcPr>
          <w:p w14:paraId="7CAF2BD4"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61.43</w:t>
            </w:r>
          </w:p>
        </w:tc>
        <w:tc>
          <w:tcPr>
            <w:tcW w:w="750" w:type="dxa"/>
            <w:tcBorders>
              <w:top w:val="nil"/>
              <w:left w:val="nil"/>
              <w:bottom w:val="nil"/>
              <w:right w:val="nil"/>
            </w:tcBorders>
            <w:noWrap/>
            <w:vAlign w:val="center"/>
          </w:tcPr>
          <w:p w14:paraId="6731603F"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87.89</w:t>
            </w:r>
          </w:p>
        </w:tc>
        <w:tc>
          <w:tcPr>
            <w:tcW w:w="740" w:type="dxa"/>
            <w:tcBorders>
              <w:top w:val="nil"/>
              <w:left w:val="nil"/>
              <w:bottom w:val="nil"/>
              <w:right w:val="nil"/>
            </w:tcBorders>
            <w:noWrap/>
            <w:vAlign w:val="center"/>
          </w:tcPr>
          <w:p w14:paraId="6C463104" w14:textId="77777777" w:rsidR="008576C8" w:rsidRPr="00A25AB9"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746.23</w:t>
            </w:r>
          </w:p>
        </w:tc>
        <w:tc>
          <w:tcPr>
            <w:tcW w:w="556" w:type="dxa"/>
            <w:tcBorders>
              <w:top w:val="nil"/>
              <w:left w:val="nil"/>
              <w:bottom w:val="nil"/>
              <w:right w:val="nil"/>
            </w:tcBorders>
            <w:noWrap/>
            <w:vAlign w:val="center"/>
          </w:tcPr>
          <w:p w14:paraId="5BD36861" w14:textId="77777777" w:rsidR="008576C8" w:rsidRPr="000A5FFC"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80.46</w:t>
            </w:r>
          </w:p>
        </w:tc>
        <w:tc>
          <w:tcPr>
            <w:tcW w:w="560" w:type="dxa"/>
            <w:tcBorders>
              <w:top w:val="nil"/>
              <w:left w:val="nil"/>
              <w:bottom w:val="nil"/>
              <w:right w:val="nil"/>
            </w:tcBorders>
            <w:noWrap/>
            <w:vAlign w:val="center"/>
          </w:tcPr>
          <w:p w14:paraId="585829E1"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6.70</w:t>
            </w:r>
          </w:p>
        </w:tc>
        <w:tc>
          <w:tcPr>
            <w:tcW w:w="560" w:type="dxa"/>
            <w:tcBorders>
              <w:top w:val="nil"/>
              <w:left w:val="nil"/>
              <w:bottom w:val="nil"/>
              <w:right w:val="nil"/>
            </w:tcBorders>
            <w:noWrap/>
            <w:vAlign w:val="center"/>
          </w:tcPr>
          <w:p w14:paraId="494B7202" w14:textId="77777777" w:rsidR="008576C8" w:rsidRPr="000A5FFC" w:rsidRDefault="008576C8" w:rsidP="008576C8">
            <w:pPr>
              <w:spacing w:line="240" w:lineRule="auto"/>
              <w:ind w:firstLineChars="0" w:firstLine="0"/>
              <w:jc w:val="center"/>
              <w:rPr>
                <w:rFonts w:cs="Times New Roman"/>
                <w:sz w:val="18"/>
                <w:szCs w:val="18"/>
                <w:lang w:val="en-GB"/>
              </w:rPr>
            </w:pPr>
            <w:r>
              <w:rPr>
                <w:rFonts w:cs="Times New Roman" w:hint="eastAsia"/>
                <w:sz w:val="18"/>
                <w:szCs w:val="18"/>
                <w:lang w:val="en-GB"/>
              </w:rPr>
              <w:t>3.31</w:t>
            </w:r>
          </w:p>
        </w:tc>
        <w:tc>
          <w:tcPr>
            <w:tcW w:w="620" w:type="dxa"/>
            <w:tcBorders>
              <w:top w:val="nil"/>
              <w:left w:val="nil"/>
              <w:bottom w:val="nil"/>
              <w:right w:val="nil"/>
            </w:tcBorders>
            <w:noWrap/>
            <w:vAlign w:val="center"/>
          </w:tcPr>
          <w:p w14:paraId="6E618553"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9.53</w:t>
            </w:r>
          </w:p>
        </w:tc>
        <w:tc>
          <w:tcPr>
            <w:tcW w:w="923" w:type="dxa"/>
            <w:tcBorders>
              <w:top w:val="nil"/>
              <w:left w:val="nil"/>
              <w:bottom w:val="nil"/>
              <w:right w:val="nil"/>
            </w:tcBorders>
            <w:noWrap/>
            <w:vAlign w:val="center"/>
          </w:tcPr>
          <w:p w14:paraId="2E44AFBF"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3078.18</w:t>
            </w:r>
          </w:p>
        </w:tc>
        <w:tc>
          <w:tcPr>
            <w:tcW w:w="875" w:type="dxa"/>
            <w:tcBorders>
              <w:top w:val="nil"/>
              <w:left w:val="nil"/>
              <w:bottom w:val="nil"/>
              <w:right w:val="nil"/>
            </w:tcBorders>
            <w:noWrap/>
            <w:vAlign w:val="center"/>
          </w:tcPr>
          <w:p w14:paraId="1C171020" w14:textId="77777777" w:rsidR="008576C8" w:rsidRPr="00052E20" w:rsidRDefault="008576C8" w:rsidP="008576C8">
            <w:pPr>
              <w:spacing w:line="240" w:lineRule="auto"/>
              <w:ind w:firstLineChars="0" w:firstLine="0"/>
              <w:jc w:val="center"/>
              <w:rPr>
                <w:rFonts w:cs="Times New Roman"/>
                <w:sz w:val="18"/>
                <w:szCs w:val="18"/>
              </w:rPr>
            </w:pPr>
            <w:r>
              <w:rPr>
                <w:rFonts w:cs="Times New Roman"/>
                <w:sz w:val="18"/>
                <w:szCs w:val="18"/>
              </w:rPr>
              <w:t>15.22</w:t>
            </w:r>
          </w:p>
        </w:tc>
      </w:tr>
      <w:tr w:rsidR="008576C8" w:rsidRPr="00052E20" w14:paraId="45B29C0B" w14:textId="77777777" w:rsidTr="008576C8">
        <w:trPr>
          <w:gridAfter w:val="1"/>
          <w:wAfter w:w="8" w:type="dxa"/>
          <w:trHeight w:val="288"/>
          <w:jc w:val="center"/>
        </w:trPr>
        <w:tc>
          <w:tcPr>
            <w:tcW w:w="833" w:type="dxa"/>
            <w:tcBorders>
              <w:top w:val="nil"/>
              <w:left w:val="nil"/>
              <w:bottom w:val="nil"/>
              <w:right w:val="nil"/>
            </w:tcBorders>
            <w:noWrap/>
            <w:vAlign w:val="center"/>
          </w:tcPr>
          <w:p w14:paraId="0F877ABB"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2014</w:t>
            </w:r>
          </w:p>
        </w:tc>
        <w:tc>
          <w:tcPr>
            <w:tcW w:w="911" w:type="dxa"/>
            <w:tcBorders>
              <w:top w:val="nil"/>
              <w:left w:val="nil"/>
              <w:bottom w:val="nil"/>
              <w:right w:val="nil"/>
            </w:tcBorders>
            <w:noWrap/>
            <w:vAlign w:val="center"/>
          </w:tcPr>
          <w:p w14:paraId="5B7C1347"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65</w:t>
            </w:r>
          </w:p>
        </w:tc>
        <w:tc>
          <w:tcPr>
            <w:tcW w:w="679" w:type="dxa"/>
            <w:tcBorders>
              <w:top w:val="nil"/>
              <w:left w:val="nil"/>
              <w:bottom w:val="nil"/>
              <w:right w:val="nil"/>
            </w:tcBorders>
            <w:noWrap/>
            <w:vAlign w:val="center"/>
          </w:tcPr>
          <w:p w14:paraId="41FC5F3D"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32.31</w:t>
            </w:r>
          </w:p>
        </w:tc>
        <w:tc>
          <w:tcPr>
            <w:tcW w:w="841" w:type="dxa"/>
            <w:tcBorders>
              <w:top w:val="nil"/>
              <w:left w:val="nil"/>
              <w:bottom w:val="nil"/>
              <w:right w:val="nil"/>
            </w:tcBorders>
            <w:noWrap/>
            <w:vAlign w:val="center"/>
          </w:tcPr>
          <w:p w14:paraId="09DE75D7"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67.69</w:t>
            </w:r>
          </w:p>
        </w:tc>
        <w:tc>
          <w:tcPr>
            <w:tcW w:w="750" w:type="dxa"/>
            <w:tcBorders>
              <w:top w:val="nil"/>
              <w:left w:val="nil"/>
              <w:bottom w:val="nil"/>
              <w:right w:val="nil"/>
            </w:tcBorders>
            <w:noWrap/>
            <w:vAlign w:val="center"/>
          </w:tcPr>
          <w:p w14:paraId="365B61F1"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82.83</w:t>
            </w:r>
          </w:p>
        </w:tc>
        <w:tc>
          <w:tcPr>
            <w:tcW w:w="740" w:type="dxa"/>
            <w:tcBorders>
              <w:top w:val="nil"/>
              <w:left w:val="nil"/>
              <w:bottom w:val="nil"/>
              <w:right w:val="nil"/>
            </w:tcBorders>
            <w:noWrap/>
            <w:vAlign w:val="center"/>
          </w:tcPr>
          <w:p w14:paraId="6AC9342A" w14:textId="77777777" w:rsidR="008576C8" w:rsidRPr="00A858B2"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367.90</w:t>
            </w:r>
          </w:p>
        </w:tc>
        <w:tc>
          <w:tcPr>
            <w:tcW w:w="556" w:type="dxa"/>
            <w:tcBorders>
              <w:top w:val="nil"/>
              <w:left w:val="nil"/>
              <w:bottom w:val="nil"/>
              <w:right w:val="nil"/>
            </w:tcBorders>
            <w:noWrap/>
            <w:vAlign w:val="center"/>
          </w:tcPr>
          <w:p w14:paraId="43E31263" w14:textId="77777777" w:rsidR="008576C8" w:rsidRPr="002A0A78"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77.55</w:t>
            </w:r>
          </w:p>
        </w:tc>
        <w:tc>
          <w:tcPr>
            <w:tcW w:w="560" w:type="dxa"/>
            <w:tcBorders>
              <w:top w:val="nil"/>
              <w:left w:val="nil"/>
              <w:bottom w:val="nil"/>
              <w:right w:val="nil"/>
            </w:tcBorders>
            <w:noWrap/>
            <w:vAlign w:val="center"/>
          </w:tcPr>
          <w:p w14:paraId="794545CA"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10.68</w:t>
            </w:r>
          </w:p>
        </w:tc>
        <w:tc>
          <w:tcPr>
            <w:tcW w:w="560" w:type="dxa"/>
            <w:tcBorders>
              <w:top w:val="nil"/>
              <w:left w:val="nil"/>
              <w:bottom w:val="nil"/>
              <w:right w:val="nil"/>
            </w:tcBorders>
            <w:noWrap/>
            <w:vAlign w:val="center"/>
          </w:tcPr>
          <w:p w14:paraId="719350D0" w14:textId="77777777" w:rsidR="008576C8" w:rsidRPr="002A0A78" w:rsidRDefault="008576C8" w:rsidP="008576C8">
            <w:pPr>
              <w:spacing w:line="240" w:lineRule="auto"/>
              <w:ind w:firstLineChars="0" w:firstLine="0"/>
              <w:jc w:val="center"/>
              <w:rPr>
                <w:rFonts w:cs="Times New Roman"/>
                <w:sz w:val="18"/>
                <w:szCs w:val="18"/>
                <w:lang w:val="en-GB"/>
              </w:rPr>
            </w:pPr>
            <w:r>
              <w:rPr>
                <w:rFonts w:cs="Times New Roman" w:hint="eastAsia"/>
                <w:sz w:val="18"/>
                <w:szCs w:val="18"/>
                <w:lang w:val="en-GB"/>
              </w:rPr>
              <w:t>3.91</w:t>
            </w:r>
          </w:p>
        </w:tc>
        <w:tc>
          <w:tcPr>
            <w:tcW w:w="620" w:type="dxa"/>
            <w:tcBorders>
              <w:top w:val="nil"/>
              <w:left w:val="nil"/>
              <w:bottom w:val="nil"/>
              <w:right w:val="nil"/>
            </w:tcBorders>
            <w:noWrap/>
            <w:vAlign w:val="center"/>
          </w:tcPr>
          <w:p w14:paraId="3B903446"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7.86</w:t>
            </w:r>
          </w:p>
        </w:tc>
        <w:tc>
          <w:tcPr>
            <w:tcW w:w="923" w:type="dxa"/>
            <w:tcBorders>
              <w:top w:val="nil"/>
              <w:left w:val="nil"/>
              <w:bottom w:val="nil"/>
              <w:right w:val="nil"/>
            </w:tcBorders>
            <w:noWrap/>
            <w:vAlign w:val="center"/>
          </w:tcPr>
          <w:p w14:paraId="26322CE2"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7294.67</w:t>
            </w:r>
          </w:p>
        </w:tc>
        <w:tc>
          <w:tcPr>
            <w:tcW w:w="875" w:type="dxa"/>
            <w:tcBorders>
              <w:top w:val="nil"/>
              <w:left w:val="nil"/>
              <w:bottom w:val="nil"/>
              <w:right w:val="nil"/>
            </w:tcBorders>
            <w:noWrap/>
            <w:vAlign w:val="center"/>
          </w:tcPr>
          <w:p w14:paraId="6DF0B091" w14:textId="77777777" w:rsidR="008576C8" w:rsidRPr="00052E20" w:rsidRDefault="008576C8" w:rsidP="008576C8">
            <w:pPr>
              <w:spacing w:line="240" w:lineRule="auto"/>
              <w:ind w:firstLineChars="0" w:firstLine="0"/>
              <w:jc w:val="center"/>
              <w:rPr>
                <w:rFonts w:cs="Times New Roman"/>
                <w:sz w:val="18"/>
                <w:szCs w:val="18"/>
              </w:rPr>
            </w:pPr>
            <w:r>
              <w:rPr>
                <w:rFonts w:cs="Times New Roman"/>
                <w:sz w:val="18"/>
                <w:szCs w:val="18"/>
              </w:rPr>
              <w:t>1.06</w:t>
            </w:r>
          </w:p>
        </w:tc>
      </w:tr>
      <w:tr w:rsidR="008576C8" w:rsidRPr="00052E20" w14:paraId="6DBE7A1C" w14:textId="77777777" w:rsidTr="008576C8">
        <w:trPr>
          <w:gridAfter w:val="1"/>
          <w:wAfter w:w="8" w:type="dxa"/>
          <w:trHeight w:val="288"/>
          <w:jc w:val="center"/>
        </w:trPr>
        <w:tc>
          <w:tcPr>
            <w:tcW w:w="833" w:type="dxa"/>
            <w:tcBorders>
              <w:top w:val="nil"/>
              <w:left w:val="nil"/>
              <w:bottom w:val="nil"/>
              <w:right w:val="nil"/>
            </w:tcBorders>
            <w:noWrap/>
            <w:vAlign w:val="center"/>
          </w:tcPr>
          <w:p w14:paraId="70192517"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2015</w:t>
            </w:r>
          </w:p>
        </w:tc>
        <w:tc>
          <w:tcPr>
            <w:tcW w:w="911" w:type="dxa"/>
            <w:tcBorders>
              <w:top w:val="nil"/>
              <w:left w:val="nil"/>
              <w:bottom w:val="nil"/>
              <w:right w:val="nil"/>
            </w:tcBorders>
            <w:noWrap/>
            <w:vAlign w:val="center"/>
          </w:tcPr>
          <w:p w14:paraId="0FB0CE0E"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73</w:t>
            </w:r>
          </w:p>
        </w:tc>
        <w:tc>
          <w:tcPr>
            <w:tcW w:w="679" w:type="dxa"/>
            <w:tcBorders>
              <w:top w:val="nil"/>
              <w:left w:val="nil"/>
              <w:bottom w:val="nil"/>
              <w:right w:val="nil"/>
            </w:tcBorders>
            <w:noWrap/>
            <w:vAlign w:val="center"/>
          </w:tcPr>
          <w:p w14:paraId="0CDDBBBE"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34.25</w:t>
            </w:r>
          </w:p>
        </w:tc>
        <w:tc>
          <w:tcPr>
            <w:tcW w:w="841" w:type="dxa"/>
            <w:tcBorders>
              <w:top w:val="nil"/>
              <w:left w:val="nil"/>
              <w:bottom w:val="nil"/>
              <w:right w:val="nil"/>
            </w:tcBorders>
            <w:noWrap/>
            <w:vAlign w:val="center"/>
          </w:tcPr>
          <w:p w14:paraId="31781488"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65.75</w:t>
            </w:r>
          </w:p>
        </w:tc>
        <w:tc>
          <w:tcPr>
            <w:tcW w:w="750" w:type="dxa"/>
            <w:tcBorders>
              <w:top w:val="nil"/>
              <w:left w:val="nil"/>
              <w:bottom w:val="nil"/>
              <w:right w:val="nil"/>
            </w:tcBorders>
            <w:noWrap/>
            <w:vAlign w:val="center"/>
          </w:tcPr>
          <w:p w14:paraId="66B87B32"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89.65</w:t>
            </w:r>
          </w:p>
        </w:tc>
        <w:tc>
          <w:tcPr>
            <w:tcW w:w="740" w:type="dxa"/>
            <w:tcBorders>
              <w:top w:val="nil"/>
              <w:left w:val="nil"/>
              <w:bottom w:val="nil"/>
              <w:right w:val="nil"/>
            </w:tcBorders>
            <w:noWrap/>
            <w:vAlign w:val="center"/>
          </w:tcPr>
          <w:p w14:paraId="4E5B2C8B" w14:textId="77777777" w:rsidR="008576C8" w:rsidRPr="000956B8"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4922.30</w:t>
            </w:r>
          </w:p>
        </w:tc>
        <w:tc>
          <w:tcPr>
            <w:tcW w:w="556" w:type="dxa"/>
            <w:tcBorders>
              <w:top w:val="nil"/>
              <w:left w:val="nil"/>
              <w:bottom w:val="nil"/>
              <w:right w:val="nil"/>
            </w:tcBorders>
            <w:noWrap/>
            <w:vAlign w:val="center"/>
          </w:tcPr>
          <w:p w14:paraId="1AC8A23F" w14:textId="77777777" w:rsidR="008576C8" w:rsidRPr="006375F0"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3.95</w:t>
            </w:r>
          </w:p>
        </w:tc>
        <w:tc>
          <w:tcPr>
            <w:tcW w:w="560" w:type="dxa"/>
            <w:tcBorders>
              <w:top w:val="nil"/>
              <w:left w:val="nil"/>
              <w:bottom w:val="nil"/>
              <w:right w:val="nil"/>
            </w:tcBorders>
            <w:noWrap/>
            <w:vAlign w:val="center"/>
          </w:tcPr>
          <w:p w14:paraId="1E0504E2"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92.32</w:t>
            </w:r>
          </w:p>
        </w:tc>
        <w:tc>
          <w:tcPr>
            <w:tcW w:w="560" w:type="dxa"/>
            <w:tcBorders>
              <w:top w:val="nil"/>
              <w:left w:val="nil"/>
              <w:bottom w:val="nil"/>
              <w:right w:val="nil"/>
            </w:tcBorders>
            <w:noWrap/>
            <w:vAlign w:val="center"/>
          </w:tcPr>
          <w:p w14:paraId="41991C35" w14:textId="77777777" w:rsidR="008576C8" w:rsidRPr="008B2E40" w:rsidRDefault="008576C8" w:rsidP="008576C8">
            <w:pPr>
              <w:spacing w:line="240" w:lineRule="auto"/>
              <w:ind w:firstLineChars="0" w:firstLine="0"/>
              <w:jc w:val="center"/>
              <w:rPr>
                <w:rFonts w:cs="Times New Roman"/>
                <w:sz w:val="18"/>
                <w:szCs w:val="18"/>
                <w:lang w:val="en-GB"/>
              </w:rPr>
            </w:pPr>
            <w:r>
              <w:rPr>
                <w:rFonts w:cs="Times New Roman" w:hint="eastAsia"/>
                <w:sz w:val="18"/>
                <w:szCs w:val="18"/>
                <w:lang w:val="en-GB"/>
              </w:rPr>
              <w:t>0.56</w:t>
            </w:r>
          </w:p>
        </w:tc>
        <w:tc>
          <w:tcPr>
            <w:tcW w:w="620" w:type="dxa"/>
            <w:tcBorders>
              <w:top w:val="nil"/>
              <w:left w:val="nil"/>
              <w:bottom w:val="nil"/>
              <w:right w:val="nil"/>
            </w:tcBorders>
            <w:noWrap/>
            <w:vAlign w:val="center"/>
          </w:tcPr>
          <w:p w14:paraId="29DBE962"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3.17</w:t>
            </w:r>
          </w:p>
        </w:tc>
        <w:tc>
          <w:tcPr>
            <w:tcW w:w="923" w:type="dxa"/>
            <w:tcBorders>
              <w:top w:val="nil"/>
              <w:left w:val="nil"/>
              <w:bottom w:val="nil"/>
              <w:right w:val="nil"/>
            </w:tcBorders>
            <w:noWrap/>
            <w:vAlign w:val="center"/>
          </w:tcPr>
          <w:p w14:paraId="74951D0E"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8763.00</w:t>
            </w:r>
          </w:p>
        </w:tc>
        <w:tc>
          <w:tcPr>
            <w:tcW w:w="875" w:type="dxa"/>
            <w:tcBorders>
              <w:top w:val="nil"/>
              <w:left w:val="nil"/>
              <w:bottom w:val="nil"/>
              <w:right w:val="nil"/>
            </w:tcBorders>
            <w:noWrap/>
            <w:vAlign w:val="center"/>
          </w:tcPr>
          <w:p w14:paraId="178894BB" w14:textId="77777777" w:rsidR="008576C8" w:rsidRPr="00052E20" w:rsidRDefault="008576C8" w:rsidP="008576C8">
            <w:pPr>
              <w:spacing w:line="240" w:lineRule="auto"/>
              <w:ind w:firstLineChars="0" w:firstLine="0"/>
              <w:jc w:val="center"/>
              <w:rPr>
                <w:rFonts w:cs="Times New Roman"/>
                <w:sz w:val="18"/>
                <w:szCs w:val="18"/>
              </w:rPr>
            </w:pPr>
            <w:r>
              <w:rPr>
                <w:rFonts w:cs="Times New Roman"/>
                <w:sz w:val="18"/>
                <w:szCs w:val="18"/>
              </w:rPr>
              <w:t>2.80</w:t>
            </w:r>
          </w:p>
        </w:tc>
      </w:tr>
      <w:tr w:rsidR="008576C8" w:rsidRPr="00052E20" w14:paraId="58F45032" w14:textId="77777777" w:rsidTr="008576C8">
        <w:trPr>
          <w:gridAfter w:val="1"/>
          <w:wAfter w:w="8" w:type="dxa"/>
          <w:trHeight w:val="288"/>
          <w:jc w:val="center"/>
        </w:trPr>
        <w:tc>
          <w:tcPr>
            <w:tcW w:w="833" w:type="dxa"/>
            <w:tcBorders>
              <w:top w:val="nil"/>
              <w:left w:val="nil"/>
              <w:bottom w:val="nil"/>
              <w:right w:val="nil"/>
            </w:tcBorders>
            <w:noWrap/>
            <w:vAlign w:val="center"/>
          </w:tcPr>
          <w:p w14:paraId="3F5F7C82"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2016</w:t>
            </w:r>
          </w:p>
        </w:tc>
        <w:tc>
          <w:tcPr>
            <w:tcW w:w="911" w:type="dxa"/>
            <w:tcBorders>
              <w:top w:val="nil"/>
              <w:left w:val="nil"/>
              <w:bottom w:val="nil"/>
              <w:right w:val="nil"/>
            </w:tcBorders>
            <w:noWrap/>
            <w:vAlign w:val="center"/>
          </w:tcPr>
          <w:p w14:paraId="4D385647"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64</w:t>
            </w:r>
          </w:p>
        </w:tc>
        <w:tc>
          <w:tcPr>
            <w:tcW w:w="679" w:type="dxa"/>
            <w:tcBorders>
              <w:top w:val="nil"/>
              <w:left w:val="nil"/>
              <w:bottom w:val="nil"/>
              <w:right w:val="nil"/>
            </w:tcBorders>
            <w:noWrap/>
            <w:vAlign w:val="center"/>
          </w:tcPr>
          <w:p w14:paraId="0552AD79" w14:textId="77777777" w:rsidR="008576C8" w:rsidRPr="00587877"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28.12</w:t>
            </w:r>
          </w:p>
        </w:tc>
        <w:tc>
          <w:tcPr>
            <w:tcW w:w="841" w:type="dxa"/>
            <w:tcBorders>
              <w:top w:val="nil"/>
              <w:left w:val="nil"/>
              <w:bottom w:val="nil"/>
              <w:right w:val="nil"/>
            </w:tcBorders>
            <w:noWrap/>
            <w:vAlign w:val="center"/>
          </w:tcPr>
          <w:p w14:paraId="4FD5BFF7"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71.88</w:t>
            </w:r>
          </w:p>
        </w:tc>
        <w:tc>
          <w:tcPr>
            <w:tcW w:w="750" w:type="dxa"/>
            <w:tcBorders>
              <w:top w:val="nil"/>
              <w:left w:val="nil"/>
              <w:bottom w:val="nil"/>
              <w:right w:val="nil"/>
            </w:tcBorders>
            <w:noWrap/>
            <w:vAlign w:val="center"/>
          </w:tcPr>
          <w:p w14:paraId="56324BBC"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81.82</w:t>
            </w:r>
          </w:p>
        </w:tc>
        <w:tc>
          <w:tcPr>
            <w:tcW w:w="740" w:type="dxa"/>
            <w:tcBorders>
              <w:top w:val="nil"/>
              <w:left w:val="nil"/>
              <w:bottom w:val="nil"/>
              <w:right w:val="nil"/>
            </w:tcBorders>
            <w:noWrap/>
            <w:vAlign w:val="center"/>
          </w:tcPr>
          <w:p w14:paraId="62903F71"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1365.74</w:t>
            </w:r>
          </w:p>
        </w:tc>
        <w:tc>
          <w:tcPr>
            <w:tcW w:w="556" w:type="dxa"/>
            <w:tcBorders>
              <w:top w:val="nil"/>
              <w:left w:val="nil"/>
              <w:bottom w:val="nil"/>
              <w:right w:val="nil"/>
            </w:tcBorders>
            <w:noWrap/>
            <w:vAlign w:val="center"/>
          </w:tcPr>
          <w:p w14:paraId="52DEAB37" w14:textId="77777777" w:rsidR="008576C8" w:rsidRPr="00587877" w:rsidRDefault="008576C8" w:rsidP="008576C8">
            <w:pPr>
              <w:spacing w:line="240" w:lineRule="auto"/>
              <w:ind w:firstLineChars="0" w:firstLine="0"/>
              <w:jc w:val="center"/>
              <w:rPr>
                <w:rFonts w:cs="Times New Roman"/>
                <w:sz w:val="18"/>
                <w:szCs w:val="18"/>
                <w:lang w:val="en-GB"/>
              </w:rPr>
            </w:pPr>
            <w:r>
              <w:rPr>
                <w:rFonts w:cs="Times New Roman" w:hint="eastAsia"/>
                <w:sz w:val="18"/>
                <w:szCs w:val="18"/>
                <w:lang w:val="en-GB"/>
              </w:rPr>
              <w:t>76.72</w:t>
            </w:r>
          </w:p>
        </w:tc>
        <w:tc>
          <w:tcPr>
            <w:tcW w:w="560" w:type="dxa"/>
            <w:tcBorders>
              <w:top w:val="nil"/>
              <w:left w:val="nil"/>
              <w:bottom w:val="nil"/>
              <w:right w:val="nil"/>
            </w:tcBorders>
            <w:noWrap/>
            <w:vAlign w:val="center"/>
          </w:tcPr>
          <w:p w14:paraId="435B3CAA" w14:textId="77777777" w:rsidR="008576C8" w:rsidRPr="00D1355E"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20.46</w:t>
            </w:r>
          </w:p>
        </w:tc>
        <w:tc>
          <w:tcPr>
            <w:tcW w:w="560" w:type="dxa"/>
            <w:tcBorders>
              <w:top w:val="nil"/>
              <w:left w:val="nil"/>
              <w:bottom w:val="nil"/>
              <w:right w:val="nil"/>
            </w:tcBorders>
            <w:noWrap/>
            <w:vAlign w:val="center"/>
          </w:tcPr>
          <w:p w14:paraId="1E331DE0"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0.31</w:t>
            </w:r>
          </w:p>
        </w:tc>
        <w:tc>
          <w:tcPr>
            <w:tcW w:w="620" w:type="dxa"/>
            <w:tcBorders>
              <w:top w:val="nil"/>
              <w:left w:val="nil"/>
              <w:bottom w:val="nil"/>
              <w:right w:val="nil"/>
            </w:tcBorders>
            <w:noWrap/>
            <w:vAlign w:val="center"/>
          </w:tcPr>
          <w:p w14:paraId="2A0DE53B"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2。51</w:t>
            </w:r>
          </w:p>
        </w:tc>
        <w:tc>
          <w:tcPr>
            <w:tcW w:w="923" w:type="dxa"/>
            <w:tcBorders>
              <w:top w:val="nil"/>
              <w:left w:val="nil"/>
              <w:bottom w:val="nil"/>
              <w:right w:val="nil"/>
            </w:tcBorders>
            <w:noWrap/>
            <w:vAlign w:val="center"/>
          </w:tcPr>
          <w:p w14:paraId="721FCD84"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12811.19</w:t>
            </w:r>
          </w:p>
        </w:tc>
        <w:tc>
          <w:tcPr>
            <w:tcW w:w="875" w:type="dxa"/>
            <w:tcBorders>
              <w:top w:val="nil"/>
              <w:left w:val="nil"/>
              <w:bottom w:val="nil"/>
              <w:right w:val="nil"/>
            </w:tcBorders>
            <w:noWrap/>
            <w:vAlign w:val="center"/>
          </w:tcPr>
          <w:p w14:paraId="491C2CED" w14:textId="77777777" w:rsidR="008576C8" w:rsidRPr="00052E20" w:rsidRDefault="008576C8" w:rsidP="008576C8">
            <w:pPr>
              <w:spacing w:line="240" w:lineRule="auto"/>
              <w:ind w:firstLineChars="0" w:firstLine="0"/>
              <w:jc w:val="center"/>
              <w:rPr>
                <w:rFonts w:cs="Times New Roman"/>
                <w:sz w:val="18"/>
                <w:szCs w:val="18"/>
              </w:rPr>
            </w:pPr>
            <w:r>
              <w:rPr>
                <w:rFonts w:cs="Times New Roman"/>
                <w:sz w:val="18"/>
                <w:szCs w:val="18"/>
              </w:rPr>
              <w:t>-1.15</w:t>
            </w:r>
          </w:p>
        </w:tc>
      </w:tr>
      <w:tr w:rsidR="008576C8" w:rsidRPr="00052E20" w14:paraId="4BE1950A" w14:textId="77777777" w:rsidTr="008576C8">
        <w:trPr>
          <w:gridAfter w:val="1"/>
          <w:wAfter w:w="8" w:type="dxa"/>
          <w:trHeight w:val="288"/>
          <w:jc w:val="center"/>
        </w:trPr>
        <w:tc>
          <w:tcPr>
            <w:tcW w:w="833" w:type="dxa"/>
            <w:tcBorders>
              <w:top w:val="nil"/>
              <w:left w:val="nil"/>
              <w:bottom w:val="nil"/>
              <w:right w:val="nil"/>
            </w:tcBorders>
            <w:noWrap/>
            <w:vAlign w:val="center"/>
          </w:tcPr>
          <w:p w14:paraId="2FB56EAC"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Average</w:t>
            </w:r>
          </w:p>
        </w:tc>
        <w:tc>
          <w:tcPr>
            <w:tcW w:w="911" w:type="dxa"/>
            <w:tcBorders>
              <w:top w:val="nil"/>
              <w:left w:val="nil"/>
              <w:bottom w:val="nil"/>
              <w:right w:val="nil"/>
            </w:tcBorders>
            <w:noWrap/>
            <w:vAlign w:val="center"/>
          </w:tcPr>
          <w:p w14:paraId="5E639486"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67</w:t>
            </w:r>
          </w:p>
        </w:tc>
        <w:tc>
          <w:tcPr>
            <w:tcW w:w="679" w:type="dxa"/>
            <w:tcBorders>
              <w:top w:val="nil"/>
              <w:left w:val="nil"/>
              <w:bottom w:val="nil"/>
              <w:right w:val="nil"/>
            </w:tcBorders>
            <w:noWrap/>
            <w:vAlign w:val="center"/>
          </w:tcPr>
          <w:p w14:paraId="2D45C2EE"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32.80</w:t>
            </w:r>
          </w:p>
        </w:tc>
        <w:tc>
          <w:tcPr>
            <w:tcW w:w="841" w:type="dxa"/>
            <w:tcBorders>
              <w:top w:val="nil"/>
              <w:left w:val="nil"/>
              <w:bottom w:val="nil"/>
              <w:right w:val="nil"/>
            </w:tcBorders>
            <w:noWrap/>
            <w:vAlign w:val="center"/>
          </w:tcPr>
          <w:p w14:paraId="6853EDAA"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67.20</w:t>
            </w:r>
          </w:p>
        </w:tc>
        <w:tc>
          <w:tcPr>
            <w:tcW w:w="750" w:type="dxa"/>
            <w:tcBorders>
              <w:top w:val="nil"/>
              <w:left w:val="nil"/>
              <w:bottom w:val="nil"/>
              <w:right w:val="nil"/>
            </w:tcBorders>
            <w:noWrap/>
            <w:vAlign w:val="center"/>
          </w:tcPr>
          <w:p w14:paraId="76D17E5A"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85.80</w:t>
            </w:r>
          </w:p>
        </w:tc>
        <w:tc>
          <w:tcPr>
            <w:tcW w:w="740" w:type="dxa"/>
            <w:tcBorders>
              <w:top w:val="nil"/>
              <w:left w:val="nil"/>
              <w:bottom w:val="nil"/>
              <w:right w:val="nil"/>
            </w:tcBorders>
            <w:noWrap/>
            <w:vAlign w:val="center"/>
          </w:tcPr>
          <w:p w14:paraId="5DE93C9A"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1522.56</w:t>
            </w:r>
          </w:p>
        </w:tc>
        <w:tc>
          <w:tcPr>
            <w:tcW w:w="556" w:type="dxa"/>
            <w:tcBorders>
              <w:top w:val="nil"/>
              <w:left w:val="nil"/>
              <w:bottom w:val="nil"/>
              <w:right w:val="nil"/>
            </w:tcBorders>
            <w:noWrap/>
            <w:vAlign w:val="center"/>
          </w:tcPr>
          <w:p w14:paraId="57C6CE2A" w14:textId="77777777" w:rsidR="008576C8" w:rsidRDefault="008576C8" w:rsidP="008576C8">
            <w:pPr>
              <w:spacing w:line="240" w:lineRule="auto"/>
              <w:ind w:firstLineChars="0" w:firstLine="0"/>
              <w:jc w:val="center"/>
              <w:rPr>
                <w:rFonts w:cs="Times New Roman"/>
                <w:sz w:val="18"/>
                <w:szCs w:val="18"/>
                <w:lang w:val="en-GB"/>
              </w:rPr>
            </w:pPr>
            <w:r>
              <w:rPr>
                <w:rFonts w:cs="Times New Roman"/>
                <w:sz w:val="18"/>
                <w:szCs w:val="18"/>
                <w:lang w:val="en-GB"/>
              </w:rPr>
              <w:t>64.90</w:t>
            </w:r>
          </w:p>
        </w:tc>
        <w:tc>
          <w:tcPr>
            <w:tcW w:w="560" w:type="dxa"/>
            <w:tcBorders>
              <w:top w:val="nil"/>
              <w:left w:val="nil"/>
              <w:bottom w:val="nil"/>
              <w:right w:val="nil"/>
            </w:tcBorders>
            <w:noWrap/>
            <w:vAlign w:val="center"/>
          </w:tcPr>
          <w:p w14:paraId="00E00285"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26.53</w:t>
            </w:r>
          </w:p>
        </w:tc>
        <w:tc>
          <w:tcPr>
            <w:tcW w:w="560" w:type="dxa"/>
            <w:tcBorders>
              <w:top w:val="nil"/>
              <w:left w:val="nil"/>
              <w:bottom w:val="nil"/>
              <w:right w:val="nil"/>
            </w:tcBorders>
            <w:noWrap/>
            <w:vAlign w:val="center"/>
          </w:tcPr>
          <w:p w14:paraId="2CCD52F4"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2.52</w:t>
            </w:r>
          </w:p>
        </w:tc>
        <w:tc>
          <w:tcPr>
            <w:tcW w:w="620" w:type="dxa"/>
            <w:tcBorders>
              <w:top w:val="nil"/>
              <w:left w:val="nil"/>
              <w:bottom w:val="nil"/>
              <w:right w:val="nil"/>
            </w:tcBorders>
            <w:noWrap/>
            <w:vAlign w:val="center"/>
          </w:tcPr>
          <w:p w14:paraId="5BF41BAE"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6.94</w:t>
            </w:r>
          </w:p>
        </w:tc>
        <w:tc>
          <w:tcPr>
            <w:tcW w:w="923" w:type="dxa"/>
            <w:tcBorders>
              <w:top w:val="nil"/>
              <w:left w:val="nil"/>
              <w:bottom w:val="nil"/>
              <w:right w:val="nil"/>
            </w:tcBorders>
            <w:noWrap/>
            <w:vAlign w:val="center"/>
          </w:tcPr>
          <w:p w14:paraId="3ED6BAAA"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6830.29</w:t>
            </w:r>
          </w:p>
        </w:tc>
        <w:tc>
          <w:tcPr>
            <w:tcW w:w="875" w:type="dxa"/>
            <w:tcBorders>
              <w:top w:val="nil"/>
              <w:left w:val="nil"/>
              <w:bottom w:val="nil"/>
              <w:right w:val="nil"/>
            </w:tcBorders>
            <w:noWrap/>
            <w:vAlign w:val="center"/>
          </w:tcPr>
          <w:p w14:paraId="4EC3E2D3"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3.68</w:t>
            </w:r>
          </w:p>
        </w:tc>
      </w:tr>
      <w:tr w:rsidR="008576C8" w:rsidRPr="00052E20" w14:paraId="5A73A816" w14:textId="77777777" w:rsidTr="008576C8">
        <w:trPr>
          <w:trHeight w:val="288"/>
          <w:jc w:val="center"/>
        </w:trPr>
        <w:tc>
          <w:tcPr>
            <w:tcW w:w="8856" w:type="dxa"/>
            <w:gridSpan w:val="13"/>
            <w:tcBorders>
              <w:top w:val="single" w:sz="4" w:space="0" w:color="auto"/>
              <w:left w:val="nil"/>
              <w:bottom w:val="single" w:sz="4" w:space="0" w:color="auto"/>
              <w:right w:val="nil"/>
            </w:tcBorders>
            <w:noWrap/>
            <w:vAlign w:val="center"/>
          </w:tcPr>
          <w:p w14:paraId="281F790D" w14:textId="3B3A34ED" w:rsidR="008576C8" w:rsidRPr="00956F1F" w:rsidRDefault="008576C8" w:rsidP="008576C8">
            <w:pPr>
              <w:spacing w:line="240" w:lineRule="auto"/>
              <w:ind w:firstLineChars="0" w:firstLine="0"/>
              <w:rPr>
                <w:rFonts w:cs="Times New Roman"/>
                <w:b/>
                <w:sz w:val="18"/>
                <w:szCs w:val="18"/>
              </w:rPr>
            </w:pPr>
            <w:r w:rsidRPr="00956F1F">
              <w:rPr>
                <w:rFonts w:cs="Times New Roman"/>
                <w:b/>
                <w:sz w:val="18"/>
                <w:szCs w:val="18"/>
              </w:rPr>
              <w:t>Mainland</w:t>
            </w:r>
            <w:r w:rsidR="00413890">
              <w:rPr>
                <w:rFonts w:cs="Times New Roman"/>
                <w:b/>
                <w:sz w:val="18"/>
                <w:szCs w:val="18"/>
              </w:rPr>
              <w:t xml:space="preserve"> China</w:t>
            </w:r>
          </w:p>
        </w:tc>
      </w:tr>
      <w:tr w:rsidR="008576C8" w:rsidRPr="00052E20" w14:paraId="757B74EB" w14:textId="77777777" w:rsidTr="008576C8">
        <w:trPr>
          <w:gridAfter w:val="1"/>
          <w:wAfter w:w="8" w:type="dxa"/>
          <w:trHeight w:val="288"/>
          <w:jc w:val="center"/>
        </w:trPr>
        <w:tc>
          <w:tcPr>
            <w:tcW w:w="833" w:type="dxa"/>
            <w:tcBorders>
              <w:top w:val="nil"/>
              <w:left w:val="nil"/>
              <w:bottom w:val="nil"/>
              <w:right w:val="nil"/>
            </w:tcBorders>
            <w:noWrap/>
            <w:vAlign w:val="center"/>
          </w:tcPr>
          <w:p w14:paraId="22042EF5"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2012</w:t>
            </w:r>
          </w:p>
        </w:tc>
        <w:tc>
          <w:tcPr>
            <w:tcW w:w="911" w:type="dxa"/>
            <w:tcBorders>
              <w:top w:val="nil"/>
              <w:left w:val="nil"/>
              <w:bottom w:val="nil"/>
              <w:right w:val="nil"/>
            </w:tcBorders>
            <w:noWrap/>
            <w:vAlign w:val="center"/>
          </w:tcPr>
          <w:p w14:paraId="158A341D"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41</w:t>
            </w:r>
          </w:p>
        </w:tc>
        <w:tc>
          <w:tcPr>
            <w:tcW w:w="679" w:type="dxa"/>
            <w:tcBorders>
              <w:top w:val="nil"/>
              <w:left w:val="nil"/>
              <w:bottom w:val="nil"/>
              <w:right w:val="nil"/>
            </w:tcBorders>
            <w:noWrap/>
            <w:vAlign w:val="center"/>
          </w:tcPr>
          <w:p w14:paraId="71FDFE78" w14:textId="77777777" w:rsidR="008576C8" w:rsidRPr="00C37A84" w:rsidRDefault="008576C8" w:rsidP="008576C8">
            <w:pPr>
              <w:spacing w:line="240" w:lineRule="auto"/>
              <w:ind w:firstLineChars="0" w:firstLine="0"/>
              <w:jc w:val="center"/>
              <w:rPr>
                <w:rFonts w:cs="Times New Roman"/>
                <w:sz w:val="18"/>
                <w:szCs w:val="18"/>
                <w:lang w:val="en-GB"/>
              </w:rPr>
            </w:pPr>
            <w:r>
              <w:rPr>
                <w:rFonts w:cs="Times New Roman" w:hint="eastAsia"/>
                <w:sz w:val="18"/>
                <w:szCs w:val="18"/>
                <w:lang w:val="en-GB"/>
              </w:rPr>
              <w:t>46.34</w:t>
            </w:r>
          </w:p>
        </w:tc>
        <w:tc>
          <w:tcPr>
            <w:tcW w:w="841" w:type="dxa"/>
            <w:tcBorders>
              <w:top w:val="nil"/>
              <w:left w:val="nil"/>
              <w:bottom w:val="nil"/>
              <w:right w:val="nil"/>
            </w:tcBorders>
            <w:noWrap/>
            <w:vAlign w:val="center"/>
          </w:tcPr>
          <w:p w14:paraId="38183BCD"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53.66</w:t>
            </w:r>
          </w:p>
        </w:tc>
        <w:tc>
          <w:tcPr>
            <w:tcW w:w="750" w:type="dxa"/>
            <w:tcBorders>
              <w:top w:val="nil"/>
              <w:left w:val="nil"/>
              <w:bottom w:val="nil"/>
              <w:right w:val="nil"/>
            </w:tcBorders>
            <w:noWrap/>
            <w:vAlign w:val="center"/>
          </w:tcPr>
          <w:p w14:paraId="14BB0B35" w14:textId="77777777" w:rsidR="008576C8" w:rsidRPr="00AD01B4" w:rsidRDefault="008576C8" w:rsidP="008576C8">
            <w:pPr>
              <w:spacing w:line="240" w:lineRule="auto"/>
              <w:ind w:firstLineChars="0" w:firstLine="0"/>
              <w:jc w:val="center"/>
              <w:rPr>
                <w:rFonts w:cs="Times New Roman"/>
                <w:sz w:val="18"/>
                <w:szCs w:val="18"/>
                <w:lang w:val="en-GB"/>
              </w:rPr>
            </w:pPr>
            <w:r>
              <w:rPr>
                <w:rFonts w:cs="Times New Roman" w:hint="eastAsia"/>
                <w:sz w:val="18"/>
                <w:szCs w:val="18"/>
                <w:lang w:val="en-GB"/>
              </w:rPr>
              <w:t>88.62</w:t>
            </w:r>
          </w:p>
        </w:tc>
        <w:tc>
          <w:tcPr>
            <w:tcW w:w="740" w:type="dxa"/>
            <w:tcBorders>
              <w:top w:val="nil"/>
              <w:left w:val="nil"/>
              <w:bottom w:val="nil"/>
              <w:right w:val="nil"/>
            </w:tcBorders>
            <w:noWrap/>
            <w:vAlign w:val="center"/>
          </w:tcPr>
          <w:p w14:paraId="66A99AA9" w14:textId="77777777" w:rsidR="008576C8" w:rsidRPr="005A7810"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669.20</w:t>
            </w:r>
          </w:p>
        </w:tc>
        <w:tc>
          <w:tcPr>
            <w:tcW w:w="556" w:type="dxa"/>
            <w:tcBorders>
              <w:top w:val="nil"/>
              <w:left w:val="nil"/>
              <w:bottom w:val="nil"/>
              <w:right w:val="nil"/>
            </w:tcBorders>
            <w:noWrap/>
            <w:vAlign w:val="center"/>
          </w:tcPr>
          <w:p w14:paraId="139F3E42" w14:textId="77777777" w:rsidR="008576C8" w:rsidRPr="00D84B1C" w:rsidRDefault="008576C8" w:rsidP="008576C8">
            <w:pPr>
              <w:spacing w:line="240" w:lineRule="auto"/>
              <w:ind w:firstLineChars="0" w:firstLine="0"/>
              <w:jc w:val="center"/>
              <w:rPr>
                <w:rFonts w:cs="Times New Roman"/>
                <w:sz w:val="18"/>
                <w:szCs w:val="18"/>
              </w:rPr>
            </w:pPr>
            <w:r>
              <w:rPr>
                <w:rFonts w:cs="Times New Roman" w:hint="eastAsia"/>
                <w:sz w:val="18"/>
                <w:szCs w:val="18"/>
              </w:rPr>
              <w:t>74.97</w:t>
            </w:r>
          </w:p>
        </w:tc>
        <w:tc>
          <w:tcPr>
            <w:tcW w:w="560" w:type="dxa"/>
            <w:tcBorders>
              <w:top w:val="nil"/>
              <w:left w:val="nil"/>
              <w:bottom w:val="nil"/>
              <w:right w:val="nil"/>
            </w:tcBorders>
            <w:noWrap/>
            <w:vAlign w:val="center"/>
          </w:tcPr>
          <w:p w14:paraId="5F241CED"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1.42</w:t>
            </w:r>
          </w:p>
        </w:tc>
        <w:tc>
          <w:tcPr>
            <w:tcW w:w="560" w:type="dxa"/>
            <w:tcBorders>
              <w:top w:val="nil"/>
              <w:left w:val="nil"/>
              <w:bottom w:val="nil"/>
              <w:right w:val="nil"/>
            </w:tcBorders>
            <w:noWrap/>
            <w:vAlign w:val="center"/>
          </w:tcPr>
          <w:p w14:paraId="07769DB9" w14:textId="77777777" w:rsidR="008576C8" w:rsidRPr="0089276C"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11.32</w:t>
            </w:r>
          </w:p>
        </w:tc>
        <w:tc>
          <w:tcPr>
            <w:tcW w:w="620" w:type="dxa"/>
            <w:tcBorders>
              <w:top w:val="nil"/>
              <w:left w:val="nil"/>
              <w:bottom w:val="nil"/>
              <w:right w:val="nil"/>
            </w:tcBorders>
            <w:noWrap/>
            <w:vAlign w:val="center"/>
          </w:tcPr>
          <w:p w14:paraId="6C8D6BB7" w14:textId="77777777" w:rsidR="008576C8" w:rsidRPr="007E15FB"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12.29</w:t>
            </w:r>
          </w:p>
        </w:tc>
        <w:tc>
          <w:tcPr>
            <w:tcW w:w="923" w:type="dxa"/>
            <w:tcBorders>
              <w:top w:val="nil"/>
              <w:left w:val="nil"/>
              <w:bottom w:val="nil"/>
              <w:right w:val="nil"/>
            </w:tcBorders>
            <w:noWrap/>
            <w:vAlign w:val="center"/>
          </w:tcPr>
          <w:p w14:paraId="086A3D73"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7946.11</w:t>
            </w:r>
          </w:p>
        </w:tc>
        <w:tc>
          <w:tcPr>
            <w:tcW w:w="875" w:type="dxa"/>
            <w:tcBorders>
              <w:top w:val="nil"/>
              <w:left w:val="nil"/>
              <w:bottom w:val="nil"/>
              <w:right w:val="nil"/>
            </w:tcBorders>
            <w:noWrap/>
            <w:vAlign w:val="center"/>
          </w:tcPr>
          <w:p w14:paraId="6EC422E4" w14:textId="77777777" w:rsidR="008576C8" w:rsidRPr="00052E20" w:rsidRDefault="008576C8" w:rsidP="008576C8">
            <w:pPr>
              <w:spacing w:line="240" w:lineRule="auto"/>
              <w:ind w:firstLineChars="0" w:firstLine="0"/>
              <w:jc w:val="center"/>
              <w:rPr>
                <w:rFonts w:cs="Times New Roman"/>
                <w:sz w:val="18"/>
                <w:szCs w:val="18"/>
              </w:rPr>
            </w:pPr>
            <w:r>
              <w:rPr>
                <w:rFonts w:cs="Times New Roman"/>
                <w:sz w:val="18"/>
                <w:szCs w:val="18"/>
              </w:rPr>
              <w:t>3.88</w:t>
            </w:r>
          </w:p>
        </w:tc>
      </w:tr>
      <w:tr w:rsidR="008576C8" w:rsidRPr="00052E20" w14:paraId="54E47ECC" w14:textId="77777777" w:rsidTr="008576C8">
        <w:trPr>
          <w:gridAfter w:val="1"/>
          <w:wAfter w:w="8" w:type="dxa"/>
          <w:trHeight w:val="288"/>
          <w:jc w:val="center"/>
        </w:trPr>
        <w:tc>
          <w:tcPr>
            <w:tcW w:w="833" w:type="dxa"/>
            <w:tcBorders>
              <w:top w:val="nil"/>
              <w:left w:val="nil"/>
              <w:bottom w:val="nil"/>
              <w:right w:val="nil"/>
            </w:tcBorders>
            <w:noWrap/>
            <w:vAlign w:val="center"/>
          </w:tcPr>
          <w:p w14:paraId="1C415163"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2013</w:t>
            </w:r>
          </w:p>
        </w:tc>
        <w:tc>
          <w:tcPr>
            <w:tcW w:w="911" w:type="dxa"/>
            <w:tcBorders>
              <w:top w:val="nil"/>
              <w:left w:val="nil"/>
              <w:bottom w:val="nil"/>
              <w:right w:val="nil"/>
            </w:tcBorders>
            <w:noWrap/>
            <w:vAlign w:val="center"/>
          </w:tcPr>
          <w:p w14:paraId="10DBF9BE"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56</w:t>
            </w:r>
          </w:p>
        </w:tc>
        <w:tc>
          <w:tcPr>
            <w:tcW w:w="679" w:type="dxa"/>
            <w:tcBorders>
              <w:top w:val="nil"/>
              <w:left w:val="nil"/>
              <w:bottom w:val="nil"/>
              <w:right w:val="nil"/>
            </w:tcBorders>
            <w:noWrap/>
            <w:vAlign w:val="center"/>
          </w:tcPr>
          <w:p w14:paraId="62089908" w14:textId="77777777" w:rsidR="008576C8" w:rsidRPr="00C37A84" w:rsidRDefault="008576C8" w:rsidP="008576C8">
            <w:pPr>
              <w:spacing w:line="240" w:lineRule="auto"/>
              <w:ind w:firstLineChars="0" w:firstLine="0"/>
              <w:jc w:val="center"/>
              <w:rPr>
                <w:rFonts w:cs="Times New Roman"/>
                <w:sz w:val="18"/>
                <w:szCs w:val="18"/>
                <w:lang w:val="en-GB"/>
              </w:rPr>
            </w:pPr>
            <w:r>
              <w:rPr>
                <w:rFonts w:cs="Times New Roman"/>
                <w:sz w:val="18"/>
                <w:szCs w:val="18"/>
                <w:lang w:val="en-GB"/>
              </w:rPr>
              <w:t>37.50</w:t>
            </w:r>
          </w:p>
        </w:tc>
        <w:tc>
          <w:tcPr>
            <w:tcW w:w="841" w:type="dxa"/>
            <w:tcBorders>
              <w:top w:val="nil"/>
              <w:left w:val="nil"/>
              <w:bottom w:val="nil"/>
              <w:right w:val="nil"/>
            </w:tcBorders>
            <w:noWrap/>
            <w:vAlign w:val="center"/>
          </w:tcPr>
          <w:p w14:paraId="7EE3ABC8" w14:textId="77777777" w:rsidR="008576C8" w:rsidRPr="00052E20" w:rsidRDefault="008576C8" w:rsidP="008576C8">
            <w:pPr>
              <w:spacing w:line="240" w:lineRule="auto"/>
              <w:ind w:firstLineChars="0" w:firstLine="0"/>
              <w:jc w:val="center"/>
              <w:rPr>
                <w:rFonts w:cs="Times New Roman"/>
                <w:sz w:val="18"/>
                <w:szCs w:val="18"/>
              </w:rPr>
            </w:pPr>
            <w:r>
              <w:rPr>
                <w:rFonts w:cs="Times New Roman"/>
                <w:sz w:val="18"/>
                <w:szCs w:val="18"/>
              </w:rPr>
              <w:t>62.50</w:t>
            </w:r>
          </w:p>
        </w:tc>
        <w:tc>
          <w:tcPr>
            <w:tcW w:w="750" w:type="dxa"/>
            <w:tcBorders>
              <w:top w:val="nil"/>
              <w:left w:val="nil"/>
              <w:bottom w:val="nil"/>
              <w:right w:val="nil"/>
            </w:tcBorders>
            <w:noWrap/>
            <w:vAlign w:val="center"/>
          </w:tcPr>
          <w:p w14:paraId="7F421CBA" w14:textId="77777777" w:rsidR="008576C8" w:rsidRPr="00AD01B4" w:rsidRDefault="008576C8" w:rsidP="008576C8">
            <w:pPr>
              <w:spacing w:line="240" w:lineRule="auto"/>
              <w:ind w:firstLineChars="0" w:firstLine="0"/>
              <w:jc w:val="center"/>
              <w:rPr>
                <w:rFonts w:cs="Times New Roman"/>
                <w:sz w:val="18"/>
                <w:szCs w:val="18"/>
                <w:lang w:val="en-GB"/>
              </w:rPr>
            </w:pPr>
            <w:r>
              <w:rPr>
                <w:rFonts w:cs="Times New Roman" w:hint="eastAsia"/>
                <w:sz w:val="18"/>
                <w:szCs w:val="18"/>
                <w:lang w:val="en-GB"/>
              </w:rPr>
              <w:t>79.07</w:t>
            </w:r>
          </w:p>
        </w:tc>
        <w:tc>
          <w:tcPr>
            <w:tcW w:w="740" w:type="dxa"/>
            <w:tcBorders>
              <w:top w:val="nil"/>
              <w:left w:val="nil"/>
              <w:bottom w:val="nil"/>
              <w:right w:val="nil"/>
            </w:tcBorders>
            <w:noWrap/>
            <w:vAlign w:val="center"/>
          </w:tcPr>
          <w:p w14:paraId="2654FC30" w14:textId="77777777" w:rsidR="008576C8" w:rsidRPr="005B1FB7" w:rsidRDefault="008576C8" w:rsidP="008576C8">
            <w:pPr>
              <w:spacing w:line="240" w:lineRule="auto"/>
              <w:ind w:firstLineChars="0" w:firstLine="0"/>
              <w:jc w:val="center"/>
              <w:rPr>
                <w:rFonts w:cs="Times New Roman"/>
                <w:sz w:val="18"/>
                <w:szCs w:val="18"/>
                <w:lang w:val="en-GB"/>
              </w:rPr>
            </w:pPr>
            <w:r>
              <w:rPr>
                <w:rFonts w:cs="Times New Roman"/>
                <w:sz w:val="18"/>
                <w:szCs w:val="18"/>
              </w:rPr>
              <w:t>349.06</w:t>
            </w:r>
          </w:p>
        </w:tc>
        <w:tc>
          <w:tcPr>
            <w:tcW w:w="556" w:type="dxa"/>
            <w:tcBorders>
              <w:top w:val="nil"/>
              <w:left w:val="nil"/>
              <w:bottom w:val="nil"/>
              <w:right w:val="nil"/>
            </w:tcBorders>
            <w:noWrap/>
            <w:vAlign w:val="center"/>
          </w:tcPr>
          <w:p w14:paraId="255B9794" w14:textId="77777777" w:rsidR="008576C8" w:rsidRPr="006D6E82"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55.78</w:t>
            </w:r>
          </w:p>
        </w:tc>
        <w:tc>
          <w:tcPr>
            <w:tcW w:w="560" w:type="dxa"/>
            <w:tcBorders>
              <w:top w:val="nil"/>
              <w:left w:val="nil"/>
              <w:bottom w:val="nil"/>
              <w:right w:val="nil"/>
            </w:tcBorders>
            <w:noWrap/>
            <w:vAlign w:val="center"/>
          </w:tcPr>
          <w:p w14:paraId="45D2CFF3" w14:textId="77777777" w:rsidR="008576C8" w:rsidRPr="00F75684"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12.34</w:t>
            </w:r>
          </w:p>
        </w:tc>
        <w:tc>
          <w:tcPr>
            <w:tcW w:w="560" w:type="dxa"/>
            <w:tcBorders>
              <w:top w:val="nil"/>
              <w:left w:val="nil"/>
              <w:bottom w:val="nil"/>
              <w:right w:val="nil"/>
            </w:tcBorders>
            <w:noWrap/>
            <w:vAlign w:val="center"/>
          </w:tcPr>
          <w:p w14:paraId="4380662F" w14:textId="77777777" w:rsidR="008576C8" w:rsidRPr="00106FDC" w:rsidRDefault="008576C8" w:rsidP="008576C8">
            <w:pPr>
              <w:spacing w:line="240" w:lineRule="auto"/>
              <w:ind w:firstLineChars="0" w:firstLine="0"/>
              <w:jc w:val="center"/>
              <w:rPr>
                <w:rFonts w:cs="Times New Roman"/>
                <w:sz w:val="18"/>
                <w:szCs w:val="18"/>
                <w:lang w:val="en-GB"/>
              </w:rPr>
            </w:pPr>
            <w:r>
              <w:rPr>
                <w:rFonts w:cs="Times New Roman"/>
                <w:sz w:val="18"/>
                <w:szCs w:val="18"/>
              </w:rPr>
              <w:t>1.41</w:t>
            </w:r>
          </w:p>
        </w:tc>
        <w:tc>
          <w:tcPr>
            <w:tcW w:w="620" w:type="dxa"/>
            <w:tcBorders>
              <w:top w:val="nil"/>
              <w:left w:val="nil"/>
              <w:bottom w:val="nil"/>
              <w:right w:val="nil"/>
            </w:tcBorders>
            <w:noWrap/>
            <w:vAlign w:val="center"/>
          </w:tcPr>
          <w:p w14:paraId="2FDCE8CD" w14:textId="77777777" w:rsidR="008576C8" w:rsidRPr="00F75684" w:rsidRDefault="008576C8" w:rsidP="008576C8">
            <w:pPr>
              <w:spacing w:line="240" w:lineRule="auto"/>
              <w:ind w:firstLineChars="0" w:firstLine="0"/>
              <w:jc w:val="center"/>
              <w:rPr>
                <w:rFonts w:cs="Times New Roman"/>
                <w:sz w:val="18"/>
                <w:szCs w:val="18"/>
                <w:lang w:val="en-GB"/>
              </w:rPr>
            </w:pPr>
            <w:r>
              <w:rPr>
                <w:rFonts w:cs="Times New Roman"/>
                <w:sz w:val="18"/>
                <w:szCs w:val="18"/>
              </w:rPr>
              <w:t>30.47</w:t>
            </w:r>
          </w:p>
        </w:tc>
        <w:tc>
          <w:tcPr>
            <w:tcW w:w="923" w:type="dxa"/>
            <w:tcBorders>
              <w:top w:val="nil"/>
              <w:left w:val="nil"/>
              <w:bottom w:val="nil"/>
              <w:right w:val="nil"/>
            </w:tcBorders>
            <w:noWrap/>
            <w:vAlign w:val="center"/>
          </w:tcPr>
          <w:p w14:paraId="48DBBE23" w14:textId="77777777" w:rsidR="008576C8" w:rsidRPr="00052E20" w:rsidRDefault="008576C8" w:rsidP="008576C8">
            <w:pPr>
              <w:spacing w:line="240" w:lineRule="auto"/>
              <w:ind w:firstLineChars="0" w:firstLine="0"/>
              <w:jc w:val="center"/>
              <w:rPr>
                <w:rFonts w:cs="Times New Roman"/>
                <w:sz w:val="18"/>
                <w:szCs w:val="18"/>
              </w:rPr>
            </w:pPr>
            <w:r>
              <w:rPr>
                <w:rFonts w:cs="Times New Roman"/>
                <w:sz w:val="18"/>
                <w:szCs w:val="18"/>
              </w:rPr>
              <w:t>6907.81</w:t>
            </w:r>
          </w:p>
        </w:tc>
        <w:tc>
          <w:tcPr>
            <w:tcW w:w="875" w:type="dxa"/>
            <w:tcBorders>
              <w:top w:val="nil"/>
              <w:left w:val="nil"/>
              <w:bottom w:val="nil"/>
              <w:right w:val="nil"/>
            </w:tcBorders>
            <w:noWrap/>
            <w:vAlign w:val="center"/>
          </w:tcPr>
          <w:p w14:paraId="311A315D" w14:textId="77777777" w:rsidR="008576C8" w:rsidRPr="00052E20" w:rsidRDefault="008576C8" w:rsidP="008576C8">
            <w:pPr>
              <w:spacing w:line="240" w:lineRule="auto"/>
              <w:ind w:firstLineChars="0" w:firstLine="0"/>
              <w:jc w:val="center"/>
              <w:rPr>
                <w:rFonts w:cs="Times New Roman"/>
                <w:sz w:val="18"/>
                <w:szCs w:val="18"/>
              </w:rPr>
            </w:pPr>
            <w:r>
              <w:rPr>
                <w:rFonts w:cs="Times New Roman"/>
                <w:sz w:val="18"/>
                <w:szCs w:val="18"/>
              </w:rPr>
              <w:t>5.04</w:t>
            </w:r>
          </w:p>
        </w:tc>
      </w:tr>
      <w:tr w:rsidR="008576C8" w:rsidRPr="00052E20" w14:paraId="6B21CAB5" w14:textId="77777777" w:rsidTr="008576C8">
        <w:trPr>
          <w:gridAfter w:val="1"/>
          <w:wAfter w:w="8" w:type="dxa"/>
          <w:trHeight w:val="288"/>
          <w:jc w:val="center"/>
        </w:trPr>
        <w:tc>
          <w:tcPr>
            <w:tcW w:w="833" w:type="dxa"/>
            <w:tcBorders>
              <w:top w:val="nil"/>
              <w:left w:val="nil"/>
              <w:bottom w:val="nil"/>
              <w:right w:val="nil"/>
            </w:tcBorders>
            <w:noWrap/>
            <w:vAlign w:val="center"/>
          </w:tcPr>
          <w:p w14:paraId="5CE132EC"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2014</w:t>
            </w:r>
          </w:p>
        </w:tc>
        <w:tc>
          <w:tcPr>
            <w:tcW w:w="911" w:type="dxa"/>
            <w:tcBorders>
              <w:top w:val="nil"/>
              <w:left w:val="nil"/>
              <w:bottom w:val="nil"/>
              <w:right w:val="nil"/>
            </w:tcBorders>
            <w:noWrap/>
            <w:vAlign w:val="center"/>
          </w:tcPr>
          <w:p w14:paraId="466B6745"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50</w:t>
            </w:r>
          </w:p>
        </w:tc>
        <w:tc>
          <w:tcPr>
            <w:tcW w:w="679" w:type="dxa"/>
            <w:tcBorders>
              <w:top w:val="nil"/>
              <w:left w:val="nil"/>
              <w:bottom w:val="nil"/>
              <w:right w:val="nil"/>
            </w:tcBorders>
            <w:noWrap/>
            <w:vAlign w:val="center"/>
          </w:tcPr>
          <w:p w14:paraId="21658C3F" w14:textId="77777777" w:rsidR="008576C8" w:rsidRPr="00C37A84" w:rsidRDefault="008576C8" w:rsidP="008576C8">
            <w:pPr>
              <w:spacing w:line="240" w:lineRule="auto"/>
              <w:ind w:firstLineChars="0" w:firstLine="0"/>
              <w:jc w:val="center"/>
              <w:rPr>
                <w:rFonts w:cs="Times New Roman"/>
                <w:sz w:val="18"/>
                <w:szCs w:val="18"/>
                <w:lang w:val="en-GB"/>
              </w:rPr>
            </w:pPr>
            <w:r>
              <w:rPr>
                <w:rFonts w:cs="Times New Roman" w:hint="eastAsia"/>
                <w:sz w:val="18"/>
                <w:szCs w:val="18"/>
                <w:lang w:val="en-GB"/>
              </w:rPr>
              <w:t>60.00</w:t>
            </w:r>
          </w:p>
        </w:tc>
        <w:tc>
          <w:tcPr>
            <w:tcW w:w="841" w:type="dxa"/>
            <w:tcBorders>
              <w:top w:val="nil"/>
              <w:left w:val="nil"/>
              <w:bottom w:val="nil"/>
              <w:right w:val="nil"/>
            </w:tcBorders>
            <w:noWrap/>
            <w:vAlign w:val="center"/>
          </w:tcPr>
          <w:p w14:paraId="4FC21FFB" w14:textId="77777777" w:rsidR="008576C8" w:rsidRPr="00C157B4"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40.00</w:t>
            </w:r>
          </w:p>
        </w:tc>
        <w:tc>
          <w:tcPr>
            <w:tcW w:w="750" w:type="dxa"/>
            <w:tcBorders>
              <w:top w:val="nil"/>
              <w:left w:val="nil"/>
              <w:bottom w:val="nil"/>
              <w:right w:val="nil"/>
            </w:tcBorders>
            <w:noWrap/>
            <w:vAlign w:val="center"/>
          </w:tcPr>
          <w:p w14:paraId="6551CAE1" w14:textId="77777777" w:rsidR="008576C8" w:rsidRPr="00AD01B4" w:rsidRDefault="008576C8" w:rsidP="008576C8">
            <w:pPr>
              <w:spacing w:line="240" w:lineRule="auto"/>
              <w:ind w:firstLineChars="0" w:firstLine="0"/>
              <w:jc w:val="center"/>
              <w:rPr>
                <w:rFonts w:cs="Times New Roman"/>
                <w:sz w:val="18"/>
                <w:szCs w:val="18"/>
                <w:lang w:val="en-GB"/>
              </w:rPr>
            </w:pPr>
            <w:r>
              <w:rPr>
                <w:rFonts w:cs="Times New Roman" w:hint="eastAsia"/>
                <w:sz w:val="18"/>
                <w:szCs w:val="18"/>
                <w:lang w:val="en-GB"/>
              </w:rPr>
              <w:t>86.56</w:t>
            </w:r>
          </w:p>
        </w:tc>
        <w:tc>
          <w:tcPr>
            <w:tcW w:w="740" w:type="dxa"/>
            <w:tcBorders>
              <w:top w:val="nil"/>
              <w:left w:val="nil"/>
              <w:bottom w:val="nil"/>
              <w:right w:val="nil"/>
            </w:tcBorders>
            <w:noWrap/>
            <w:vAlign w:val="center"/>
          </w:tcPr>
          <w:p w14:paraId="0DE10CC2" w14:textId="77777777" w:rsidR="008576C8" w:rsidRPr="001A6354"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720.52</w:t>
            </w:r>
          </w:p>
        </w:tc>
        <w:tc>
          <w:tcPr>
            <w:tcW w:w="556" w:type="dxa"/>
            <w:tcBorders>
              <w:top w:val="nil"/>
              <w:left w:val="nil"/>
              <w:bottom w:val="nil"/>
              <w:right w:val="nil"/>
            </w:tcBorders>
            <w:noWrap/>
            <w:vAlign w:val="center"/>
          </w:tcPr>
          <w:p w14:paraId="0DB31AFD" w14:textId="77777777" w:rsidR="008576C8" w:rsidRPr="00581A02"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57.16</w:t>
            </w:r>
          </w:p>
        </w:tc>
        <w:tc>
          <w:tcPr>
            <w:tcW w:w="560" w:type="dxa"/>
            <w:tcBorders>
              <w:top w:val="nil"/>
              <w:left w:val="nil"/>
              <w:bottom w:val="nil"/>
              <w:right w:val="nil"/>
            </w:tcBorders>
            <w:noWrap/>
            <w:vAlign w:val="center"/>
          </w:tcPr>
          <w:p w14:paraId="2B1F0B57"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0.09</w:t>
            </w:r>
          </w:p>
        </w:tc>
        <w:tc>
          <w:tcPr>
            <w:tcW w:w="560" w:type="dxa"/>
            <w:tcBorders>
              <w:top w:val="nil"/>
              <w:left w:val="nil"/>
              <w:bottom w:val="nil"/>
              <w:right w:val="nil"/>
            </w:tcBorders>
            <w:noWrap/>
            <w:vAlign w:val="center"/>
          </w:tcPr>
          <w:p w14:paraId="6102E19E" w14:textId="77777777" w:rsidR="008576C8" w:rsidRPr="00B76B5A"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34.89</w:t>
            </w:r>
          </w:p>
        </w:tc>
        <w:tc>
          <w:tcPr>
            <w:tcW w:w="620" w:type="dxa"/>
            <w:tcBorders>
              <w:top w:val="nil"/>
              <w:left w:val="nil"/>
              <w:bottom w:val="nil"/>
              <w:right w:val="nil"/>
            </w:tcBorders>
            <w:noWrap/>
            <w:vAlign w:val="center"/>
          </w:tcPr>
          <w:p w14:paraId="46966282" w14:textId="77777777" w:rsidR="008576C8" w:rsidRPr="00B76B5A"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7.86</w:t>
            </w:r>
          </w:p>
        </w:tc>
        <w:tc>
          <w:tcPr>
            <w:tcW w:w="923" w:type="dxa"/>
            <w:tcBorders>
              <w:top w:val="nil"/>
              <w:left w:val="nil"/>
              <w:bottom w:val="nil"/>
              <w:right w:val="nil"/>
            </w:tcBorders>
            <w:noWrap/>
            <w:vAlign w:val="center"/>
          </w:tcPr>
          <w:p w14:paraId="124DF596" w14:textId="77777777" w:rsidR="008576C8" w:rsidRPr="000402E0"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6067.39</w:t>
            </w:r>
          </w:p>
        </w:tc>
        <w:tc>
          <w:tcPr>
            <w:tcW w:w="875" w:type="dxa"/>
            <w:tcBorders>
              <w:top w:val="nil"/>
              <w:left w:val="nil"/>
              <w:bottom w:val="nil"/>
              <w:right w:val="nil"/>
            </w:tcBorders>
            <w:noWrap/>
            <w:vAlign w:val="center"/>
          </w:tcPr>
          <w:p w14:paraId="53D34598" w14:textId="77777777" w:rsidR="008576C8" w:rsidRPr="00052E20" w:rsidRDefault="008576C8" w:rsidP="008576C8">
            <w:pPr>
              <w:spacing w:line="240" w:lineRule="auto"/>
              <w:ind w:firstLineChars="0" w:firstLine="0"/>
              <w:jc w:val="center"/>
              <w:rPr>
                <w:rFonts w:cs="Times New Roman"/>
                <w:sz w:val="18"/>
                <w:szCs w:val="18"/>
              </w:rPr>
            </w:pPr>
            <w:r>
              <w:rPr>
                <w:rFonts w:cs="Times New Roman"/>
                <w:sz w:val="18"/>
                <w:szCs w:val="18"/>
              </w:rPr>
              <w:t>3.90</w:t>
            </w:r>
          </w:p>
        </w:tc>
      </w:tr>
      <w:tr w:rsidR="008576C8" w:rsidRPr="00052E20" w14:paraId="45B623DF" w14:textId="77777777" w:rsidTr="008576C8">
        <w:trPr>
          <w:gridAfter w:val="1"/>
          <w:wAfter w:w="8" w:type="dxa"/>
          <w:trHeight w:val="288"/>
          <w:jc w:val="center"/>
        </w:trPr>
        <w:tc>
          <w:tcPr>
            <w:tcW w:w="833" w:type="dxa"/>
            <w:tcBorders>
              <w:top w:val="nil"/>
              <w:left w:val="nil"/>
              <w:bottom w:val="nil"/>
              <w:right w:val="nil"/>
            </w:tcBorders>
            <w:noWrap/>
            <w:vAlign w:val="center"/>
          </w:tcPr>
          <w:p w14:paraId="0A6A7094"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2015</w:t>
            </w:r>
          </w:p>
        </w:tc>
        <w:tc>
          <w:tcPr>
            <w:tcW w:w="911" w:type="dxa"/>
            <w:tcBorders>
              <w:top w:val="nil"/>
              <w:left w:val="nil"/>
              <w:bottom w:val="nil"/>
              <w:right w:val="nil"/>
            </w:tcBorders>
            <w:noWrap/>
            <w:vAlign w:val="center"/>
          </w:tcPr>
          <w:p w14:paraId="306D83C1"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55</w:t>
            </w:r>
          </w:p>
        </w:tc>
        <w:tc>
          <w:tcPr>
            <w:tcW w:w="679" w:type="dxa"/>
            <w:tcBorders>
              <w:top w:val="nil"/>
              <w:left w:val="nil"/>
              <w:bottom w:val="nil"/>
              <w:right w:val="nil"/>
            </w:tcBorders>
            <w:noWrap/>
            <w:vAlign w:val="center"/>
          </w:tcPr>
          <w:p w14:paraId="74646079" w14:textId="77777777" w:rsidR="008576C8" w:rsidRPr="00C37A84" w:rsidRDefault="008576C8" w:rsidP="008576C8">
            <w:pPr>
              <w:spacing w:line="240" w:lineRule="auto"/>
              <w:ind w:firstLineChars="0" w:firstLine="0"/>
              <w:jc w:val="center"/>
              <w:rPr>
                <w:rFonts w:cs="Times New Roman"/>
                <w:sz w:val="18"/>
                <w:szCs w:val="18"/>
                <w:lang w:val="en-GB"/>
              </w:rPr>
            </w:pPr>
            <w:r>
              <w:rPr>
                <w:rFonts w:cs="Times New Roman" w:hint="eastAsia"/>
                <w:sz w:val="18"/>
                <w:szCs w:val="18"/>
                <w:lang w:val="en-GB"/>
              </w:rPr>
              <w:t>38.18</w:t>
            </w:r>
          </w:p>
        </w:tc>
        <w:tc>
          <w:tcPr>
            <w:tcW w:w="841" w:type="dxa"/>
            <w:tcBorders>
              <w:top w:val="nil"/>
              <w:left w:val="nil"/>
              <w:bottom w:val="nil"/>
              <w:right w:val="nil"/>
            </w:tcBorders>
            <w:noWrap/>
            <w:vAlign w:val="center"/>
          </w:tcPr>
          <w:p w14:paraId="49D5E83C"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61.82</w:t>
            </w:r>
          </w:p>
        </w:tc>
        <w:tc>
          <w:tcPr>
            <w:tcW w:w="750" w:type="dxa"/>
            <w:tcBorders>
              <w:top w:val="nil"/>
              <w:left w:val="nil"/>
              <w:bottom w:val="nil"/>
              <w:right w:val="nil"/>
            </w:tcBorders>
            <w:noWrap/>
            <w:vAlign w:val="center"/>
          </w:tcPr>
          <w:p w14:paraId="2E3B1D64" w14:textId="77777777" w:rsidR="008576C8" w:rsidRPr="00AD01B4" w:rsidRDefault="008576C8" w:rsidP="008576C8">
            <w:pPr>
              <w:spacing w:line="240" w:lineRule="auto"/>
              <w:ind w:firstLineChars="0" w:firstLine="0"/>
              <w:jc w:val="center"/>
              <w:rPr>
                <w:rFonts w:cs="Times New Roman"/>
                <w:sz w:val="18"/>
                <w:szCs w:val="18"/>
                <w:lang w:val="en-GB"/>
              </w:rPr>
            </w:pPr>
            <w:r>
              <w:rPr>
                <w:rFonts w:cs="Times New Roman" w:hint="eastAsia"/>
                <w:sz w:val="18"/>
                <w:szCs w:val="18"/>
                <w:lang w:val="en-GB"/>
              </w:rPr>
              <w:t>94.44</w:t>
            </w:r>
          </w:p>
        </w:tc>
        <w:tc>
          <w:tcPr>
            <w:tcW w:w="740" w:type="dxa"/>
            <w:tcBorders>
              <w:top w:val="nil"/>
              <w:left w:val="nil"/>
              <w:bottom w:val="nil"/>
              <w:right w:val="nil"/>
            </w:tcBorders>
            <w:noWrap/>
            <w:vAlign w:val="center"/>
          </w:tcPr>
          <w:p w14:paraId="2CE345C5" w14:textId="77777777" w:rsidR="008576C8" w:rsidRPr="00B76B5A"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452.79</w:t>
            </w:r>
          </w:p>
        </w:tc>
        <w:tc>
          <w:tcPr>
            <w:tcW w:w="556" w:type="dxa"/>
            <w:tcBorders>
              <w:top w:val="nil"/>
              <w:left w:val="nil"/>
              <w:bottom w:val="nil"/>
              <w:right w:val="nil"/>
            </w:tcBorders>
            <w:noWrap/>
            <w:vAlign w:val="center"/>
          </w:tcPr>
          <w:p w14:paraId="25F85223" w14:textId="77777777" w:rsidR="008576C8" w:rsidRPr="00E3061A"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77.88</w:t>
            </w:r>
          </w:p>
        </w:tc>
        <w:tc>
          <w:tcPr>
            <w:tcW w:w="560" w:type="dxa"/>
            <w:tcBorders>
              <w:top w:val="nil"/>
              <w:left w:val="nil"/>
              <w:bottom w:val="nil"/>
              <w:right w:val="nil"/>
            </w:tcBorders>
            <w:noWrap/>
            <w:vAlign w:val="center"/>
          </w:tcPr>
          <w:p w14:paraId="4273CBB3" w14:textId="77777777" w:rsidR="008576C8" w:rsidRPr="00E3061A"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4.14</w:t>
            </w:r>
          </w:p>
        </w:tc>
        <w:tc>
          <w:tcPr>
            <w:tcW w:w="560" w:type="dxa"/>
            <w:tcBorders>
              <w:top w:val="nil"/>
              <w:left w:val="nil"/>
              <w:bottom w:val="nil"/>
              <w:right w:val="nil"/>
            </w:tcBorders>
            <w:noWrap/>
            <w:vAlign w:val="center"/>
          </w:tcPr>
          <w:p w14:paraId="6F5A7AB3" w14:textId="77777777" w:rsidR="008576C8" w:rsidRPr="0089276C"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6.74</w:t>
            </w:r>
          </w:p>
        </w:tc>
        <w:tc>
          <w:tcPr>
            <w:tcW w:w="620" w:type="dxa"/>
            <w:tcBorders>
              <w:top w:val="nil"/>
              <w:left w:val="nil"/>
              <w:bottom w:val="nil"/>
              <w:right w:val="nil"/>
            </w:tcBorders>
            <w:noWrap/>
            <w:vAlign w:val="center"/>
          </w:tcPr>
          <w:p w14:paraId="7D221BB6" w14:textId="77777777" w:rsidR="008576C8" w:rsidRPr="00E3061A"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11.24</w:t>
            </w:r>
          </w:p>
        </w:tc>
        <w:tc>
          <w:tcPr>
            <w:tcW w:w="923" w:type="dxa"/>
            <w:tcBorders>
              <w:top w:val="nil"/>
              <w:left w:val="nil"/>
              <w:bottom w:val="nil"/>
              <w:right w:val="nil"/>
            </w:tcBorders>
            <w:noWrap/>
            <w:vAlign w:val="center"/>
          </w:tcPr>
          <w:p w14:paraId="208E0A88" w14:textId="77777777" w:rsidR="008576C8" w:rsidRPr="006F3DA0"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7249.94</w:t>
            </w:r>
          </w:p>
        </w:tc>
        <w:tc>
          <w:tcPr>
            <w:tcW w:w="875" w:type="dxa"/>
            <w:tcBorders>
              <w:top w:val="nil"/>
              <w:left w:val="nil"/>
              <w:bottom w:val="nil"/>
              <w:right w:val="nil"/>
            </w:tcBorders>
            <w:noWrap/>
            <w:vAlign w:val="center"/>
          </w:tcPr>
          <w:p w14:paraId="0436CF2A" w14:textId="77777777" w:rsidR="008576C8" w:rsidRPr="00052E20" w:rsidRDefault="008576C8" w:rsidP="008576C8">
            <w:pPr>
              <w:spacing w:line="240" w:lineRule="auto"/>
              <w:ind w:firstLineChars="0" w:firstLine="0"/>
              <w:jc w:val="center"/>
              <w:rPr>
                <w:rFonts w:cs="Times New Roman"/>
                <w:sz w:val="18"/>
                <w:szCs w:val="18"/>
              </w:rPr>
            </w:pPr>
            <w:r>
              <w:rPr>
                <w:rFonts w:cs="Times New Roman"/>
                <w:sz w:val="18"/>
                <w:szCs w:val="18"/>
              </w:rPr>
              <w:t>3.92</w:t>
            </w:r>
          </w:p>
        </w:tc>
      </w:tr>
      <w:tr w:rsidR="008576C8" w:rsidRPr="00052E20" w14:paraId="7EB95416" w14:textId="77777777" w:rsidTr="008576C8">
        <w:trPr>
          <w:gridAfter w:val="1"/>
          <w:wAfter w:w="8" w:type="dxa"/>
          <w:trHeight w:val="264"/>
          <w:jc w:val="center"/>
        </w:trPr>
        <w:tc>
          <w:tcPr>
            <w:tcW w:w="833" w:type="dxa"/>
            <w:tcBorders>
              <w:top w:val="nil"/>
              <w:left w:val="nil"/>
              <w:bottom w:val="nil"/>
              <w:right w:val="nil"/>
            </w:tcBorders>
            <w:noWrap/>
            <w:vAlign w:val="center"/>
          </w:tcPr>
          <w:p w14:paraId="778B02E4" w14:textId="77777777" w:rsidR="008576C8" w:rsidRPr="00127D9D"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2016</w:t>
            </w:r>
          </w:p>
        </w:tc>
        <w:tc>
          <w:tcPr>
            <w:tcW w:w="911" w:type="dxa"/>
            <w:tcBorders>
              <w:top w:val="nil"/>
              <w:left w:val="nil"/>
              <w:bottom w:val="nil"/>
              <w:right w:val="nil"/>
            </w:tcBorders>
            <w:noWrap/>
            <w:vAlign w:val="center"/>
          </w:tcPr>
          <w:p w14:paraId="2AFADFB6"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29</w:t>
            </w:r>
          </w:p>
        </w:tc>
        <w:tc>
          <w:tcPr>
            <w:tcW w:w="679" w:type="dxa"/>
            <w:tcBorders>
              <w:top w:val="nil"/>
              <w:left w:val="nil"/>
              <w:bottom w:val="nil"/>
              <w:right w:val="nil"/>
            </w:tcBorders>
            <w:noWrap/>
            <w:vAlign w:val="center"/>
          </w:tcPr>
          <w:p w14:paraId="75651EC2" w14:textId="77777777" w:rsidR="008576C8" w:rsidRPr="00C37A84" w:rsidRDefault="008576C8" w:rsidP="008576C8">
            <w:pPr>
              <w:spacing w:line="240" w:lineRule="auto"/>
              <w:ind w:firstLineChars="0" w:firstLine="0"/>
              <w:jc w:val="center"/>
              <w:rPr>
                <w:rFonts w:cs="Times New Roman"/>
                <w:sz w:val="18"/>
                <w:szCs w:val="18"/>
                <w:lang w:val="en-GB"/>
              </w:rPr>
            </w:pPr>
            <w:r>
              <w:rPr>
                <w:rFonts w:cs="Times New Roman"/>
                <w:sz w:val="18"/>
                <w:szCs w:val="18"/>
                <w:lang w:val="en-GB"/>
              </w:rPr>
              <w:t>37.93</w:t>
            </w:r>
          </w:p>
        </w:tc>
        <w:tc>
          <w:tcPr>
            <w:tcW w:w="841" w:type="dxa"/>
            <w:tcBorders>
              <w:top w:val="nil"/>
              <w:left w:val="nil"/>
              <w:bottom w:val="nil"/>
              <w:right w:val="nil"/>
            </w:tcBorders>
            <w:noWrap/>
            <w:vAlign w:val="center"/>
          </w:tcPr>
          <w:p w14:paraId="4359E9EB"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62.07</w:t>
            </w:r>
          </w:p>
        </w:tc>
        <w:tc>
          <w:tcPr>
            <w:tcW w:w="750" w:type="dxa"/>
            <w:tcBorders>
              <w:top w:val="nil"/>
              <w:left w:val="nil"/>
              <w:bottom w:val="nil"/>
              <w:right w:val="nil"/>
            </w:tcBorders>
            <w:noWrap/>
            <w:vAlign w:val="center"/>
          </w:tcPr>
          <w:p w14:paraId="6B6FB682" w14:textId="77777777" w:rsidR="008576C8" w:rsidRPr="00AD01B4" w:rsidRDefault="008576C8" w:rsidP="008576C8">
            <w:pPr>
              <w:spacing w:line="240" w:lineRule="auto"/>
              <w:ind w:firstLineChars="0" w:firstLine="0"/>
              <w:jc w:val="center"/>
              <w:rPr>
                <w:rFonts w:cs="Times New Roman"/>
                <w:sz w:val="18"/>
                <w:szCs w:val="18"/>
                <w:lang w:val="en-GB"/>
              </w:rPr>
            </w:pPr>
            <w:r>
              <w:rPr>
                <w:rFonts w:cs="Times New Roman" w:hint="eastAsia"/>
                <w:sz w:val="18"/>
                <w:szCs w:val="18"/>
                <w:lang w:val="en-GB"/>
              </w:rPr>
              <w:t>88.54</w:t>
            </w:r>
          </w:p>
        </w:tc>
        <w:tc>
          <w:tcPr>
            <w:tcW w:w="740" w:type="dxa"/>
            <w:tcBorders>
              <w:top w:val="nil"/>
              <w:left w:val="nil"/>
              <w:bottom w:val="nil"/>
              <w:right w:val="nil"/>
            </w:tcBorders>
            <w:noWrap/>
            <w:vAlign w:val="center"/>
          </w:tcPr>
          <w:p w14:paraId="37B986C6" w14:textId="77777777" w:rsidR="008576C8" w:rsidRPr="006F3DA0"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416.49</w:t>
            </w:r>
          </w:p>
        </w:tc>
        <w:tc>
          <w:tcPr>
            <w:tcW w:w="556" w:type="dxa"/>
            <w:tcBorders>
              <w:top w:val="nil"/>
              <w:left w:val="nil"/>
              <w:bottom w:val="nil"/>
              <w:right w:val="nil"/>
            </w:tcBorders>
            <w:noWrap/>
            <w:vAlign w:val="center"/>
          </w:tcPr>
          <w:p w14:paraId="637422FC" w14:textId="77777777" w:rsidR="008576C8" w:rsidRPr="000402E0"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74.06</w:t>
            </w:r>
          </w:p>
        </w:tc>
        <w:tc>
          <w:tcPr>
            <w:tcW w:w="560" w:type="dxa"/>
            <w:tcBorders>
              <w:top w:val="nil"/>
              <w:left w:val="nil"/>
              <w:bottom w:val="nil"/>
              <w:right w:val="nil"/>
            </w:tcBorders>
            <w:noWrap/>
            <w:vAlign w:val="center"/>
          </w:tcPr>
          <w:p w14:paraId="796EFB34" w14:textId="77777777" w:rsidR="008576C8" w:rsidRPr="00052E20" w:rsidRDefault="008576C8" w:rsidP="008576C8">
            <w:pPr>
              <w:spacing w:line="240" w:lineRule="auto"/>
              <w:ind w:firstLineChars="0" w:firstLine="0"/>
              <w:jc w:val="center"/>
              <w:rPr>
                <w:rFonts w:cs="Times New Roman"/>
                <w:sz w:val="18"/>
                <w:szCs w:val="18"/>
              </w:rPr>
            </w:pPr>
            <w:r>
              <w:rPr>
                <w:rFonts w:cs="Times New Roman" w:hint="eastAsia"/>
                <w:sz w:val="18"/>
                <w:szCs w:val="18"/>
              </w:rPr>
              <w:t>3.80</w:t>
            </w:r>
          </w:p>
        </w:tc>
        <w:tc>
          <w:tcPr>
            <w:tcW w:w="560" w:type="dxa"/>
            <w:tcBorders>
              <w:top w:val="nil"/>
              <w:left w:val="nil"/>
              <w:bottom w:val="nil"/>
              <w:right w:val="nil"/>
            </w:tcBorders>
            <w:noWrap/>
            <w:vAlign w:val="center"/>
          </w:tcPr>
          <w:p w14:paraId="31A7FC0B" w14:textId="77777777" w:rsidR="008576C8" w:rsidRPr="000402E0" w:rsidRDefault="008576C8" w:rsidP="008576C8">
            <w:pPr>
              <w:spacing w:line="240" w:lineRule="auto"/>
              <w:ind w:firstLineChars="0" w:firstLine="0"/>
              <w:jc w:val="center"/>
              <w:rPr>
                <w:rFonts w:cs="Times New Roman"/>
                <w:sz w:val="18"/>
                <w:szCs w:val="18"/>
                <w:lang w:val="en-GB"/>
              </w:rPr>
            </w:pPr>
            <w:r>
              <w:rPr>
                <w:rFonts w:cs="Times New Roman" w:hint="eastAsia"/>
                <w:sz w:val="18"/>
                <w:szCs w:val="18"/>
              </w:rPr>
              <w:t>22.14</w:t>
            </w:r>
          </w:p>
        </w:tc>
        <w:tc>
          <w:tcPr>
            <w:tcW w:w="620" w:type="dxa"/>
            <w:tcBorders>
              <w:top w:val="nil"/>
              <w:left w:val="nil"/>
              <w:bottom w:val="nil"/>
              <w:right w:val="nil"/>
            </w:tcBorders>
            <w:noWrap/>
            <w:vAlign w:val="center"/>
          </w:tcPr>
          <w:p w14:paraId="147CF91B" w14:textId="77777777" w:rsidR="008576C8" w:rsidRPr="000402E0" w:rsidRDefault="008576C8" w:rsidP="008576C8">
            <w:pPr>
              <w:spacing w:line="240" w:lineRule="auto"/>
              <w:ind w:firstLineChars="0" w:firstLine="0"/>
              <w:rPr>
                <w:rFonts w:cs="Times New Roman"/>
                <w:sz w:val="18"/>
                <w:szCs w:val="18"/>
                <w:lang w:val="en-GB"/>
              </w:rPr>
            </w:pPr>
            <w:r>
              <w:rPr>
                <w:rFonts w:cs="Times New Roman"/>
                <w:sz w:val="18"/>
                <w:szCs w:val="18"/>
              </w:rPr>
              <w:t xml:space="preserve">    0</w:t>
            </w:r>
          </w:p>
        </w:tc>
        <w:tc>
          <w:tcPr>
            <w:tcW w:w="923" w:type="dxa"/>
            <w:tcBorders>
              <w:top w:val="nil"/>
              <w:left w:val="nil"/>
              <w:bottom w:val="nil"/>
              <w:right w:val="nil"/>
            </w:tcBorders>
            <w:noWrap/>
            <w:vAlign w:val="center"/>
          </w:tcPr>
          <w:p w14:paraId="196D42C0" w14:textId="77777777" w:rsidR="008576C8" w:rsidRPr="006F3DA0" w:rsidRDefault="008576C8" w:rsidP="008576C8">
            <w:pPr>
              <w:spacing w:line="240" w:lineRule="auto"/>
              <w:ind w:firstLineChars="0" w:firstLine="0"/>
              <w:jc w:val="center"/>
              <w:rPr>
                <w:rFonts w:cs="Times New Roman"/>
                <w:sz w:val="18"/>
                <w:szCs w:val="18"/>
                <w:lang w:val="en-GB"/>
              </w:rPr>
            </w:pPr>
            <w:r>
              <w:rPr>
                <w:rFonts w:cs="Times New Roman"/>
                <w:sz w:val="18"/>
                <w:szCs w:val="18"/>
                <w:lang w:val="en-GB"/>
              </w:rPr>
              <w:t>13789.00</w:t>
            </w:r>
          </w:p>
        </w:tc>
        <w:tc>
          <w:tcPr>
            <w:tcW w:w="875" w:type="dxa"/>
            <w:tcBorders>
              <w:top w:val="nil"/>
              <w:left w:val="nil"/>
              <w:bottom w:val="nil"/>
              <w:right w:val="nil"/>
            </w:tcBorders>
            <w:noWrap/>
            <w:vAlign w:val="center"/>
          </w:tcPr>
          <w:p w14:paraId="0FA66D3C" w14:textId="77777777" w:rsidR="008576C8" w:rsidRPr="00052E20" w:rsidRDefault="008576C8" w:rsidP="008576C8">
            <w:pPr>
              <w:spacing w:line="240" w:lineRule="auto"/>
              <w:ind w:firstLineChars="0" w:firstLine="0"/>
              <w:jc w:val="center"/>
              <w:rPr>
                <w:rFonts w:cs="Times New Roman"/>
                <w:sz w:val="18"/>
                <w:szCs w:val="18"/>
              </w:rPr>
            </w:pPr>
            <w:r>
              <w:rPr>
                <w:rFonts w:cs="Times New Roman"/>
                <w:sz w:val="18"/>
                <w:szCs w:val="18"/>
              </w:rPr>
              <w:t>-1.45</w:t>
            </w:r>
          </w:p>
        </w:tc>
      </w:tr>
      <w:tr w:rsidR="008576C8" w:rsidRPr="00052E20" w14:paraId="50A35818" w14:textId="77777777" w:rsidTr="008576C8">
        <w:trPr>
          <w:gridAfter w:val="1"/>
          <w:wAfter w:w="8" w:type="dxa"/>
          <w:trHeight w:val="264"/>
          <w:jc w:val="center"/>
        </w:trPr>
        <w:tc>
          <w:tcPr>
            <w:tcW w:w="833" w:type="dxa"/>
            <w:tcBorders>
              <w:top w:val="nil"/>
              <w:left w:val="nil"/>
              <w:bottom w:val="single" w:sz="4" w:space="0" w:color="auto"/>
              <w:right w:val="nil"/>
            </w:tcBorders>
            <w:noWrap/>
            <w:vAlign w:val="center"/>
          </w:tcPr>
          <w:p w14:paraId="26DBC029"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Average</w:t>
            </w:r>
          </w:p>
        </w:tc>
        <w:tc>
          <w:tcPr>
            <w:tcW w:w="911" w:type="dxa"/>
            <w:tcBorders>
              <w:top w:val="nil"/>
              <w:left w:val="nil"/>
              <w:bottom w:val="single" w:sz="4" w:space="0" w:color="auto"/>
              <w:right w:val="nil"/>
            </w:tcBorders>
            <w:noWrap/>
            <w:vAlign w:val="center"/>
          </w:tcPr>
          <w:p w14:paraId="5767BB96"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46</w:t>
            </w:r>
          </w:p>
        </w:tc>
        <w:tc>
          <w:tcPr>
            <w:tcW w:w="679" w:type="dxa"/>
            <w:tcBorders>
              <w:top w:val="nil"/>
              <w:left w:val="nil"/>
              <w:bottom w:val="single" w:sz="4" w:space="0" w:color="auto"/>
              <w:right w:val="nil"/>
            </w:tcBorders>
            <w:noWrap/>
            <w:vAlign w:val="center"/>
          </w:tcPr>
          <w:p w14:paraId="41944967" w14:textId="77777777" w:rsidR="008576C8" w:rsidRDefault="008576C8" w:rsidP="008576C8">
            <w:pPr>
              <w:spacing w:line="240" w:lineRule="auto"/>
              <w:ind w:firstLineChars="0" w:firstLine="0"/>
              <w:jc w:val="center"/>
              <w:rPr>
                <w:rFonts w:cs="Times New Roman"/>
                <w:sz w:val="18"/>
                <w:szCs w:val="18"/>
                <w:lang w:val="en-GB"/>
              </w:rPr>
            </w:pPr>
            <w:r>
              <w:rPr>
                <w:rFonts w:cs="Times New Roman"/>
                <w:sz w:val="18"/>
                <w:szCs w:val="18"/>
                <w:lang w:val="en-GB"/>
              </w:rPr>
              <w:t>43.99</w:t>
            </w:r>
          </w:p>
        </w:tc>
        <w:tc>
          <w:tcPr>
            <w:tcW w:w="841" w:type="dxa"/>
            <w:tcBorders>
              <w:top w:val="nil"/>
              <w:left w:val="nil"/>
              <w:bottom w:val="single" w:sz="4" w:space="0" w:color="auto"/>
              <w:right w:val="nil"/>
            </w:tcBorders>
            <w:noWrap/>
            <w:vAlign w:val="center"/>
          </w:tcPr>
          <w:p w14:paraId="70D0BB13"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56.01</w:t>
            </w:r>
          </w:p>
        </w:tc>
        <w:tc>
          <w:tcPr>
            <w:tcW w:w="750" w:type="dxa"/>
            <w:tcBorders>
              <w:top w:val="nil"/>
              <w:left w:val="nil"/>
              <w:bottom w:val="single" w:sz="4" w:space="0" w:color="auto"/>
              <w:right w:val="nil"/>
            </w:tcBorders>
            <w:noWrap/>
            <w:vAlign w:val="center"/>
          </w:tcPr>
          <w:p w14:paraId="12A5ACC2" w14:textId="77777777" w:rsidR="008576C8" w:rsidRDefault="008576C8" w:rsidP="008576C8">
            <w:pPr>
              <w:spacing w:line="240" w:lineRule="auto"/>
              <w:ind w:firstLineChars="0" w:firstLine="0"/>
              <w:jc w:val="center"/>
              <w:rPr>
                <w:rFonts w:cs="Times New Roman"/>
                <w:sz w:val="18"/>
                <w:szCs w:val="18"/>
                <w:lang w:val="en-GB"/>
              </w:rPr>
            </w:pPr>
            <w:r>
              <w:rPr>
                <w:rFonts w:cs="Times New Roman"/>
                <w:sz w:val="18"/>
                <w:szCs w:val="18"/>
                <w:lang w:val="en-GB"/>
              </w:rPr>
              <w:t>87.45</w:t>
            </w:r>
          </w:p>
        </w:tc>
        <w:tc>
          <w:tcPr>
            <w:tcW w:w="740" w:type="dxa"/>
            <w:tcBorders>
              <w:top w:val="nil"/>
              <w:left w:val="nil"/>
              <w:bottom w:val="single" w:sz="4" w:space="0" w:color="auto"/>
              <w:right w:val="nil"/>
            </w:tcBorders>
            <w:noWrap/>
            <w:vAlign w:val="center"/>
          </w:tcPr>
          <w:p w14:paraId="78E154D5"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521.61</w:t>
            </w:r>
          </w:p>
        </w:tc>
        <w:tc>
          <w:tcPr>
            <w:tcW w:w="556" w:type="dxa"/>
            <w:tcBorders>
              <w:top w:val="nil"/>
              <w:left w:val="nil"/>
              <w:bottom w:val="single" w:sz="4" w:space="0" w:color="auto"/>
              <w:right w:val="nil"/>
            </w:tcBorders>
            <w:noWrap/>
            <w:vAlign w:val="center"/>
          </w:tcPr>
          <w:p w14:paraId="77805EB8"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67.97</w:t>
            </w:r>
          </w:p>
        </w:tc>
        <w:tc>
          <w:tcPr>
            <w:tcW w:w="560" w:type="dxa"/>
            <w:tcBorders>
              <w:top w:val="nil"/>
              <w:left w:val="nil"/>
              <w:bottom w:val="single" w:sz="4" w:space="0" w:color="auto"/>
              <w:right w:val="nil"/>
            </w:tcBorders>
            <w:noWrap/>
            <w:vAlign w:val="center"/>
          </w:tcPr>
          <w:p w14:paraId="12BEB60D"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4.36</w:t>
            </w:r>
          </w:p>
        </w:tc>
        <w:tc>
          <w:tcPr>
            <w:tcW w:w="560" w:type="dxa"/>
            <w:tcBorders>
              <w:top w:val="nil"/>
              <w:left w:val="nil"/>
              <w:bottom w:val="single" w:sz="4" w:space="0" w:color="auto"/>
              <w:right w:val="nil"/>
            </w:tcBorders>
            <w:noWrap/>
            <w:vAlign w:val="center"/>
          </w:tcPr>
          <w:p w14:paraId="395AD848"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15.3</w:t>
            </w:r>
          </w:p>
        </w:tc>
        <w:tc>
          <w:tcPr>
            <w:tcW w:w="620" w:type="dxa"/>
            <w:tcBorders>
              <w:top w:val="nil"/>
              <w:left w:val="nil"/>
              <w:bottom w:val="single" w:sz="4" w:space="0" w:color="auto"/>
              <w:right w:val="nil"/>
            </w:tcBorders>
            <w:noWrap/>
            <w:vAlign w:val="center"/>
          </w:tcPr>
          <w:p w14:paraId="6D28078A" w14:textId="77777777" w:rsidR="008576C8" w:rsidRDefault="008576C8" w:rsidP="008576C8">
            <w:pPr>
              <w:spacing w:line="240" w:lineRule="auto"/>
              <w:ind w:firstLineChars="0" w:firstLine="0"/>
              <w:rPr>
                <w:rFonts w:cs="Times New Roman"/>
                <w:sz w:val="18"/>
                <w:szCs w:val="18"/>
              </w:rPr>
            </w:pPr>
            <w:r>
              <w:rPr>
                <w:rFonts w:cs="Times New Roman"/>
                <w:sz w:val="18"/>
                <w:szCs w:val="18"/>
              </w:rPr>
              <w:t>12.37</w:t>
            </w:r>
          </w:p>
        </w:tc>
        <w:tc>
          <w:tcPr>
            <w:tcW w:w="923" w:type="dxa"/>
            <w:tcBorders>
              <w:top w:val="nil"/>
              <w:left w:val="nil"/>
              <w:bottom w:val="single" w:sz="4" w:space="0" w:color="auto"/>
              <w:right w:val="nil"/>
            </w:tcBorders>
            <w:noWrap/>
            <w:vAlign w:val="center"/>
          </w:tcPr>
          <w:p w14:paraId="33B61A9E" w14:textId="77777777" w:rsidR="008576C8" w:rsidRDefault="008576C8" w:rsidP="008576C8">
            <w:pPr>
              <w:spacing w:line="240" w:lineRule="auto"/>
              <w:ind w:firstLineChars="0" w:firstLine="0"/>
              <w:jc w:val="center"/>
              <w:rPr>
                <w:rFonts w:cs="Times New Roman"/>
                <w:sz w:val="18"/>
                <w:szCs w:val="18"/>
                <w:lang w:val="en-GB"/>
              </w:rPr>
            </w:pPr>
            <w:r>
              <w:rPr>
                <w:rFonts w:cs="Times New Roman"/>
                <w:sz w:val="18"/>
                <w:szCs w:val="18"/>
                <w:lang w:val="en-GB"/>
              </w:rPr>
              <w:t>8392.05</w:t>
            </w:r>
          </w:p>
        </w:tc>
        <w:tc>
          <w:tcPr>
            <w:tcW w:w="875" w:type="dxa"/>
            <w:tcBorders>
              <w:top w:val="nil"/>
              <w:left w:val="nil"/>
              <w:bottom w:val="single" w:sz="4" w:space="0" w:color="auto"/>
              <w:right w:val="nil"/>
            </w:tcBorders>
            <w:noWrap/>
            <w:vAlign w:val="center"/>
          </w:tcPr>
          <w:p w14:paraId="6C27DF03" w14:textId="77777777" w:rsidR="008576C8" w:rsidRDefault="008576C8" w:rsidP="008576C8">
            <w:pPr>
              <w:spacing w:line="240" w:lineRule="auto"/>
              <w:ind w:firstLineChars="0" w:firstLine="0"/>
              <w:jc w:val="center"/>
              <w:rPr>
                <w:rFonts w:cs="Times New Roman"/>
                <w:sz w:val="18"/>
                <w:szCs w:val="18"/>
              </w:rPr>
            </w:pPr>
            <w:r>
              <w:rPr>
                <w:rFonts w:cs="Times New Roman"/>
                <w:sz w:val="18"/>
                <w:szCs w:val="18"/>
              </w:rPr>
              <w:t>3.06</w:t>
            </w:r>
          </w:p>
        </w:tc>
      </w:tr>
    </w:tbl>
    <w:p w14:paraId="734567D0" w14:textId="77777777" w:rsidR="008576C8" w:rsidRDefault="008576C8" w:rsidP="008576C8">
      <w:pPr>
        <w:ind w:firstLineChars="0" w:firstLine="0"/>
        <w:rPr>
          <w:rFonts w:cs="Times New Roman"/>
          <w:szCs w:val="24"/>
          <w:lang w:val="en-GB"/>
        </w:rPr>
      </w:pPr>
    </w:p>
    <w:p w14:paraId="2C73996E" w14:textId="77777777" w:rsidR="008576C8" w:rsidRDefault="008576C8" w:rsidP="008576C8">
      <w:pPr>
        <w:ind w:firstLineChars="0" w:firstLine="0"/>
        <w:rPr>
          <w:rFonts w:cs="Times New Roman"/>
          <w:szCs w:val="24"/>
          <w:lang w:val="en-GB"/>
        </w:rPr>
        <w:sectPr w:rsidR="008576C8" w:rsidSect="00C10BA9">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docGrid w:linePitch="360"/>
        </w:sectPr>
      </w:pPr>
    </w:p>
    <w:p w14:paraId="69D1DECF" w14:textId="77777777" w:rsidR="008576C8" w:rsidRPr="00531FD3" w:rsidRDefault="008576C8" w:rsidP="008576C8">
      <w:pPr>
        <w:pStyle w:val="a"/>
        <w:ind w:firstLine="400"/>
        <w:jc w:val="left"/>
        <w:rPr>
          <w:sz w:val="20"/>
          <w:szCs w:val="20"/>
        </w:rPr>
      </w:pPr>
      <w:r w:rsidRPr="00531FD3">
        <w:rPr>
          <w:sz w:val="20"/>
          <w:szCs w:val="20"/>
        </w:rPr>
        <w:t>Table 2: Sample Description: Industry Sectors</w:t>
      </w:r>
    </w:p>
    <w:p w14:paraId="335DA0D6" w14:textId="77777777" w:rsidR="008576C8" w:rsidRDefault="008576C8" w:rsidP="008576C8">
      <w:pPr>
        <w:pStyle w:val="a"/>
        <w:ind w:firstLineChars="0" w:firstLine="0"/>
        <w:jc w:val="both"/>
        <w:rPr>
          <w:b w:val="0"/>
          <w:sz w:val="20"/>
          <w:szCs w:val="20"/>
          <w:u w:val="none"/>
        </w:rPr>
      </w:pPr>
    </w:p>
    <w:p w14:paraId="29F01254" w14:textId="77777777" w:rsidR="008576C8" w:rsidRPr="00531FD3" w:rsidRDefault="008576C8" w:rsidP="008576C8">
      <w:pPr>
        <w:pStyle w:val="a"/>
        <w:ind w:firstLineChars="0" w:firstLine="0"/>
        <w:jc w:val="both"/>
        <w:rPr>
          <w:rFonts w:eastAsiaTheme="minorEastAsia"/>
          <w:b w:val="0"/>
          <w:sz w:val="20"/>
          <w:szCs w:val="20"/>
          <w:u w:val="none"/>
        </w:rPr>
      </w:pPr>
      <w:r w:rsidRPr="00BD0DE9">
        <w:rPr>
          <w:b w:val="0"/>
          <w:sz w:val="20"/>
          <w:szCs w:val="20"/>
          <w:u w:val="none"/>
        </w:rPr>
        <w:t xml:space="preserve">Table </w:t>
      </w:r>
      <w:r>
        <w:rPr>
          <w:b w:val="0"/>
          <w:sz w:val="20"/>
          <w:szCs w:val="20"/>
          <w:u w:val="none"/>
        </w:rPr>
        <w:t>2 shows descriptive</w:t>
      </w:r>
      <w:r w:rsidRPr="00BD0DE9">
        <w:rPr>
          <w:b w:val="0"/>
          <w:sz w:val="20"/>
          <w:szCs w:val="20"/>
          <w:u w:val="none"/>
          <w:lang w:val="en-GB"/>
        </w:rPr>
        <w:t xml:space="preserve"> analysis</w:t>
      </w:r>
      <w:r>
        <w:rPr>
          <w:b w:val="0"/>
          <w:sz w:val="20"/>
          <w:szCs w:val="20"/>
          <w:u w:val="none"/>
          <w:lang w:val="en-GB"/>
        </w:rPr>
        <w:t xml:space="preserve"> based on sector wise</w:t>
      </w:r>
      <w:r w:rsidRPr="00BD0DE9">
        <w:rPr>
          <w:b w:val="0"/>
          <w:sz w:val="20"/>
          <w:szCs w:val="20"/>
          <w:u w:val="none"/>
        </w:rPr>
        <w:t xml:space="preserve"> characteristics of acquisition transactions, which is divided into two parts based on the location of the target company (in Hong Kong or in China Mainland). </w:t>
      </w:r>
      <w:r>
        <w:rPr>
          <w:b w:val="0"/>
          <w:sz w:val="20"/>
          <w:szCs w:val="20"/>
          <w:u w:val="none"/>
        </w:rPr>
        <w:t xml:space="preserve">Number of acquisition mentioned separately for Hong Kong and China Mainland. </w:t>
      </w:r>
      <w:r w:rsidRPr="00BD0DE9">
        <w:rPr>
          <w:b w:val="0"/>
          <w:sz w:val="20"/>
          <w:szCs w:val="20"/>
          <w:u w:val="none"/>
        </w:rPr>
        <w:t xml:space="preserve">Relatedness </w:t>
      </w:r>
      <w:r>
        <w:rPr>
          <w:b w:val="0"/>
          <w:sz w:val="20"/>
          <w:szCs w:val="20"/>
          <w:u w:val="none"/>
        </w:rPr>
        <w:t xml:space="preserve">(%) </w:t>
      </w:r>
      <w:r w:rsidRPr="00BD0DE9">
        <w:rPr>
          <w:b w:val="0"/>
          <w:sz w:val="20"/>
          <w:szCs w:val="20"/>
          <w:u w:val="none"/>
        </w:rPr>
        <w:t xml:space="preserve">is defined when the bidding corporate and the target corporate are in the same business and unrelated </w:t>
      </w:r>
      <w:r>
        <w:rPr>
          <w:b w:val="0"/>
          <w:sz w:val="20"/>
          <w:szCs w:val="20"/>
          <w:u w:val="none"/>
        </w:rPr>
        <w:t xml:space="preserve">(%) </w:t>
      </w:r>
      <w:r w:rsidRPr="00BD0DE9">
        <w:rPr>
          <w:b w:val="0"/>
          <w:sz w:val="20"/>
          <w:szCs w:val="20"/>
          <w:u w:val="none"/>
        </w:rPr>
        <w:t>explained</w:t>
      </w:r>
      <w:r>
        <w:rPr>
          <w:b w:val="0"/>
          <w:sz w:val="20"/>
          <w:szCs w:val="20"/>
          <w:u w:val="none"/>
        </w:rPr>
        <w:t xml:space="preserve"> </w:t>
      </w:r>
      <w:r w:rsidRPr="00BD0DE9">
        <w:rPr>
          <w:b w:val="0"/>
          <w:sz w:val="20"/>
          <w:szCs w:val="20"/>
          <w:u w:val="none"/>
        </w:rPr>
        <w:t xml:space="preserve">bidding corporate and target corporate are in different business. The average </w:t>
      </w:r>
      <w:r>
        <w:rPr>
          <w:b w:val="0"/>
          <w:sz w:val="20"/>
          <w:szCs w:val="20"/>
          <w:u w:val="none"/>
        </w:rPr>
        <w:t xml:space="preserve">deal value represented into HK$ (m) </w:t>
      </w:r>
      <w:r w:rsidRPr="00BD0DE9">
        <w:rPr>
          <w:b w:val="0"/>
          <w:sz w:val="20"/>
          <w:szCs w:val="20"/>
          <w:u w:val="none"/>
        </w:rPr>
        <w:t xml:space="preserve">proportion of the outstanding shares obtained by bidding companies of targets from both markets. Moreover, method of payment classified into four categories such as cash, stock and combination of cash &amp; stock and others. Acquirer’s average market value four weeks prior to acquisition represented in HK$ (m) and last column demonstrates acquirer’s average returns within 51 days of the announcement period. </w:t>
      </w:r>
    </w:p>
    <w:p w14:paraId="79FBD929" w14:textId="77777777" w:rsidR="008576C8" w:rsidRPr="00E61B08" w:rsidRDefault="008576C8" w:rsidP="008576C8">
      <w:pPr>
        <w:pStyle w:val="a"/>
        <w:ind w:firstLine="482"/>
        <w:rPr>
          <w:rFonts w:eastAsiaTheme="minorEastAsia"/>
          <w:lang w:val="en-GB"/>
        </w:rPr>
      </w:pPr>
    </w:p>
    <w:tbl>
      <w:tblPr>
        <w:tblStyle w:val="TableGrid"/>
        <w:tblW w:w="13820" w:type="dxa"/>
        <w:jc w:val="center"/>
        <w:tblBorders>
          <w:left w:val="none" w:sz="0" w:space="0" w:color="auto"/>
          <w:right w:val="none" w:sz="0" w:space="0" w:color="auto"/>
        </w:tblBorders>
        <w:tblLook w:val="04A0" w:firstRow="1" w:lastRow="0" w:firstColumn="1" w:lastColumn="0" w:noHBand="0" w:noVBand="1"/>
      </w:tblPr>
      <w:tblGrid>
        <w:gridCol w:w="1978"/>
        <w:gridCol w:w="1354"/>
        <w:gridCol w:w="1013"/>
        <w:gridCol w:w="1239"/>
        <w:gridCol w:w="1150"/>
        <w:gridCol w:w="1098"/>
        <w:gridCol w:w="806"/>
        <w:gridCol w:w="813"/>
        <w:gridCol w:w="813"/>
        <w:gridCol w:w="913"/>
        <w:gridCol w:w="1354"/>
        <w:gridCol w:w="1289"/>
      </w:tblGrid>
      <w:tr w:rsidR="008576C8" w:rsidRPr="00531FD3" w14:paraId="618D0FD5" w14:textId="77777777" w:rsidTr="008576C8">
        <w:trPr>
          <w:trHeight w:hRule="exact" w:val="202"/>
          <w:jc w:val="center"/>
        </w:trPr>
        <w:tc>
          <w:tcPr>
            <w:tcW w:w="13820" w:type="dxa"/>
            <w:gridSpan w:val="12"/>
            <w:vMerge w:val="restart"/>
            <w:noWrap/>
            <w:vAlign w:val="center"/>
            <w:hideMark/>
          </w:tcPr>
          <w:p w14:paraId="4DC6E005" w14:textId="77777777" w:rsidR="008576C8" w:rsidRPr="00531FD3" w:rsidRDefault="008576C8" w:rsidP="008576C8">
            <w:pPr>
              <w:snapToGrid w:val="0"/>
              <w:spacing w:line="240" w:lineRule="auto"/>
              <w:ind w:firstLineChars="0" w:firstLine="0"/>
              <w:jc w:val="center"/>
              <w:rPr>
                <w:rFonts w:cs="Times New Roman"/>
                <w:b/>
                <w:sz w:val="20"/>
                <w:szCs w:val="20"/>
              </w:rPr>
            </w:pPr>
            <w:r w:rsidRPr="00531FD3">
              <w:rPr>
                <w:rFonts w:cs="Times New Roman"/>
                <w:b/>
                <w:sz w:val="20"/>
                <w:szCs w:val="20"/>
              </w:rPr>
              <w:t>Industry classification in Bidders’ of Hong Kong Target</w:t>
            </w:r>
          </w:p>
        </w:tc>
      </w:tr>
      <w:tr w:rsidR="008576C8" w:rsidRPr="00531FD3" w14:paraId="0F98096B" w14:textId="77777777" w:rsidTr="008576C8">
        <w:trPr>
          <w:trHeight w:val="406"/>
          <w:jc w:val="center"/>
        </w:trPr>
        <w:tc>
          <w:tcPr>
            <w:tcW w:w="13820" w:type="dxa"/>
            <w:gridSpan w:val="12"/>
            <w:vMerge/>
            <w:hideMark/>
          </w:tcPr>
          <w:p w14:paraId="7BA54D6B" w14:textId="77777777" w:rsidR="008576C8" w:rsidRPr="00531FD3" w:rsidRDefault="008576C8" w:rsidP="008576C8">
            <w:pPr>
              <w:snapToGrid w:val="0"/>
              <w:spacing w:line="240" w:lineRule="auto"/>
              <w:ind w:firstLineChars="0" w:firstLine="0"/>
              <w:rPr>
                <w:rFonts w:cs="Times New Roman"/>
                <w:sz w:val="20"/>
                <w:szCs w:val="20"/>
              </w:rPr>
            </w:pPr>
          </w:p>
        </w:tc>
      </w:tr>
      <w:tr w:rsidR="008576C8" w:rsidRPr="00531FD3" w14:paraId="0AC4001F" w14:textId="77777777" w:rsidTr="008576C8">
        <w:trPr>
          <w:trHeight w:val="807"/>
          <w:jc w:val="center"/>
        </w:trPr>
        <w:tc>
          <w:tcPr>
            <w:tcW w:w="1978" w:type="dxa"/>
            <w:vMerge w:val="restart"/>
            <w:noWrap/>
            <w:vAlign w:val="center"/>
            <w:hideMark/>
          </w:tcPr>
          <w:p w14:paraId="56AE17F9"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Industry</w:t>
            </w:r>
          </w:p>
        </w:tc>
        <w:tc>
          <w:tcPr>
            <w:tcW w:w="1354" w:type="dxa"/>
            <w:vMerge w:val="restart"/>
            <w:vAlign w:val="center"/>
            <w:hideMark/>
          </w:tcPr>
          <w:p w14:paraId="6FDA9DF2"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 xml:space="preserve">Number of </w:t>
            </w:r>
            <w:r w:rsidRPr="00531FD3">
              <w:rPr>
                <w:rFonts w:cs="Times New Roman"/>
                <w:sz w:val="20"/>
                <w:szCs w:val="20"/>
              </w:rPr>
              <w:br/>
              <w:t>acquisition</w:t>
            </w:r>
          </w:p>
        </w:tc>
        <w:tc>
          <w:tcPr>
            <w:tcW w:w="2252" w:type="dxa"/>
            <w:gridSpan w:val="2"/>
            <w:noWrap/>
            <w:vAlign w:val="center"/>
            <w:hideMark/>
          </w:tcPr>
          <w:p w14:paraId="30EA3BBC" w14:textId="77777777" w:rsidR="008576C8" w:rsidRPr="00531FD3" w:rsidRDefault="008576C8" w:rsidP="008576C8">
            <w:pPr>
              <w:snapToGrid w:val="0"/>
              <w:spacing w:line="240" w:lineRule="auto"/>
              <w:ind w:firstLineChars="0" w:firstLine="0"/>
              <w:jc w:val="center"/>
              <w:rPr>
                <w:rFonts w:cs="Times New Roman"/>
                <w:b/>
                <w:sz w:val="20"/>
                <w:szCs w:val="20"/>
              </w:rPr>
            </w:pPr>
            <w:r w:rsidRPr="00531FD3">
              <w:rPr>
                <w:rFonts w:cs="Times New Roman"/>
                <w:b/>
                <w:sz w:val="20"/>
                <w:szCs w:val="20"/>
              </w:rPr>
              <w:t>Proportion</w:t>
            </w:r>
          </w:p>
        </w:tc>
        <w:tc>
          <w:tcPr>
            <w:tcW w:w="1150" w:type="dxa"/>
            <w:vMerge w:val="restart"/>
            <w:vAlign w:val="center"/>
            <w:hideMark/>
          </w:tcPr>
          <w:p w14:paraId="250267A7" w14:textId="77777777" w:rsidR="008576C8" w:rsidRPr="00531FD3" w:rsidRDefault="008576C8" w:rsidP="008576C8">
            <w:pPr>
              <w:snapToGrid w:val="0"/>
              <w:spacing w:line="240" w:lineRule="auto"/>
              <w:ind w:firstLineChars="0" w:firstLine="0"/>
              <w:jc w:val="center"/>
              <w:rPr>
                <w:rFonts w:cs="Times New Roman"/>
                <w:b/>
                <w:sz w:val="20"/>
                <w:szCs w:val="20"/>
              </w:rPr>
            </w:pPr>
            <w:r w:rsidRPr="00531FD3">
              <w:rPr>
                <w:rFonts w:cs="Times New Roman"/>
                <w:b/>
                <w:sz w:val="20"/>
                <w:szCs w:val="20"/>
              </w:rPr>
              <w:t xml:space="preserve">(%) of shares </w:t>
            </w:r>
            <w:r w:rsidRPr="00531FD3">
              <w:rPr>
                <w:rFonts w:cs="Times New Roman"/>
                <w:b/>
                <w:sz w:val="20"/>
                <w:szCs w:val="20"/>
              </w:rPr>
              <w:br/>
              <w:t>acquired</w:t>
            </w:r>
          </w:p>
        </w:tc>
        <w:tc>
          <w:tcPr>
            <w:tcW w:w="1098" w:type="dxa"/>
            <w:vMerge w:val="restart"/>
            <w:vAlign w:val="center"/>
            <w:hideMark/>
          </w:tcPr>
          <w:p w14:paraId="684F28AA" w14:textId="77777777" w:rsidR="008576C8" w:rsidRPr="00531FD3" w:rsidRDefault="008576C8" w:rsidP="008576C8">
            <w:pPr>
              <w:snapToGrid w:val="0"/>
              <w:spacing w:line="240" w:lineRule="auto"/>
              <w:ind w:firstLineChars="0" w:firstLine="0"/>
              <w:jc w:val="center"/>
              <w:rPr>
                <w:rFonts w:cs="Times New Roman"/>
                <w:b/>
                <w:sz w:val="20"/>
                <w:szCs w:val="20"/>
              </w:rPr>
            </w:pPr>
            <w:r w:rsidRPr="00531FD3">
              <w:rPr>
                <w:rFonts w:cs="Times New Roman"/>
                <w:b/>
                <w:sz w:val="20"/>
                <w:szCs w:val="20"/>
              </w:rPr>
              <w:t xml:space="preserve">Average </w:t>
            </w:r>
          </w:p>
          <w:p w14:paraId="3FD7E809" w14:textId="77777777" w:rsidR="008576C8" w:rsidRPr="00531FD3" w:rsidRDefault="008576C8" w:rsidP="008576C8">
            <w:pPr>
              <w:snapToGrid w:val="0"/>
              <w:spacing w:line="240" w:lineRule="auto"/>
              <w:ind w:firstLineChars="0" w:firstLine="0"/>
              <w:jc w:val="center"/>
              <w:rPr>
                <w:rFonts w:cs="Times New Roman"/>
                <w:b/>
                <w:sz w:val="20"/>
                <w:szCs w:val="20"/>
              </w:rPr>
            </w:pPr>
            <w:r w:rsidRPr="00531FD3">
              <w:rPr>
                <w:rFonts w:cs="Times New Roman"/>
                <w:b/>
                <w:sz w:val="20"/>
                <w:szCs w:val="20"/>
              </w:rPr>
              <w:t>deal</w:t>
            </w:r>
            <w:r w:rsidRPr="00531FD3">
              <w:rPr>
                <w:rFonts w:cs="Times New Roman"/>
                <w:b/>
                <w:sz w:val="20"/>
                <w:szCs w:val="20"/>
              </w:rPr>
              <w:br/>
              <w:t>value</w:t>
            </w:r>
          </w:p>
          <w:p w14:paraId="58ED78C9" w14:textId="77777777" w:rsidR="008576C8" w:rsidRPr="00531FD3" w:rsidRDefault="008576C8" w:rsidP="008576C8">
            <w:pPr>
              <w:snapToGrid w:val="0"/>
              <w:spacing w:line="240" w:lineRule="auto"/>
              <w:ind w:firstLineChars="0" w:firstLine="0"/>
              <w:jc w:val="center"/>
              <w:rPr>
                <w:rFonts w:cs="Times New Roman"/>
                <w:b/>
                <w:sz w:val="20"/>
                <w:szCs w:val="20"/>
              </w:rPr>
            </w:pPr>
            <w:r w:rsidRPr="00531FD3">
              <w:rPr>
                <w:rFonts w:cs="Times New Roman"/>
                <w:b/>
                <w:sz w:val="20"/>
                <w:szCs w:val="20"/>
              </w:rPr>
              <w:t>(mHK$)</w:t>
            </w:r>
          </w:p>
        </w:tc>
        <w:tc>
          <w:tcPr>
            <w:tcW w:w="3345" w:type="dxa"/>
            <w:gridSpan w:val="4"/>
            <w:noWrap/>
            <w:vAlign w:val="center"/>
            <w:hideMark/>
          </w:tcPr>
          <w:p w14:paraId="293F96DB" w14:textId="77777777" w:rsidR="008576C8" w:rsidRPr="00531FD3" w:rsidRDefault="008576C8" w:rsidP="008576C8">
            <w:pPr>
              <w:snapToGrid w:val="0"/>
              <w:spacing w:line="240" w:lineRule="auto"/>
              <w:ind w:firstLineChars="0" w:firstLine="0"/>
              <w:jc w:val="center"/>
              <w:rPr>
                <w:rFonts w:cs="Times New Roman"/>
                <w:b/>
                <w:sz w:val="20"/>
                <w:szCs w:val="20"/>
              </w:rPr>
            </w:pPr>
            <w:r w:rsidRPr="00531FD3">
              <w:rPr>
                <w:rFonts w:cs="Times New Roman"/>
                <w:b/>
                <w:sz w:val="20"/>
                <w:szCs w:val="20"/>
              </w:rPr>
              <w:t>Method of payment: percentage</w:t>
            </w:r>
          </w:p>
        </w:tc>
        <w:tc>
          <w:tcPr>
            <w:tcW w:w="1354" w:type="dxa"/>
            <w:vMerge w:val="restart"/>
            <w:vAlign w:val="center"/>
            <w:hideMark/>
          </w:tcPr>
          <w:p w14:paraId="078B0F40"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Acquirer's avg. market value 4 weeks prior to acquisition</w:t>
            </w:r>
            <w:r w:rsidRPr="00531FD3">
              <w:rPr>
                <w:rFonts w:cs="Times New Roman"/>
                <w:sz w:val="20"/>
                <w:szCs w:val="20"/>
              </w:rPr>
              <w:br/>
              <w:t>(mHK$)</w:t>
            </w:r>
          </w:p>
        </w:tc>
        <w:tc>
          <w:tcPr>
            <w:tcW w:w="1285" w:type="dxa"/>
            <w:vMerge w:val="restart"/>
            <w:vAlign w:val="center"/>
            <w:hideMark/>
          </w:tcPr>
          <w:p w14:paraId="7CD4CCDC"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 xml:space="preserve">Acquirer's </w:t>
            </w:r>
            <w:r w:rsidRPr="00531FD3">
              <w:rPr>
                <w:rFonts w:cs="Times New Roman"/>
                <w:sz w:val="20"/>
                <w:szCs w:val="20"/>
              </w:rPr>
              <w:br/>
              <w:t>average raw return: Day -25 to Day 25(%)</w:t>
            </w:r>
          </w:p>
        </w:tc>
      </w:tr>
      <w:tr w:rsidR="008576C8" w:rsidRPr="00531FD3" w14:paraId="2F21CB4F" w14:textId="77777777" w:rsidTr="008576C8">
        <w:trPr>
          <w:trHeight w:val="1017"/>
          <w:jc w:val="center"/>
        </w:trPr>
        <w:tc>
          <w:tcPr>
            <w:tcW w:w="1978" w:type="dxa"/>
            <w:vMerge/>
            <w:tcBorders>
              <w:bottom w:val="single" w:sz="4" w:space="0" w:color="auto"/>
            </w:tcBorders>
            <w:vAlign w:val="center"/>
            <w:hideMark/>
          </w:tcPr>
          <w:p w14:paraId="1C4563D4" w14:textId="77777777" w:rsidR="008576C8" w:rsidRPr="00531FD3" w:rsidRDefault="008576C8" w:rsidP="008576C8">
            <w:pPr>
              <w:snapToGrid w:val="0"/>
              <w:spacing w:line="240" w:lineRule="auto"/>
              <w:ind w:firstLineChars="0" w:firstLine="0"/>
              <w:jc w:val="center"/>
              <w:rPr>
                <w:rFonts w:cs="Times New Roman"/>
                <w:sz w:val="20"/>
                <w:szCs w:val="20"/>
              </w:rPr>
            </w:pPr>
          </w:p>
        </w:tc>
        <w:tc>
          <w:tcPr>
            <w:tcW w:w="1354" w:type="dxa"/>
            <w:vMerge/>
            <w:tcBorders>
              <w:bottom w:val="single" w:sz="4" w:space="0" w:color="auto"/>
            </w:tcBorders>
            <w:vAlign w:val="center"/>
            <w:hideMark/>
          </w:tcPr>
          <w:p w14:paraId="2D138931" w14:textId="77777777" w:rsidR="008576C8" w:rsidRPr="00531FD3" w:rsidRDefault="008576C8" w:rsidP="008576C8">
            <w:pPr>
              <w:snapToGrid w:val="0"/>
              <w:spacing w:line="240" w:lineRule="auto"/>
              <w:ind w:firstLineChars="0" w:firstLine="0"/>
              <w:jc w:val="center"/>
              <w:rPr>
                <w:rFonts w:cs="Times New Roman"/>
                <w:sz w:val="20"/>
                <w:szCs w:val="20"/>
              </w:rPr>
            </w:pPr>
          </w:p>
        </w:tc>
        <w:tc>
          <w:tcPr>
            <w:tcW w:w="1013" w:type="dxa"/>
            <w:tcBorders>
              <w:bottom w:val="single" w:sz="4" w:space="0" w:color="auto"/>
            </w:tcBorders>
            <w:vAlign w:val="center"/>
            <w:hideMark/>
          </w:tcPr>
          <w:p w14:paraId="6182FA16"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Related</w:t>
            </w:r>
            <w:r w:rsidRPr="00531FD3">
              <w:rPr>
                <w:rFonts w:cs="Times New Roman"/>
                <w:sz w:val="20"/>
                <w:szCs w:val="20"/>
              </w:rPr>
              <w:br/>
              <w:t>(%)</w:t>
            </w:r>
          </w:p>
        </w:tc>
        <w:tc>
          <w:tcPr>
            <w:tcW w:w="1239" w:type="dxa"/>
            <w:tcBorders>
              <w:bottom w:val="single" w:sz="4" w:space="0" w:color="auto"/>
            </w:tcBorders>
            <w:vAlign w:val="center"/>
            <w:hideMark/>
          </w:tcPr>
          <w:p w14:paraId="78C0FD4C"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Unrelated</w:t>
            </w:r>
            <w:r w:rsidRPr="00531FD3">
              <w:rPr>
                <w:rFonts w:cs="Times New Roman"/>
                <w:sz w:val="20"/>
                <w:szCs w:val="20"/>
              </w:rPr>
              <w:br/>
              <w:t>(%)</w:t>
            </w:r>
          </w:p>
        </w:tc>
        <w:tc>
          <w:tcPr>
            <w:tcW w:w="1150" w:type="dxa"/>
            <w:vMerge/>
            <w:tcBorders>
              <w:bottom w:val="single" w:sz="4" w:space="0" w:color="auto"/>
            </w:tcBorders>
            <w:vAlign w:val="center"/>
            <w:hideMark/>
          </w:tcPr>
          <w:p w14:paraId="1EC24E9D" w14:textId="77777777" w:rsidR="008576C8" w:rsidRPr="00531FD3" w:rsidRDefault="008576C8" w:rsidP="008576C8">
            <w:pPr>
              <w:snapToGrid w:val="0"/>
              <w:spacing w:line="240" w:lineRule="auto"/>
              <w:ind w:firstLineChars="0" w:firstLine="0"/>
              <w:jc w:val="center"/>
              <w:rPr>
                <w:rFonts w:cs="Times New Roman"/>
                <w:sz w:val="20"/>
                <w:szCs w:val="20"/>
              </w:rPr>
            </w:pPr>
          </w:p>
        </w:tc>
        <w:tc>
          <w:tcPr>
            <w:tcW w:w="1098" w:type="dxa"/>
            <w:vMerge/>
            <w:tcBorders>
              <w:bottom w:val="single" w:sz="4" w:space="0" w:color="auto"/>
            </w:tcBorders>
            <w:vAlign w:val="center"/>
            <w:hideMark/>
          </w:tcPr>
          <w:p w14:paraId="1F4E9635" w14:textId="77777777" w:rsidR="008576C8" w:rsidRPr="00531FD3" w:rsidRDefault="008576C8" w:rsidP="008576C8">
            <w:pPr>
              <w:snapToGrid w:val="0"/>
              <w:spacing w:line="240" w:lineRule="auto"/>
              <w:ind w:firstLineChars="0" w:firstLine="0"/>
              <w:jc w:val="center"/>
              <w:rPr>
                <w:rFonts w:cs="Times New Roman"/>
                <w:sz w:val="20"/>
                <w:szCs w:val="20"/>
              </w:rPr>
            </w:pPr>
          </w:p>
        </w:tc>
        <w:tc>
          <w:tcPr>
            <w:tcW w:w="806" w:type="dxa"/>
            <w:tcBorders>
              <w:bottom w:val="single" w:sz="4" w:space="0" w:color="auto"/>
            </w:tcBorders>
            <w:vAlign w:val="center"/>
            <w:hideMark/>
          </w:tcPr>
          <w:p w14:paraId="24E5396F"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 xml:space="preserve">Cash </w:t>
            </w:r>
            <w:r w:rsidRPr="00531FD3">
              <w:rPr>
                <w:rFonts w:cs="Times New Roman"/>
                <w:sz w:val="20"/>
                <w:szCs w:val="20"/>
              </w:rPr>
              <w:br/>
              <w:t>only</w:t>
            </w:r>
            <w:r w:rsidRPr="00531FD3">
              <w:rPr>
                <w:rFonts w:cs="Times New Roman"/>
                <w:sz w:val="20"/>
                <w:szCs w:val="20"/>
              </w:rPr>
              <w:br/>
              <w:t>(%)</w:t>
            </w:r>
          </w:p>
        </w:tc>
        <w:tc>
          <w:tcPr>
            <w:tcW w:w="813" w:type="dxa"/>
            <w:tcBorders>
              <w:bottom w:val="single" w:sz="4" w:space="0" w:color="auto"/>
            </w:tcBorders>
            <w:vAlign w:val="center"/>
            <w:hideMark/>
          </w:tcPr>
          <w:p w14:paraId="08D92A6C"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 xml:space="preserve">Stock </w:t>
            </w:r>
            <w:r w:rsidRPr="00531FD3">
              <w:rPr>
                <w:rFonts w:cs="Times New Roman"/>
                <w:sz w:val="20"/>
                <w:szCs w:val="20"/>
              </w:rPr>
              <w:br/>
              <w:t>only</w:t>
            </w:r>
            <w:r w:rsidRPr="00531FD3">
              <w:rPr>
                <w:rFonts w:cs="Times New Roman"/>
                <w:sz w:val="20"/>
                <w:szCs w:val="20"/>
              </w:rPr>
              <w:br/>
              <w:t>(%)</w:t>
            </w:r>
          </w:p>
        </w:tc>
        <w:tc>
          <w:tcPr>
            <w:tcW w:w="813" w:type="dxa"/>
            <w:tcBorders>
              <w:bottom w:val="single" w:sz="4" w:space="0" w:color="auto"/>
            </w:tcBorders>
            <w:vAlign w:val="center"/>
            <w:hideMark/>
          </w:tcPr>
          <w:p w14:paraId="0E3D3593"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 xml:space="preserve">Cash and </w:t>
            </w:r>
            <w:r w:rsidRPr="00531FD3">
              <w:rPr>
                <w:rFonts w:cs="Times New Roman"/>
                <w:sz w:val="20"/>
                <w:szCs w:val="20"/>
              </w:rPr>
              <w:br/>
              <w:t>Stock</w:t>
            </w:r>
            <w:r w:rsidRPr="00531FD3">
              <w:rPr>
                <w:rFonts w:cs="Times New Roman"/>
                <w:sz w:val="20"/>
                <w:szCs w:val="20"/>
              </w:rPr>
              <w:br/>
              <w:t>(%)</w:t>
            </w:r>
          </w:p>
        </w:tc>
        <w:tc>
          <w:tcPr>
            <w:tcW w:w="912" w:type="dxa"/>
            <w:tcBorders>
              <w:bottom w:val="single" w:sz="4" w:space="0" w:color="auto"/>
            </w:tcBorders>
            <w:vAlign w:val="center"/>
            <w:hideMark/>
          </w:tcPr>
          <w:p w14:paraId="5D3CEEB0"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Others</w:t>
            </w:r>
            <w:r w:rsidRPr="00531FD3">
              <w:rPr>
                <w:rFonts w:cs="Times New Roman"/>
                <w:sz w:val="20"/>
                <w:szCs w:val="20"/>
              </w:rPr>
              <w:br/>
              <w:t>(%)</w:t>
            </w:r>
          </w:p>
        </w:tc>
        <w:tc>
          <w:tcPr>
            <w:tcW w:w="1354" w:type="dxa"/>
            <w:vMerge/>
            <w:tcBorders>
              <w:bottom w:val="single" w:sz="4" w:space="0" w:color="auto"/>
            </w:tcBorders>
            <w:vAlign w:val="center"/>
            <w:hideMark/>
          </w:tcPr>
          <w:p w14:paraId="059DCF2D" w14:textId="77777777" w:rsidR="008576C8" w:rsidRPr="00531FD3" w:rsidRDefault="008576C8" w:rsidP="008576C8">
            <w:pPr>
              <w:snapToGrid w:val="0"/>
              <w:spacing w:line="240" w:lineRule="auto"/>
              <w:ind w:firstLineChars="0" w:firstLine="0"/>
              <w:jc w:val="center"/>
              <w:rPr>
                <w:rFonts w:cs="Times New Roman"/>
                <w:sz w:val="20"/>
                <w:szCs w:val="20"/>
              </w:rPr>
            </w:pPr>
          </w:p>
        </w:tc>
        <w:tc>
          <w:tcPr>
            <w:tcW w:w="1285" w:type="dxa"/>
            <w:vMerge/>
            <w:tcBorders>
              <w:bottom w:val="single" w:sz="4" w:space="0" w:color="auto"/>
            </w:tcBorders>
            <w:vAlign w:val="center"/>
            <w:hideMark/>
          </w:tcPr>
          <w:p w14:paraId="1221A0C8" w14:textId="77777777" w:rsidR="008576C8" w:rsidRPr="00531FD3" w:rsidRDefault="008576C8" w:rsidP="008576C8">
            <w:pPr>
              <w:snapToGrid w:val="0"/>
              <w:spacing w:line="240" w:lineRule="auto"/>
              <w:ind w:firstLineChars="0" w:firstLine="0"/>
              <w:jc w:val="center"/>
              <w:rPr>
                <w:rFonts w:cs="Times New Roman"/>
                <w:sz w:val="20"/>
                <w:szCs w:val="20"/>
              </w:rPr>
            </w:pPr>
          </w:p>
        </w:tc>
      </w:tr>
      <w:tr w:rsidR="008576C8" w:rsidRPr="00531FD3" w14:paraId="3D670459" w14:textId="77777777" w:rsidTr="008576C8">
        <w:trPr>
          <w:trHeight w:val="360"/>
          <w:jc w:val="center"/>
        </w:trPr>
        <w:tc>
          <w:tcPr>
            <w:tcW w:w="1978" w:type="dxa"/>
            <w:tcBorders>
              <w:top w:val="single" w:sz="4" w:space="0" w:color="auto"/>
              <w:bottom w:val="nil"/>
              <w:right w:val="nil"/>
            </w:tcBorders>
            <w:noWrap/>
            <w:vAlign w:val="center"/>
            <w:hideMark/>
          </w:tcPr>
          <w:p w14:paraId="3E816772"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Basic Materials</w:t>
            </w:r>
          </w:p>
        </w:tc>
        <w:tc>
          <w:tcPr>
            <w:tcW w:w="1354" w:type="dxa"/>
            <w:tcBorders>
              <w:top w:val="single" w:sz="4" w:space="0" w:color="auto"/>
              <w:left w:val="nil"/>
              <w:bottom w:val="nil"/>
              <w:right w:val="nil"/>
            </w:tcBorders>
            <w:noWrap/>
            <w:vAlign w:val="center"/>
            <w:hideMark/>
          </w:tcPr>
          <w:p w14:paraId="056A60C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19</w:t>
            </w:r>
          </w:p>
        </w:tc>
        <w:tc>
          <w:tcPr>
            <w:tcW w:w="1013" w:type="dxa"/>
            <w:tcBorders>
              <w:top w:val="single" w:sz="4" w:space="0" w:color="auto"/>
              <w:left w:val="nil"/>
              <w:bottom w:val="nil"/>
              <w:right w:val="nil"/>
            </w:tcBorders>
            <w:noWrap/>
            <w:vAlign w:val="center"/>
            <w:hideMark/>
          </w:tcPr>
          <w:p w14:paraId="5D0F5608"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10.53</w:t>
            </w:r>
          </w:p>
        </w:tc>
        <w:tc>
          <w:tcPr>
            <w:tcW w:w="1239" w:type="dxa"/>
            <w:tcBorders>
              <w:top w:val="single" w:sz="4" w:space="0" w:color="auto"/>
              <w:left w:val="nil"/>
              <w:bottom w:val="nil"/>
              <w:right w:val="nil"/>
            </w:tcBorders>
            <w:noWrap/>
            <w:vAlign w:val="center"/>
            <w:hideMark/>
          </w:tcPr>
          <w:p w14:paraId="30646366"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89.47</w:t>
            </w:r>
          </w:p>
        </w:tc>
        <w:tc>
          <w:tcPr>
            <w:tcW w:w="1150" w:type="dxa"/>
            <w:tcBorders>
              <w:top w:val="single" w:sz="4" w:space="0" w:color="auto"/>
              <w:left w:val="nil"/>
              <w:bottom w:val="nil"/>
              <w:right w:val="nil"/>
            </w:tcBorders>
            <w:noWrap/>
            <w:vAlign w:val="center"/>
            <w:hideMark/>
          </w:tcPr>
          <w:p w14:paraId="16460883"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91.51</w:t>
            </w:r>
          </w:p>
        </w:tc>
        <w:tc>
          <w:tcPr>
            <w:tcW w:w="1098" w:type="dxa"/>
            <w:tcBorders>
              <w:top w:val="single" w:sz="4" w:space="0" w:color="auto"/>
              <w:left w:val="nil"/>
              <w:bottom w:val="nil"/>
              <w:right w:val="nil"/>
            </w:tcBorders>
            <w:noWrap/>
            <w:vAlign w:val="center"/>
            <w:hideMark/>
          </w:tcPr>
          <w:p w14:paraId="17C155D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219.30</w:t>
            </w:r>
          </w:p>
        </w:tc>
        <w:tc>
          <w:tcPr>
            <w:tcW w:w="806" w:type="dxa"/>
            <w:tcBorders>
              <w:top w:val="single" w:sz="4" w:space="0" w:color="auto"/>
              <w:left w:val="nil"/>
              <w:bottom w:val="nil"/>
              <w:right w:val="nil"/>
            </w:tcBorders>
            <w:noWrap/>
            <w:vAlign w:val="center"/>
            <w:hideMark/>
          </w:tcPr>
          <w:p w14:paraId="6F07FC0A"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60.42</w:t>
            </w:r>
          </w:p>
        </w:tc>
        <w:tc>
          <w:tcPr>
            <w:tcW w:w="813" w:type="dxa"/>
            <w:tcBorders>
              <w:top w:val="single" w:sz="4" w:space="0" w:color="auto"/>
              <w:left w:val="nil"/>
              <w:bottom w:val="nil"/>
              <w:right w:val="nil"/>
            </w:tcBorders>
            <w:noWrap/>
            <w:vAlign w:val="center"/>
            <w:hideMark/>
          </w:tcPr>
          <w:p w14:paraId="205CF609"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w:t>
            </w:r>
          </w:p>
        </w:tc>
        <w:tc>
          <w:tcPr>
            <w:tcW w:w="813" w:type="dxa"/>
            <w:tcBorders>
              <w:top w:val="single" w:sz="4" w:space="0" w:color="auto"/>
              <w:left w:val="nil"/>
              <w:bottom w:val="nil"/>
              <w:right w:val="nil"/>
            </w:tcBorders>
            <w:noWrap/>
            <w:vAlign w:val="center"/>
            <w:hideMark/>
          </w:tcPr>
          <w:p w14:paraId="2957680D"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1.08</w:t>
            </w:r>
          </w:p>
        </w:tc>
        <w:tc>
          <w:tcPr>
            <w:tcW w:w="912" w:type="dxa"/>
            <w:tcBorders>
              <w:top w:val="single" w:sz="4" w:space="0" w:color="auto"/>
              <w:left w:val="nil"/>
              <w:bottom w:val="nil"/>
              <w:right w:val="nil"/>
            </w:tcBorders>
            <w:noWrap/>
            <w:vAlign w:val="center"/>
            <w:hideMark/>
          </w:tcPr>
          <w:p w14:paraId="193F77B8"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38.5</w:t>
            </w:r>
          </w:p>
        </w:tc>
        <w:tc>
          <w:tcPr>
            <w:tcW w:w="1354" w:type="dxa"/>
            <w:tcBorders>
              <w:top w:val="single" w:sz="4" w:space="0" w:color="auto"/>
              <w:left w:val="nil"/>
              <w:bottom w:val="nil"/>
              <w:right w:val="nil"/>
            </w:tcBorders>
            <w:noWrap/>
            <w:vAlign w:val="center"/>
            <w:hideMark/>
          </w:tcPr>
          <w:p w14:paraId="32E07BC7"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3179.76</w:t>
            </w:r>
          </w:p>
        </w:tc>
        <w:tc>
          <w:tcPr>
            <w:tcW w:w="1285" w:type="dxa"/>
            <w:tcBorders>
              <w:top w:val="single" w:sz="4" w:space="0" w:color="auto"/>
              <w:left w:val="nil"/>
              <w:bottom w:val="nil"/>
            </w:tcBorders>
            <w:noWrap/>
            <w:vAlign w:val="center"/>
            <w:hideMark/>
          </w:tcPr>
          <w:p w14:paraId="68F94207"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-5.59</w:t>
            </w:r>
          </w:p>
        </w:tc>
      </w:tr>
      <w:tr w:rsidR="008576C8" w:rsidRPr="00531FD3" w14:paraId="6BE8F829" w14:textId="77777777" w:rsidTr="008576C8">
        <w:trPr>
          <w:trHeight w:val="360"/>
          <w:jc w:val="center"/>
        </w:trPr>
        <w:tc>
          <w:tcPr>
            <w:tcW w:w="1978" w:type="dxa"/>
            <w:tcBorders>
              <w:top w:val="nil"/>
              <w:bottom w:val="nil"/>
              <w:right w:val="nil"/>
            </w:tcBorders>
            <w:noWrap/>
            <w:vAlign w:val="center"/>
            <w:hideMark/>
          </w:tcPr>
          <w:p w14:paraId="341EA333"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Communications</w:t>
            </w:r>
          </w:p>
        </w:tc>
        <w:tc>
          <w:tcPr>
            <w:tcW w:w="1354" w:type="dxa"/>
            <w:tcBorders>
              <w:top w:val="nil"/>
              <w:left w:val="nil"/>
              <w:bottom w:val="nil"/>
              <w:right w:val="nil"/>
            </w:tcBorders>
            <w:noWrap/>
            <w:vAlign w:val="center"/>
            <w:hideMark/>
          </w:tcPr>
          <w:p w14:paraId="16679F5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28</w:t>
            </w:r>
          </w:p>
        </w:tc>
        <w:tc>
          <w:tcPr>
            <w:tcW w:w="1013" w:type="dxa"/>
            <w:tcBorders>
              <w:top w:val="nil"/>
              <w:left w:val="nil"/>
              <w:bottom w:val="nil"/>
              <w:right w:val="nil"/>
            </w:tcBorders>
            <w:noWrap/>
            <w:vAlign w:val="center"/>
            <w:hideMark/>
          </w:tcPr>
          <w:p w14:paraId="20588ED8"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28.57</w:t>
            </w:r>
          </w:p>
        </w:tc>
        <w:tc>
          <w:tcPr>
            <w:tcW w:w="1239" w:type="dxa"/>
            <w:tcBorders>
              <w:top w:val="nil"/>
              <w:left w:val="nil"/>
              <w:bottom w:val="nil"/>
              <w:right w:val="nil"/>
            </w:tcBorders>
            <w:noWrap/>
            <w:vAlign w:val="center"/>
            <w:hideMark/>
          </w:tcPr>
          <w:p w14:paraId="006CBDD4"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71.43</w:t>
            </w:r>
          </w:p>
        </w:tc>
        <w:tc>
          <w:tcPr>
            <w:tcW w:w="1150" w:type="dxa"/>
            <w:tcBorders>
              <w:top w:val="nil"/>
              <w:left w:val="nil"/>
              <w:bottom w:val="nil"/>
              <w:right w:val="nil"/>
            </w:tcBorders>
            <w:noWrap/>
            <w:vAlign w:val="center"/>
            <w:hideMark/>
          </w:tcPr>
          <w:p w14:paraId="66BB1AD2"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86.34</w:t>
            </w:r>
          </w:p>
        </w:tc>
        <w:tc>
          <w:tcPr>
            <w:tcW w:w="1098" w:type="dxa"/>
            <w:tcBorders>
              <w:top w:val="nil"/>
              <w:left w:val="nil"/>
              <w:bottom w:val="nil"/>
              <w:right w:val="nil"/>
            </w:tcBorders>
            <w:noWrap/>
            <w:vAlign w:val="center"/>
            <w:hideMark/>
          </w:tcPr>
          <w:p w14:paraId="3300DBF5"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747.28</w:t>
            </w:r>
          </w:p>
        </w:tc>
        <w:tc>
          <w:tcPr>
            <w:tcW w:w="806" w:type="dxa"/>
            <w:tcBorders>
              <w:top w:val="nil"/>
              <w:left w:val="nil"/>
              <w:bottom w:val="nil"/>
              <w:right w:val="nil"/>
            </w:tcBorders>
            <w:noWrap/>
            <w:vAlign w:val="center"/>
            <w:hideMark/>
          </w:tcPr>
          <w:p w14:paraId="43031A00" w14:textId="77777777" w:rsidR="008576C8" w:rsidRPr="00531FD3" w:rsidRDefault="008576C8" w:rsidP="008576C8">
            <w:pPr>
              <w:snapToGrid w:val="0"/>
              <w:spacing w:line="240" w:lineRule="auto"/>
              <w:ind w:firstLineChars="0" w:firstLine="0"/>
              <w:rPr>
                <w:rFonts w:cs="Times New Roman"/>
                <w:sz w:val="20"/>
                <w:szCs w:val="20"/>
                <w:lang w:val="en-GB"/>
              </w:rPr>
            </w:pPr>
            <w:r w:rsidRPr="00531FD3">
              <w:rPr>
                <w:rFonts w:cs="Times New Roman"/>
                <w:sz w:val="20"/>
                <w:szCs w:val="20"/>
              </w:rPr>
              <w:t xml:space="preserve"> 94.48</w:t>
            </w:r>
          </w:p>
        </w:tc>
        <w:tc>
          <w:tcPr>
            <w:tcW w:w="813" w:type="dxa"/>
            <w:tcBorders>
              <w:top w:val="nil"/>
              <w:left w:val="nil"/>
              <w:bottom w:val="nil"/>
              <w:right w:val="nil"/>
            </w:tcBorders>
            <w:noWrap/>
            <w:vAlign w:val="center"/>
            <w:hideMark/>
          </w:tcPr>
          <w:p w14:paraId="69093D3A"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0.23</w:t>
            </w:r>
          </w:p>
        </w:tc>
        <w:tc>
          <w:tcPr>
            <w:tcW w:w="813" w:type="dxa"/>
            <w:tcBorders>
              <w:top w:val="nil"/>
              <w:left w:val="nil"/>
              <w:bottom w:val="nil"/>
              <w:right w:val="nil"/>
            </w:tcBorders>
            <w:noWrap/>
            <w:vAlign w:val="center"/>
            <w:hideMark/>
          </w:tcPr>
          <w:p w14:paraId="227EC1FF"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w:t>
            </w:r>
          </w:p>
        </w:tc>
        <w:tc>
          <w:tcPr>
            <w:tcW w:w="912" w:type="dxa"/>
            <w:tcBorders>
              <w:top w:val="nil"/>
              <w:left w:val="nil"/>
              <w:bottom w:val="nil"/>
              <w:right w:val="nil"/>
            </w:tcBorders>
            <w:noWrap/>
            <w:vAlign w:val="center"/>
            <w:hideMark/>
          </w:tcPr>
          <w:p w14:paraId="73E52B00"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5.29</w:t>
            </w:r>
          </w:p>
        </w:tc>
        <w:tc>
          <w:tcPr>
            <w:tcW w:w="1354" w:type="dxa"/>
            <w:tcBorders>
              <w:top w:val="nil"/>
              <w:left w:val="nil"/>
              <w:bottom w:val="nil"/>
              <w:right w:val="nil"/>
            </w:tcBorders>
            <w:noWrap/>
            <w:vAlign w:val="center"/>
            <w:hideMark/>
          </w:tcPr>
          <w:p w14:paraId="39AF9743"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2060.30</w:t>
            </w:r>
          </w:p>
        </w:tc>
        <w:tc>
          <w:tcPr>
            <w:tcW w:w="1285" w:type="dxa"/>
            <w:tcBorders>
              <w:top w:val="nil"/>
              <w:left w:val="nil"/>
              <w:bottom w:val="nil"/>
            </w:tcBorders>
            <w:noWrap/>
            <w:vAlign w:val="center"/>
            <w:hideMark/>
          </w:tcPr>
          <w:p w14:paraId="204AAD59"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0.81</w:t>
            </w:r>
          </w:p>
        </w:tc>
      </w:tr>
      <w:tr w:rsidR="008576C8" w:rsidRPr="00531FD3" w14:paraId="1A37FC30" w14:textId="77777777" w:rsidTr="008576C8">
        <w:trPr>
          <w:trHeight w:val="360"/>
          <w:jc w:val="center"/>
        </w:trPr>
        <w:tc>
          <w:tcPr>
            <w:tcW w:w="1978" w:type="dxa"/>
            <w:tcBorders>
              <w:top w:val="nil"/>
              <w:bottom w:val="nil"/>
              <w:right w:val="nil"/>
            </w:tcBorders>
            <w:noWrap/>
            <w:vAlign w:val="center"/>
            <w:hideMark/>
          </w:tcPr>
          <w:p w14:paraId="63852C03"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Consumer, Cyclical</w:t>
            </w:r>
          </w:p>
        </w:tc>
        <w:tc>
          <w:tcPr>
            <w:tcW w:w="1354" w:type="dxa"/>
            <w:tcBorders>
              <w:top w:val="nil"/>
              <w:left w:val="nil"/>
              <w:bottom w:val="nil"/>
              <w:right w:val="nil"/>
            </w:tcBorders>
            <w:noWrap/>
            <w:vAlign w:val="center"/>
            <w:hideMark/>
          </w:tcPr>
          <w:p w14:paraId="06F65752"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58</w:t>
            </w:r>
          </w:p>
        </w:tc>
        <w:tc>
          <w:tcPr>
            <w:tcW w:w="1013" w:type="dxa"/>
            <w:tcBorders>
              <w:top w:val="nil"/>
              <w:left w:val="nil"/>
              <w:bottom w:val="nil"/>
              <w:right w:val="nil"/>
            </w:tcBorders>
            <w:noWrap/>
            <w:vAlign w:val="center"/>
            <w:hideMark/>
          </w:tcPr>
          <w:p w14:paraId="33808B4E"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32.76</w:t>
            </w:r>
          </w:p>
        </w:tc>
        <w:tc>
          <w:tcPr>
            <w:tcW w:w="1239" w:type="dxa"/>
            <w:tcBorders>
              <w:top w:val="nil"/>
              <w:left w:val="nil"/>
              <w:bottom w:val="nil"/>
              <w:right w:val="nil"/>
            </w:tcBorders>
            <w:noWrap/>
            <w:vAlign w:val="center"/>
            <w:hideMark/>
          </w:tcPr>
          <w:p w14:paraId="656CF0BF"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67.24</w:t>
            </w:r>
          </w:p>
        </w:tc>
        <w:tc>
          <w:tcPr>
            <w:tcW w:w="1150" w:type="dxa"/>
            <w:tcBorders>
              <w:top w:val="nil"/>
              <w:left w:val="nil"/>
              <w:bottom w:val="nil"/>
              <w:right w:val="nil"/>
            </w:tcBorders>
            <w:noWrap/>
            <w:vAlign w:val="center"/>
            <w:hideMark/>
          </w:tcPr>
          <w:p w14:paraId="1F5CBF2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84.11</w:t>
            </w:r>
          </w:p>
        </w:tc>
        <w:tc>
          <w:tcPr>
            <w:tcW w:w="1098" w:type="dxa"/>
            <w:tcBorders>
              <w:top w:val="nil"/>
              <w:left w:val="nil"/>
              <w:bottom w:val="nil"/>
              <w:right w:val="nil"/>
            </w:tcBorders>
            <w:noWrap/>
            <w:vAlign w:val="center"/>
            <w:hideMark/>
          </w:tcPr>
          <w:p w14:paraId="441F21DA"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348.55</w:t>
            </w:r>
          </w:p>
        </w:tc>
        <w:tc>
          <w:tcPr>
            <w:tcW w:w="806" w:type="dxa"/>
            <w:tcBorders>
              <w:top w:val="nil"/>
              <w:left w:val="nil"/>
              <w:bottom w:val="nil"/>
              <w:right w:val="nil"/>
            </w:tcBorders>
            <w:noWrap/>
            <w:vAlign w:val="center"/>
            <w:hideMark/>
          </w:tcPr>
          <w:p w14:paraId="79626F60"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63.53</w:t>
            </w:r>
          </w:p>
        </w:tc>
        <w:tc>
          <w:tcPr>
            <w:tcW w:w="813" w:type="dxa"/>
            <w:tcBorders>
              <w:top w:val="nil"/>
              <w:left w:val="nil"/>
              <w:bottom w:val="nil"/>
              <w:right w:val="nil"/>
            </w:tcBorders>
            <w:noWrap/>
            <w:vAlign w:val="center"/>
            <w:hideMark/>
          </w:tcPr>
          <w:p w14:paraId="5057A525"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13.51</w:t>
            </w:r>
          </w:p>
        </w:tc>
        <w:tc>
          <w:tcPr>
            <w:tcW w:w="813" w:type="dxa"/>
            <w:tcBorders>
              <w:top w:val="nil"/>
              <w:left w:val="nil"/>
              <w:bottom w:val="nil"/>
              <w:right w:val="nil"/>
            </w:tcBorders>
            <w:noWrap/>
            <w:vAlign w:val="center"/>
            <w:hideMark/>
          </w:tcPr>
          <w:p w14:paraId="4D674C3D"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13.37</w:t>
            </w:r>
          </w:p>
        </w:tc>
        <w:tc>
          <w:tcPr>
            <w:tcW w:w="912" w:type="dxa"/>
            <w:tcBorders>
              <w:top w:val="nil"/>
              <w:left w:val="nil"/>
              <w:bottom w:val="nil"/>
              <w:right w:val="nil"/>
            </w:tcBorders>
            <w:noWrap/>
            <w:vAlign w:val="center"/>
            <w:hideMark/>
          </w:tcPr>
          <w:p w14:paraId="0EE4AB29"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9.59</w:t>
            </w:r>
          </w:p>
        </w:tc>
        <w:tc>
          <w:tcPr>
            <w:tcW w:w="1354" w:type="dxa"/>
            <w:tcBorders>
              <w:top w:val="nil"/>
              <w:left w:val="nil"/>
              <w:bottom w:val="nil"/>
              <w:right w:val="nil"/>
            </w:tcBorders>
            <w:noWrap/>
            <w:vAlign w:val="center"/>
            <w:hideMark/>
          </w:tcPr>
          <w:p w14:paraId="7587060E"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3853.62</w:t>
            </w:r>
          </w:p>
        </w:tc>
        <w:tc>
          <w:tcPr>
            <w:tcW w:w="1285" w:type="dxa"/>
            <w:tcBorders>
              <w:top w:val="nil"/>
              <w:left w:val="nil"/>
              <w:bottom w:val="nil"/>
            </w:tcBorders>
            <w:noWrap/>
            <w:vAlign w:val="center"/>
            <w:hideMark/>
          </w:tcPr>
          <w:p w14:paraId="58002FD6"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4.42</w:t>
            </w:r>
          </w:p>
        </w:tc>
      </w:tr>
      <w:tr w:rsidR="008576C8" w:rsidRPr="00531FD3" w14:paraId="6B171237" w14:textId="77777777" w:rsidTr="008576C8">
        <w:trPr>
          <w:trHeight w:val="360"/>
          <w:jc w:val="center"/>
        </w:trPr>
        <w:tc>
          <w:tcPr>
            <w:tcW w:w="1978" w:type="dxa"/>
            <w:tcBorders>
              <w:top w:val="nil"/>
              <w:bottom w:val="nil"/>
              <w:right w:val="nil"/>
            </w:tcBorders>
            <w:noWrap/>
            <w:vAlign w:val="center"/>
            <w:hideMark/>
          </w:tcPr>
          <w:p w14:paraId="70D26FF0"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Consumer, Non-cyclical</w:t>
            </w:r>
          </w:p>
        </w:tc>
        <w:tc>
          <w:tcPr>
            <w:tcW w:w="1354" w:type="dxa"/>
            <w:tcBorders>
              <w:top w:val="nil"/>
              <w:left w:val="nil"/>
              <w:bottom w:val="nil"/>
              <w:right w:val="nil"/>
            </w:tcBorders>
            <w:noWrap/>
            <w:vAlign w:val="center"/>
            <w:hideMark/>
          </w:tcPr>
          <w:p w14:paraId="541D345C"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58</w:t>
            </w:r>
          </w:p>
        </w:tc>
        <w:tc>
          <w:tcPr>
            <w:tcW w:w="1013" w:type="dxa"/>
            <w:tcBorders>
              <w:top w:val="nil"/>
              <w:left w:val="nil"/>
              <w:bottom w:val="nil"/>
              <w:right w:val="nil"/>
            </w:tcBorders>
            <w:noWrap/>
            <w:vAlign w:val="center"/>
            <w:hideMark/>
          </w:tcPr>
          <w:p w14:paraId="7F6E9618"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17.24</w:t>
            </w:r>
          </w:p>
        </w:tc>
        <w:tc>
          <w:tcPr>
            <w:tcW w:w="1239" w:type="dxa"/>
            <w:tcBorders>
              <w:top w:val="nil"/>
              <w:left w:val="nil"/>
              <w:bottom w:val="nil"/>
              <w:right w:val="nil"/>
            </w:tcBorders>
            <w:noWrap/>
            <w:vAlign w:val="center"/>
            <w:hideMark/>
          </w:tcPr>
          <w:p w14:paraId="50810D68"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82.76</w:t>
            </w:r>
          </w:p>
        </w:tc>
        <w:tc>
          <w:tcPr>
            <w:tcW w:w="1150" w:type="dxa"/>
            <w:tcBorders>
              <w:top w:val="nil"/>
              <w:left w:val="nil"/>
              <w:bottom w:val="nil"/>
              <w:right w:val="nil"/>
            </w:tcBorders>
            <w:noWrap/>
            <w:vAlign w:val="center"/>
            <w:hideMark/>
          </w:tcPr>
          <w:p w14:paraId="01EC1DD6"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84.33</w:t>
            </w:r>
          </w:p>
        </w:tc>
        <w:tc>
          <w:tcPr>
            <w:tcW w:w="1098" w:type="dxa"/>
            <w:tcBorders>
              <w:top w:val="nil"/>
              <w:left w:val="nil"/>
              <w:bottom w:val="nil"/>
              <w:right w:val="nil"/>
            </w:tcBorders>
            <w:noWrap/>
            <w:vAlign w:val="center"/>
            <w:hideMark/>
          </w:tcPr>
          <w:p w14:paraId="5A41400E"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253.31</w:t>
            </w:r>
          </w:p>
        </w:tc>
        <w:tc>
          <w:tcPr>
            <w:tcW w:w="806" w:type="dxa"/>
            <w:tcBorders>
              <w:top w:val="nil"/>
              <w:left w:val="nil"/>
              <w:bottom w:val="nil"/>
              <w:right w:val="nil"/>
            </w:tcBorders>
            <w:noWrap/>
            <w:vAlign w:val="center"/>
            <w:hideMark/>
          </w:tcPr>
          <w:p w14:paraId="1443447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47.78</w:t>
            </w:r>
          </w:p>
        </w:tc>
        <w:tc>
          <w:tcPr>
            <w:tcW w:w="813" w:type="dxa"/>
            <w:tcBorders>
              <w:top w:val="nil"/>
              <w:left w:val="nil"/>
              <w:bottom w:val="nil"/>
              <w:right w:val="nil"/>
            </w:tcBorders>
            <w:noWrap/>
            <w:vAlign w:val="center"/>
            <w:hideMark/>
          </w:tcPr>
          <w:p w14:paraId="73A63882"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27.19</w:t>
            </w:r>
          </w:p>
        </w:tc>
        <w:tc>
          <w:tcPr>
            <w:tcW w:w="813" w:type="dxa"/>
            <w:tcBorders>
              <w:top w:val="nil"/>
              <w:left w:val="nil"/>
              <w:bottom w:val="nil"/>
              <w:right w:val="nil"/>
            </w:tcBorders>
            <w:noWrap/>
            <w:vAlign w:val="center"/>
            <w:hideMark/>
          </w:tcPr>
          <w:p w14:paraId="4AD2C4AB"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10.02</w:t>
            </w:r>
          </w:p>
        </w:tc>
        <w:tc>
          <w:tcPr>
            <w:tcW w:w="912" w:type="dxa"/>
            <w:tcBorders>
              <w:top w:val="nil"/>
              <w:left w:val="nil"/>
              <w:bottom w:val="nil"/>
              <w:right w:val="nil"/>
            </w:tcBorders>
            <w:noWrap/>
            <w:vAlign w:val="center"/>
            <w:hideMark/>
          </w:tcPr>
          <w:p w14:paraId="12CFAE43"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15.01</w:t>
            </w:r>
          </w:p>
        </w:tc>
        <w:tc>
          <w:tcPr>
            <w:tcW w:w="1354" w:type="dxa"/>
            <w:tcBorders>
              <w:top w:val="nil"/>
              <w:left w:val="nil"/>
              <w:bottom w:val="nil"/>
              <w:right w:val="nil"/>
            </w:tcBorders>
            <w:noWrap/>
            <w:vAlign w:val="center"/>
            <w:hideMark/>
          </w:tcPr>
          <w:p w14:paraId="445D0786"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1942.34</w:t>
            </w:r>
          </w:p>
        </w:tc>
        <w:tc>
          <w:tcPr>
            <w:tcW w:w="1285" w:type="dxa"/>
            <w:tcBorders>
              <w:top w:val="nil"/>
              <w:left w:val="nil"/>
              <w:bottom w:val="nil"/>
            </w:tcBorders>
            <w:noWrap/>
            <w:vAlign w:val="center"/>
            <w:hideMark/>
          </w:tcPr>
          <w:p w14:paraId="3FF66896"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7.82</w:t>
            </w:r>
          </w:p>
        </w:tc>
      </w:tr>
      <w:tr w:rsidR="008576C8" w:rsidRPr="00531FD3" w14:paraId="48718114" w14:textId="77777777" w:rsidTr="008576C8">
        <w:trPr>
          <w:trHeight w:val="360"/>
          <w:jc w:val="center"/>
        </w:trPr>
        <w:tc>
          <w:tcPr>
            <w:tcW w:w="1978" w:type="dxa"/>
            <w:tcBorders>
              <w:top w:val="nil"/>
              <w:bottom w:val="nil"/>
              <w:right w:val="nil"/>
            </w:tcBorders>
            <w:noWrap/>
            <w:vAlign w:val="center"/>
            <w:hideMark/>
          </w:tcPr>
          <w:p w14:paraId="6F22AC02"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Diversified</w:t>
            </w:r>
          </w:p>
        </w:tc>
        <w:tc>
          <w:tcPr>
            <w:tcW w:w="1354" w:type="dxa"/>
            <w:tcBorders>
              <w:top w:val="nil"/>
              <w:left w:val="nil"/>
              <w:bottom w:val="nil"/>
              <w:right w:val="nil"/>
            </w:tcBorders>
            <w:noWrap/>
            <w:vAlign w:val="center"/>
            <w:hideMark/>
          </w:tcPr>
          <w:p w14:paraId="202DB573"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18</w:t>
            </w:r>
          </w:p>
        </w:tc>
        <w:tc>
          <w:tcPr>
            <w:tcW w:w="1013" w:type="dxa"/>
            <w:tcBorders>
              <w:top w:val="nil"/>
              <w:left w:val="nil"/>
              <w:bottom w:val="nil"/>
              <w:right w:val="nil"/>
            </w:tcBorders>
            <w:noWrap/>
            <w:vAlign w:val="center"/>
            <w:hideMark/>
          </w:tcPr>
          <w:p w14:paraId="1496C5D6"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16.67</w:t>
            </w:r>
          </w:p>
        </w:tc>
        <w:tc>
          <w:tcPr>
            <w:tcW w:w="1239" w:type="dxa"/>
            <w:tcBorders>
              <w:top w:val="nil"/>
              <w:left w:val="nil"/>
              <w:bottom w:val="nil"/>
              <w:right w:val="nil"/>
            </w:tcBorders>
            <w:noWrap/>
            <w:vAlign w:val="center"/>
            <w:hideMark/>
          </w:tcPr>
          <w:p w14:paraId="77305A09"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83.33</w:t>
            </w:r>
          </w:p>
        </w:tc>
        <w:tc>
          <w:tcPr>
            <w:tcW w:w="1150" w:type="dxa"/>
            <w:tcBorders>
              <w:top w:val="nil"/>
              <w:left w:val="nil"/>
              <w:bottom w:val="nil"/>
              <w:right w:val="nil"/>
            </w:tcBorders>
            <w:noWrap/>
            <w:vAlign w:val="center"/>
            <w:hideMark/>
          </w:tcPr>
          <w:p w14:paraId="14FB0D6C"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85.</w:t>
            </w:r>
            <w:r w:rsidRPr="00531FD3">
              <w:rPr>
                <w:rFonts w:cs="Times New Roman"/>
                <w:sz w:val="20"/>
                <w:szCs w:val="20"/>
                <w:lang w:val="en-GB"/>
              </w:rPr>
              <w:t>95</w:t>
            </w:r>
          </w:p>
        </w:tc>
        <w:tc>
          <w:tcPr>
            <w:tcW w:w="1098" w:type="dxa"/>
            <w:tcBorders>
              <w:top w:val="nil"/>
              <w:left w:val="nil"/>
              <w:bottom w:val="nil"/>
              <w:right w:val="nil"/>
            </w:tcBorders>
            <w:noWrap/>
            <w:vAlign w:val="center"/>
            <w:hideMark/>
          </w:tcPr>
          <w:p w14:paraId="7E3EAF56"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1780.90</w:t>
            </w:r>
          </w:p>
        </w:tc>
        <w:tc>
          <w:tcPr>
            <w:tcW w:w="806" w:type="dxa"/>
            <w:tcBorders>
              <w:top w:val="nil"/>
              <w:left w:val="nil"/>
              <w:bottom w:val="nil"/>
              <w:right w:val="nil"/>
            </w:tcBorders>
            <w:noWrap/>
            <w:vAlign w:val="center"/>
            <w:hideMark/>
          </w:tcPr>
          <w:p w14:paraId="45D984E8"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93.33</w:t>
            </w:r>
          </w:p>
        </w:tc>
        <w:tc>
          <w:tcPr>
            <w:tcW w:w="813" w:type="dxa"/>
            <w:tcBorders>
              <w:top w:val="nil"/>
              <w:left w:val="nil"/>
              <w:bottom w:val="nil"/>
              <w:right w:val="nil"/>
            </w:tcBorders>
            <w:noWrap/>
            <w:vAlign w:val="center"/>
            <w:hideMark/>
          </w:tcPr>
          <w:p w14:paraId="44CC8C20"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0.87</w:t>
            </w:r>
          </w:p>
        </w:tc>
        <w:tc>
          <w:tcPr>
            <w:tcW w:w="813" w:type="dxa"/>
            <w:tcBorders>
              <w:top w:val="nil"/>
              <w:left w:val="nil"/>
              <w:bottom w:val="nil"/>
              <w:right w:val="nil"/>
            </w:tcBorders>
            <w:noWrap/>
            <w:vAlign w:val="center"/>
            <w:hideMark/>
          </w:tcPr>
          <w:p w14:paraId="76288B47"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w:t>
            </w:r>
          </w:p>
        </w:tc>
        <w:tc>
          <w:tcPr>
            <w:tcW w:w="912" w:type="dxa"/>
            <w:tcBorders>
              <w:top w:val="nil"/>
              <w:left w:val="nil"/>
              <w:bottom w:val="nil"/>
              <w:right w:val="nil"/>
            </w:tcBorders>
            <w:noWrap/>
            <w:vAlign w:val="center"/>
            <w:hideMark/>
          </w:tcPr>
          <w:p w14:paraId="0C7412F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5.8</w:t>
            </w:r>
          </w:p>
        </w:tc>
        <w:tc>
          <w:tcPr>
            <w:tcW w:w="1354" w:type="dxa"/>
            <w:tcBorders>
              <w:top w:val="nil"/>
              <w:left w:val="nil"/>
              <w:bottom w:val="nil"/>
              <w:right w:val="nil"/>
            </w:tcBorders>
            <w:noWrap/>
            <w:vAlign w:val="center"/>
            <w:hideMark/>
          </w:tcPr>
          <w:p w14:paraId="5C083E0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11925.06</w:t>
            </w:r>
          </w:p>
        </w:tc>
        <w:tc>
          <w:tcPr>
            <w:tcW w:w="1285" w:type="dxa"/>
            <w:tcBorders>
              <w:top w:val="nil"/>
              <w:left w:val="nil"/>
              <w:bottom w:val="nil"/>
            </w:tcBorders>
            <w:noWrap/>
            <w:vAlign w:val="center"/>
            <w:hideMark/>
          </w:tcPr>
          <w:p w14:paraId="4341A55C"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18.98</w:t>
            </w:r>
          </w:p>
        </w:tc>
      </w:tr>
      <w:tr w:rsidR="008576C8" w:rsidRPr="00531FD3" w14:paraId="1428F7FD" w14:textId="77777777" w:rsidTr="008576C8">
        <w:trPr>
          <w:trHeight w:val="360"/>
          <w:jc w:val="center"/>
        </w:trPr>
        <w:tc>
          <w:tcPr>
            <w:tcW w:w="1978" w:type="dxa"/>
            <w:tcBorders>
              <w:top w:val="nil"/>
              <w:bottom w:val="nil"/>
              <w:right w:val="nil"/>
            </w:tcBorders>
            <w:noWrap/>
            <w:vAlign w:val="center"/>
            <w:hideMark/>
          </w:tcPr>
          <w:p w14:paraId="4571C11E"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Energy</w:t>
            </w:r>
          </w:p>
        </w:tc>
        <w:tc>
          <w:tcPr>
            <w:tcW w:w="1354" w:type="dxa"/>
            <w:tcBorders>
              <w:top w:val="nil"/>
              <w:left w:val="nil"/>
              <w:bottom w:val="nil"/>
              <w:right w:val="nil"/>
            </w:tcBorders>
            <w:noWrap/>
            <w:vAlign w:val="center"/>
            <w:hideMark/>
          </w:tcPr>
          <w:p w14:paraId="380A8878"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6</w:t>
            </w:r>
          </w:p>
        </w:tc>
        <w:tc>
          <w:tcPr>
            <w:tcW w:w="1013" w:type="dxa"/>
            <w:tcBorders>
              <w:top w:val="nil"/>
              <w:left w:val="nil"/>
              <w:bottom w:val="nil"/>
              <w:right w:val="nil"/>
            </w:tcBorders>
            <w:noWrap/>
            <w:vAlign w:val="center"/>
            <w:hideMark/>
          </w:tcPr>
          <w:p w14:paraId="07224501"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 xml:space="preserve">   33.33</w:t>
            </w:r>
          </w:p>
        </w:tc>
        <w:tc>
          <w:tcPr>
            <w:tcW w:w="1239" w:type="dxa"/>
            <w:tcBorders>
              <w:top w:val="nil"/>
              <w:left w:val="nil"/>
              <w:bottom w:val="nil"/>
              <w:right w:val="nil"/>
            </w:tcBorders>
            <w:noWrap/>
            <w:vAlign w:val="center"/>
            <w:hideMark/>
          </w:tcPr>
          <w:p w14:paraId="48BDEFE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lang w:val="en-GB"/>
              </w:rPr>
              <w:t>66.67</w:t>
            </w:r>
          </w:p>
        </w:tc>
        <w:tc>
          <w:tcPr>
            <w:tcW w:w="1150" w:type="dxa"/>
            <w:tcBorders>
              <w:top w:val="nil"/>
              <w:left w:val="nil"/>
              <w:bottom w:val="nil"/>
              <w:right w:val="nil"/>
            </w:tcBorders>
            <w:noWrap/>
            <w:vAlign w:val="center"/>
            <w:hideMark/>
          </w:tcPr>
          <w:p w14:paraId="39AA82FC"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78.33</w:t>
            </w:r>
          </w:p>
        </w:tc>
        <w:tc>
          <w:tcPr>
            <w:tcW w:w="1098" w:type="dxa"/>
            <w:tcBorders>
              <w:top w:val="nil"/>
              <w:left w:val="nil"/>
              <w:bottom w:val="nil"/>
              <w:right w:val="nil"/>
            </w:tcBorders>
            <w:noWrap/>
            <w:vAlign w:val="center"/>
            <w:hideMark/>
          </w:tcPr>
          <w:p w14:paraId="5D6FCB3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429.48</w:t>
            </w:r>
          </w:p>
        </w:tc>
        <w:tc>
          <w:tcPr>
            <w:tcW w:w="806" w:type="dxa"/>
            <w:tcBorders>
              <w:top w:val="nil"/>
              <w:left w:val="nil"/>
              <w:bottom w:val="nil"/>
              <w:right w:val="nil"/>
            </w:tcBorders>
            <w:noWrap/>
            <w:vAlign w:val="center"/>
            <w:hideMark/>
          </w:tcPr>
          <w:p w14:paraId="24D5179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96.12</w:t>
            </w:r>
          </w:p>
        </w:tc>
        <w:tc>
          <w:tcPr>
            <w:tcW w:w="813" w:type="dxa"/>
            <w:tcBorders>
              <w:top w:val="nil"/>
              <w:left w:val="nil"/>
              <w:bottom w:val="nil"/>
              <w:right w:val="nil"/>
            </w:tcBorders>
            <w:noWrap/>
            <w:vAlign w:val="center"/>
            <w:hideMark/>
          </w:tcPr>
          <w:p w14:paraId="1DF6BE52"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w:t>
            </w:r>
          </w:p>
        </w:tc>
        <w:tc>
          <w:tcPr>
            <w:tcW w:w="813" w:type="dxa"/>
            <w:tcBorders>
              <w:top w:val="nil"/>
              <w:left w:val="nil"/>
              <w:bottom w:val="nil"/>
              <w:right w:val="nil"/>
            </w:tcBorders>
            <w:noWrap/>
            <w:vAlign w:val="center"/>
            <w:hideMark/>
          </w:tcPr>
          <w:p w14:paraId="1DF007B0"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w:t>
            </w:r>
          </w:p>
        </w:tc>
        <w:tc>
          <w:tcPr>
            <w:tcW w:w="912" w:type="dxa"/>
            <w:tcBorders>
              <w:top w:val="nil"/>
              <w:left w:val="nil"/>
              <w:bottom w:val="nil"/>
              <w:right w:val="nil"/>
            </w:tcBorders>
            <w:noWrap/>
            <w:vAlign w:val="center"/>
            <w:hideMark/>
          </w:tcPr>
          <w:p w14:paraId="1C63B1B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3.88</w:t>
            </w:r>
          </w:p>
        </w:tc>
        <w:tc>
          <w:tcPr>
            <w:tcW w:w="1354" w:type="dxa"/>
            <w:tcBorders>
              <w:top w:val="nil"/>
              <w:left w:val="nil"/>
              <w:bottom w:val="nil"/>
              <w:right w:val="nil"/>
            </w:tcBorders>
            <w:noWrap/>
            <w:vAlign w:val="center"/>
            <w:hideMark/>
          </w:tcPr>
          <w:p w14:paraId="37A6B8D0"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146.97</w:t>
            </w:r>
          </w:p>
        </w:tc>
        <w:tc>
          <w:tcPr>
            <w:tcW w:w="1285" w:type="dxa"/>
            <w:tcBorders>
              <w:top w:val="nil"/>
              <w:left w:val="nil"/>
              <w:bottom w:val="nil"/>
            </w:tcBorders>
            <w:noWrap/>
            <w:vAlign w:val="center"/>
            <w:hideMark/>
          </w:tcPr>
          <w:p w14:paraId="120CE7E5"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-0.49</w:t>
            </w:r>
          </w:p>
        </w:tc>
      </w:tr>
      <w:tr w:rsidR="008576C8" w:rsidRPr="00531FD3" w14:paraId="1D1ECD5C" w14:textId="77777777" w:rsidTr="008576C8">
        <w:trPr>
          <w:trHeight w:val="360"/>
          <w:jc w:val="center"/>
        </w:trPr>
        <w:tc>
          <w:tcPr>
            <w:tcW w:w="1978" w:type="dxa"/>
            <w:tcBorders>
              <w:top w:val="nil"/>
              <w:bottom w:val="nil"/>
              <w:right w:val="nil"/>
            </w:tcBorders>
            <w:noWrap/>
            <w:vAlign w:val="center"/>
            <w:hideMark/>
          </w:tcPr>
          <w:p w14:paraId="02BE5671"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Financial</w:t>
            </w:r>
          </w:p>
        </w:tc>
        <w:tc>
          <w:tcPr>
            <w:tcW w:w="1354" w:type="dxa"/>
            <w:tcBorders>
              <w:top w:val="nil"/>
              <w:left w:val="nil"/>
              <w:bottom w:val="nil"/>
              <w:right w:val="nil"/>
            </w:tcBorders>
            <w:noWrap/>
            <w:vAlign w:val="center"/>
            <w:hideMark/>
          </w:tcPr>
          <w:p w14:paraId="5B06E2F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78</w:t>
            </w:r>
          </w:p>
        </w:tc>
        <w:tc>
          <w:tcPr>
            <w:tcW w:w="1013" w:type="dxa"/>
            <w:tcBorders>
              <w:top w:val="nil"/>
              <w:left w:val="nil"/>
              <w:bottom w:val="nil"/>
              <w:right w:val="nil"/>
            </w:tcBorders>
            <w:noWrap/>
            <w:vAlign w:val="center"/>
            <w:hideMark/>
          </w:tcPr>
          <w:p w14:paraId="323F4873"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69.23</w:t>
            </w:r>
          </w:p>
        </w:tc>
        <w:tc>
          <w:tcPr>
            <w:tcW w:w="1239" w:type="dxa"/>
            <w:tcBorders>
              <w:top w:val="nil"/>
              <w:left w:val="nil"/>
              <w:bottom w:val="nil"/>
              <w:right w:val="nil"/>
            </w:tcBorders>
            <w:noWrap/>
            <w:vAlign w:val="center"/>
            <w:hideMark/>
          </w:tcPr>
          <w:p w14:paraId="40CB3F44"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30.77</w:t>
            </w:r>
          </w:p>
        </w:tc>
        <w:tc>
          <w:tcPr>
            <w:tcW w:w="1150" w:type="dxa"/>
            <w:tcBorders>
              <w:top w:val="nil"/>
              <w:left w:val="nil"/>
              <w:bottom w:val="nil"/>
              <w:right w:val="nil"/>
            </w:tcBorders>
            <w:noWrap/>
            <w:vAlign w:val="center"/>
            <w:hideMark/>
          </w:tcPr>
          <w:p w14:paraId="5046E539"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85.10</w:t>
            </w:r>
          </w:p>
        </w:tc>
        <w:tc>
          <w:tcPr>
            <w:tcW w:w="1098" w:type="dxa"/>
            <w:tcBorders>
              <w:top w:val="nil"/>
              <w:left w:val="nil"/>
              <w:bottom w:val="nil"/>
              <w:right w:val="nil"/>
            </w:tcBorders>
            <w:noWrap/>
            <w:vAlign w:val="center"/>
            <w:hideMark/>
          </w:tcPr>
          <w:p w14:paraId="4AD4AD86"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5498.56</w:t>
            </w:r>
          </w:p>
        </w:tc>
        <w:tc>
          <w:tcPr>
            <w:tcW w:w="806" w:type="dxa"/>
            <w:tcBorders>
              <w:top w:val="nil"/>
              <w:left w:val="nil"/>
              <w:bottom w:val="nil"/>
              <w:right w:val="nil"/>
            </w:tcBorders>
            <w:noWrap/>
            <w:vAlign w:val="center"/>
            <w:hideMark/>
          </w:tcPr>
          <w:p w14:paraId="5C11C425"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16.81</w:t>
            </w:r>
          </w:p>
        </w:tc>
        <w:tc>
          <w:tcPr>
            <w:tcW w:w="813" w:type="dxa"/>
            <w:tcBorders>
              <w:top w:val="nil"/>
              <w:left w:val="nil"/>
              <w:bottom w:val="nil"/>
              <w:right w:val="nil"/>
            </w:tcBorders>
            <w:noWrap/>
            <w:vAlign w:val="center"/>
            <w:hideMark/>
          </w:tcPr>
          <w:p w14:paraId="309EB0C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81.01</w:t>
            </w:r>
          </w:p>
        </w:tc>
        <w:tc>
          <w:tcPr>
            <w:tcW w:w="813" w:type="dxa"/>
            <w:tcBorders>
              <w:top w:val="nil"/>
              <w:left w:val="nil"/>
              <w:bottom w:val="nil"/>
              <w:right w:val="nil"/>
            </w:tcBorders>
            <w:noWrap/>
            <w:vAlign w:val="center"/>
            <w:hideMark/>
          </w:tcPr>
          <w:p w14:paraId="52F1C838"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0.28</w:t>
            </w:r>
          </w:p>
        </w:tc>
        <w:tc>
          <w:tcPr>
            <w:tcW w:w="912" w:type="dxa"/>
            <w:tcBorders>
              <w:top w:val="nil"/>
              <w:left w:val="nil"/>
              <w:bottom w:val="nil"/>
              <w:right w:val="nil"/>
            </w:tcBorders>
            <w:noWrap/>
            <w:vAlign w:val="center"/>
            <w:hideMark/>
          </w:tcPr>
          <w:p w14:paraId="209AF013"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1.9</w:t>
            </w:r>
          </w:p>
        </w:tc>
        <w:tc>
          <w:tcPr>
            <w:tcW w:w="1354" w:type="dxa"/>
            <w:tcBorders>
              <w:top w:val="nil"/>
              <w:left w:val="nil"/>
              <w:bottom w:val="nil"/>
              <w:right w:val="nil"/>
            </w:tcBorders>
            <w:noWrap/>
            <w:vAlign w:val="center"/>
            <w:hideMark/>
          </w:tcPr>
          <w:p w14:paraId="72F8D9AC"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17063.38</w:t>
            </w:r>
          </w:p>
        </w:tc>
        <w:tc>
          <w:tcPr>
            <w:tcW w:w="1285" w:type="dxa"/>
            <w:tcBorders>
              <w:top w:val="nil"/>
              <w:left w:val="nil"/>
              <w:bottom w:val="nil"/>
            </w:tcBorders>
            <w:noWrap/>
            <w:vAlign w:val="center"/>
            <w:hideMark/>
          </w:tcPr>
          <w:p w14:paraId="4FC39458"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-2.43</w:t>
            </w:r>
          </w:p>
        </w:tc>
      </w:tr>
      <w:tr w:rsidR="008576C8" w:rsidRPr="00531FD3" w14:paraId="5CA81B00" w14:textId="77777777" w:rsidTr="008576C8">
        <w:trPr>
          <w:trHeight w:val="360"/>
          <w:jc w:val="center"/>
        </w:trPr>
        <w:tc>
          <w:tcPr>
            <w:tcW w:w="1978" w:type="dxa"/>
            <w:tcBorders>
              <w:top w:val="nil"/>
              <w:bottom w:val="nil"/>
              <w:right w:val="nil"/>
            </w:tcBorders>
            <w:noWrap/>
            <w:vAlign w:val="center"/>
            <w:hideMark/>
          </w:tcPr>
          <w:p w14:paraId="41B910A6"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Industrial</w:t>
            </w:r>
          </w:p>
        </w:tc>
        <w:tc>
          <w:tcPr>
            <w:tcW w:w="1354" w:type="dxa"/>
            <w:tcBorders>
              <w:top w:val="nil"/>
              <w:left w:val="nil"/>
              <w:bottom w:val="nil"/>
              <w:right w:val="nil"/>
            </w:tcBorders>
            <w:noWrap/>
            <w:vAlign w:val="center"/>
            <w:hideMark/>
          </w:tcPr>
          <w:p w14:paraId="73C07C0E"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50</w:t>
            </w:r>
          </w:p>
        </w:tc>
        <w:tc>
          <w:tcPr>
            <w:tcW w:w="1013" w:type="dxa"/>
            <w:tcBorders>
              <w:top w:val="nil"/>
              <w:left w:val="nil"/>
              <w:bottom w:val="nil"/>
              <w:right w:val="nil"/>
            </w:tcBorders>
            <w:noWrap/>
            <w:vAlign w:val="center"/>
            <w:hideMark/>
          </w:tcPr>
          <w:p w14:paraId="3A64176D"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18</w:t>
            </w:r>
          </w:p>
        </w:tc>
        <w:tc>
          <w:tcPr>
            <w:tcW w:w="1239" w:type="dxa"/>
            <w:tcBorders>
              <w:top w:val="nil"/>
              <w:left w:val="nil"/>
              <w:bottom w:val="nil"/>
              <w:right w:val="nil"/>
            </w:tcBorders>
            <w:noWrap/>
            <w:vAlign w:val="center"/>
            <w:hideMark/>
          </w:tcPr>
          <w:p w14:paraId="2CE391A2"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82</w:t>
            </w:r>
          </w:p>
        </w:tc>
        <w:tc>
          <w:tcPr>
            <w:tcW w:w="1150" w:type="dxa"/>
            <w:tcBorders>
              <w:top w:val="nil"/>
              <w:left w:val="nil"/>
              <w:bottom w:val="nil"/>
              <w:right w:val="nil"/>
            </w:tcBorders>
            <w:noWrap/>
            <w:vAlign w:val="center"/>
            <w:hideMark/>
          </w:tcPr>
          <w:p w14:paraId="3156AFF2"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85.56</w:t>
            </w:r>
          </w:p>
        </w:tc>
        <w:tc>
          <w:tcPr>
            <w:tcW w:w="1098" w:type="dxa"/>
            <w:tcBorders>
              <w:top w:val="nil"/>
              <w:left w:val="nil"/>
              <w:bottom w:val="nil"/>
              <w:right w:val="nil"/>
            </w:tcBorders>
            <w:noWrap/>
            <w:vAlign w:val="center"/>
            <w:hideMark/>
          </w:tcPr>
          <w:p w14:paraId="65A8A450"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263.69</w:t>
            </w:r>
          </w:p>
        </w:tc>
        <w:tc>
          <w:tcPr>
            <w:tcW w:w="806" w:type="dxa"/>
            <w:tcBorders>
              <w:top w:val="nil"/>
              <w:left w:val="nil"/>
              <w:bottom w:val="nil"/>
              <w:right w:val="nil"/>
            </w:tcBorders>
            <w:noWrap/>
            <w:vAlign w:val="center"/>
            <w:hideMark/>
          </w:tcPr>
          <w:p w14:paraId="11B48342"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60.07</w:t>
            </w:r>
          </w:p>
        </w:tc>
        <w:tc>
          <w:tcPr>
            <w:tcW w:w="813" w:type="dxa"/>
            <w:tcBorders>
              <w:top w:val="nil"/>
              <w:left w:val="nil"/>
              <w:bottom w:val="nil"/>
              <w:right w:val="nil"/>
            </w:tcBorders>
            <w:noWrap/>
            <w:vAlign w:val="center"/>
            <w:hideMark/>
          </w:tcPr>
          <w:p w14:paraId="551C278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21.75</w:t>
            </w:r>
          </w:p>
        </w:tc>
        <w:tc>
          <w:tcPr>
            <w:tcW w:w="813" w:type="dxa"/>
            <w:tcBorders>
              <w:top w:val="nil"/>
              <w:left w:val="nil"/>
              <w:bottom w:val="nil"/>
              <w:right w:val="nil"/>
            </w:tcBorders>
            <w:noWrap/>
            <w:vAlign w:val="center"/>
            <w:hideMark/>
          </w:tcPr>
          <w:p w14:paraId="342675B6"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7.62</w:t>
            </w:r>
          </w:p>
        </w:tc>
        <w:tc>
          <w:tcPr>
            <w:tcW w:w="912" w:type="dxa"/>
            <w:tcBorders>
              <w:top w:val="nil"/>
              <w:left w:val="nil"/>
              <w:bottom w:val="nil"/>
              <w:right w:val="nil"/>
            </w:tcBorders>
            <w:noWrap/>
            <w:vAlign w:val="center"/>
            <w:hideMark/>
          </w:tcPr>
          <w:p w14:paraId="427E9C03"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10.56</w:t>
            </w:r>
          </w:p>
        </w:tc>
        <w:tc>
          <w:tcPr>
            <w:tcW w:w="1354" w:type="dxa"/>
            <w:tcBorders>
              <w:top w:val="nil"/>
              <w:left w:val="nil"/>
              <w:bottom w:val="nil"/>
              <w:right w:val="nil"/>
            </w:tcBorders>
            <w:noWrap/>
            <w:vAlign w:val="center"/>
            <w:hideMark/>
          </w:tcPr>
          <w:p w14:paraId="0E33F13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lang w:val="en-GB"/>
              </w:rPr>
              <w:t>1335.82</w:t>
            </w:r>
          </w:p>
        </w:tc>
        <w:tc>
          <w:tcPr>
            <w:tcW w:w="1285" w:type="dxa"/>
            <w:tcBorders>
              <w:top w:val="nil"/>
              <w:left w:val="nil"/>
              <w:bottom w:val="nil"/>
            </w:tcBorders>
            <w:noWrap/>
            <w:vAlign w:val="center"/>
            <w:hideMark/>
          </w:tcPr>
          <w:p w14:paraId="79B98173"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9.74</w:t>
            </w:r>
          </w:p>
        </w:tc>
      </w:tr>
      <w:tr w:rsidR="008576C8" w:rsidRPr="00531FD3" w14:paraId="1D0EA7D9" w14:textId="77777777" w:rsidTr="008576C8">
        <w:trPr>
          <w:trHeight w:val="360"/>
          <w:jc w:val="center"/>
        </w:trPr>
        <w:tc>
          <w:tcPr>
            <w:tcW w:w="1978" w:type="dxa"/>
            <w:tcBorders>
              <w:top w:val="nil"/>
              <w:bottom w:val="nil"/>
              <w:right w:val="nil"/>
            </w:tcBorders>
            <w:noWrap/>
            <w:vAlign w:val="center"/>
            <w:hideMark/>
          </w:tcPr>
          <w:p w14:paraId="3820C384"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Technology</w:t>
            </w:r>
          </w:p>
        </w:tc>
        <w:tc>
          <w:tcPr>
            <w:tcW w:w="1354" w:type="dxa"/>
            <w:tcBorders>
              <w:top w:val="nil"/>
              <w:left w:val="nil"/>
              <w:bottom w:val="nil"/>
              <w:right w:val="nil"/>
            </w:tcBorders>
            <w:noWrap/>
            <w:vAlign w:val="center"/>
            <w:hideMark/>
          </w:tcPr>
          <w:p w14:paraId="5BF963BC"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28</w:t>
            </w:r>
          </w:p>
        </w:tc>
        <w:tc>
          <w:tcPr>
            <w:tcW w:w="1013" w:type="dxa"/>
            <w:tcBorders>
              <w:top w:val="nil"/>
              <w:left w:val="nil"/>
              <w:bottom w:val="nil"/>
              <w:right w:val="nil"/>
            </w:tcBorders>
            <w:noWrap/>
            <w:vAlign w:val="center"/>
            <w:hideMark/>
          </w:tcPr>
          <w:p w14:paraId="097419C3"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17.86</w:t>
            </w:r>
          </w:p>
        </w:tc>
        <w:tc>
          <w:tcPr>
            <w:tcW w:w="1239" w:type="dxa"/>
            <w:tcBorders>
              <w:top w:val="nil"/>
              <w:left w:val="nil"/>
              <w:bottom w:val="nil"/>
              <w:right w:val="nil"/>
            </w:tcBorders>
            <w:noWrap/>
            <w:vAlign w:val="center"/>
            <w:hideMark/>
          </w:tcPr>
          <w:p w14:paraId="460D07FC"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82.14</w:t>
            </w:r>
          </w:p>
        </w:tc>
        <w:tc>
          <w:tcPr>
            <w:tcW w:w="1150" w:type="dxa"/>
            <w:tcBorders>
              <w:top w:val="nil"/>
              <w:left w:val="nil"/>
              <w:bottom w:val="nil"/>
              <w:right w:val="nil"/>
            </w:tcBorders>
            <w:noWrap/>
            <w:vAlign w:val="center"/>
            <w:hideMark/>
          </w:tcPr>
          <w:p w14:paraId="7CF82696"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90.97</w:t>
            </w:r>
          </w:p>
        </w:tc>
        <w:tc>
          <w:tcPr>
            <w:tcW w:w="1098" w:type="dxa"/>
            <w:tcBorders>
              <w:top w:val="nil"/>
              <w:left w:val="nil"/>
              <w:bottom w:val="nil"/>
              <w:right w:val="nil"/>
            </w:tcBorders>
            <w:noWrap/>
            <w:vAlign w:val="center"/>
            <w:hideMark/>
          </w:tcPr>
          <w:p w14:paraId="56ED32BD"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105.00</w:t>
            </w:r>
          </w:p>
        </w:tc>
        <w:tc>
          <w:tcPr>
            <w:tcW w:w="806" w:type="dxa"/>
            <w:tcBorders>
              <w:top w:val="nil"/>
              <w:left w:val="nil"/>
              <w:bottom w:val="nil"/>
              <w:right w:val="nil"/>
            </w:tcBorders>
            <w:noWrap/>
            <w:vAlign w:val="center"/>
            <w:hideMark/>
          </w:tcPr>
          <w:p w14:paraId="64C06C60"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66.65</w:t>
            </w:r>
          </w:p>
        </w:tc>
        <w:tc>
          <w:tcPr>
            <w:tcW w:w="813" w:type="dxa"/>
            <w:tcBorders>
              <w:top w:val="nil"/>
              <w:left w:val="nil"/>
              <w:bottom w:val="nil"/>
              <w:right w:val="nil"/>
            </w:tcBorders>
            <w:noWrap/>
            <w:vAlign w:val="center"/>
            <w:hideMark/>
          </w:tcPr>
          <w:p w14:paraId="450A9869"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1.13</w:t>
            </w:r>
          </w:p>
        </w:tc>
        <w:tc>
          <w:tcPr>
            <w:tcW w:w="813" w:type="dxa"/>
            <w:tcBorders>
              <w:top w:val="nil"/>
              <w:left w:val="nil"/>
              <w:bottom w:val="nil"/>
              <w:right w:val="nil"/>
            </w:tcBorders>
            <w:noWrap/>
            <w:vAlign w:val="center"/>
            <w:hideMark/>
          </w:tcPr>
          <w:p w14:paraId="4285BF73"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8.31</w:t>
            </w:r>
          </w:p>
        </w:tc>
        <w:tc>
          <w:tcPr>
            <w:tcW w:w="912" w:type="dxa"/>
            <w:tcBorders>
              <w:top w:val="nil"/>
              <w:left w:val="nil"/>
              <w:bottom w:val="nil"/>
              <w:right w:val="nil"/>
            </w:tcBorders>
            <w:noWrap/>
            <w:vAlign w:val="center"/>
            <w:hideMark/>
          </w:tcPr>
          <w:p w14:paraId="200E674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23.91</w:t>
            </w:r>
          </w:p>
        </w:tc>
        <w:tc>
          <w:tcPr>
            <w:tcW w:w="1354" w:type="dxa"/>
            <w:tcBorders>
              <w:top w:val="nil"/>
              <w:left w:val="nil"/>
              <w:bottom w:val="nil"/>
              <w:right w:val="nil"/>
            </w:tcBorders>
            <w:noWrap/>
            <w:vAlign w:val="center"/>
            <w:hideMark/>
          </w:tcPr>
          <w:p w14:paraId="639E14F1"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2884.90</w:t>
            </w:r>
          </w:p>
        </w:tc>
        <w:tc>
          <w:tcPr>
            <w:tcW w:w="1285" w:type="dxa"/>
            <w:tcBorders>
              <w:top w:val="nil"/>
              <w:left w:val="nil"/>
              <w:bottom w:val="nil"/>
            </w:tcBorders>
            <w:noWrap/>
            <w:vAlign w:val="center"/>
            <w:hideMark/>
          </w:tcPr>
          <w:p w14:paraId="42965A2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lang w:val="en-GB"/>
              </w:rPr>
              <w:t>-2.61</w:t>
            </w:r>
          </w:p>
        </w:tc>
      </w:tr>
      <w:tr w:rsidR="008576C8" w:rsidRPr="00531FD3" w14:paraId="6CE52FFD" w14:textId="77777777" w:rsidTr="008576C8">
        <w:trPr>
          <w:trHeight w:val="360"/>
          <w:jc w:val="center"/>
        </w:trPr>
        <w:tc>
          <w:tcPr>
            <w:tcW w:w="1978" w:type="dxa"/>
            <w:tcBorders>
              <w:top w:val="nil"/>
              <w:bottom w:val="single" w:sz="4" w:space="0" w:color="auto"/>
              <w:right w:val="nil"/>
            </w:tcBorders>
            <w:noWrap/>
            <w:vAlign w:val="center"/>
            <w:hideMark/>
          </w:tcPr>
          <w:p w14:paraId="564A0373"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Technology</w:t>
            </w:r>
          </w:p>
        </w:tc>
        <w:tc>
          <w:tcPr>
            <w:tcW w:w="1354" w:type="dxa"/>
            <w:tcBorders>
              <w:top w:val="nil"/>
              <w:left w:val="nil"/>
              <w:bottom w:val="single" w:sz="4" w:space="0" w:color="auto"/>
              <w:right w:val="nil"/>
            </w:tcBorders>
            <w:noWrap/>
            <w:vAlign w:val="center"/>
            <w:hideMark/>
          </w:tcPr>
          <w:p w14:paraId="707347E3"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3</w:t>
            </w:r>
          </w:p>
        </w:tc>
        <w:tc>
          <w:tcPr>
            <w:tcW w:w="1013" w:type="dxa"/>
            <w:tcBorders>
              <w:top w:val="nil"/>
              <w:left w:val="nil"/>
              <w:bottom w:val="single" w:sz="4" w:space="0" w:color="auto"/>
              <w:right w:val="nil"/>
            </w:tcBorders>
            <w:noWrap/>
            <w:vAlign w:val="center"/>
            <w:hideMark/>
          </w:tcPr>
          <w:p w14:paraId="1199CC00"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33.33</w:t>
            </w:r>
          </w:p>
        </w:tc>
        <w:tc>
          <w:tcPr>
            <w:tcW w:w="1239" w:type="dxa"/>
            <w:tcBorders>
              <w:top w:val="nil"/>
              <w:left w:val="nil"/>
              <w:bottom w:val="single" w:sz="4" w:space="0" w:color="auto"/>
              <w:right w:val="nil"/>
            </w:tcBorders>
            <w:noWrap/>
            <w:vAlign w:val="center"/>
            <w:hideMark/>
          </w:tcPr>
          <w:p w14:paraId="5433CB4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66.67</w:t>
            </w:r>
          </w:p>
        </w:tc>
        <w:tc>
          <w:tcPr>
            <w:tcW w:w="1150" w:type="dxa"/>
            <w:tcBorders>
              <w:top w:val="nil"/>
              <w:left w:val="nil"/>
              <w:bottom w:val="single" w:sz="4" w:space="0" w:color="auto"/>
              <w:right w:val="nil"/>
            </w:tcBorders>
            <w:noWrap/>
            <w:vAlign w:val="center"/>
            <w:hideMark/>
          </w:tcPr>
          <w:p w14:paraId="620A543C"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83.33</w:t>
            </w:r>
          </w:p>
        </w:tc>
        <w:tc>
          <w:tcPr>
            <w:tcW w:w="1098" w:type="dxa"/>
            <w:tcBorders>
              <w:top w:val="nil"/>
              <w:left w:val="nil"/>
              <w:bottom w:val="single" w:sz="4" w:space="0" w:color="auto"/>
              <w:right w:val="nil"/>
            </w:tcBorders>
            <w:noWrap/>
            <w:vAlign w:val="center"/>
            <w:hideMark/>
          </w:tcPr>
          <w:p w14:paraId="414E5BC9"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465.37</w:t>
            </w:r>
          </w:p>
        </w:tc>
        <w:tc>
          <w:tcPr>
            <w:tcW w:w="806" w:type="dxa"/>
            <w:tcBorders>
              <w:top w:val="nil"/>
              <w:left w:val="nil"/>
              <w:bottom w:val="single" w:sz="4" w:space="0" w:color="auto"/>
              <w:right w:val="nil"/>
            </w:tcBorders>
            <w:noWrap/>
            <w:vAlign w:val="center"/>
            <w:hideMark/>
          </w:tcPr>
          <w:p w14:paraId="76240DA0"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4.88</w:t>
            </w:r>
          </w:p>
        </w:tc>
        <w:tc>
          <w:tcPr>
            <w:tcW w:w="813" w:type="dxa"/>
            <w:tcBorders>
              <w:top w:val="nil"/>
              <w:left w:val="nil"/>
              <w:bottom w:val="single" w:sz="4" w:space="0" w:color="auto"/>
              <w:right w:val="nil"/>
            </w:tcBorders>
            <w:noWrap/>
            <w:vAlign w:val="center"/>
            <w:hideMark/>
          </w:tcPr>
          <w:p w14:paraId="602BAAA2"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95.12</w:t>
            </w:r>
          </w:p>
        </w:tc>
        <w:tc>
          <w:tcPr>
            <w:tcW w:w="813" w:type="dxa"/>
            <w:tcBorders>
              <w:top w:val="nil"/>
              <w:left w:val="nil"/>
              <w:bottom w:val="single" w:sz="4" w:space="0" w:color="auto"/>
              <w:right w:val="nil"/>
            </w:tcBorders>
            <w:noWrap/>
            <w:vAlign w:val="center"/>
            <w:hideMark/>
          </w:tcPr>
          <w:p w14:paraId="063DFE45"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w:t>
            </w:r>
          </w:p>
        </w:tc>
        <w:tc>
          <w:tcPr>
            <w:tcW w:w="912" w:type="dxa"/>
            <w:tcBorders>
              <w:top w:val="nil"/>
              <w:left w:val="nil"/>
              <w:bottom w:val="single" w:sz="4" w:space="0" w:color="auto"/>
              <w:right w:val="nil"/>
            </w:tcBorders>
            <w:noWrap/>
            <w:vAlign w:val="center"/>
            <w:hideMark/>
          </w:tcPr>
          <w:p w14:paraId="13504262"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0</w:t>
            </w:r>
          </w:p>
        </w:tc>
        <w:tc>
          <w:tcPr>
            <w:tcW w:w="1354" w:type="dxa"/>
            <w:tcBorders>
              <w:top w:val="nil"/>
              <w:left w:val="nil"/>
              <w:bottom w:val="single" w:sz="4" w:space="0" w:color="auto"/>
              <w:right w:val="nil"/>
            </w:tcBorders>
            <w:noWrap/>
            <w:vAlign w:val="center"/>
            <w:hideMark/>
          </w:tcPr>
          <w:p w14:paraId="090F6E9D"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28316.33</w:t>
            </w:r>
          </w:p>
        </w:tc>
        <w:tc>
          <w:tcPr>
            <w:tcW w:w="1285" w:type="dxa"/>
            <w:tcBorders>
              <w:top w:val="nil"/>
              <w:left w:val="nil"/>
              <w:bottom w:val="single" w:sz="4" w:space="0" w:color="auto"/>
            </w:tcBorders>
            <w:noWrap/>
            <w:vAlign w:val="center"/>
            <w:hideMark/>
          </w:tcPr>
          <w:p w14:paraId="30133BAD"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lang w:val="en-GB"/>
              </w:rPr>
              <w:t>14.48</w:t>
            </w:r>
          </w:p>
        </w:tc>
      </w:tr>
    </w:tbl>
    <w:p w14:paraId="2F6EFC71" w14:textId="77777777" w:rsidR="008576C8" w:rsidRDefault="008576C8" w:rsidP="008576C8">
      <w:pPr>
        <w:ind w:firstLine="480"/>
        <w:rPr>
          <w:lang w:val="en-GB"/>
        </w:rPr>
      </w:pPr>
    </w:p>
    <w:p w14:paraId="1679A911" w14:textId="77777777" w:rsidR="008576C8" w:rsidRDefault="008576C8" w:rsidP="008576C8">
      <w:pPr>
        <w:ind w:firstLine="480"/>
        <w:rPr>
          <w:lang w:val="en-GB"/>
        </w:rPr>
      </w:pPr>
    </w:p>
    <w:p w14:paraId="5457B283" w14:textId="77777777" w:rsidR="008576C8" w:rsidRPr="00E61B08" w:rsidRDefault="008576C8" w:rsidP="008576C8">
      <w:pPr>
        <w:pStyle w:val="a"/>
        <w:ind w:firstLine="482"/>
        <w:rPr>
          <w:rFonts w:eastAsiaTheme="minorEastAsia"/>
          <w:lang w:val="en-GB"/>
        </w:rPr>
      </w:pPr>
    </w:p>
    <w:tbl>
      <w:tblPr>
        <w:tblStyle w:val="TableGrid"/>
        <w:tblW w:w="14224" w:type="dxa"/>
        <w:jc w:val="center"/>
        <w:tblBorders>
          <w:left w:val="none" w:sz="0" w:space="0" w:color="auto"/>
          <w:right w:val="none" w:sz="0" w:space="0" w:color="auto"/>
        </w:tblBorders>
        <w:tblLook w:val="04A0" w:firstRow="1" w:lastRow="0" w:firstColumn="1" w:lastColumn="0" w:noHBand="0" w:noVBand="1"/>
      </w:tblPr>
      <w:tblGrid>
        <w:gridCol w:w="2036"/>
        <w:gridCol w:w="1394"/>
        <w:gridCol w:w="1042"/>
        <w:gridCol w:w="1276"/>
        <w:gridCol w:w="1184"/>
        <w:gridCol w:w="1130"/>
        <w:gridCol w:w="829"/>
        <w:gridCol w:w="836"/>
        <w:gridCol w:w="836"/>
        <w:gridCol w:w="941"/>
        <w:gridCol w:w="1394"/>
        <w:gridCol w:w="1323"/>
        <w:gridCol w:w="6"/>
      </w:tblGrid>
      <w:tr w:rsidR="008576C8" w:rsidRPr="00531FD3" w14:paraId="0FAFA4C5" w14:textId="77777777" w:rsidTr="008576C8">
        <w:trPr>
          <w:trHeight w:hRule="exact" w:val="218"/>
          <w:jc w:val="center"/>
        </w:trPr>
        <w:tc>
          <w:tcPr>
            <w:tcW w:w="14224" w:type="dxa"/>
            <w:gridSpan w:val="13"/>
            <w:vMerge w:val="restart"/>
            <w:noWrap/>
            <w:vAlign w:val="center"/>
            <w:hideMark/>
          </w:tcPr>
          <w:p w14:paraId="4368346A" w14:textId="232DBA30" w:rsidR="008576C8" w:rsidRPr="00531FD3" w:rsidRDefault="008576C8" w:rsidP="008576C8">
            <w:pPr>
              <w:snapToGrid w:val="0"/>
              <w:spacing w:line="240" w:lineRule="auto"/>
              <w:ind w:firstLineChars="0" w:firstLine="0"/>
              <w:jc w:val="center"/>
              <w:rPr>
                <w:rFonts w:cs="Times New Roman"/>
                <w:b/>
                <w:sz w:val="20"/>
                <w:szCs w:val="20"/>
              </w:rPr>
            </w:pPr>
            <w:r w:rsidRPr="00531FD3">
              <w:rPr>
                <w:rFonts w:cs="Times New Roman"/>
                <w:b/>
                <w:sz w:val="20"/>
                <w:szCs w:val="20"/>
              </w:rPr>
              <w:t>Industry clas</w:t>
            </w:r>
            <w:r w:rsidR="00413890">
              <w:rPr>
                <w:rFonts w:cs="Times New Roman"/>
                <w:b/>
                <w:sz w:val="20"/>
                <w:szCs w:val="20"/>
              </w:rPr>
              <w:t xml:space="preserve">sification in Bidders’ of </w:t>
            </w:r>
            <w:r w:rsidRPr="00531FD3">
              <w:rPr>
                <w:rFonts w:cs="Times New Roman"/>
                <w:b/>
                <w:sz w:val="20"/>
                <w:szCs w:val="20"/>
              </w:rPr>
              <w:t>Mainland</w:t>
            </w:r>
            <w:r w:rsidR="00413890">
              <w:rPr>
                <w:rFonts w:cs="Times New Roman"/>
                <w:b/>
                <w:sz w:val="20"/>
                <w:szCs w:val="20"/>
              </w:rPr>
              <w:t xml:space="preserve"> China</w:t>
            </w:r>
            <w:r w:rsidRPr="00531FD3">
              <w:rPr>
                <w:rFonts w:cs="Times New Roman"/>
                <w:b/>
                <w:sz w:val="20"/>
                <w:szCs w:val="20"/>
              </w:rPr>
              <w:t xml:space="preserve"> Target</w:t>
            </w:r>
          </w:p>
        </w:tc>
      </w:tr>
      <w:tr w:rsidR="008576C8" w:rsidRPr="00531FD3" w14:paraId="19BC8F4E" w14:textId="77777777" w:rsidTr="008576C8">
        <w:trPr>
          <w:trHeight w:val="438"/>
          <w:jc w:val="center"/>
        </w:trPr>
        <w:tc>
          <w:tcPr>
            <w:tcW w:w="14224" w:type="dxa"/>
            <w:gridSpan w:val="13"/>
            <w:vMerge/>
            <w:hideMark/>
          </w:tcPr>
          <w:p w14:paraId="6050E05F" w14:textId="77777777" w:rsidR="008576C8" w:rsidRPr="00531FD3" w:rsidRDefault="008576C8" w:rsidP="008576C8">
            <w:pPr>
              <w:snapToGrid w:val="0"/>
              <w:spacing w:line="240" w:lineRule="auto"/>
              <w:ind w:firstLineChars="0" w:firstLine="0"/>
              <w:rPr>
                <w:rFonts w:cs="Times New Roman"/>
                <w:sz w:val="20"/>
                <w:szCs w:val="20"/>
              </w:rPr>
            </w:pPr>
          </w:p>
        </w:tc>
      </w:tr>
      <w:tr w:rsidR="008576C8" w:rsidRPr="00531FD3" w14:paraId="5FA5E8E1" w14:textId="77777777" w:rsidTr="008576C8">
        <w:trPr>
          <w:gridAfter w:val="1"/>
          <w:wAfter w:w="3" w:type="dxa"/>
          <w:trHeight w:val="871"/>
          <w:jc w:val="center"/>
        </w:trPr>
        <w:tc>
          <w:tcPr>
            <w:tcW w:w="2036" w:type="dxa"/>
            <w:vMerge w:val="restart"/>
            <w:noWrap/>
            <w:vAlign w:val="center"/>
            <w:hideMark/>
          </w:tcPr>
          <w:p w14:paraId="71D2614D"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Industry</w:t>
            </w:r>
          </w:p>
        </w:tc>
        <w:tc>
          <w:tcPr>
            <w:tcW w:w="1394" w:type="dxa"/>
            <w:vMerge w:val="restart"/>
            <w:vAlign w:val="center"/>
            <w:hideMark/>
          </w:tcPr>
          <w:p w14:paraId="2EEBA921"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 xml:space="preserve">Number of </w:t>
            </w:r>
            <w:r w:rsidRPr="00531FD3">
              <w:rPr>
                <w:rFonts w:cs="Times New Roman"/>
                <w:sz w:val="20"/>
                <w:szCs w:val="20"/>
              </w:rPr>
              <w:br/>
              <w:t>acquisition</w:t>
            </w:r>
          </w:p>
        </w:tc>
        <w:tc>
          <w:tcPr>
            <w:tcW w:w="2318" w:type="dxa"/>
            <w:gridSpan w:val="2"/>
            <w:noWrap/>
            <w:vAlign w:val="center"/>
            <w:hideMark/>
          </w:tcPr>
          <w:p w14:paraId="21C42F08" w14:textId="77777777" w:rsidR="008576C8" w:rsidRPr="00531FD3" w:rsidRDefault="008576C8" w:rsidP="008576C8">
            <w:pPr>
              <w:snapToGrid w:val="0"/>
              <w:spacing w:line="240" w:lineRule="auto"/>
              <w:ind w:firstLineChars="0" w:firstLine="0"/>
              <w:jc w:val="center"/>
              <w:rPr>
                <w:rFonts w:cs="Times New Roman"/>
                <w:b/>
                <w:sz w:val="20"/>
                <w:szCs w:val="20"/>
              </w:rPr>
            </w:pPr>
            <w:r w:rsidRPr="00531FD3">
              <w:rPr>
                <w:rFonts w:cs="Times New Roman"/>
                <w:b/>
                <w:sz w:val="20"/>
                <w:szCs w:val="20"/>
              </w:rPr>
              <w:t>Proportion</w:t>
            </w:r>
          </w:p>
        </w:tc>
        <w:tc>
          <w:tcPr>
            <w:tcW w:w="1184" w:type="dxa"/>
            <w:vMerge w:val="restart"/>
            <w:vAlign w:val="center"/>
            <w:hideMark/>
          </w:tcPr>
          <w:p w14:paraId="7E4D09CA" w14:textId="77777777" w:rsidR="008576C8" w:rsidRPr="00531FD3" w:rsidRDefault="008576C8" w:rsidP="008576C8">
            <w:pPr>
              <w:snapToGrid w:val="0"/>
              <w:spacing w:line="240" w:lineRule="auto"/>
              <w:ind w:firstLineChars="0" w:firstLine="0"/>
              <w:jc w:val="center"/>
              <w:rPr>
                <w:rFonts w:cs="Times New Roman"/>
                <w:b/>
                <w:sz w:val="20"/>
                <w:szCs w:val="20"/>
              </w:rPr>
            </w:pPr>
            <w:r w:rsidRPr="00531FD3">
              <w:rPr>
                <w:rFonts w:cs="Times New Roman"/>
                <w:b/>
                <w:sz w:val="20"/>
                <w:szCs w:val="20"/>
              </w:rPr>
              <w:t xml:space="preserve">(%) of shares </w:t>
            </w:r>
            <w:r w:rsidRPr="00531FD3">
              <w:rPr>
                <w:rFonts w:cs="Times New Roman"/>
                <w:b/>
                <w:sz w:val="20"/>
                <w:szCs w:val="20"/>
              </w:rPr>
              <w:br/>
              <w:t>acquired</w:t>
            </w:r>
          </w:p>
        </w:tc>
        <w:tc>
          <w:tcPr>
            <w:tcW w:w="1130" w:type="dxa"/>
            <w:vMerge w:val="restart"/>
            <w:vAlign w:val="center"/>
            <w:hideMark/>
          </w:tcPr>
          <w:p w14:paraId="6C7D79F3" w14:textId="77777777" w:rsidR="008576C8" w:rsidRPr="00531FD3" w:rsidRDefault="008576C8" w:rsidP="008576C8">
            <w:pPr>
              <w:snapToGrid w:val="0"/>
              <w:spacing w:line="240" w:lineRule="auto"/>
              <w:ind w:firstLineChars="0" w:firstLine="0"/>
              <w:jc w:val="center"/>
              <w:rPr>
                <w:rFonts w:cs="Times New Roman"/>
                <w:b/>
                <w:sz w:val="20"/>
                <w:szCs w:val="20"/>
              </w:rPr>
            </w:pPr>
            <w:r w:rsidRPr="00531FD3">
              <w:rPr>
                <w:rFonts w:cs="Times New Roman"/>
                <w:b/>
                <w:sz w:val="20"/>
                <w:szCs w:val="20"/>
              </w:rPr>
              <w:t xml:space="preserve">Average </w:t>
            </w:r>
          </w:p>
          <w:p w14:paraId="24BC4AF4" w14:textId="77777777" w:rsidR="008576C8" w:rsidRPr="00531FD3" w:rsidRDefault="008576C8" w:rsidP="008576C8">
            <w:pPr>
              <w:snapToGrid w:val="0"/>
              <w:spacing w:line="240" w:lineRule="auto"/>
              <w:ind w:firstLineChars="0" w:firstLine="0"/>
              <w:jc w:val="center"/>
              <w:rPr>
                <w:rFonts w:cs="Times New Roman"/>
                <w:b/>
                <w:sz w:val="20"/>
                <w:szCs w:val="20"/>
              </w:rPr>
            </w:pPr>
            <w:r w:rsidRPr="00531FD3">
              <w:rPr>
                <w:rFonts w:cs="Times New Roman"/>
                <w:b/>
                <w:sz w:val="20"/>
                <w:szCs w:val="20"/>
              </w:rPr>
              <w:t>deal</w:t>
            </w:r>
            <w:r w:rsidRPr="00531FD3">
              <w:rPr>
                <w:rFonts w:cs="Times New Roman"/>
                <w:b/>
                <w:sz w:val="20"/>
                <w:szCs w:val="20"/>
              </w:rPr>
              <w:br/>
              <w:t>value</w:t>
            </w:r>
          </w:p>
          <w:p w14:paraId="669426DD" w14:textId="77777777" w:rsidR="008576C8" w:rsidRPr="00531FD3" w:rsidRDefault="008576C8" w:rsidP="008576C8">
            <w:pPr>
              <w:snapToGrid w:val="0"/>
              <w:spacing w:line="240" w:lineRule="auto"/>
              <w:ind w:firstLineChars="0" w:firstLine="0"/>
              <w:jc w:val="center"/>
              <w:rPr>
                <w:rFonts w:cs="Times New Roman"/>
                <w:b/>
                <w:sz w:val="20"/>
                <w:szCs w:val="20"/>
              </w:rPr>
            </w:pPr>
            <w:r w:rsidRPr="00531FD3">
              <w:rPr>
                <w:rFonts w:cs="Times New Roman"/>
                <w:b/>
                <w:sz w:val="20"/>
                <w:szCs w:val="20"/>
              </w:rPr>
              <w:t>(mHK$)</w:t>
            </w:r>
          </w:p>
        </w:tc>
        <w:tc>
          <w:tcPr>
            <w:tcW w:w="3442" w:type="dxa"/>
            <w:gridSpan w:val="4"/>
            <w:noWrap/>
            <w:vAlign w:val="center"/>
            <w:hideMark/>
          </w:tcPr>
          <w:p w14:paraId="5CA3DD47" w14:textId="77777777" w:rsidR="008576C8" w:rsidRPr="00531FD3" w:rsidRDefault="008576C8" w:rsidP="008576C8">
            <w:pPr>
              <w:snapToGrid w:val="0"/>
              <w:spacing w:line="240" w:lineRule="auto"/>
              <w:ind w:firstLineChars="0" w:firstLine="0"/>
              <w:jc w:val="center"/>
              <w:rPr>
                <w:rFonts w:cs="Times New Roman"/>
                <w:b/>
                <w:sz w:val="20"/>
                <w:szCs w:val="20"/>
              </w:rPr>
            </w:pPr>
            <w:r w:rsidRPr="00531FD3">
              <w:rPr>
                <w:rFonts w:cs="Times New Roman"/>
                <w:b/>
                <w:sz w:val="20"/>
                <w:szCs w:val="20"/>
              </w:rPr>
              <w:t>Method of payment: percentage</w:t>
            </w:r>
          </w:p>
        </w:tc>
        <w:tc>
          <w:tcPr>
            <w:tcW w:w="1394" w:type="dxa"/>
            <w:vMerge w:val="restart"/>
            <w:vAlign w:val="center"/>
            <w:hideMark/>
          </w:tcPr>
          <w:p w14:paraId="156CC357"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Acquirer's avg. market value 4 weeks prior to acquisition</w:t>
            </w:r>
            <w:r w:rsidRPr="00531FD3">
              <w:rPr>
                <w:rFonts w:cs="Times New Roman"/>
                <w:sz w:val="20"/>
                <w:szCs w:val="20"/>
              </w:rPr>
              <w:br/>
              <w:t>(mHK$)</w:t>
            </w:r>
          </w:p>
        </w:tc>
        <w:tc>
          <w:tcPr>
            <w:tcW w:w="1323" w:type="dxa"/>
            <w:vMerge w:val="restart"/>
            <w:vAlign w:val="center"/>
            <w:hideMark/>
          </w:tcPr>
          <w:p w14:paraId="088E8C38"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 xml:space="preserve">Acquirer's </w:t>
            </w:r>
            <w:r w:rsidRPr="00531FD3">
              <w:rPr>
                <w:rFonts w:cs="Times New Roman"/>
                <w:sz w:val="20"/>
                <w:szCs w:val="20"/>
              </w:rPr>
              <w:br/>
              <w:t>average raw return: Day -25 to Day 25(%)</w:t>
            </w:r>
          </w:p>
        </w:tc>
      </w:tr>
      <w:tr w:rsidR="008576C8" w:rsidRPr="00531FD3" w14:paraId="65A6F258" w14:textId="77777777" w:rsidTr="008576C8">
        <w:trPr>
          <w:gridAfter w:val="1"/>
          <w:wAfter w:w="6" w:type="dxa"/>
          <w:trHeight w:val="1097"/>
          <w:jc w:val="center"/>
        </w:trPr>
        <w:tc>
          <w:tcPr>
            <w:tcW w:w="2036" w:type="dxa"/>
            <w:vMerge/>
            <w:tcBorders>
              <w:bottom w:val="single" w:sz="4" w:space="0" w:color="auto"/>
            </w:tcBorders>
            <w:vAlign w:val="center"/>
            <w:hideMark/>
          </w:tcPr>
          <w:p w14:paraId="7AE3E3D7" w14:textId="77777777" w:rsidR="008576C8" w:rsidRPr="00531FD3" w:rsidRDefault="008576C8" w:rsidP="008576C8">
            <w:pPr>
              <w:snapToGrid w:val="0"/>
              <w:spacing w:line="240" w:lineRule="auto"/>
              <w:ind w:firstLineChars="0" w:firstLine="0"/>
              <w:jc w:val="center"/>
              <w:rPr>
                <w:rFonts w:cs="Times New Roman"/>
                <w:sz w:val="20"/>
                <w:szCs w:val="20"/>
              </w:rPr>
            </w:pPr>
          </w:p>
        </w:tc>
        <w:tc>
          <w:tcPr>
            <w:tcW w:w="1394" w:type="dxa"/>
            <w:vMerge/>
            <w:tcBorders>
              <w:bottom w:val="single" w:sz="4" w:space="0" w:color="auto"/>
            </w:tcBorders>
            <w:vAlign w:val="center"/>
            <w:hideMark/>
          </w:tcPr>
          <w:p w14:paraId="13A8A2B9" w14:textId="77777777" w:rsidR="008576C8" w:rsidRPr="00531FD3" w:rsidRDefault="008576C8" w:rsidP="008576C8">
            <w:pPr>
              <w:snapToGrid w:val="0"/>
              <w:spacing w:line="240" w:lineRule="auto"/>
              <w:ind w:firstLineChars="0" w:firstLine="0"/>
              <w:jc w:val="center"/>
              <w:rPr>
                <w:rFonts w:cs="Times New Roman"/>
                <w:sz w:val="20"/>
                <w:szCs w:val="20"/>
              </w:rPr>
            </w:pPr>
          </w:p>
        </w:tc>
        <w:tc>
          <w:tcPr>
            <w:tcW w:w="1042" w:type="dxa"/>
            <w:tcBorders>
              <w:bottom w:val="single" w:sz="4" w:space="0" w:color="auto"/>
            </w:tcBorders>
            <w:vAlign w:val="center"/>
            <w:hideMark/>
          </w:tcPr>
          <w:p w14:paraId="4777512C"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Related</w:t>
            </w:r>
            <w:r w:rsidRPr="00531FD3">
              <w:rPr>
                <w:rFonts w:cs="Times New Roman"/>
                <w:sz w:val="20"/>
                <w:szCs w:val="20"/>
              </w:rPr>
              <w:br/>
              <w:t>(%)</w:t>
            </w:r>
          </w:p>
        </w:tc>
        <w:tc>
          <w:tcPr>
            <w:tcW w:w="1275" w:type="dxa"/>
            <w:tcBorders>
              <w:bottom w:val="single" w:sz="4" w:space="0" w:color="auto"/>
            </w:tcBorders>
            <w:vAlign w:val="center"/>
            <w:hideMark/>
          </w:tcPr>
          <w:p w14:paraId="4771E724"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Unrelated</w:t>
            </w:r>
            <w:r w:rsidRPr="00531FD3">
              <w:rPr>
                <w:rFonts w:cs="Times New Roman"/>
                <w:sz w:val="20"/>
                <w:szCs w:val="20"/>
              </w:rPr>
              <w:br/>
              <w:t>(%)</w:t>
            </w:r>
          </w:p>
        </w:tc>
        <w:tc>
          <w:tcPr>
            <w:tcW w:w="1184" w:type="dxa"/>
            <w:vMerge/>
            <w:tcBorders>
              <w:bottom w:val="single" w:sz="4" w:space="0" w:color="auto"/>
            </w:tcBorders>
            <w:vAlign w:val="center"/>
            <w:hideMark/>
          </w:tcPr>
          <w:p w14:paraId="77BD27F7" w14:textId="77777777" w:rsidR="008576C8" w:rsidRPr="00531FD3" w:rsidRDefault="008576C8" w:rsidP="008576C8">
            <w:pPr>
              <w:snapToGrid w:val="0"/>
              <w:spacing w:line="240" w:lineRule="auto"/>
              <w:ind w:firstLineChars="0" w:firstLine="0"/>
              <w:jc w:val="center"/>
              <w:rPr>
                <w:rFonts w:cs="Times New Roman"/>
                <w:sz w:val="20"/>
                <w:szCs w:val="20"/>
              </w:rPr>
            </w:pPr>
          </w:p>
        </w:tc>
        <w:tc>
          <w:tcPr>
            <w:tcW w:w="1130" w:type="dxa"/>
            <w:vMerge/>
            <w:tcBorders>
              <w:bottom w:val="single" w:sz="4" w:space="0" w:color="auto"/>
            </w:tcBorders>
            <w:vAlign w:val="center"/>
            <w:hideMark/>
          </w:tcPr>
          <w:p w14:paraId="2EB33168" w14:textId="77777777" w:rsidR="008576C8" w:rsidRPr="00531FD3" w:rsidRDefault="008576C8" w:rsidP="008576C8">
            <w:pPr>
              <w:snapToGrid w:val="0"/>
              <w:spacing w:line="240" w:lineRule="auto"/>
              <w:ind w:firstLineChars="0" w:firstLine="0"/>
              <w:jc w:val="center"/>
              <w:rPr>
                <w:rFonts w:cs="Times New Roman"/>
                <w:sz w:val="20"/>
                <w:szCs w:val="20"/>
              </w:rPr>
            </w:pPr>
          </w:p>
        </w:tc>
        <w:tc>
          <w:tcPr>
            <w:tcW w:w="829" w:type="dxa"/>
            <w:tcBorders>
              <w:bottom w:val="single" w:sz="4" w:space="0" w:color="auto"/>
            </w:tcBorders>
            <w:vAlign w:val="center"/>
            <w:hideMark/>
          </w:tcPr>
          <w:p w14:paraId="2B7B343B"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 xml:space="preserve">Cash </w:t>
            </w:r>
            <w:r w:rsidRPr="00531FD3">
              <w:rPr>
                <w:rFonts w:cs="Times New Roman"/>
                <w:sz w:val="20"/>
                <w:szCs w:val="20"/>
              </w:rPr>
              <w:br/>
              <w:t>only</w:t>
            </w:r>
            <w:r w:rsidRPr="00531FD3">
              <w:rPr>
                <w:rFonts w:cs="Times New Roman"/>
                <w:sz w:val="20"/>
                <w:szCs w:val="20"/>
              </w:rPr>
              <w:br/>
              <w:t>(%)</w:t>
            </w:r>
          </w:p>
        </w:tc>
        <w:tc>
          <w:tcPr>
            <w:tcW w:w="836" w:type="dxa"/>
            <w:tcBorders>
              <w:bottom w:val="single" w:sz="4" w:space="0" w:color="auto"/>
            </w:tcBorders>
            <w:vAlign w:val="center"/>
            <w:hideMark/>
          </w:tcPr>
          <w:p w14:paraId="308F7FEB"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 xml:space="preserve">Stock </w:t>
            </w:r>
            <w:r w:rsidRPr="00531FD3">
              <w:rPr>
                <w:rFonts w:cs="Times New Roman"/>
                <w:sz w:val="20"/>
                <w:szCs w:val="20"/>
              </w:rPr>
              <w:br/>
              <w:t>only</w:t>
            </w:r>
            <w:r w:rsidRPr="00531FD3">
              <w:rPr>
                <w:rFonts w:cs="Times New Roman"/>
                <w:sz w:val="20"/>
                <w:szCs w:val="20"/>
              </w:rPr>
              <w:br/>
              <w:t>(%)</w:t>
            </w:r>
          </w:p>
        </w:tc>
        <w:tc>
          <w:tcPr>
            <w:tcW w:w="836" w:type="dxa"/>
            <w:tcBorders>
              <w:bottom w:val="single" w:sz="4" w:space="0" w:color="auto"/>
            </w:tcBorders>
            <w:vAlign w:val="center"/>
            <w:hideMark/>
          </w:tcPr>
          <w:p w14:paraId="0C2B34F6"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 xml:space="preserve">Cash and </w:t>
            </w:r>
            <w:r w:rsidRPr="00531FD3">
              <w:rPr>
                <w:rFonts w:cs="Times New Roman"/>
                <w:sz w:val="20"/>
                <w:szCs w:val="20"/>
              </w:rPr>
              <w:br/>
              <w:t>Stock</w:t>
            </w:r>
            <w:r w:rsidRPr="00531FD3">
              <w:rPr>
                <w:rFonts w:cs="Times New Roman"/>
                <w:sz w:val="20"/>
                <w:szCs w:val="20"/>
              </w:rPr>
              <w:br/>
              <w:t>(%)</w:t>
            </w:r>
          </w:p>
        </w:tc>
        <w:tc>
          <w:tcPr>
            <w:tcW w:w="939" w:type="dxa"/>
            <w:tcBorders>
              <w:bottom w:val="single" w:sz="4" w:space="0" w:color="auto"/>
            </w:tcBorders>
            <w:vAlign w:val="center"/>
            <w:hideMark/>
          </w:tcPr>
          <w:p w14:paraId="709B8BFE"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Others</w:t>
            </w:r>
            <w:r w:rsidRPr="00531FD3">
              <w:rPr>
                <w:rFonts w:cs="Times New Roman"/>
                <w:sz w:val="20"/>
                <w:szCs w:val="20"/>
              </w:rPr>
              <w:br/>
              <w:t>(%)</w:t>
            </w:r>
          </w:p>
        </w:tc>
        <w:tc>
          <w:tcPr>
            <w:tcW w:w="1394" w:type="dxa"/>
            <w:vMerge/>
            <w:tcBorders>
              <w:bottom w:val="single" w:sz="4" w:space="0" w:color="auto"/>
            </w:tcBorders>
            <w:vAlign w:val="center"/>
            <w:hideMark/>
          </w:tcPr>
          <w:p w14:paraId="1A568C2E" w14:textId="77777777" w:rsidR="008576C8" w:rsidRPr="00531FD3" w:rsidRDefault="008576C8" w:rsidP="008576C8">
            <w:pPr>
              <w:snapToGrid w:val="0"/>
              <w:spacing w:line="240" w:lineRule="auto"/>
              <w:ind w:firstLineChars="0" w:firstLine="0"/>
              <w:jc w:val="center"/>
              <w:rPr>
                <w:rFonts w:cs="Times New Roman"/>
                <w:sz w:val="20"/>
                <w:szCs w:val="20"/>
              </w:rPr>
            </w:pPr>
          </w:p>
        </w:tc>
        <w:tc>
          <w:tcPr>
            <w:tcW w:w="1323" w:type="dxa"/>
            <w:vMerge/>
            <w:tcBorders>
              <w:bottom w:val="single" w:sz="4" w:space="0" w:color="auto"/>
            </w:tcBorders>
            <w:vAlign w:val="center"/>
            <w:hideMark/>
          </w:tcPr>
          <w:p w14:paraId="054C92C3" w14:textId="77777777" w:rsidR="008576C8" w:rsidRPr="00531FD3" w:rsidRDefault="008576C8" w:rsidP="008576C8">
            <w:pPr>
              <w:snapToGrid w:val="0"/>
              <w:spacing w:line="240" w:lineRule="auto"/>
              <w:ind w:firstLineChars="0" w:firstLine="0"/>
              <w:jc w:val="center"/>
              <w:rPr>
                <w:rFonts w:cs="Times New Roman"/>
                <w:sz w:val="20"/>
                <w:szCs w:val="20"/>
              </w:rPr>
            </w:pPr>
          </w:p>
        </w:tc>
      </w:tr>
      <w:tr w:rsidR="008576C8" w:rsidRPr="00531FD3" w14:paraId="27C730BD" w14:textId="77777777" w:rsidTr="008576C8">
        <w:trPr>
          <w:gridAfter w:val="1"/>
          <w:wAfter w:w="6" w:type="dxa"/>
          <w:trHeight w:val="388"/>
          <w:jc w:val="center"/>
        </w:trPr>
        <w:tc>
          <w:tcPr>
            <w:tcW w:w="2036" w:type="dxa"/>
            <w:tcBorders>
              <w:top w:val="single" w:sz="4" w:space="0" w:color="auto"/>
              <w:bottom w:val="nil"/>
              <w:right w:val="nil"/>
            </w:tcBorders>
            <w:noWrap/>
            <w:vAlign w:val="center"/>
            <w:hideMark/>
          </w:tcPr>
          <w:p w14:paraId="50ABF9F4"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Basic Materials</w:t>
            </w:r>
          </w:p>
        </w:tc>
        <w:tc>
          <w:tcPr>
            <w:tcW w:w="1394" w:type="dxa"/>
            <w:tcBorders>
              <w:top w:val="single" w:sz="4" w:space="0" w:color="auto"/>
              <w:left w:val="nil"/>
              <w:bottom w:val="nil"/>
              <w:right w:val="nil"/>
            </w:tcBorders>
            <w:noWrap/>
            <w:vAlign w:val="center"/>
            <w:hideMark/>
          </w:tcPr>
          <w:p w14:paraId="70A0D344"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7</w:t>
            </w:r>
          </w:p>
        </w:tc>
        <w:tc>
          <w:tcPr>
            <w:tcW w:w="1042" w:type="dxa"/>
            <w:tcBorders>
              <w:top w:val="single" w:sz="4" w:space="0" w:color="auto"/>
              <w:left w:val="nil"/>
              <w:bottom w:val="nil"/>
              <w:right w:val="nil"/>
            </w:tcBorders>
            <w:noWrap/>
            <w:vAlign w:val="center"/>
            <w:hideMark/>
          </w:tcPr>
          <w:p w14:paraId="64D5B86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42.86</w:t>
            </w:r>
          </w:p>
        </w:tc>
        <w:tc>
          <w:tcPr>
            <w:tcW w:w="1275" w:type="dxa"/>
            <w:tcBorders>
              <w:top w:val="single" w:sz="4" w:space="0" w:color="auto"/>
              <w:left w:val="nil"/>
              <w:bottom w:val="nil"/>
              <w:right w:val="nil"/>
            </w:tcBorders>
            <w:noWrap/>
            <w:vAlign w:val="center"/>
            <w:hideMark/>
          </w:tcPr>
          <w:p w14:paraId="76116758"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57.14</w:t>
            </w:r>
          </w:p>
        </w:tc>
        <w:tc>
          <w:tcPr>
            <w:tcW w:w="1184" w:type="dxa"/>
            <w:tcBorders>
              <w:top w:val="single" w:sz="4" w:space="0" w:color="auto"/>
              <w:left w:val="nil"/>
              <w:bottom w:val="nil"/>
              <w:right w:val="nil"/>
            </w:tcBorders>
            <w:noWrap/>
            <w:vAlign w:val="center"/>
            <w:hideMark/>
          </w:tcPr>
          <w:p w14:paraId="14B67FD3"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lang w:val="en-GB"/>
              </w:rPr>
              <w:t>87.29</w:t>
            </w:r>
          </w:p>
        </w:tc>
        <w:tc>
          <w:tcPr>
            <w:tcW w:w="1130" w:type="dxa"/>
            <w:tcBorders>
              <w:top w:val="single" w:sz="4" w:space="0" w:color="auto"/>
              <w:left w:val="nil"/>
              <w:bottom w:val="nil"/>
              <w:right w:val="nil"/>
            </w:tcBorders>
            <w:noWrap/>
            <w:vAlign w:val="center"/>
            <w:hideMark/>
          </w:tcPr>
          <w:p w14:paraId="38528803"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834.20</w:t>
            </w:r>
          </w:p>
        </w:tc>
        <w:tc>
          <w:tcPr>
            <w:tcW w:w="829" w:type="dxa"/>
            <w:tcBorders>
              <w:top w:val="single" w:sz="4" w:space="0" w:color="auto"/>
              <w:left w:val="nil"/>
              <w:bottom w:val="nil"/>
              <w:right w:val="nil"/>
            </w:tcBorders>
            <w:noWrap/>
            <w:vAlign w:val="center"/>
            <w:hideMark/>
          </w:tcPr>
          <w:p w14:paraId="5138A412"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7.18</w:t>
            </w:r>
          </w:p>
        </w:tc>
        <w:tc>
          <w:tcPr>
            <w:tcW w:w="836" w:type="dxa"/>
            <w:tcBorders>
              <w:top w:val="single" w:sz="4" w:space="0" w:color="auto"/>
              <w:left w:val="nil"/>
              <w:bottom w:val="nil"/>
              <w:right w:val="nil"/>
            </w:tcBorders>
            <w:noWrap/>
            <w:vAlign w:val="center"/>
            <w:hideMark/>
          </w:tcPr>
          <w:p w14:paraId="04FB1D3C"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w:t>
            </w:r>
          </w:p>
        </w:tc>
        <w:tc>
          <w:tcPr>
            <w:tcW w:w="836" w:type="dxa"/>
            <w:tcBorders>
              <w:top w:val="single" w:sz="4" w:space="0" w:color="auto"/>
              <w:left w:val="nil"/>
              <w:bottom w:val="nil"/>
              <w:right w:val="nil"/>
            </w:tcBorders>
            <w:noWrap/>
            <w:vAlign w:val="center"/>
            <w:hideMark/>
          </w:tcPr>
          <w:p w14:paraId="309D4058"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40.15</w:t>
            </w:r>
          </w:p>
        </w:tc>
        <w:tc>
          <w:tcPr>
            <w:tcW w:w="939" w:type="dxa"/>
            <w:tcBorders>
              <w:top w:val="single" w:sz="4" w:space="0" w:color="auto"/>
              <w:left w:val="nil"/>
              <w:bottom w:val="nil"/>
              <w:right w:val="nil"/>
            </w:tcBorders>
            <w:noWrap/>
            <w:vAlign w:val="center"/>
            <w:hideMark/>
          </w:tcPr>
          <w:p w14:paraId="1BBA36A1"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52.67</w:t>
            </w:r>
          </w:p>
        </w:tc>
        <w:tc>
          <w:tcPr>
            <w:tcW w:w="1394" w:type="dxa"/>
            <w:tcBorders>
              <w:top w:val="single" w:sz="4" w:space="0" w:color="auto"/>
              <w:left w:val="nil"/>
              <w:bottom w:val="nil"/>
              <w:right w:val="nil"/>
            </w:tcBorders>
            <w:noWrap/>
            <w:vAlign w:val="center"/>
            <w:hideMark/>
          </w:tcPr>
          <w:p w14:paraId="51CE7CFA"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3920.88</w:t>
            </w:r>
          </w:p>
        </w:tc>
        <w:tc>
          <w:tcPr>
            <w:tcW w:w="1323" w:type="dxa"/>
            <w:tcBorders>
              <w:top w:val="single" w:sz="4" w:space="0" w:color="auto"/>
              <w:left w:val="nil"/>
              <w:bottom w:val="nil"/>
            </w:tcBorders>
            <w:noWrap/>
            <w:vAlign w:val="center"/>
            <w:hideMark/>
          </w:tcPr>
          <w:p w14:paraId="799D6F63"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-15.89</w:t>
            </w:r>
          </w:p>
        </w:tc>
      </w:tr>
      <w:tr w:rsidR="008576C8" w:rsidRPr="00531FD3" w14:paraId="18B1DCFF" w14:textId="77777777" w:rsidTr="008576C8">
        <w:trPr>
          <w:gridAfter w:val="1"/>
          <w:wAfter w:w="6" w:type="dxa"/>
          <w:trHeight w:val="388"/>
          <w:jc w:val="center"/>
        </w:trPr>
        <w:tc>
          <w:tcPr>
            <w:tcW w:w="2036" w:type="dxa"/>
            <w:tcBorders>
              <w:top w:val="nil"/>
              <w:bottom w:val="nil"/>
              <w:right w:val="nil"/>
            </w:tcBorders>
            <w:noWrap/>
            <w:vAlign w:val="center"/>
            <w:hideMark/>
          </w:tcPr>
          <w:p w14:paraId="1FA57B3C"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Communications</w:t>
            </w:r>
          </w:p>
        </w:tc>
        <w:tc>
          <w:tcPr>
            <w:tcW w:w="1394" w:type="dxa"/>
            <w:tcBorders>
              <w:top w:val="nil"/>
              <w:left w:val="nil"/>
              <w:bottom w:val="nil"/>
              <w:right w:val="nil"/>
            </w:tcBorders>
            <w:noWrap/>
            <w:vAlign w:val="center"/>
            <w:hideMark/>
          </w:tcPr>
          <w:p w14:paraId="2A756598"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7</w:t>
            </w:r>
          </w:p>
        </w:tc>
        <w:tc>
          <w:tcPr>
            <w:tcW w:w="1042" w:type="dxa"/>
            <w:tcBorders>
              <w:top w:val="nil"/>
              <w:left w:val="nil"/>
              <w:bottom w:val="nil"/>
              <w:right w:val="nil"/>
            </w:tcBorders>
            <w:noWrap/>
            <w:vAlign w:val="center"/>
            <w:hideMark/>
          </w:tcPr>
          <w:p w14:paraId="74C745EB"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42.86</w:t>
            </w:r>
          </w:p>
        </w:tc>
        <w:tc>
          <w:tcPr>
            <w:tcW w:w="1275" w:type="dxa"/>
            <w:tcBorders>
              <w:top w:val="nil"/>
              <w:left w:val="nil"/>
              <w:bottom w:val="nil"/>
              <w:right w:val="nil"/>
            </w:tcBorders>
            <w:noWrap/>
            <w:vAlign w:val="center"/>
            <w:hideMark/>
          </w:tcPr>
          <w:p w14:paraId="1BD23013"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57.14</w:t>
            </w:r>
          </w:p>
        </w:tc>
        <w:tc>
          <w:tcPr>
            <w:tcW w:w="1184" w:type="dxa"/>
            <w:tcBorders>
              <w:top w:val="nil"/>
              <w:left w:val="nil"/>
              <w:bottom w:val="nil"/>
              <w:right w:val="nil"/>
            </w:tcBorders>
            <w:noWrap/>
            <w:vAlign w:val="center"/>
            <w:hideMark/>
          </w:tcPr>
          <w:p w14:paraId="698B0B5D"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80.14</w:t>
            </w:r>
          </w:p>
        </w:tc>
        <w:tc>
          <w:tcPr>
            <w:tcW w:w="1130" w:type="dxa"/>
            <w:tcBorders>
              <w:top w:val="nil"/>
              <w:left w:val="nil"/>
              <w:bottom w:val="nil"/>
              <w:right w:val="nil"/>
            </w:tcBorders>
            <w:noWrap/>
            <w:vAlign w:val="center"/>
            <w:hideMark/>
          </w:tcPr>
          <w:p w14:paraId="163FCD0C"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303.96</w:t>
            </w:r>
          </w:p>
        </w:tc>
        <w:tc>
          <w:tcPr>
            <w:tcW w:w="829" w:type="dxa"/>
            <w:tcBorders>
              <w:top w:val="nil"/>
              <w:left w:val="nil"/>
              <w:bottom w:val="nil"/>
              <w:right w:val="nil"/>
            </w:tcBorders>
            <w:noWrap/>
            <w:vAlign w:val="center"/>
            <w:hideMark/>
          </w:tcPr>
          <w:p w14:paraId="28AA0C2B" w14:textId="77777777" w:rsidR="008576C8" w:rsidRPr="00531FD3" w:rsidRDefault="008576C8" w:rsidP="008576C8">
            <w:pPr>
              <w:snapToGrid w:val="0"/>
              <w:spacing w:line="240" w:lineRule="auto"/>
              <w:ind w:firstLineChars="0" w:firstLine="0"/>
              <w:rPr>
                <w:rFonts w:cs="Times New Roman"/>
                <w:sz w:val="20"/>
                <w:szCs w:val="20"/>
                <w:lang w:val="en-GB"/>
              </w:rPr>
            </w:pPr>
            <w:r w:rsidRPr="00531FD3">
              <w:rPr>
                <w:rFonts w:cs="Times New Roman"/>
                <w:sz w:val="20"/>
                <w:szCs w:val="20"/>
              </w:rPr>
              <w:t xml:space="preserve"> 94.17</w:t>
            </w:r>
          </w:p>
        </w:tc>
        <w:tc>
          <w:tcPr>
            <w:tcW w:w="836" w:type="dxa"/>
            <w:tcBorders>
              <w:top w:val="nil"/>
              <w:left w:val="nil"/>
              <w:bottom w:val="nil"/>
              <w:right w:val="nil"/>
            </w:tcBorders>
            <w:noWrap/>
            <w:vAlign w:val="center"/>
            <w:hideMark/>
          </w:tcPr>
          <w:p w14:paraId="1EA19A0D"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w:t>
            </w:r>
          </w:p>
        </w:tc>
        <w:tc>
          <w:tcPr>
            <w:tcW w:w="836" w:type="dxa"/>
            <w:tcBorders>
              <w:top w:val="nil"/>
              <w:left w:val="nil"/>
              <w:bottom w:val="nil"/>
              <w:right w:val="nil"/>
            </w:tcBorders>
            <w:noWrap/>
            <w:vAlign w:val="center"/>
            <w:hideMark/>
          </w:tcPr>
          <w:p w14:paraId="389FA2B0"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5.83</w:t>
            </w:r>
          </w:p>
        </w:tc>
        <w:tc>
          <w:tcPr>
            <w:tcW w:w="939" w:type="dxa"/>
            <w:tcBorders>
              <w:top w:val="nil"/>
              <w:left w:val="nil"/>
              <w:bottom w:val="nil"/>
              <w:right w:val="nil"/>
            </w:tcBorders>
            <w:noWrap/>
            <w:vAlign w:val="center"/>
            <w:hideMark/>
          </w:tcPr>
          <w:p w14:paraId="5F311C18"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0</w:t>
            </w:r>
          </w:p>
        </w:tc>
        <w:tc>
          <w:tcPr>
            <w:tcW w:w="1394" w:type="dxa"/>
            <w:tcBorders>
              <w:top w:val="nil"/>
              <w:left w:val="nil"/>
              <w:bottom w:val="nil"/>
              <w:right w:val="nil"/>
            </w:tcBorders>
            <w:noWrap/>
            <w:vAlign w:val="center"/>
            <w:hideMark/>
          </w:tcPr>
          <w:p w14:paraId="7A0F9C9B"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1201.23</w:t>
            </w:r>
          </w:p>
        </w:tc>
        <w:tc>
          <w:tcPr>
            <w:tcW w:w="1323" w:type="dxa"/>
            <w:tcBorders>
              <w:top w:val="nil"/>
              <w:left w:val="nil"/>
              <w:bottom w:val="nil"/>
            </w:tcBorders>
            <w:noWrap/>
            <w:vAlign w:val="center"/>
            <w:hideMark/>
          </w:tcPr>
          <w:p w14:paraId="43F7E8FC"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-1.78</w:t>
            </w:r>
          </w:p>
        </w:tc>
      </w:tr>
      <w:tr w:rsidR="008576C8" w:rsidRPr="00531FD3" w14:paraId="330DAB8A" w14:textId="77777777" w:rsidTr="008576C8">
        <w:trPr>
          <w:gridAfter w:val="1"/>
          <w:wAfter w:w="6" w:type="dxa"/>
          <w:trHeight w:val="388"/>
          <w:jc w:val="center"/>
        </w:trPr>
        <w:tc>
          <w:tcPr>
            <w:tcW w:w="2036" w:type="dxa"/>
            <w:tcBorders>
              <w:top w:val="nil"/>
              <w:bottom w:val="nil"/>
              <w:right w:val="nil"/>
            </w:tcBorders>
            <w:noWrap/>
            <w:vAlign w:val="center"/>
            <w:hideMark/>
          </w:tcPr>
          <w:p w14:paraId="7A77E71E"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Consumer, Cyclical</w:t>
            </w:r>
          </w:p>
        </w:tc>
        <w:tc>
          <w:tcPr>
            <w:tcW w:w="1394" w:type="dxa"/>
            <w:tcBorders>
              <w:top w:val="nil"/>
              <w:left w:val="nil"/>
              <w:bottom w:val="nil"/>
              <w:right w:val="nil"/>
            </w:tcBorders>
            <w:noWrap/>
            <w:vAlign w:val="center"/>
            <w:hideMark/>
          </w:tcPr>
          <w:p w14:paraId="64EA6AD9"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50</w:t>
            </w:r>
          </w:p>
        </w:tc>
        <w:tc>
          <w:tcPr>
            <w:tcW w:w="1042" w:type="dxa"/>
            <w:tcBorders>
              <w:top w:val="nil"/>
              <w:left w:val="nil"/>
              <w:bottom w:val="nil"/>
              <w:right w:val="nil"/>
            </w:tcBorders>
            <w:noWrap/>
            <w:vAlign w:val="center"/>
            <w:hideMark/>
          </w:tcPr>
          <w:p w14:paraId="1011F7E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34.00</w:t>
            </w:r>
          </w:p>
        </w:tc>
        <w:tc>
          <w:tcPr>
            <w:tcW w:w="1275" w:type="dxa"/>
            <w:tcBorders>
              <w:top w:val="nil"/>
              <w:left w:val="nil"/>
              <w:bottom w:val="nil"/>
              <w:right w:val="nil"/>
            </w:tcBorders>
            <w:noWrap/>
            <w:vAlign w:val="center"/>
            <w:hideMark/>
          </w:tcPr>
          <w:p w14:paraId="1C601011"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66.00</w:t>
            </w:r>
          </w:p>
        </w:tc>
        <w:tc>
          <w:tcPr>
            <w:tcW w:w="1184" w:type="dxa"/>
            <w:tcBorders>
              <w:top w:val="nil"/>
              <w:left w:val="nil"/>
              <w:bottom w:val="nil"/>
              <w:right w:val="nil"/>
            </w:tcBorders>
            <w:noWrap/>
            <w:vAlign w:val="center"/>
            <w:hideMark/>
          </w:tcPr>
          <w:p w14:paraId="2C552A0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90.76</w:t>
            </w:r>
          </w:p>
        </w:tc>
        <w:tc>
          <w:tcPr>
            <w:tcW w:w="1130" w:type="dxa"/>
            <w:tcBorders>
              <w:top w:val="nil"/>
              <w:left w:val="nil"/>
              <w:bottom w:val="nil"/>
              <w:right w:val="nil"/>
            </w:tcBorders>
            <w:noWrap/>
            <w:vAlign w:val="center"/>
            <w:hideMark/>
          </w:tcPr>
          <w:p w14:paraId="5A3A1DD1"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429.24</w:t>
            </w:r>
          </w:p>
        </w:tc>
        <w:tc>
          <w:tcPr>
            <w:tcW w:w="829" w:type="dxa"/>
            <w:tcBorders>
              <w:top w:val="nil"/>
              <w:left w:val="nil"/>
              <w:bottom w:val="nil"/>
              <w:right w:val="nil"/>
            </w:tcBorders>
            <w:noWrap/>
            <w:vAlign w:val="center"/>
            <w:hideMark/>
          </w:tcPr>
          <w:p w14:paraId="0296BB83"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57.64</w:t>
            </w:r>
          </w:p>
        </w:tc>
        <w:tc>
          <w:tcPr>
            <w:tcW w:w="836" w:type="dxa"/>
            <w:tcBorders>
              <w:top w:val="nil"/>
              <w:left w:val="nil"/>
              <w:bottom w:val="nil"/>
              <w:right w:val="nil"/>
            </w:tcBorders>
            <w:noWrap/>
            <w:vAlign w:val="center"/>
            <w:hideMark/>
          </w:tcPr>
          <w:p w14:paraId="6BA4493C"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8.58</w:t>
            </w:r>
          </w:p>
        </w:tc>
        <w:tc>
          <w:tcPr>
            <w:tcW w:w="836" w:type="dxa"/>
            <w:tcBorders>
              <w:top w:val="nil"/>
              <w:left w:val="nil"/>
              <w:bottom w:val="nil"/>
              <w:right w:val="nil"/>
            </w:tcBorders>
            <w:noWrap/>
            <w:vAlign w:val="center"/>
            <w:hideMark/>
          </w:tcPr>
          <w:p w14:paraId="189A68EE"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12.23</w:t>
            </w:r>
          </w:p>
        </w:tc>
        <w:tc>
          <w:tcPr>
            <w:tcW w:w="939" w:type="dxa"/>
            <w:tcBorders>
              <w:top w:val="nil"/>
              <w:left w:val="nil"/>
              <w:bottom w:val="nil"/>
              <w:right w:val="nil"/>
            </w:tcBorders>
            <w:noWrap/>
            <w:vAlign w:val="center"/>
            <w:hideMark/>
          </w:tcPr>
          <w:p w14:paraId="76B82CAD"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21.55</w:t>
            </w:r>
          </w:p>
        </w:tc>
        <w:tc>
          <w:tcPr>
            <w:tcW w:w="1394" w:type="dxa"/>
            <w:tcBorders>
              <w:top w:val="nil"/>
              <w:left w:val="nil"/>
              <w:bottom w:val="nil"/>
              <w:right w:val="nil"/>
            </w:tcBorders>
            <w:noWrap/>
            <w:vAlign w:val="center"/>
            <w:hideMark/>
          </w:tcPr>
          <w:p w14:paraId="1296EE39"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10831.54</w:t>
            </w:r>
          </w:p>
        </w:tc>
        <w:tc>
          <w:tcPr>
            <w:tcW w:w="1323" w:type="dxa"/>
            <w:tcBorders>
              <w:top w:val="nil"/>
              <w:left w:val="nil"/>
              <w:bottom w:val="nil"/>
            </w:tcBorders>
            <w:noWrap/>
            <w:vAlign w:val="center"/>
            <w:hideMark/>
          </w:tcPr>
          <w:p w14:paraId="433DC079"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7.31</w:t>
            </w:r>
          </w:p>
        </w:tc>
      </w:tr>
      <w:tr w:rsidR="008576C8" w:rsidRPr="00531FD3" w14:paraId="0747BB84" w14:textId="77777777" w:rsidTr="008576C8">
        <w:trPr>
          <w:gridAfter w:val="1"/>
          <w:wAfter w:w="6" w:type="dxa"/>
          <w:trHeight w:val="388"/>
          <w:jc w:val="center"/>
        </w:trPr>
        <w:tc>
          <w:tcPr>
            <w:tcW w:w="2036" w:type="dxa"/>
            <w:tcBorders>
              <w:top w:val="nil"/>
              <w:bottom w:val="nil"/>
              <w:right w:val="nil"/>
            </w:tcBorders>
            <w:noWrap/>
            <w:vAlign w:val="center"/>
            <w:hideMark/>
          </w:tcPr>
          <w:p w14:paraId="2E7A8ED9"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Consumer, Non-cyclical</w:t>
            </w:r>
          </w:p>
        </w:tc>
        <w:tc>
          <w:tcPr>
            <w:tcW w:w="1394" w:type="dxa"/>
            <w:tcBorders>
              <w:top w:val="nil"/>
              <w:left w:val="nil"/>
              <w:bottom w:val="nil"/>
              <w:right w:val="nil"/>
            </w:tcBorders>
            <w:noWrap/>
            <w:vAlign w:val="center"/>
            <w:hideMark/>
          </w:tcPr>
          <w:p w14:paraId="2EC6D9C6"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20</w:t>
            </w:r>
          </w:p>
        </w:tc>
        <w:tc>
          <w:tcPr>
            <w:tcW w:w="1042" w:type="dxa"/>
            <w:tcBorders>
              <w:top w:val="nil"/>
              <w:left w:val="nil"/>
              <w:bottom w:val="nil"/>
              <w:right w:val="nil"/>
            </w:tcBorders>
            <w:noWrap/>
            <w:vAlign w:val="center"/>
            <w:hideMark/>
          </w:tcPr>
          <w:p w14:paraId="1D9D4A96"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40.00</w:t>
            </w:r>
          </w:p>
        </w:tc>
        <w:tc>
          <w:tcPr>
            <w:tcW w:w="1275" w:type="dxa"/>
            <w:tcBorders>
              <w:top w:val="nil"/>
              <w:left w:val="nil"/>
              <w:bottom w:val="nil"/>
              <w:right w:val="nil"/>
            </w:tcBorders>
            <w:noWrap/>
            <w:vAlign w:val="center"/>
            <w:hideMark/>
          </w:tcPr>
          <w:p w14:paraId="3643252C"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60.00</w:t>
            </w:r>
          </w:p>
        </w:tc>
        <w:tc>
          <w:tcPr>
            <w:tcW w:w="1184" w:type="dxa"/>
            <w:tcBorders>
              <w:top w:val="nil"/>
              <w:left w:val="nil"/>
              <w:bottom w:val="nil"/>
              <w:right w:val="nil"/>
            </w:tcBorders>
            <w:noWrap/>
            <w:vAlign w:val="center"/>
            <w:hideMark/>
          </w:tcPr>
          <w:p w14:paraId="48F5EA2B"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83.79</w:t>
            </w:r>
          </w:p>
        </w:tc>
        <w:tc>
          <w:tcPr>
            <w:tcW w:w="1130" w:type="dxa"/>
            <w:tcBorders>
              <w:top w:val="nil"/>
              <w:left w:val="nil"/>
              <w:bottom w:val="nil"/>
              <w:right w:val="nil"/>
            </w:tcBorders>
            <w:noWrap/>
            <w:vAlign w:val="center"/>
            <w:hideMark/>
          </w:tcPr>
          <w:p w14:paraId="1D253DA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179.60</w:t>
            </w:r>
          </w:p>
        </w:tc>
        <w:tc>
          <w:tcPr>
            <w:tcW w:w="829" w:type="dxa"/>
            <w:tcBorders>
              <w:top w:val="nil"/>
              <w:left w:val="nil"/>
              <w:bottom w:val="nil"/>
              <w:right w:val="nil"/>
            </w:tcBorders>
            <w:noWrap/>
            <w:vAlign w:val="center"/>
            <w:hideMark/>
          </w:tcPr>
          <w:p w14:paraId="38BAF4D4"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92.30</w:t>
            </w:r>
          </w:p>
        </w:tc>
        <w:tc>
          <w:tcPr>
            <w:tcW w:w="836" w:type="dxa"/>
            <w:tcBorders>
              <w:top w:val="nil"/>
              <w:left w:val="nil"/>
              <w:bottom w:val="nil"/>
              <w:right w:val="nil"/>
            </w:tcBorders>
            <w:noWrap/>
            <w:vAlign w:val="center"/>
            <w:hideMark/>
          </w:tcPr>
          <w:p w14:paraId="774F359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0</w:t>
            </w:r>
          </w:p>
        </w:tc>
        <w:tc>
          <w:tcPr>
            <w:tcW w:w="836" w:type="dxa"/>
            <w:tcBorders>
              <w:top w:val="nil"/>
              <w:left w:val="nil"/>
              <w:bottom w:val="nil"/>
              <w:right w:val="nil"/>
            </w:tcBorders>
            <w:noWrap/>
            <w:vAlign w:val="center"/>
            <w:hideMark/>
          </w:tcPr>
          <w:p w14:paraId="34C7D41F"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6.03</w:t>
            </w:r>
          </w:p>
        </w:tc>
        <w:tc>
          <w:tcPr>
            <w:tcW w:w="939" w:type="dxa"/>
            <w:tcBorders>
              <w:top w:val="nil"/>
              <w:left w:val="nil"/>
              <w:bottom w:val="nil"/>
              <w:right w:val="nil"/>
            </w:tcBorders>
            <w:noWrap/>
            <w:vAlign w:val="center"/>
            <w:hideMark/>
          </w:tcPr>
          <w:p w14:paraId="7121833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1.67</w:t>
            </w:r>
          </w:p>
        </w:tc>
        <w:tc>
          <w:tcPr>
            <w:tcW w:w="1394" w:type="dxa"/>
            <w:tcBorders>
              <w:top w:val="nil"/>
              <w:left w:val="nil"/>
              <w:bottom w:val="nil"/>
              <w:right w:val="nil"/>
            </w:tcBorders>
            <w:noWrap/>
            <w:vAlign w:val="center"/>
            <w:hideMark/>
          </w:tcPr>
          <w:p w14:paraId="2DB50DDC"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3022.61</w:t>
            </w:r>
          </w:p>
        </w:tc>
        <w:tc>
          <w:tcPr>
            <w:tcW w:w="1323" w:type="dxa"/>
            <w:tcBorders>
              <w:top w:val="nil"/>
              <w:left w:val="nil"/>
              <w:bottom w:val="nil"/>
            </w:tcBorders>
            <w:noWrap/>
            <w:vAlign w:val="center"/>
            <w:hideMark/>
          </w:tcPr>
          <w:p w14:paraId="15E18212"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7.24</w:t>
            </w:r>
          </w:p>
        </w:tc>
      </w:tr>
      <w:tr w:rsidR="008576C8" w:rsidRPr="00531FD3" w14:paraId="181A31A0" w14:textId="77777777" w:rsidTr="008576C8">
        <w:trPr>
          <w:gridAfter w:val="1"/>
          <w:wAfter w:w="6" w:type="dxa"/>
          <w:trHeight w:val="388"/>
          <w:jc w:val="center"/>
        </w:trPr>
        <w:tc>
          <w:tcPr>
            <w:tcW w:w="2036" w:type="dxa"/>
            <w:tcBorders>
              <w:top w:val="nil"/>
              <w:bottom w:val="nil"/>
              <w:right w:val="nil"/>
            </w:tcBorders>
            <w:noWrap/>
            <w:vAlign w:val="center"/>
            <w:hideMark/>
          </w:tcPr>
          <w:p w14:paraId="65F17BA9"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Diversified</w:t>
            </w:r>
          </w:p>
        </w:tc>
        <w:tc>
          <w:tcPr>
            <w:tcW w:w="1394" w:type="dxa"/>
            <w:tcBorders>
              <w:top w:val="nil"/>
              <w:left w:val="nil"/>
              <w:bottom w:val="nil"/>
              <w:right w:val="nil"/>
            </w:tcBorders>
            <w:noWrap/>
            <w:vAlign w:val="center"/>
            <w:hideMark/>
          </w:tcPr>
          <w:p w14:paraId="7C21F1E2"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11</w:t>
            </w:r>
          </w:p>
        </w:tc>
        <w:tc>
          <w:tcPr>
            <w:tcW w:w="1042" w:type="dxa"/>
            <w:tcBorders>
              <w:top w:val="nil"/>
              <w:left w:val="nil"/>
              <w:bottom w:val="nil"/>
              <w:right w:val="nil"/>
            </w:tcBorders>
            <w:noWrap/>
            <w:vAlign w:val="center"/>
            <w:hideMark/>
          </w:tcPr>
          <w:p w14:paraId="3D497618"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0.09</w:t>
            </w:r>
          </w:p>
        </w:tc>
        <w:tc>
          <w:tcPr>
            <w:tcW w:w="1275" w:type="dxa"/>
            <w:tcBorders>
              <w:top w:val="nil"/>
              <w:left w:val="nil"/>
              <w:bottom w:val="nil"/>
              <w:right w:val="nil"/>
            </w:tcBorders>
            <w:noWrap/>
            <w:vAlign w:val="center"/>
            <w:hideMark/>
          </w:tcPr>
          <w:p w14:paraId="46444E76"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90.91</w:t>
            </w:r>
          </w:p>
        </w:tc>
        <w:tc>
          <w:tcPr>
            <w:tcW w:w="1184" w:type="dxa"/>
            <w:tcBorders>
              <w:top w:val="nil"/>
              <w:left w:val="nil"/>
              <w:bottom w:val="nil"/>
              <w:right w:val="nil"/>
            </w:tcBorders>
            <w:noWrap/>
            <w:vAlign w:val="center"/>
            <w:hideMark/>
          </w:tcPr>
          <w:p w14:paraId="4582D33E"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89.18</w:t>
            </w:r>
          </w:p>
        </w:tc>
        <w:tc>
          <w:tcPr>
            <w:tcW w:w="1130" w:type="dxa"/>
            <w:tcBorders>
              <w:top w:val="nil"/>
              <w:left w:val="nil"/>
              <w:bottom w:val="nil"/>
              <w:right w:val="nil"/>
            </w:tcBorders>
            <w:noWrap/>
            <w:vAlign w:val="center"/>
            <w:hideMark/>
          </w:tcPr>
          <w:p w14:paraId="46EECB36"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153.18</w:t>
            </w:r>
          </w:p>
        </w:tc>
        <w:tc>
          <w:tcPr>
            <w:tcW w:w="829" w:type="dxa"/>
            <w:tcBorders>
              <w:top w:val="nil"/>
              <w:left w:val="nil"/>
              <w:bottom w:val="nil"/>
              <w:right w:val="nil"/>
            </w:tcBorders>
            <w:noWrap/>
            <w:vAlign w:val="center"/>
            <w:hideMark/>
          </w:tcPr>
          <w:p w14:paraId="51F6C0B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93.47</w:t>
            </w:r>
          </w:p>
        </w:tc>
        <w:tc>
          <w:tcPr>
            <w:tcW w:w="836" w:type="dxa"/>
            <w:tcBorders>
              <w:top w:val="nil"/>
              <w:left w:val="nil"/>
              <w:bottom w:val="nil"/>
              <w:right w:val="nil"/>
            </w:tcBorders>
            <w:noWrap/>
            <w:vAlign w:val="center"/>
            <w:hideMark/>
          </w:tcPr>
          <w:p w14:paraId="024C0E1E"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w:t>
            </w:r>
          </w:p>
        </w:tc>
        <w:tc>
          <w:tcPr>
            <w:tcW w:w="836" w:type="dxa"/>
            <w:tcBorders>
              <w:top w:val="nil"/>
              <w:left w:val="nil"/>
              <w:bottom w:val="nil"/>
              <w:right w:val="nil"/>
            </w:tcBorders>
            <w:noWrap/>
            <w:vAlign w:val="center"/>
            <w:hideMark/>
          </w:tcPr>
          <w:p w14:paraId="3AC63C03"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w:t>
            </w:r>
          </w:p>
        </w:tc>
        <w:tc>
          <w:tcPr>
            <w:tcW w:w="939" w:type="dxa"/>
            <w:tcBorders>
              <w:top w:val="nil"/>
              <w:left w:val="nil"/>
              <w:bottom w:val="nil"/>
              <w:right w:val="nil"/>
            </w:tcBorders>
            <w:noWrap/>
            <w:vAlign w:val="center"/>
            <w:hideMark/>
          </w:tcPr>
          <w:p w14:paraId="61F911E3"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6.53</w:t>
            </w:r>
          </w:p>
        </w:tc>
        <w:tc>
          <w:tcPr>
            <w:tcW w:w="1394" w:type="dxa"/>
            <w:tcBorders>
              <w:top w:val="nil"/>
              <w:left w:val="nil"/>
              <w:bottom w:val="nil"/>
              <w:right w:val="nil"/>
            </w:tcBorders>
            <w:noWrap/>
            <w:vAlign w:val="center"/>
            <w:hideMark/>
          </w:tcPr>
          <w:p w14:paraId="2B30174B"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5100.64</w:t>
            </w:r>
          </w:p>
        </w:tc>
        <w:tc>
          <w:tcPr>
            <w:tcW w:w="1323" w:type="dxa"/>
            <w:tcBorders>
              <w:top w:val="nil"/>
              <w:left w:val="nil"/>
              <w:bottom w:val="nil"/>
            </w:tcBorders>
            <w:noWrap/>
            <w:vAlign w:val="center"/>
            <w:hideMark/>
          </w:tcPr>
          <w:p w14:paraId="6EFA6C50"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3.79</w:t>
            </w:r>
          </w:p>
        </w:tc>
      </w:tr>
      <w:tr w:rsidR="008576C8" w:rsidRPr="00531FD3" w14:paraId="59F05EA4" w14:textId="77777777" w:rsidTr="008576C8">
        <w:trPr>
          <w:gridAfter w:val="1"/>
          <w:wAfter w:w="6" w:type="dxa"/>
          <w:trHeight w:val="388"/>
          <w:jc w:val="center"/>
        </w:trPr>
        <w:tc>
          <w:tcPr>
            <w:tcW w:w="2036" w:type="dxa"/>
            <w:tcBorders>
              <w:top w:val="nil"/>
              <w:bottom w:val="nil"/>
              <w:right w:val="nil"/>
            </w:tcBorders>
            <w:noWrap/>
            <w:vAlign w:val="center"/>
            <w:hideMark/>
          </w:tcPr>
          <w:p w14:paraId="3FEE84A4"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Energy</w:t>
            </w:r>
          </w:p>
        </w:tc>
        <w:tc>
          <w:tcPr>
            <w:tcW w:w="1394" w:type="dxa"/>
            <w:tcBorders>
              <w:top w:val="nil"/>
              <w:left w:val="nil"/>
              <w:bottom w:val="nil"/>
              <w:right w:val="nil"/>
            </w:tcBorders>
            <w:noWrap/>
            <w:vAlign w:val="center"/>
            <w:hideMark/>
          </w:tcPr>
          <w:p w14:paraId="3C63664A"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22</w:t>
            </w:r>
          </w:p>
        </w:tc>
        <w:tc>
          <w:tcPr>
            <w:tcW w:w="1042" w:type="dxa"/>
            <w:tcBorders>
              <w:top w:val="nil"/>
              <w:left w:val="nil"/>
              <w:bottom w:val="nil"/>
              <w:right w:val="nil"/>
            </w:tcBorders>
            <w:noWrap/>
            <w:vAlign w:val="center"/>
            <w:hideMark/>
          </w:tcPr>
          <w:p w14:paraId="4C57EF23"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 xml:space="preserve">   40.91</w:t>
            </w:r>
          </w:p>
        </w:tc>
        <w:tc>
          <w:tcPr>
            <w:tcW w:w="1275" w:type="dxa"/>
            <w:tcBorders>
              <w:top w:val="nil"/>
              <w:left w:val="nil"/>
              <w:bottom w:val="nil"/>
              <w:right w:val="nil"/>
            </w:tcBorders>
            <w:noWrap/>
            <w:vAlign w:val="center"/>
            <w:hideMark/>
          </w:tcPr>
          <w:p w14:paraId="647DEBC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59.09</w:t>
            </w:r>
          </w:p>
        </w:tc>
        <w:tc>
          <w:tcPr>
            <w:tcW w:w="1184" w:type="dxa"/>
            <w:tcBorders>
              <w:top w:val="nil"/>
              <w:left w:val="nil"/>
              <w:bottom w:val="nil"/>
              <w:right w:val="nil"/>
            </w:tcBorders>
            <w:noWrap/>
            <w:vAlign w:val="center"/>
            <w:hideMark/>
          </w:tcPr>
          <w:p w14:paraId="4DCB17D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89.47</w:t>
            </w:r>
          </w:p>
        </w:tc>
        <w:tc>
          <w:tcPr>
            <w:tcW w:w="1130" w:type="dxa"/>
            <w:tcBorders>
              <w:top w:val="nil"/>
              <w:left w:val="nil"/>
              <w:bottom w:val="nil"/>
              <w:right w:val="nil"/>
            </w:tcBorders>
            <w:noWrap/>
            <w:vAlign w:val="center"/>
            <w:hideMark/>
          </w:tcPr>
          <w:p w14:paraId="035F930B"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302.37</w:t>
            </w:r>
          </w:p>
        </w:tc>
        <w:tc>
          <w:tcPr>
            <w:tcW w:w="829" w:type="dxa"/>
            <w:tcBorders>
              <w:top w:val="nil"/>
              <w:left w:val="nil"/>
              <w:bottom w:val="nil"/>
              <w:right w:val="nil"/>
            </w:tcBorders>
            <w:noWrap/>
            <w:vAlign w:val="center"/>
            <w:hideMark/>
          </w:tcPr>
          <w:p w14:paraId="0498B5FC"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93.54</w:t>
            </w:r>
          </w:p>
        </w:tc>
        <w:tc>
          <w:tcPr>
            <w:tcW w:w="836" w:type="dxa"/>
            <w:tcBorders>
              <w:top w:val="nil"/>
              <w:left w:val="nil"/>
              <w:bottom w:val="nil"/>
              <w:right w:val="nil"/>
            </w:tcBorders>
            <w:noWrap/>
            <w:vAlign w:val="center"/>
            <w:hideMark/>
          </w:tcPr>
          <w:p w14:paraId="718A45BB"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w:t>
            </w:r>
          </w:p>
        </w:tc>
        <w:tc>
          <w:tcPr>
            <w:tcW w:w="836" w:type="dxa"/>
            <w:tcBorders>
              <w:top w:val="nil"/>
              <w:left w:val="nil"/>
              <w:bottom w:val="nil"/>
              <w:right w:val="nil"/>
            </w:tcBorders>
            <w:noWrap/>
            <w:vAlign w:val="center"/>
            <w:hideMark/>
          </w:tcPr>
          <w:p w14:paraId="60A2182F"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1.03</w:t>
            </w:r>
          </w:p>
        </w:tc>
        <w:tc>
          <w:tcPr>
            <w:tcW w:w="939" w:type="dxa"/>
            <w:tcBorders>
              <w:top w:val="nil"/>
              <w:left w:val="nil"/>
              <w:bottom w:val="nil"/>
              <w:right w:val="nil"/>
            </w:tcBorders>
            <w:noWrap/>
            <w:vAlign w:val="center"/>
            <w:hideMark/>
          </w:tcPr>
          <w:p w14:paraId="4586A9A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5.43</w:t>
            </w:r>
          </w:p>
        </w:tc>
        <w:tc>
          <w:tcPr>
            <w:tcW w:w="1394" w:type="dxa"/>
            <w:tcBorders>
              <w:top w:val="nil"/>
              <w:left w:val="nil"/>
              <w:bottom w:val="nil"/>
              <w:right w:val="nil"/>
            </w:tcBorders>
            <w:noWrap/>
            <w:vAlign w:val="center"/>
            <w:hideMark/>
          </w:tcPr>
          <w:p w14:paraId="5A2738B1"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4749.76</w:t>
            </w:r>
          </w:p>
        </w:tc>
        <w:tc>
          <w:tcPr>
            <w:tcW w:w="1323" w:type="dxa"/>
            <w:tcBorders>
              <w:top w:val="nil"/>
              <w:left w:val="nil"/>
              <w:bottom w:val="nil"/>
            </w:tcBorders>
            <w:noWrap/>
            <w:vAlign w:val="center"/>
            <w:hideMark/>
          </w:tcPr>
          <w:p w14:paraId="2DB6D404"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-7.44</w:t>
            </w:r>
          </w:p>
        </w:tc>
      </w:tr>
      <w:tr w:rsidR="008576C8" w:rsidRPr="00531FD3" w14:paraId="0BE49993" w14:textId="77777777" w:rsidTr="008576C8">
        <w:trPr>
          <w:gridAfter w:val="1"/>
          <w:wAfter w:w="6" w:type="dxa"/>
          <w:trHeight w:val="388"/>
          <w:jc w:val="center"/>
        </w:trPr>
        <w:tc>
          <w:tcPr>
            <w:tcW w:w="2036" w:type="dxa"/>
            <w:tcBorders>
              <w:top w:val="nil"/>
              <w:bottom w:val="nil"/>
              <w:right w:val="nil"/>
            </w:tcBorders>
            <w:noWrap/>
            <w:vAlign w:val="center"/>
            <w:hideMark/>
          </w:tcPr>
          <w:p w14:paraId="756B9477"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Financial</w:t>
            </w:r>
          </w:p>
        </w:tc>
        <w:tc>
          <w:tcPr>
            <w:tcW w:w="1394" w:type="dxa"/>
            <w:tcBorders>
              <w:top w:val="nil"/>
              <w:left w:val="nil"/>
              <w:bottom w:val="nil"/>
              <w:right w:val="nil"/>
            </w:tcBorders>
            <w:noWrap/>
            <w:vAlign w:val="center"/>
            <w:hideMark/>
          </w:tcPr>
          <w:p w14:paraId="3B2B7FBC"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45</w:t>
            </w:r>
          </w:p>
        </w:tc>
        <w:tc>
          <w:tcPr>
            <w:tcW w:w="1042" w:type="dxa"/>
            <w:tcBorders>
              <w:top w:val="nil"/>
              <w:left w:val="nil"/>
              <w:bottom w:val="nil"/>
              <w:right w:val="nil"/>
            </w:tcBorders>
            <w:noWrap/>
            <w:vAlign w:val="center"/>
            <w:hideMark/>
          </w:tcPr>
          <w:p w14:paraId="0ED0155C"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64.44</w:t>
            </w:r>
          </w:p>
        </w:tc>
        <w:tc>
          <w:tcPr>
            <w:tcW w:w="1275" w:type="dxa"/>
            <w:tcBorders>
              <w:top w:val="nil"/>
              <w:left w:val="nil"/>
              <w:bottom w:val="nil"/>
              <w:right w:val="nil"/>
            </w:tcBorders>
            <w:noWrap/>
            <w:vAlign w:val="center"/>
            <w:hideMark/>
          </w:tcPr>
          <w:p w14:paraId="5FD01787"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35.56</w:t>
            </w:r>
          </w:p>
        </w:tc>
        <w:tc>
          <w:tcPr>
            <w:tcW w:w="1184" w:type="dxa"/>
            <w:tcBorders>
              <w:top w:val="nil"/>
              <w:left w:val="nil"/>
              <w:bottom w:val="nil"/>
              <w:right w:val="nil"/>
            </w:tcBorders>
            <w:noWrap/>
            <w:vAlign w:val="center"/>
            <w:hideMark/>
          </w:tcPr>
          <w:p w14:paraId="4D237D38"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83.42</w:t>
            </w:r>
          </w:p>
        </w:tc>
        <w:tc>
          <w:tcPr>
            <w:tcW w:w="1130" w:type="dxa"/>
            <w:tcBorders>
              <w:top w:val="nil"/>
              <w:left w:val="nil"/>
              <w:bottom w:val="nil"/>
              <w:right w:val="nil"/>
            </w:tcBorders>
            <w:noWrap/>
            <w:vAlign w:val="center"/>
            <w:hideMark/>
          </w:tcPr>
          <w:p w14:paraId="6587ABC0"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1122.95</w:t>
            </w:r>
          </w:p>
        </w:tc>
        <w:tc>
          <w:tcPr>
            <w:tcW w:w="829" w:type="dxa"/>
            <w:tcBorders>
              <w:top w:val="nil"/>
              <w:left w:val="nil"/>
              <w:bottom w:val="nil"/>
              <w:right w:val="nil"/>
            </w:tcBorders>
            <w:noWrap/>
            <w:vAlign w:val="center"/>
            <w:hideMark/>
          </w:tcPr>
          <w:p w14:paraId="20D4DFDC"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88.41</w:t>
            </w:r>
          </w:p>
        </w:tc>
        <w:tc>
          <w:tcPr>
            <w:tcW w:w="836" w:type="dxa"/>
            <w:tcBorders>
              <w:top w:val="nil"/>
              <w:left w:val="nil"/>
              <w:bottom w:val="nil"/>
              <w:right w:val="nil"/>
            </w:tcBorders>
            <w:noWrap/>
            <w:vAlign w:val="center"/>
            <w:hideMark/>
          </w:tcPr>
          <w:p w14:paraId="219CBF1C"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3.69</w:t>
            </w:r>
          </w:p>
        </w:tc>
        <w:tc>
          <w:tcPr>
            <w:tcW w:w="836" w:type="dxa"/>
            <w:tcBorders>
              <w:top w:val="nil"/>
              <w:left w:val="nil"/>
              <w:bottom w:val="nil"/>
              <w:right w:val="nil"/>
            </w:tcBorders>
            <w:noWrap/>
            <w:vAlign w:val="center"/>
            <w:hideMark/>
          </w:tcPr>
          <w:p w14:paraId="155C53E4"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4.62</w:t>
            </w:r>
          </w:p>
        </w:tc>
        <w:tc>
          <w:tcPr>
            <w:tcW w:w="939" w:type="dxa"/>
            <w:tcBorders>
              <w:top w:val="nil"/>
              <w:left w:val="nil"/>
              <w:bottom w:val="nil"/>
              <w:right w:val="nil"/>
            </w:tcBorders>
            <w:noWrap/>
            <w:vAlign w:val="center"/>
            <w:hideMark/>
          </w:tcPr>
          <w:p w14:paraId="120B0695"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3.28</w:t>
            </w:r>
          </w:p>
        </w:tc>
        <w:tc>
          <w:tcPr>
            <w:tcW w:w="1394" w:type="dxa"/>
            <w:tcBorders>
              <w:top w:val="nil"/>
              <w:left w:val="nil"/>
              <w:bottom w:val="nil"/>
              <w:right w:val="nil"/>
            </w:tcBorders>
            <w:noWrap/>
            <w:vAlign w:val="center"/>
            <w:hideMark/>
          </w:tcPr>
          <w:p w14:paraId="4C0830C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14107.88</w:t>
            </w:r>
          </w:p>
        </w:tc>
        <w:tc>
          <w:tcPr>
            <w:tcW w:w="1323" w:type="dxa"/>
            <w:tcBorders>
              <w:top w:val="nil"/>
              <w:left w:val="nil"/>
              <w:bottom w:val="nil"/>
            </w:tcBorders>
            <w:noWrap/>
            <w:vAlign w:val="center"/>
            <w:hideMark/>
          </w:tcPr>
          <w:p w14:paraId="71455541"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8.80</w:t>
            </w:r>
          </w:p>
        </w:tc>
      </w:tr>
      <w:tr w:rsidR="008576C8" w:rsidRPr="00531FD3" w14:paraId="3DF6438B" w14:textId="77777777" w:rsidTr="008576C8">
        <w:trPr>
          <w:gridAfter w:val="1"/>
          <w:wAfter w:w="6" w:type="dxa"/>
          <w:trHeight w:val="388"/>
          <w:jc w:val="center"/>
        </w:trPr>
        <w:tc>
          <w:tcPr>
            <w:tcW w:w="2036" w:type="dxa"/>
            <w:tcBorders>
              <w:top w:val="nil"/>
              <w:bottom w:val="nil"/>
              <w:right w:val="nil"/>
            </w:tcBorders>
            <w:noWrap/>
            <w:vAlign w:val="center"/>
            <w:hideMark/>
          </w:tcPr>
          <w:p w14:paraId="5BE452B9"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Industrial</w:t>
            </w:r>
          </w:p>
        </w:tc>
        <w:tc>
          <w:tcPr>
            <w:tcW w:w="1394" w:type="dxa"/>
            <w:tcBorders>
              <w:top w:val="nil"/>
              <w:left w:val="nil"/>
              <w:bottom w:val="nil"/>
              <w:right w:val="nil"/>
            </w:tcBorders>
            <w:noWrap/>
            <w:vAlign w:val="center"/>
            <w:hideMark/>
          </w:tcPr>
          <w:p w14:paraId="6146777E"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48</w:t>
            </w:r>
          </w:p>
        </w:tc>
        <w:tc>
          <w:tcPr>
            <w:tcW w:w="1042" w:type="dxa"/>
            <w:tcBorders>
              <w:top w:val="nil"/>
              <w:left w:val="nil"/>
              <w:bottom w:val="nil"/>
              <w:right w:val="nil"/>
            </w:tcBorders>
            <w:noWrap/>
            <w:vAlign w:val="center"/>
            <w:hideMark/>
          </w:tcPr>
          <w:p w14:paraId="67631961"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35.42</w:t>
            </w:r>
          </w:p>
        </w:tc>
        <w:tc>
          <w:tcPr>
            <w:tcW w:w="1275" w:type="dxa"/>
            <w:tcBorders>
              <w:top w:val="nil"/>
              <w:left w:val="nil"/>
              <w:bottom w:val="nil"/>
              <w:right w:val="nil"/>
            </w:tcBorders>
            <w:noWrap/>
            <w:vAlign w:val="center"/>
            <w:hideMark/>
          </w:tcPr>
          <w:p w14:paraId="5FD17AB3"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64.58</w:t>
            </w:r>
          </w:p>
        </w:tc>
        <w:tc>
          <w:tcPr>
            <w:tcW w:w="1184" w:type="dxa"/>
            <w:tcBorders>
              <w:top w:val="nil"/>
              <w:left w:val="nil"/>
              <w:bottom w:val="nil"/>
              <w:right w:val="nil"/>
            </w:tcBorders>
            <w:noWrap/>
            <w:vAlign w:val="center"/>
            <w:hideMark/>
          </w:tcPr>
          <w:p w14:paraId="025D046A"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87.85</w:t>
            </w:r>
          </w:p>
        </w:tc>
        <w:tc>
          <w:tcPr>
            <w:tcW w:w="1130" w:type="dxa"/>
            <w:tcBorders>
              <w:top w:val="nil"/>
              <w:left w:val="nil"/>
              <w:bottom w:val="nil"/>
              <w:right w:val="nil"/>
            </w:tcBorders>
            <w:noWrap/>
            <w:vAlign w:val="center"/>
            <w:hideMark/>
          </w:tcPr>
          <w:p w14:paraId="457F12C0"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455.92</w:t>
            </w:r>
          </w:p>
        </w:tc>
        <w:tc>
          <w:tcPr>
            <w:tcW w:w="829" w:type="dxa"/>
            <w:tcBorders>
              <w:top w:val="nil"/>
              <w:left w:val="nil"/>
              <w:bottom w:val="nil"/>
              <w:right w:val="nil"/>
            </w:tcBorders>
            <w:noWrap/>
            <w:vAlign w:val="center"/>
            <w:hideMark/>
          </w:tcPr>
          <w:p w14:paraId="36FF2B1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26.38</w:t>
            </w:r>
          </w:p>
        </w:tc>
        <w:tc>
          <w:tcPr>
            <w:tcW w:w="836" w:type="dxa"/>
            <w:tcBorders>
              <w:top w:val="nil"/>
              <w:left w:val="nil"/>
              <w:bottom w:val="nil"/>
              <w:right w:val="nil"/>
            </w:tcBorders>
            <w:noWrap/>
            <w:vAlign w:val="center"/>
            <w:hideMark/>
          </w:tcPr>
          <w:p w14:paraId="7624EBF1"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2.78</w:t>
            </w:r>
          </w:p>
        </w:tc>
        <w:tc>
          <w:tcPr>
            <w:tcW w:w="836" w:type="dxa"/>
            <w:tcBorders>
              <w:top w:val="nil"/>
              <w:left w:val="nil"/>
              <w:bottom w:val="nil"/>
              <w:right w:val="nil"/>
            </w:tcBorders>
            <w:noWrap/>
            <w:vAlign w:val="center"/>
            <w:hideMark/>
          </w:tcPr>
          <w:p w14:paraId="017C6D8C"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53.00</w:t>
            </w:r>
          </w:p>
        </w:tc>
        <w:tc>
          <w:tcPr>
            <w:tcW w:w="939" w:type="dxa"/>
            <w:tcBorders>
              <w:top w:val="nil"/>
              <w:left w:val="nil"/>
              <w:bottom w:val="nil"/>
              <w:right w:val="nil"/>
            </w:tcBorders>
            <w:noWrap/>
            <w:vAlign w:val="center"/>
            <w:hideMark/>
          </w:tcPr>
          <w:p w14:paraId="1D83440A"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17.84</w:t>
            </w:r>
          </w:p>
        </w:tc>
        <w:tc>
          <w:tcPr>
            <w:tcW w:w="1394" w:type="dxa"/>
            <w:tcBorders>
              <w:top w:val="nil"/>
              <w:left w:val="nil"/>
              <w:bottom w:val="nil"/>
              <w:right w:val="nil"/>
            </w:tcBorders>
            <w:noWrap/>
            <w:vAlign w:val="center"/>
            <w:hideMark/>
          </w:tcPr>
          <w:p w14:paraId="4FD6059B"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lang w:val="en-GB"/>
              </w:rPr>
              <w:t>2767.88</w:t>
            </w:r>
          </w:p>
        </w:tc>
        <w:tc>
          <w:tcPr>
            <w:tcW w:w="1323" w:type="dxa"/>
            <w:tcBorders>
              <w:top w:val="nil"/>
              <w:left w:val="nil"/>
              <w:bottom w:val="nil"/>
            </w:tcBorders>
            <w:noWrap/>
            <w:vAlign w:val="center"/>
            <w:hideMark/>
          </w:tcPr>
          <w:p w14:paraId="60A1E5B5"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3.54</w:t>
            </w:r>
          </w:p>
        </w:tc>
      </w:tr>
      <w:tr w:rsidR="008576C8" w:rsidRPr="00531FD3" w14:paraId="2D83A20D" w14:textId="77777777" w:rsidTr="008576C8">
        <w:trPr>
          <w:gridAfter w:val="1"/>
          <w:wAfter w:w="6" w:type="dxa"/>
          <w:trHeight w:val="388"/>
          <w:jc w:val="center"/>
        </w:trPr>
        <w:tc>
          <w:tcPr>
            <w:tcW w:w="2036" w:type="dxa"/>
            <w:tcBorders>
              <w:top w:val="nil"/>
              <w:bottom w:val="nil"/>
              <w:right w:val="nil"/>
            </w:tcBorders>
            <w:noWrap/>
            <w:vAlign w:val="center"/>
            <w:hideMark/>
          </w:tcPr>
          <w:p w14:paraId="2B8A0FD4"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Technology</w:t>
            </w:r>
          </w:p>
        </w:tc>
        <w:tc>
          <w:tcPr>
            <w:tcW w:w="1394" w:type="dxa"/>
            <w:tcBorders>
              <w:top w:val="nil"/>
              <w:left w:val="nil"/>
              <w:bottom w:val="nil"/>
              <w:right w:val="nil"/>
            </w:tcBorders>
            <w:noWrap/>
            <w:vAlign w:val="center"/>
            <w:hideMark/>
          </w:tcPr>
          <w:p w14:paraId="6A8DF3CE"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15</w:t>
            </w:r>
          </w:p>
        </w:tc>
        <w:tc>
          <w:tcPr>
            <w:tcW w:w="1042" w:type="dxa"/>
            <w:tcBorders>
              <w:top w:val="nil"/>
              <w:left w:val="nil"/>
              <w:bottom w:val="nil"/>
              <w:right w:val="nil"/>
            </w:tcBorders>
            <w:noWrap/>
            <w:vAlign w:val="center"/>
            <w:hideMark/>
          </w:tcPr>
          <w:p w14:paraId="62CF241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20.00</w:t>
            </w:r>
          </w:p>
        </w:tc>
        <w:tc>
          <w:tcPr>
            <w:tcW w:w="1275" w:type="dxa"/>
            <w:tcBorders>
              <w:top w:val="nil"/>
              <w:left w:val="nil"/>
              <w:bottom w:val="nil"/>
              <w:right w:val="nil"/>
            </w:tcBorders>
            <w:noWrap/>
            <w:vAlign w:val="center"/>
            <w:hideMark/>
          </w:tcPr>
          <w:p w14:paraId="3FA862AB"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80.00</w:t>
            </w:r>
          </w:p>
        </w:tc>
        <w:tc>
          <w:tcPr>
            <w:tcW w:w="1184" w:type="dxa"/>
            <w:tcBorders>
              <w:top w:val="nil"/>
              <w:left w:val="nil"/>
              <w:bottom w:val="nil"/>
              <w:right w:val="nil"/>
            </w:tcBorders>
            <w:noWrap/>
            <w:vAlign w:val="center"/>
            <w:hideMark/>
          </w:tcPr>
          <w:p w14:paraId="39DE0B92"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89.55</w:t>
            </w:r>
          </w:p>
        </w:tc>
        <w:tc>
          <w:tcPr>
            <w:tcW w:w="1130" w:type="dxa"/>
            <w:tcBorders>
              <w:top w:val="nil"/>
              <w:left w:val="nil"/>
              <w:bottom w:val="nil"/>
              <w:right w:val="nil"/>
            </w:tcBorders>
            <w:noWrap/>
            <w:vAlign w:val="center"/>
            <w:hideMark/>
          </w:tcPr>
          <w:p w14:paraId="166EA487"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255.</w:t>
            </w:r>
            <w:r w:rsidRPr="00531FD3">
              <w:rPr>
                <w:rFonts w:cs="Times New Roman"/>
                <w:sz w:val="20"/>
                <w:szCs w:val="20"/>
                <w:lang w:val="en-GB"/>
              </w:rPr>
              <w:t>77</w:t>
            </w:r>
          </w:p>
        </w:tc>
        <w:tc>
          <w:tcPr>
            <w:tcW w:w="829" w:type="dxa"/>
            <w:tcBorders>
              <w:top w:val="nil"/>
              <w:left w:val="nil"/>
              <w:bottom w:val="nil"/>
              <w:right w:val="nil"/>
            </w:tcBorders>
            <w:noWrap/>
            <w:vAlign w:val="center"/>
            <w:hideMark/>
          </w:tcPr>
          <w:p w14:paraId="2DAA8345"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43.54</w:t>
            </w:r>
          </w:p>
        </w:tc>
        <w:tc>
          <w:tcPr>
            <w:tcW w:w="836" w:type="dxa"/>
            <w:tcBorders>
              <w:top w:val="nil"/>
              <w:left w:val="nil"/>
              <w:bottom w:val="nil"/>
              <w:right w:val="nil"/>
            </w:tcBorders>
            <w:noWrap/>
            <w:vAlign w:val="center"/>
            <w:hideMark/>
          </w:tcPr>
          <w:p w14:paraId="017AB8B3"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0.30</w:t>
            </w:r>
          </w:p>
        </w:tc>
        <w:tc>
          <w:tcPr>
            <w:tcW w:w="836" w:type="dxa"/>
            <w:tcBorders>
              <w:top w:val="nil"/>
              <w:left w:val="nil"/>
              <w:bottom w:val="nil"/>
              <w:right w:val="nil"/>
            </w:tcBorders>
            <w:noWrap/>
            <w:vAlign w:val="center"/>
            <w:hideMark/>
          </w:tcPr>
          <w:p w14:paraId="5C0C5B34"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0.91</w:t>
            </w:r>
          </w:p>
        </w:tc>
        <w:tc>
          <w:tcPr>
            <w:tcW w:w="939" w:type="dxa"/>
            <w:tcBorders>
              <w:top w:val="nil"/>
              <w:left w:val="nil"/>
              <w:bottom w:val="nil"/>
              <w:right w:val="nil"/>
            </w:tcBorders>
            <w:noWrap/>
            <w:vAlign w:val="center"/>
            <w:hideMark/>
          </w:tcPr>
          <w:p w14:paraId="6113D23A"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55.26</w:t>
            </w:r>
          </w:p>
        </w:tc>
        <w:tc>
          <w:tcPr>
            <w:tcW w:w="1394" w:type="dxa"/>
            <w:tcBorders>
              <w:top w:val="nil"/>
              <w:left w:val="nil"/>
              <w:bottom w:val="nil"/>
              <w:right w:val="nil"/>
            </w:tcBorders>
            <w:noWrap/>
            <w:vAlign w:val="center"/>
            <w:hideMark/>
          </w:tcPr>
          <w:p w14:paraId="5074D56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2230.32</w:t>
            </w:r>
          </w:p>
        </w:tc>
        <w:tc>
          <w:tcPr>
            <w:tcW w:w="1323" w:type="dxa"/>
            <w:tcBorders>
              <w:top w:val="nil"/>
              <w:left w:val="nil"/>
              <w:bottom w:val="nil"/>
            </w:tcBorders>
            <w:noWrap/>
            <w:vAlign w:val="center"/>
            <w:hideMark/>
          </w:tcPr>
          <w:p w14:paraId="2D2CDF6A"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lang w:val="en-GB"/>
              </w:rPr>
              <w:t>3.36</w:t>
            </w:r>
          </w:p>
        </w:tc>
      </w:tr>
      <w:tr w:rsidR="008576C8" w:rsidRPr="00531FD3" w14:paraId="7D135FCD" w14:textId="77777777" w:rsidTr="008576C8">
        <w:trPr>
          <w:gridAfter w:val="1"/>
          <w:wAfter w:w="6" w:type="dxa"/>
          <w:trHeight w:val="388"/>
          <w:jc w:val="center"/>
        </w:trPr>
        <w:tc>
          <w:tcPr>
            <w:tcW w:w="2036" w:type="dxa"/>
            <w:tcBorders>
              <w:top w:val="nil"/>
              <w:bottom w:val="single" w:sz="4" w:space="0" w:color="auto"/>
              <w:right w:val="nil"/>
            </w:tcBorders>
            <w:noWrap/>
            <w:vAlign w:val="center"/>
            <w:hideMark/>
          </w:tcPr>
          <w:p w14:paraId="2DEC9D92" w14:textId="77777777" w:rsidR="008576C8" w:rsidRPr="00531FD3" w:rsidRDefault="008576C8" w:rsidP="008576C8">
            <w:pPr>
              <w:snapToGrid w:val="0"/>
              <w:spacing w:line="240" w:lineRule="auto"/>
              <w:ind w:firstLineChars="0" w:firstLine="0"/>
              <w:rPr>
                <w:rFonts w:cs="Times New Roman"/>
                <w:sz w:val="20"/>
                <w:szCs w:val="20"/>
              </w:rPr>
            </w:pPr>
            <w:r w:rsidRPr="00531FD3">
              <w:rPr>
                <w:rFonts w:cs="Times New Roman"/>
                <w:sz w:val="20"/>
                <w:szCs w:val="20"/>
              </w:rPr>
              <w:t>Technology</w:t>
            </w:r>
          </w:p>
        </w:tc>
        <w:tc>
          <w:tcPr>
            <w:tcW w:w="1394" w:type="dxa"/>
            <w:tcBorders>
              <w:top w:val="nil"/>
              <w:left w:val="nil"/>
              <w:bottom w:val="single" w:sz="4" w:space="0" w:color="auto"/>
              <w:right w:val="nil"/>
            </w:tcBorders>
            <w:noWrap/>
            <w:vAlign w:val="center"/>
            <w:hideMark/>
          </w:tcPr>
          <w:p w14:paraId="6965C380"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6</w:t>
            </w:r>
          </w:p>
        </w:tc>
        <w:tc>
          <w:tcPr>
            <w:tcW w:w="1042" w:type="dxa"/>
            <w:tcBorders>
              <w:top w:val="nil"/>
              <w:left w:val="nil"/>
              <w:bottom w:val="single" w:sz="4" w:space="0" w:color="auto"/>
              <w:right w:val="nil"/>
            </w:tcBorders>
            <w:noWrap/>
            <w:vAlign w:val="center"/>
            <w:hideMark/>
          </w:tcPr>
          <w:p w14:paraId="000A0110"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33.33</w:t>
            </w:r>
          </w:p>
        </w:tc>
        <w:tc>
          <w:tcPr>
            <w:tcW w:w="1275" w:type="dxa"/>
            <w:tcBorders>
              <w:top w:val="nil"/>
              <w:left w:val="nil"/>
              <w:bottom w:val="single" w:sz="4" w:space="0" w:color="auto"/>
              <w:right w:val="nil"/>
            </w:tcBorders>
            <w:noWrap/>
            <w:vAlign w:val="center"/>
            <w:hideMark/>
          </w:tcPr>
          <w:p w14:paraId="1AD76415"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66.67</w:t>
            </w:r>
          </w:p>
        </w:tc>
        <w:tc>
          <w:tcPr>
            <w:tcW w:w="1184" w:type="dxa"/>
            <w:tcBorders>
              <w:top w:val="nil"/>
              <w:left w:val="nil"/>
              <w:bottom w:val="single" w:sz="4" w:space="0" w:color="auto"/>
              <w:right w:val="nil"/>
            </w:tcBorders>
            <w:noWrap/>
            <w:vAlign w:val="center"/>
            <w:hideMark/>
          </w:tcPr>
          <w:p w14:paraId="542745FB"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83.67</w:t>
            </w:r>
          </w:p>
        </w:tc>
        <w:tc>
          <w:tcPr>
            <w:tcW w:w="1130" w:type="dxa"/>
            <w:tcBorders>
              <w:top w:val="nil"/>
              <w:left w:val="nil"/>
              <w:bottom w:val="single" w:sz="4" w:space="0" w:color="auto"/>
              <w:right w:val="nil"/>
            </w:tcBorders>
            <w:noWrap/>
            <w:vAlign w:val="center"/>
            <w:hideMark/>
          </w:tcPr>
          <w:p w14:paraId="01B4992F"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396.69</w:t>
            </w:r>
          </w:p>
        </w:tc>
        <w:tc>
          <w:tcPr>
            <w:tcW w:w="829" w:type="dxa"/>
            <w:tcBorders>
              <w:top w:val="nil"/>
              <w:left w:val="nil"/>
              <w:bottom w:val="single" w:sz="4" w:space="0" w:color="auto"/>
              <w:right w:val="nil"/>
            </w:tcBorders>
            <w:noWrap/>
            <w:vAlign w:val="center"/>
            <w:hideMark/>
          </w:tcPr>
          <w:p w14:paraId="0865623D"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100</w:t>
            </w:r>
          </w:p>
        </w:tc>
        <w:tc>
          <w:tcPr>
            <w:tcW w:w="836" w:type="dxa"/>
            <w:tcBorders>
              <w:top w:val="nil"/>
              <w:left w:val="nil"/>
              <w:bottom w:val="single" w:sz="4" w:space="0" w:color="auto"/>
              <w:right w:val="nil"/>
            </w:tcBorders>
            <w:noWrap/>
            <w:vAlign w:val="center"/>
            <w:hideMark/>
          </w:tcPr>
          <w:p w14:paraId="3476808D"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0</w:t>
            </w:r>
          </w:p>
        </w:tc>
        <w:tc>
          <w:tcPr>
            <w:tcW w:w="836" w:type="dxa"/>
            <w:tcBorders>
              <w:top w:val="nil"/>
              <w:left w:val="nil"/>
              <w:bottom w:val="single" w:sz="4" w:space="0" w:color="auto"/>
              <w:right w:val="nil"/>
            </w:tcBorders>
            <w:noWrap/>
            <w:vAlign w:val="center"/>
            <w:hideMark/>
          </w:tcPr>
          <w:p w14:paraId="412E6925" w14:textId="77777777" w:rsidR="008576C8" w:rsidRPr="00531FD3" w:rsidRDefault="008576C8" w:rsidP="008576C8">
            <w:pPr>
              <w:snapToGrid w:val="0"/>
              <w:spacing w:line="240" w:lineRule="auto"/>
              <w:ind w:firstLineChars="0" w:firstLine="0"/>
              <w:jc w:val="center"/>
              <w:rPr>
                <w:rFonts w:cs="Times New Roman"/>
                <w:sz w:val="20"/>
                <w:szCs w:val="20"/>
              </w:rPr>
            </w:pPr>
            <w:r w:rsidRPr="00531FD3">
              <w:rPr>
                <w:rFonts w:cs="Times New Roman"/>
                <w:sz w:val="20"/>
                <w:szCs w:val="20"/>
              </w:rPr>
              <w:t>0</w:t>
            </w:r>
          </w:p>
        </w:tc>
        <w:tc>
          <w:tcPr>
            <w:tcW w:w="939" w:type="dxa"/>
            <w:tcBorders>
              <w:top w:val="nil"/>
              <w:left w:val="nil"/>
              <w:bottom w:val="single" w:sz="4" w:space="0" w:color="auto"/>
              <w:right w:val="nil"/>
            </w:tcBorders>
            <w:noWrap/>
            <w:vAlign w:val="center"/>
            <w:hideMark/>
          </w:tcPr>
          <w:p w14:paraId="2C84896C"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0</w:t>
            </w:r>
          </w:p>
        </w:tc>
        <w:tc>
          <w:tcPr>
            <w:tcW w:w="1394" w:type="dxa"/>
            <w:tcBorders>
              <w:top w:val="nil"/>
              <w:left w:val="nil"/>
              <w:bottom w:val="single" w:sz="4" w:space="0" w:color="auto"/>
              <w:right w:val="nil"/>
            </w:tcBorders>
            <w:noWrap/>
            <w:vAlign w:val="center"/>
            <w:hideMark/>
          </w:tcPr>
          <w:p w14:paraId="7398AF46"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rPr>
              <w:t>35828.56</w:t>
            </w:r>
          </w:p>
        </w:tc>
        <w:tc>
          <w:tcPr>
            <w:tcW w:w="1323" w:type="dxa"/>
            <w:tcBorders>
              <w:top w:val="nil"/>
              <w:left w:val="nil"/>
              <w:bottom w:val="single" w:sz="4" w:space="0" w:color="auto"/>
            </w:tcBorders>
            <w:noWrap/>
            <w:vAlign w:val="center"/>
            <w:hideMark/>
          </w:tcPr>
          <w:p w14:paraId="438915BA" w14:textId="77777777" w:rsidR="008576C8" w:rsidRPr="00531FD3" w:rsidRDefault="008576C8" w:rsidP="008576C8">
            <w:pPr>
              <w:snapToGrid w:val="0"/>
              <w:spacing w:line="240" w:lineRule="auto"/>
              <w:ind w:firstLineChars="0" w:firstLine="0"/>
              <w:jc w:val="center"/>
              <w:rPr>
                <w:rFonts w:cs="Times New Roman"/>
                <w:sz w:val="20"/>
                <w:szCs w:val="20"/>
                <w:lang w:val="en-GB"/>
              </w:rPr>
            </w:pPr>
            <w:r w:rsidRPr="00531FD3">
              <w:rPr>
                <w:rFonts w:cs="Times New Roman"/>
                <w:sz w:val="20"/>
                <w:szCs w:val="20"/>
                <w:lang w:val="en-GB"/>
              </w:rPr>
              <w:t>-11.50</w:t>
            </w:r>
          </w:p>
        </w:tc>
      </w:tr>
    </w:tbl>
    <w:p w14:paraId="6B4F3681" w14:textId="77777777" w:rsidR="008576C8" w:rsidRDefault="008576C8" w:rsidP="008576C8">
      <w:pPr>
        <w:ind w:firstLineChars="83" w:firstLine="199"/>
        <w:sectPr w:rsidR="008576C8" w:rsidSect="006845C5">
          <w:pgSz w:w="16840" w:h="11900" w:orient="landscape"/>
          <w:pgMar w:top="1440" w:right="1440" w:bottom="1440" w:left="1440" w:header="720" w:footer="720" w:gutter="0"/>
          <w:cols w:space="720"/>
          <w:docGrid w:linePitch="360"/>
        </w:sectPr>
      </w:pPr>
    </w:p>
    <w:p w14:paraId="602A3F86" w14:textId="77777777" w:rsidR="008576C8" w:rsidRPr="00D438EF" w:rsidRDefault="008576C8" w:rsidP="008576C8">
      <w:pPr>
        <w:pStyle w:val="a"/>
        <w:ind w:firstLine="400"/>
        <w:jc w:val="left"/>
        <w:rPr>
          <w:sz w:val="20"/>
          <w:szCs w:val="20"/>
        </w:rPr>
      </w:pPr>
      <w:r w:rsidRPr="00D438EF">
        <w:rPr>
          <w:sz w:val="20"/>
          <w:szCs w:val="20"/>
        </w:rPr>
        <w:t>Table 3: Correlation Matrix</w:t>
      </w:r>
    </w:p>
    <w:p w14:paraId="666A830F" w14:textId="77777777" w:rsidR="00B8251D" w:rsidRDefault="00B8251D" w:rsidP="008576C8">
      <w:pPr>
        <w:pStyle w:val="a"/>
        <w:ind w:firstLineChars="0" w:firstLine="0"/>
        <w:jc w:val="left"/>
      </w:pPr>
    </w:p>
    <w:p w14:paraId="115DD056" w14:textId="2B22858F" w:rsidR="008576C8" w:rsidRPr="00E82D3A" w:rsidRDefault="00B8251D" w:rsidP="008576C8">
      <w:pPr>
        <w:pStyle w:val="a"/>
        <w:ind w:firstLineChars="0" w:firstLine="0"/>
        <w:jc w:val="left"/>
        <w:rPr>
          <w:b w:val="0"/>
          <w:sz w:val="20"/>
          <w:szCs w:val="20"/>
          <w:u w:val="none"/>
        </w:rPr>
      </w:pPr>
      <w:r>
        <w:rPr>
          <w:b w:val="0"/>
          <w:sz w:val="20"/>
          <w:szCs w:val="20"/>
          <w:u w:val="none"/>
        </w:rPr>
        <w:t>Table 3</w:t>
      </w:r>
      <w:r w:rsidR="008576C8" w:rsidRPr="00E82D3A">
        <w:rPr>
          <w:b w:val="0"/>
          <w:sz w:val="20"/>
          <w:szCs w:val="20"/>
          <w:u w:val="none"/>
        </w:rPr>
        <w:t xml:space="preserve"> shows two </w:t>
      </w:r>
      <w:r w:rsidR="008576C8">
        <w:rPr>
          <w:b w:val="0"/>
          <w:sz w:val="20"/>
          <w:szCs w:val="20"/>
          <w:u w:val="none"/>
        </w:rPr>
        <w:t xml:space="preserve">different </w:t>
      </w:r>
      <w:r w:rsidR="008576C8" w:rsidRPr="00E82D3A">
        <w:rPr>
          <w:b w:val="0"/>
          <w:sz w:val="20"/>
          <w:szCs w:val="20"/>
          <w:u w:val="none"/>
        </w:rPr>
        <w:t xml:space="preserve">correlation matrixes </w:t>
      </w:r>
      <w:r w:rsidR="008576C8">
        <w:rPr>
          <w:b w:val="0"/>
          <w:sz w:val="20"/>
          <w:szCs w:val="20"/>
          <w:u w:val="none"/>
        </w:rPr>
        <w:t xml:space="preserve">based on bidders’ </w:t>
      </w:r>
      <w:r w:rsidR="00413890">
        <w:rPr>
          <w:b w:val="0"/>
          <w:sz w:val="20"/>
          <w:szCs w:val="20"/>
          <w:u w:val="none"/>
        </w:rPr>
        <w:t>of Hong Kong and based on M</w:t>
      </w:r>
      <w:r w:rsidR="008576C8">
        <w:rPr>
          <w:b w:val="0"/>
          <w:sz w:val="20"/>
          <w:szCs w:val="20"/>
          <w:u w:val="none"/>
        </w:rPr>
        <w:t>ainland</w:t>
      </w:r>
      <w:r w:rsidR="00413890">
        <w:rPr>
          <w:b w:val="0"/>
          <w:sz w:val="20"/>
          <w:szCs w:val="20"/>
          <w:u w:val="none"/>
        </w:rPr>
        <w:t xml:space="preserve"> China</w:t>
      </w:r>
      <w:r w:rsidR="008576C8">
        <w:rPr>
          <w:b w:val="0"/>
          <w:sz w:val="20"/>
          <w:szCs w:val="20"/>
          <w:u w:val="none"/>
        </w:rPr>
        <w:t xml:space="preserve"> target </w:t>
      </w:r>
      <w:r w:rsidR="008576C8" w:rsidRPr="00E82D3A">
        <w:rPr>
          <w:b w:val="0"/>
          <w:sz w:val="20"/>
          <w:szCs w:val="20"/>
          <w:u w:val="none"/>
        </w:rPr>
        <w:t>for all independent variables.</w:t>
      </w:r>
    </w:p>
    <w:p w14:paraId="570E3E05" w14:textId="77777777" w:rsidR="008576C8" w:rsidRPr="00052E20" w:rsidRDefault="008576C8" w:rsidP="008576C8">
      <w:pPr>
        <w:pStyle w:val="a"/>
        <w:ind w:firstLine="482"/>
        <w:rPr>
          <w:rFonts w:eastAsiaTheme="minorEastAsia"/>
        </w:rPr>
      </w:pPr>
    </w:p>
    <w:tbl>
      <w:tblPr>
        <w:tblStyle w:val="TableGrid"/>
        <w:tblW w:w="15224" w:type="dxa"/>
        <w:jc w:val="center"/>
        <w:tblBorders>
          <w:left w:val="none" w:sz="0" w:space="0" w:color="auto"/>
          <w:right w:val="none" w:sz="0" w:space="0" w:color="auto"/>
        </w:tblBorders>
        <w:tblLook w:val="04A0" w:firstRow="1" w:lastRow="0" w:firstColumn="1" w:lastColumn="0" w:noHBand="0" w:noVBand="1"/>
      </w:tblPr>
      <w:tblGrid>
        <w:gridCol w:w="3401"/>
        <w:gridCol w:w="921"/>
        <w:gridCol w:w="923"/>
        <w:gridCol w:w="871"/>
        <w:gridCol w:w="823"/>
        <w:gridCol w:w="923"/>
        <w:gridCol w:w="921"/>
        <w:gridCol w:w="923"/>
        <w:gridCol w:w="921"/>
        <w:gridCol w:w="916"/>
        <w:gridCol w:w="916"/>
        <w:gridCol w:w="921"/>
        <w:gridCol w:w="923"/>
        <w:gridCol w:w="921"/>
      </w:tblGrid>
      <w:tr w:rsidR="008576C8" w:rsidRPr="00052E20" w14:paraId="59AD1A7E" w14:textId="77777777" w:rsidTr="008576C8">
        <w:trPr>
          <w:trHeight w:val="405"/>
          <w:jc w:val="center"/>
        </w:trPr>
        <w:tc>
          <w:tcPr>
            <w:tcW w:w="3401" w:type="dxa"/>
            <w:tcBorders>
              <w:bottom w:val="single" w:sz="4" w:space="0" w:color="auto"/>
            </w:tcBorders>
            <w:noWrap/>
            <w:vAlign w:val="center"/>
            <w:hideMark/>
          </w:tcPr>
          <w:p w14:paraId="586E2A4B" w14:textId="77777777" w:rsidR="008576C8" w:rsidRPr="00052E20" w:rsidRDefault="008576C8" w:rsidP="008576C8">
            <w:pPr>
              <w:spacing w:line="240" w:lineRule="auto"/>
              <w:ind w:firstLineChars="0" w:firstLine="0"/>
              <w:rPr>
                <w:rFonts w:cs="Times New Roman"/>
                <w:b/>
                <w:szCs w:val="24"/>
              </w:rPr>
            </w:pPr>
            <w:r w:rsidRPr="00052E20">
              <w:rPr>
                <w:rFonts w:cs="Times New Roman"/>
                <w:b/>
                <w:szCs w:val="24"/>
              </w:rPr>
              <w:t>Bidders’ of Hong Kong Target</w:t>
            </w:r>
          </w:p>
        </w:tc>
        <w:tc>
          <w:tcPr>
            <w:tcW w:w="921" w:type="dxa"/>
            <w:tcBorders>
              <w:bottom w:val="single" w:sz="4" w:space="0" w:color="auto"/>
            </w:tcBorders>
            <w:noWrap/>
            <w:vAlign w:val="center"/>
            <w:hideMark/>
          </w:tcPr>
          <w:p w14:paraId="15596F57" w14:textId="77777777" w:rsidR="008576C8" w:rsidRPr="00052E20" w:rsidRDefault="008576C8" w:rsidP="008576C8">
            <w:pPr>
              <w:spacing w:line="240" w:lineRule="auto"/>
              <w:ind w:firstLineChars="0" w:firstLine="0"/>
              <w:rPr>
                <w:rFonts w:cs="Times New Roman"/>
                <w:szCs w:val="24"/>
              </w:rPr>
            </w:pPr>
            <w:r w:rsidRPr="00052E20">
              <w:rPr>
                <w:rFonts w:cs="Times New Roman"/>
                <w:szCs w:val="24"/>
              </w:rPr>
              <w:t>01</w:t>
            </w:r>
          </w:p>
        </w:tc>
        <w:tc>
          <w:tcPr>
            <w:tcW w:w="923" w:type="dxa"/>
            <w:tcBorders>
              <w:bottom w:val="single" w:sz="4" w:space="0" w:color="auto"/>
            </w:tcBorders>
            <w:noWrap/>
            <w:vAlign w:val="center"/>
            <w:hideMark/>
          </w:tcPr>
          <w:p w14:paraId="23112C42" w14:textId="77777777" w:rsidR="008576C8" w:rsidRPr="00052E20" w:rsidRDefault="008576C8" w:rsidP="008576C8">
            <w:pPr>
              <w:spacing w:line="240" w:lineRule="auto"/>
              <w:ind w:firstLineChars="0" w:firstLine="0"/>
              <w:rPr>
                <w:rFonts w:cs="Times New Roman"/>
                <w:szCs w:val="24"/>
              </w:rPr>
            </w:pPr>
            <w:r w:rsidRPr="00052E20">
              <w:rPr>
                <w:rFonts w:cs="Times New Roman"/>
                <w:szCs w:val="24"/>
              </w:rPr>
              <w:t>02</w:t>
            </w:r>
          </w:p>
        </w:tc>
        <w:tc>
          <w:tcPr>
            <w:tcW w:w="871" w:type="dxa"/>
            <w:tcBorders>
              <w:bottom w:val="single" w:sz="4" w:space="0" w:color="auto"/>
            </w:tcBorders>
            <w:noWrap/>
            <w:vAlign w:val="center"/>
            <w:hideMark/>
          </w:tcPr>
          <w:p w14:paraId="64DB96AC" w14:textId="77777777" w:rsidR="008576C8" w:rsidRPr="00052E20" w:rsidRDefault="008576C8" w:rsidP="008576C8">
            <w:pPr>
              <w:spacing w:line="240" w:lineRule="auto"/>
              <w:ind w:firstLineChars="0" w:firstLine="0"/>
              <w:rPr>
                <w:rFonts w:cs="Times New Roman"/>
                <w:szCs w:val="24"/>
              </w:rPr>
            </w:pPr>
            <w:r w:rsidRPr="00052E20">
              <w:rPr>
                <w:rFonts w:cs="Times New Roman"/>
                <w:szCs w:val="24"/>
              </w:rPr>
              <w:t>03</w:t>
            </w:r>
          </w:p>
        </w:tc>
        <w:tc>
          <w:tcPr>
            <w:tcW w:w="823" w:type="dxa"/>
            <w:tcBorders>
              <w:bottom w:val="single" w:sz="4" w:space="0" w:color="auto"/>
            </w:tcBorders>
            <w:noWrap/>
            <w:vAlign w:val="center"/>
            <w:hideMark/>
          </w:tcPr>
          <w:p w14:paraId="57303540" w14:textId="77777777" w:rsidR="008576C8" w:rsidRPr="00052E20" w:rsidRDefault="008576C8" w:rsidP="008576C8">
            <w:pPr>
              <w:spacing w:line="240" w:lineRule="auto"/>
              <w:ind w:firstLineChars="0" w:firstLine="0"/>
              <w:rPr>
                <w:rFonts w:cs="Times New Roman"/>
                <w:szCs w:val="24"/>
              </w:rPr>
            </w:pPr>
            <w:r w:rsidRPr="00052E20">
              <w:rPr>
                <w:rFonts w:cs="Times New Roman"/>
                <w:szCs w:val="24"/>
              </w:rPr>
              <w:t>04</w:t>
            </w:r>
          </w:p>
        </w:tc>
        <w:tc>
          <w:tcPr>
            <w:tcW w:w="923" w:type="dxa"/>
            <w:tcBorders>
              <w:bottom w:val="single" w:sz="4" w:space="0" w:color="auto"/>
            </w:tcBorders>
            <w:noWrap/>
            <w:vAlign w:val="center"/>
            <w:hideMark/>
          </w:tcPr>
          <w:p w14:paraId="6F77C03F" w14:textId="77777777" w:rsidR="008576C8" w:rsidRPr="00052E20" w:rsidRDefault="008576C8" w:rsidP="008576C8">
            <w:pPr>
              <w:spacing w:line="240" w:lineRule="auto"/>
              <w:ind w:firstLineChars="0" w:firstLine="0"/>
              <w:rPr>
                <w:rFonts w:cs="Times New Roman"/>
                <w:szCs w:val="24"/>
              </w:rPr>
            </w:pPr>
            <w:r w:rsidRPr="00052E20">
              <w:rPr>
                <w:rFonts w:cs="Times New Roman"/>
                <w:szCs w:val="24"/>
              </w:rPr>
              <w:t>05</w:t>
            </w:r>
          </w:p>
        </w:tc>
        <w:tc>
          <w:tcPr>
            <w:tcW w:w="921" w:type="dxa"/>
            <w:tcBorders>
              <w:bottom w:val="single" w:sz="4" w:space="0" w:color="auto"/>
            </w:tcBorders>
            <w:noWrap/>
            <w:vAlign w:val="center"/>
            <w:hideMark/>
          </w:tcPr>
          <w:p w14:paraId="60173595" w14:textId="77777777" w:rsidR="008576C8" w:rsidRPr="00052E20" w:rsidRDefault="008576C8" w:rsidP="008576C8">
            <w:pPr>
              <w:spacing w:line="240" w:lineRule="auto"/>
              <w:ind w:firstLineChars="0" w:firstLine="0"/>
              <w:rPr>
                <w:rFonts w:cs="Times New Roman"/>
                <w:szCs w:val="24"/>
              </w:rPr>
            </w:pPr>
            <w:r w:rsidRPr="00052E20">
              <w:rPr>
                <w:rFonts w:cs="Times New Roman"/>
                <w:szCs w:val="24"/>
              </w:rPr>
              <w:t>06</w:t>
            </w:r>
          </w:p>
        </w:tc>
        <w:tc>
          <w:tcPr>
            <w:tcW w:w="923" w:type="dxa"/>
            <w:tcBorders>
              <w:bottom w:val="single" w:sz="4" w:space="0" w:color="auto"/>
            </w:tcBorders>
            <w:noWrap/>
            <w:vAlign w:val="center"/>
            <w:hideMark/>
          </w:tcPr>
          <w:p w14:paraId="756F8957" w14:textId="77777777" w:rsidR="008576C8" w:rsidRPr="00052E20" w:rsidRDefault="008576C8" w:rsidP="008576C8">
            <w:pPr>
              <w:spacing w:line="240" w:lineRule="auto"/>
              <w:ind w:firstLineChars="0" w:firstLine="0"/>
              <w:rPr>
                <w:rFonts w:cs="Times New Roman"/>
                <w:szCs w:val="24"/>
              </w:rPr>
            </w:pPr>
            <w:r w:rsidRPr="00052E20">
              <w:rPr>
                <w:rFonts w:cs="Times New Roman"/>
                <w:szCs w:val="24"/>
              </w:rPr>
              <w:t>07</w:t>
            </w:r>
          </w:p>
        </w:tc>
        <w:tc>
          <w:tcPr>
            <w:tcW w:w="921" w:type="dxa"/>
            <w:tcBorders>
              <w:bottom w:val="single" w:sz="4" w:space="0" w:color="auto"/>
            </w:tcBorders>
            <w:noWrap/>
            <w:vAlign w:val="center"/>
            <w:hideMark/>
          </w:tcPr>
          <w:p w14:paraId="52F4C43E" w14:textId="77777777" w:rsidR="008576C8" w:rsidRPr="00052E20" w:rsidRDefault="008576C8" w:rsidP="008576C8">
            <w:pPr>
              <w:spacing w:line="240" w:lineRule="auto"/>
              <w:ind w:firstLineChars="0" w:firstLine="0"/>
              <w:rPr>
                <w:rFonts w:cs="Times New Roman"/>
                <w:szCs w:val="24"/>
              </w:rPr>
            </w:pPr>
            <w:r w:rsidRPr="00052E20">
              <w:rPr>
                <w:rFonts w:cs="Times New Roman"/>
                <w:szCs w:val="24"/>
              </w:rPr>
              <w:t>08</w:t>
            </w:r>
          </w:p>
        </w:tc>
        <w:tc>
          <w:tcPr>
            <w:tcW w:w="916" w:type="dxa"/>
            <w:tcBorders>
              <w:bottom w:val="single" w:sz="4" w:space="0" w:color="auto"/>
            </w:tcBorders>
            <w:vAlign w:val="center"/>
          </w:tcPr>
          <w:p w14:paraId="13195F42" w14:textId="77777777" w:rsidR="008576C8" w:rsidRPr="00052E20" w:rsidRDefault="008576C8" w:rsidP="008576C8">
            <w:pPr>
              <w:spacing w:line="240" w:lineRule="auto"/>
              <w:ind w:firstLineChars="0" w:firstLine="0"/>
              <w:rPr>
                <w:rFonts w:cs="Times New Roman"/>
                <w:szCs w:val="24"/>
              </w:rPr>
            </w:pPr>
            <w:r>
              <w:rPr>
                <w:rFonts w:cs="Times New Roman"/>
                <w:szCs w:val="24"/>
              </w:rPr>
              <w:t>09</w:t>
            </w:r>
          </w:p>
        </w:tc>
        <w:tc>
          <w:tcPr>
            <w:tcW w:w="916" w:type="dxa"/>
            <w:tcBorders>
              <w:bottom w:val="single" w:sz="4" w:space="0" w:color="auto"/>
            </w:tcBorders>
            <w:noWrap/>
            <w:vAlign w:val="center"/>
            <w:hideMark/>
          </w:tcPr>
          <w:p w14:paraId="4F682D8F" w14:textId="77777777" w:rsidR="008576C8" w:rsidRPr="00052E20" w:rsidRDefault="008576C8" w:rsidP="008576C8">
            <w:pPr>
              <w:spacing w:line="240" w:lineRule="auto"/>
              <w:ind w:firstLineChars="0" w:firstLine="0"/>
              <w:rPr>
                <w:rFonts w:cs="Times New Roman"/>
                <w:szCs w:val="24"/>
              </w:rPr>
            </w:pPr>
            <w:r>
              <w:rPr>
                <w:rFonts w:cs="Times New Roman"/>
                <w:szCs w:val="24"/>
              </w:rPr>
              <w:t>10</w:t>
            </w:r>
          </w:p>
        </w:tc>
        <w:tc>
          <w:tcPr>
            <w:tcW w:w="921" w:type="dxa"/>
            <w:tcBorders>
              <w:bottom w:val="single" w:sz="4" w:space="0" w:color="auto"/>
            </w:tcBorders>
            <w:noWrap/>
            <w:vAlign w:val="center"/>
            <w:hideMark/>
          </w:tcPr>
          <w:p w14:paraId="6AA8A4D5" w14:textId="77777777" w:rsidR="008576C8" w:rsidRPr="00052E20" w:rsidRDefault="008576C8" w:rsidP="008576C8">
            <w:pPr>
              <w:spacing w:line="240" w:lineRule="auto"/>
              <w:ind w:firstLineChars="0" w:firstLine="0"/>
              <w:rPr>
                <w:rFonts w:cs="Times New Roman"/>
                <w:szCs w:val="24"/>
              </w:rPr>
            </w:pPr>
            <w:r>
              <w:rPr>
                <w:rFonts w:cs="Times New Roman"/>
                <w:szCs w:val="24"/>
              </w:rPr>
              <w:t>11</w:t>
            </w:r>
          </w:p>
        </w:tc>
        <w:tc>
          <w:tcPr>
            <w:tcW w:w="923" w:type="dxa"/>
            <w:tcBorders>
              <w:bottom w:val="single" w:sz="4" w:space="0" w:color="auto"/>
            </w:tcBorders>
            <w:noWrap/>
            <w:vAlign w:val="center"/>
            <w:hideMark/>
          </w:tcPr>
          <w:p w14:paraId="62C87012" w14:textId="77777777" w:rsidR="008576C8" w:rsidRPr="00052E20" w:rsidRDefault="008576C8" w:rsidP="008576C8">
            <w:pPr>
              <w:spacing w:line="240" w:lineRule="auto"/>
              <w:ind w:firstLineChars="0" w:firstLine="0"/>
              <w:rPr>
                <w:rFonts w:cs="Times New Roman"/>
                <w:szCs w:val="24"/>
              </w:rPr>
            </w:pPr>
            <w:r>
              <w:rPr>
                <w:rFonts w:cs="Times New Roman"/>
                <w:szCs w:val="24"/>
              </w:rPr>
              <w:t>12</w:t>
            </w:r>
          </w:p>
        </w:tc>
        <w:tc>
          <w:tcPr>
            <w:tcW w:w="921" w:type="dxa"/>
            <w:tcBorders>
              <w:bottom w:val="single" w:sz="4" w:space="0" w:color="auto"/>
            </w:tcBorders>
            <w:noWrap/>
            <w:vAlign w:val="center"/>
            <w:hideMark/>
          </w:tcPr>
          <w:p w14:paraId="3E804392" w14:textId="77777777" w:rsidR="008576C8" w:rsidRPr="00052E20" w:rsidRDefault="008576C8" w:rsidP="008576C8">
            <w:pPr>
              <w:spacing w:line="240" w:lineRule="auto"/>
              <w:ind w:firstLineChars="0" w:firstLine="0"/>
              <w:rPr>
                <w:rFonts w:cs="Times New Roman"/>
                <w:szCs w:val="24"/>
              </w:rPr>
            </w:pPr>
            <w:r>
              <w:rPr>
                <w:rFonts w:cs="Times New Roman"/>
                <w:szCs w:val="24"/>
              </w:rPr>
              <w:t>13</w:t>
            </w:r>
          </w:p>
        </w:tc>
      </w:tr>
      <w:tr w:rsidR="008576C8" w:rsidRPr="00052E20" w14:paraId="722A8C08" w14:textId="77777777" w:rsidTr="008576C8">
        <w:trPr>
          <w:trHeight w:val="405"/>
          <w:jc w:val="center"/>
        </w:trPr>
        <w:tc>
          <w:tcPr>
            <w:tcW w:w="3401" w:type="dxa"/>
            <w:tcBorders>
              <w:top w:val="single" w:sz="4" w:space="0" w:color="auto"/>
              <w:bottom w:val="nil"/>
              <w:right w:val="single" w:sz="4" w:space="0" w:color="auto"/>
            </w:tcBorders>
            <w:noWrap/>
            <w:vAlign w:val="center"/>
            <w:hideMark/>
          </w:tcPr>
          <w:p w14:paraId="60DE4789" w14:textId="77777777" w:rsidR="008576C8" w:rsidRPr="00052E20" w:rsidRDefault="00923871" w:rsidP="008576C8">
            <w:pPr>
              <w:spacing w:line="240" w:lineRule="auto"/>
              <w:ind w:firstLineChars="0" w:firstLine="0"/>
              <w:rPr>
                <w:rFonts w:cs="Times New Roman"/>
                <w:b/>
                <w:szCs w:val="24"/>
                <w:lang w:val="de-DE"/>
              </w:rPr>
            </w:pPr>
            <m:oMath>
              <m:sSub>
                <m:sSubPr>
                  <m:ctrlPr>
                    <w:rPr>
                      <w:rFonts w:ascii="Cambria Math" w:hAnsi="Cambria Math" w:cs="Times New Roman"/>
                      <w:b/>
                      <w:szCs w:val="24"/>
                    </w:rPr>
                  </m:ctrlPr>
                </m:sSubPr>
                <m:e>
                  <m:r>
                    <m:rPr>
                      <m:sty m:val="bi"/>
                    </m:rPr>
                    <w:rPr>
                      <w:rFonts w:ascii="Cambria Math" w:hAnsi="Cambria Math" w:cs="Times New Roman"/>
                      <w:szCs w:val="24"/>
                    </w:rPr>
                    <m:t>R</m:t>
                  </m:r>
                </m:e>
                <m:sub>
                  <m:r>
                    <m:rPr>
                      <m:sty m:val="bi"/>
                    </m:rPr>
                    <w:rPr>
                      <w:rFonts w:ascii="Cambria Math" w:hAnsi="Cambria Math" w:cs="Times New Roman"/>
                      <w:szCs w:val="24"/>
                    </w:rPr>
                    <m:t>i</m:t>
                  </m:r>
                  <m:r>
                    <m:rPr>
                      <m:sty m:val="b"/>
                    </m:rPr>
                    <w:rPr>
                      <w:rFonts w:ascii="Cambria Math" w:hAnsi="Cambria Math" w:cs="Times New Roman"/>
                      <w:szCs w:val="24"/>
                    </w:rPr>
                    <m:t>,</m:t>
                  </m:r>
                  <m:r>
                    <m:rPr>
                      <m:sty m:val="bi"/>
                    </m:rPr>
                    <w:rPr>
                      <w:rFonts w:ascii="Cambria Math" w:hAnsi="Cambria Math" w:cs="Times New Roman"/>
                      <w:szCs w:val="24"/>
                    </w:rPr>
                    <m:t>t</m:t>
                  </m:r>
                </m:sub>
              </m:sSub>
              <m:r>
                <m:rPr>
                  <m:sty m:val="b"/>
                </m:rPr>
                <w:rPr>
                  <w:rFonts w:ascii="Cambria Math" w:hAnsi="Cambria Math" w:cs="Times New Roman"/>
                  <w:szCs w:val="24"/>
                </w:rPr>
                <m:t>-</m:t>
              </m:r>
              <m:sSub>
                <m:sSubPr>
                  <m:ctrlPr>
                    <w:rPr>
                      <w:rFonts w:ascii="Cambria Math" w:hAnsi="Cambria Math" w:cs="Times New Roman"/>
                      <w:b/>
                      <w:szCs w:val="24"/>
                    </w:rPr>
                  </m:ctrlPr>
                </m:sSubPr>
                <m:e>
                  <m:r>
                    <m:rPr>
                      <m:sty m:val="bi"/>
                    </m:rPr>
                    <w:rPr>
                      <w:rFonts w:ascii="Cambria Math" w:hAnsi="Cambria Math" w:cs="Times New Roman"/>
                      <w:szCs w:val="24"/>
                    </w:rPr>
                    <m:t>R</m:t>
                  </m:r>
                </m:e>
                <m:sub>
                  <m:r>
                    <m:rPr>
                      <m:sty m:val="bi"/>
                    </m:rPr>
                    <w:rPr>
                      <w:rFonts w:ascii="Cambria Math" w:hAnsi="Cambria Math" w:cs="Times New Roman"/>
                      <w:szCs w:val="24"/>
                    </w:rPr>
                    <m:t>f</m:t>
                  </m:r>
                  <m:r>
                    <m:rPr>
                      <m:sty m:val="b"/>
                    </m:rPr>
                    <w:rPr>
                      <w:rFonts w:ascii="Cambria Math" w:hAnsi="Cambria Math" w:cs="Times New Roman"/>
                      <w:szCs w:val="24"/>
                    </w:rPr>
                    <m:t>,</m:t>
                  </m:r>
                  <m:r>
                    <m:rPr>
                      <m:sty m:val="bi"/>
                    </m:rPr>
                    <w:rPr>
                      <w:rFonts w:ascii="Cambria Math" w:hAnsi="Cambria Math" w:cs="Times New Roman"/>
                      <w:szCs w:val="24"/>
                    </w:rPr>
                    <m:t>t</m:t>
                  </m:r>
                </m:sub>
              </m:sSub>
            </m:oMath>
            <w:r w:rsidR="008576C8" w:rsidRPr="00052E20">
              <w:rPr>
                <w:rFonts w:cs="Times New Roman"/>
                <w:b/>
                <w:szCs w:val="24"/>
                <w:lang w:val="de-DE"/>
              </w:rPr>
              <w:t>(%) (01)</w:t>
            </w:r>
          </w:p>
        </w:tc>
        <w:tc>
          <w:tcPr>
            <w:tcW w:w="921" w:type="dxa"/>
            <w:tcBorders>
              <w:top w:val="single" w:sz="4" w:space="0" w:color="auto"/>
              <w:left w:val="single" w:sz="4" w:space="0" w:color="auto"/>
              <w:bottom w:val="nil"/>
              <w:right w:val="nil"/>
            </w:tcBorders>
            <w:noWrap/>
            <w:vAlign w:val="center"/>
            <w:hideMark/>
          </w:tcPr>
          <w:p w14:paraId="4A6B44F6"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23" w:type="dxa"/>
            <w:tcBorders>
              <w:top w:val="single" w:sz="4" w:space="0" w:color="auto"/>
              <w:left w:val="nil"/>
              <w:bottom w:val="nil"/>
              <w:right w:val="nil"/>
            </w:tcBorders>
            <w:noWrap/>
            <w:vAlign w:val="center"/>
            <w:hideMark/>
          </w:tcPr>
          <w:p w14:paraId="10416451" w14:textId="77777777" w:rsidR="008576C8" w:rsidRPr="00052E20" w:rsidRDefault="008576C8" w:rsidP="008576C8">
            <w:pPr>
              <w:spacing w:line="240" w:lineRule="auto"/>
              <w:ind w:firstLineChars="0" w:firstLine="0"/>
              <w:jc w:val="left"/>
              <w:rPr>
                <w:rFonts w:cs="Times New Roman"/>
                <w:szCs w:val="24"/>
              </w:rPr>
            </w:pPr>
          </w:p>
        </w:tc>
        <w:tc>
          <w:tcPr>
            <w:tcW w:w="871" w:type="dxa"/>
            <w:tcBorders>
              <w:top w:val="single" w:sz="4" w:space="0" w:color="auto"/>
              <w:left w:val="nil"/>
              <w:bottom w:val="nil"/>
              <w:right w:val="nil"/>
            </w:tcBorders>
            <w:noWrap/>
            <w:vAlign w:val="center"/>
            <w:hideMark/>
          </w:tcPr>
          <w:p w14:paraId="37B22DD3" w14:textId="77777777" w:rsidR="008576C8" w:rsidRPr="00052E20" w:rsidRDefault="008576C8" w:rsidP="008576C8">
            <w:pPr>
              <w:spacing w:line="240" w:lineRule="auto"/>
              <w:ind w:firstLineChars="0" w:firstLine="0"/>
              <w:jc w:val="left"/>
              <w:rPr>
                <w:rFonts w:cs="Times New Roman"/>
                <w:szCs w:val="24"/>
              </w:rPr>
            </w:pPr>
          </w:p>
        </w:tc>
        <w:tc>
          <w:tcPr>
            <w:tcW w:w="823" w:type="dxa"/>
            <w:tcBorders>
              <w:top w:val="single" w:sz="4" w:space="0" w:color="auto"/>
              <w:left w:val="nil"/>
              <w:bottom w:val="nil"/>
              <w:right w:val="nil"/>
            </w:tcBorders>
            <w:noWrap/>
            <w:vAlign w:val="center"/>
            <w:hideMark/>
          </w:tcPr>
          <w:p w14:paraId="4994CC8C"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single" w:sz="4" w:space="0" w:color="auto"/>
              <w:left w:val="nil"/>
              <w:bottom w:val="nil"/>
              <w:right w:val="nil"/>
            </w:tcBorders>
            <w:noWrap/>
            <w:vAlign w:val="center"/>
            <w:hideMark/>
          </w:tcPr>
          <w:p w14:paraId="6C77E8FA"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single" w:sz="4" w:space="0" w:color="auto"/>
              <w:left w:val="nil"/>
              <w:bottom w:val="nil"/>
              <w:right w:val="nil"/>
            </w:tcBorders>
            <w:noWrap/>
            <w:vAlign w:val="center"/>
            <w:hideMark/>
          </w:tcPr>
          <w:p w14:paraId="4F31C205"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single" w:sz="4" w:space="0" w:color="auto"/>
              <w:left w:val="nil"/>
              <w:bottom w:val="nil"/>
              <w:right w:val="nil"/>
            </w:tcBorders>
            <w:noWrap/>
            <w:vAlign w:val="center"/>
            <w:hideMark/>
          </w:tcPr>
          <w:p w14:paraId="42ED15C1"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single" w:sz="4" w:space="0" w:color="auto"/>
              <w:left w:val="nil"/>
              <w:bottom w:val="nil"/>
              <w:right w:val="nil"/>
            </w:tcBorders>
            <w:noWrap/>
            <w:vAlign w:val="center"/>
            <w:hideMark/>
          </w:tcPr>
          <w:p w14:paraId="1C686216" w14:textId="77777777" w:rsidR="008576C8" w:rsidRPr="00052E20" w:rsidRDefault="008576C8" w:rsidP="008576C8">
            <w:pPr>
              <w:spacing w:line="240" w:lineRule="auto"/>
              <w:ind w:firstLineChars="0" w:firstLine="0"/>
              <w:jc w:val="left"/>
              <w:rPr>
                <w:rFonts w:cs="Times New Roman"/>
                <w:szCs w:val="24"/>
              </w:rPr>
            </w:pPr>
          </w:p>
        </w:tc>
        <w:tc>
          <w:tcPr>
            <w:tcW w:w="916" w:type="dxa"/>
            <w:tcBorders>
              <w:top w:val="single" w:sz="4" w:space="0" w:color="auto"/>
              <w:left w:val="nil"/>
              <w:bottom w:val="nil"/>
              <w:right w:val="nil"/>
            </w:tcBorders>
            <w:vAlign w:val="center"/>
          </w:tcPr>
          <w:p w14:paraId="6B8798B7" w14:textId="77777777" w:rsidR="008576C8" w:rsidRPr="00052E20" w:rsidRDefault="008576C8" w:rsidP="008576C8">
            <w:pPr>
              <w:spacing w:line="240" w:lineRule="auto"/>
              <w:ind w:firstLineChars="0" w:firstLine="0"/>
              <w:jc w:val="left"/>
              <w:rPr>
                <w:rFonts w:cs="Times New Roman"/>
                <w:szCs w:val="24"/>
              </w:rPr>
            </w:pPr>
          </w:p>
        </w:tc>
        <w:tc>
          <w:tcPr>
            <w:tcW w:w="916" w:type="dxa"/>
            <w:tcBorders>
              <w:top w:val="single" w:sz="4" w:space="0" w:color="auto"/>
              <w:left w:val="nil"/>
              <w:bottom w:val="nil"/>
              <w:right w:val="nil"/>
            </w:tcBorders>
            <w:noWrap/>
            <w:vAlign w:val="center"/>
            <w:hideMark/>
          </w:tcPr>
          <w:p w14:paraId="4BFAA38F"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single" w:sz="4" w:space="0" w:color="auto"/>
              <w:left w:val="nil"/>
              <w:bottom w:val="nil"/>
              <w:right w:val="nil"/>
            </w:tcBorders>
            <w:noWrap/>
            <w:vAlign w:val="center"/>
            <w:hideMark/>
          </w:tcPr>
          <w:p w14:paraId="6961812F"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single" w:sz="4" w:space="0" w:color="auto"/>
              <w:left w:val="nil"/>
              <w:bottom w:val="nil"/>
              <w:right w:val="nil"/>
            </w:tcBorders>
            <w:noWrap/>
            <w:vAlign w:val="center"/>
            <w:hideMark/>
          </w:tcPr>
          <w:p w14:paraId="5CA5D8EA"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single" w:sz="4" w:space="0" w:color="auto"/>
              <w:left w:val="nil"/>
              <w:bottom w:val="nil"/>
            </w:tcBorders>
            <w:noWrap/>
            <w:vAlign w:val="center"/>
            <w:hideMark/>
          </w:tcPr>
          <w:p w14:paraId="617F77FA"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2FBAFA17" w14:textId="77777777" w:rsidTr="008576C8">
        <w:trPr>
          <w:trHeight w:val="405"/>
          <w:jc w:val="center"/>
        </w:trPr>
        <w:tc>
          <w:tcPr>
            <w:tcW w:w="3401" w:type="dxa"/>
            <w:tcBorders>
              <w:top w:val="nil"/>
              <w:bottom w:val="nil"/>
              <w:right w:val="single" w:sz="4" w:space="0" w:color="auto"/>
            </w:tcBorders>
            <w:noWrap/>
            <w:vAlign w:val="center"/>
            <w:hideMark/>
          </w:tcPr>
          <w:p w14:paraId="654B036B" w14:textId="77777777" w:rsidR="008576C8" w:rsidRPr="00052E20" w:rsidRDefault="00923871" w:rsidP="008576C8">
            <w:pPr>
              <w:spacing w:line="240" w:lineRule="auto"/>
              <w:ind w:firstLineChars="0" w:firstLine="0"/>
              <w:rPr>
                <w:rFonts w:cs="Times New Roman"/>
                <w:b/>
                <w:szCs w:val="24"/>
                <w:lang w:val="de-DE"/>
              </w:rPr>
            </w:pPr>
            <m:oMath>
              <m:sSub>
                <m:sSubPr>
                  <m:ctrlPr>
                    <w:rPr>
                      <w:rFonts w:ascii="Cambria Math" w:hAnsi="Cambria Math" w:cs="Times New Roman"/>
                      <w:b/>
                      <w:szCs w:val="24"/>
                      <w:lang w:val="de-DE"/>
                    </w:rPr>
                  </m:ctrlPr>
                </m:sSubPr>
                <m:e>
                  <m:r>
                    <m:rPr>
                      <m:sty m:val="bi"/>
                    </m:rPr>
                    <w:rPr>
                      <w:rFonts w:ascii="Cambria Math" w:hAnsi="Cambria Math" w:cs="Times New Roman"/>
                      <w:szCs w:val="24"/>
                      <w:lang w:val="de-DE"/>
                    </w:rPr>
                    <m:t>R</m:t>
                  </m:r>
                </m:e>
                <m:sub>
                  <m:r>
                    <m:rPr>
                      <m:sty m:val="bi"/>
                    </m:rPr>
                    <w:rPr>
                      <w:rFonts w:ascii="Cambria Math" w:hAnsi="Cambria Math" w:cs="Times New Roman"/>
                      <w:szCs w:val="24"/>
                      <w:lang w:val="de-DE"/>
                    </w:rPr>
                    <m:t>m</m:t>
                  </m:r>
                  <m:r>
                    <m:rPr>
                      <m:sty m:val="b"/>
                    </m:rPr>
                    <w:rPr>
                      <w:rFonts w:ascii="Cambria Math" w:hAnsi="Cambria Math" w:cs="Times New Roman"/>
                      <w:szCs w:val="24"/>
                      <w:lang w:val="de-DE"/>
                    </w:rPr>
                    <m:t>,</m:t>
                  </m:r>
                  <m:r>
                    <m:rPr>
                      <m:sty m:val="bi"/>
                    </m:rPr>
                    <w:rPr>
                      <w:rFonts w:ascii="Cambria Math" w:hAnsi="Cambria Math" w:cs="Times New Roman"/>
                      <w:szCs w:val="24"/>
                      <w:lang w:val="de-DE"/>
                    </w:rPr>
                    <m:t>t</m:t>
                  </m:r>
                </m:sub>
              </m:sSub>
              <m:r>
                <m:rPr>
                  <m:sty m:val="b"/>
                </m:rPr>
                <w:rPr>
                  <w:rFonts w:ascii="Cambria Math" w:hAnsi="Cambria Math" w:cs="Times New Roman"/>
                  <w:szCs w:val="24"/>
                  <w:lang w:val="de-DE"/>
                </w:rPr>
                <m:t>-</m:t>
              </m:r>
              <m:sSub>
                <m:sSubPr>
                  <m:ctrlPr>
                    <w:rPr>
                      <w:rFonts w:ascii="Cambria Math" w:hAnsi="Cambria Math" w:cs="Times New Roman"/>
                      <w:b/>
                      <w:szCs w:val="24"/>
                      <w:lang w:val="de-DE"/>
                    </w:rPr>
                  </m:ctrlPr>
                </m:sSubPr>
                <m:e>
                  <m:r>
                    <m:rPr>
                      <m:sty m:val="bi"/>
                    </m:rPr>
                    <w:rPr>
                      <w:rFonts w:ascii="Cambria Math" w:hAnsi="Cambria Math" w:cs="Times New Roman"/>
                      <w:szCs w:val="24"/>
                      <w:lang w:val="de-DE"/>
                    </w:rPr>
                    <m:t>R</m:t>
                  </m:r>
                </m:e>
                <m:sub>
                  <m:r>
                    <m:rPr>
                      <m:sty m:val="bi"/>
                    </m:rPr>
                    <w:rPr>
                      <w:rFonts w:ascii="Cambria Math" w:hAnsi="Cambria Math" w:cs="Times New Roman"/>
                      <w:szCs w:val="24"/>
                      <w:lang w:val="de-DE"/>
                    </w:rPr>
                    <m:t>f</m:t>
                  </m:r>
                  <m:r>
                    <m:rPr>
                      <m:sty m:val="b"/>
                    </m:rPr>
                    <w:rPr>
                      <w:rFonts w:ascii="Cambria Math" w:hAnsi="Cambria Math" w:cs="Times New Roman"/>
                      <w:szCs w:val="24"/>
                      <w:lang w:val="de-DE"/>
                    </w:rPr>
                    <m:t>,</m:t>
                  </m:r>
                  <m:r>
                    <m:rPr>
                      <m:sty m:val="bi"/>
                    </m:rPr>
                    <w:rPr>
                      <w:rFonts w:ascii="Cambria Math" w:hAnsi="Cambria Math" w:cs="Times New Roman"/>
                      <w:szCs w:val="24"/>
                      <w:lang w:val="de-DE"/>
                    </w:rPr>
                    <m:t>t</m:t>
                  </m:r>
                </m:sub>
              </m:sSub>
            </m:oMath>
            <w:r w:rsidR="008576C8" w:rsidRPr="00052E20">
              <w:rPr>
                <w:rFonts w:cs="Times New Roman"/>
                <w:b/>
                <w:szCs w:val="24"/>
                <w:lang w:val="de-DE"/>
              </w:rPr>
              <w:t>(%) (02)</w:t>
            </w:r>
          </w:p>
        </w:tc>
        <w:tc>
          <w:tcPr>
            <w:tcW w:w="921" w:type="dxa"/>
            <w:tcBorders>
              <w:top w:val="nil"/>
              <w:left w:val="single" w:sz="4" w:space="0" w:color="auto"/>
              <w:bottom w:val="nil"/>
              <w:right w:val="nil"/>
            </w:tcBorders>
            <w:noWrap/>
            <w:vAlign w:val="center"/>
            <w:hideMark/>
          </w:tcPr>
          <w:p w14:paraId="09CF0B19"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0.241</w:t>
            </w:r>
          </w:p>
        </w:tc>
        <w:tc>
          <w:tcPr>
            <w:tcW w:w="923" w:type="dxa"/>
            <w:tcBorders>
              <w:top w:val="nil"/>
              <w:left w:val="nil"/>
              <w:bottom w:val="nil"/>
              <w:right w:val="nil"/>
            </w:tcBorders>
            <w:noWrap/>
            <w:vAlign w:val="center"/>
            <w:hideMark/>
          </w:tcPr>
          <w:p w14:paraId="66E96EC9"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871" w:type="dxa"/>
            <w:tcBorders>
              <w:top w:val="nil"/>
              <w:left w:val="nil"/>
              <w:bottom w:val="nil"/>
              <w:right w:val="nil"/>
            </w:tcBorders>
            <w:noWrap/>
            <w:vAlign w:val="center"/>
            <w:hideMark/>
          </w:tcPr>
          <w:p w14:paraId="244BF168" w14:textId="77777777" w:rsidR="008576C8" w:rsidRPr="00052E20" w:rsidRDefault="008576C8" w:rsidP="008576C8">
            <w:pPr>
              <w:spacing w:line="240" w:lineRule="auto"/>
              <w:ind w:firstLineChars="0" w:firstLine="0"/>
              <w:jc w:val="left"/>
              <w:rPr>
                <w:rFonts w:cs="Times New Roman"/>
                <w:szCs w:val="24"/>
              </w:rPr>
            </w:pPr>
          </w:p>
        </w:tc>
        <w:tc>
          <w:tcPr>
            <w:tcW w:w="823" w:type="dxa"/>
            <w:tcBorders>
              <w:top w:val="nil"/>
              <w:left w:val="nil"/>
              <w:bottom w:val="nil"/>
              <w:right w:val="nil"/>
            </w:tcBorders>
            <w:noWrap/>
            <w:vAlign w:val="center"/>
            <w:hideMark/>
          </w:tcPr>
          <w:p w14:paraId="1078FB33"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nil"/>
              <w:left w:val="nil"/>
              <w:bottom w:val="nil"/>
              <w:right w:val="nil"/>
            </w:tcBorders>
            <w:noWrap/>
            <w:vAlign w:val="center"/>
            <w:hideMark/>
          </w:tcPr>
          <w:p w14:paraId="0C4993E5"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right w:val="nil"/>
            </w:tcBorders>
            <w:noWrap/>
            <w:vAlign w:val="center"/>
            <w:hideMark/>
          </w:tcPr>
          <w:p w14:paraId="7DBB6CCA"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nil"/>
              <w:left w:val="nil"/>
              <w:bottom w:val="nil"/>
              <w:right w:val="nil"/>
            </w:tcBorders>
            <w:noWrap/>
            <w:vAlign w:val="center"/>
            <w:hideMark/>
          </w:tcPr>
          <w:p w14:paraId="1A496EDB"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right w:val="nil"/>
            </w:tcBorders>
            <w:noWrap/>
            <w:vAlign w:val="center"/>
            <w:hideMark/>
          </w:tcPr>
          <w:p w14:paraId="0E2E8993" w14:textId="77777777" w:rsidR="008576C8" w:rsidRPr="00052E20" w:rsidRDefault="008576C8" w:rsidP="008576C8">
            <w:pPr>
              <w:spacing w:line="240" w:lineRule="auto"/>
              <w:ind w:firstLineChars="0" w:firstLine="0"/>
              <w:jc w:val="left"/>
              <w:rPr>
                <w:rFonts w:cs="Times New Roman"/>
                <w:szCs w:val="24"/>
              </w:rPr>
            </w:pPr>
          </w:p>
        </w:tc>
        <w:tc>
          <w:tcPr>
            <w:tcW w:w="916" w:type="dxa"/>
            <w:tcBorders>
              <w:top w:val="nil"/>
              <w:left w:val="nil"/>
              <w:bottom w:val="nil"/>
              <w:right w:val="nil"/>
            </w:tcBorders>
            <w:vAlign w:val="center"/>
          </w:tcPr>
          <w:p w14:paraId="2A6080DB" w14:textId="77777777" w:rsidR="008576C8" w:rsidRPr="00052E20" w:rsidRDefault="008576C8" w:rsidP="008576C8">
            <w:pPr>
              <w:spacing w:line="240" w:lineRule="auto"/>
              <w:ind w:firstLineChars="0" w:firstLine="0"/>
              <w:jc w:val="left"/>
              <w:rPr>
                <w:rFonts w:cs="Times New Roman"/>
                <w:szCs w:val="24"/>
              </w:rPr>
            </w:pPr>
          </w:p>
        </w:tc>
        <w:tc>
          <w:tcPr>
            <w:tcW w:w="916" w:type="dxa"/>
            <w:tcBorders>
              <w:top w:val="nil"/>
              <w:left w:val="nil"/>
              <w:bottom w:val="nil"/>
              <w:right w:val="nil"/>
            </w:tcBorders>
            <w:noWrap/>
            <w:vAlign w:val="center"/>
            <w:hideMark/>
          </w:tcPr>
          <w:p w14:paraId="533C0ABA"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right w:val="nil"/>
            </w:tcBorders>
            <w:noWrap/>
            <w:vAlign w:val="center"/>
            <w:hideMark/>
          </w:tcPr>
          <w:p w14:paraId="4174721D"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nil"/>
              <w:left w:val="nil"/>
              <w:bottom w:val="nil"/>
              <w:right w:val="nil"/>
            </w:tcBorders>
            <w:noWrap/>
            <w:vAlign w:val="center"/>
            <w:hideMark/>
          </w:tcPr>
          <w:p w14:paraId="2B4A95A2"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tcBorders>
            <w:noWrap/>
            <w:vAlign w:val="center"/>
            <w:hideMark/>
          </w:tcPr>
          <w:p w14:paraId="675B2C2F"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5B3BD2FF" w14:textId="77777777" w:rsidTr="008576C8">
        <w:trPr>
          <w:trHeight w:val="405"/>
          <w:jc w:val="center"/>
        </w:trPr>
        <w:tc>
          <w:tcPr>
            <w:tcW w:w="3401" w:type="dxa"/>
            <w:tcBorders>
              <w:top w:val="nil"/>
              <w:bottom w:val="nil"/>
              <w:right w:val="single" w:sz="4" w:space="0" w:color="auto"/>
            </w:tcBorders>
            <w:noWrap/>
            <w:vAlign w:val="center"/>
            <w:hideMark/>
          </w:tcPr>
          <w:p w14:paraId="3319173A" w14:textId="77777777" w:rsidR="008576C8" w:rsidRPr="00052E20" w:rsidRDefault="008576C8" w:rsidP="008576C8">
            <w:pPr>
              <w:spacing w:line="240" w:lineRule="auto"/>
              <w:ind w:firstLineChars="0" w:firstLine="0"/>
              <w:rPr>
                <w:rFonts w:cs="Times New Roman"/>
                <w:b/>
                <w:szCs w:val="24"/>
                <w:lang w:val="de-DE"/>
              </w:rPr>
            </w:pPr>
            <w:r w:rsidRPr="00052E20">
              <w:rPr>
                <w:rFonts w:cs="Times New Roman"/>
                <w:b/>
                <w:szCs w:val="24"/>
                <w:lang w:val="de-DE"/>
              </w:rPr>
              <w:t>SMB (03)</w:t>
            </w:r>
          </w:p>
        </w:tc>
        <w:tc>
          <w:tcPr>
            <w:tcW w:w="921" w:type="dxa"/>
            <w:tcBorders>
              <w:top w:val="nil"/>
              <w:left w:val="single" w:sz="4" w:space="0" w:color="auto"/>
              <w:bottom w:val="nil"/>
              <w:right w:val="nil"/>
            </w:tcBorders>
            <w:noWrap/>
            <w:vAlign w:val="center"/>
            <w:hideMark/>
          </w:tcPr>
          <w:p w14:paraId="649CE1DC"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-0.024</w:t>
            </w:r>
          </w:p>
        </w:tc>
        <w:tc>
          <w:tcPr>
            <w:tcW w:w="923" w:type="dxa"/>
            <w:tcBorders>
              <w:top w:val="nil"/>
              <w:left w:val="nil"/>
              <w:bottom w:val="nil"/>
              <w:right w:val="nil"/>
            </w:tcBorders>
            <w:noWrap/>
            <w:vAlign w:val="center"/>
            <w:hideMark/>
          </w:tcPr>
          <w:p w14:paraId="7191B44C"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0.024</w:t>
            </w:r>
          </w:p>
        </w:tc>
        <w:tc>
          <w:tcPr>
            <w:tcW w:w="871" w:type="dxa"/>
            <w:tcBorders>
              <w:top w:val="nil"/>
              <w:left w:val="nil"/>
              <w:bottom w:val="nil"/>
              <w:right w:val="nil"/>
            </w:tcBorders>
            <w:noWrap/>
            <w:vAlign w:val="center"/>
            <w:hideMark/>
          </w:tcPr>
          <w:p w14:paraId="7DBEBFB7"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823" w:type="dxa"/>
            <w:tcBorders>
              <w:top w:val="nil"/>
              <w:left w:val="nil"/>
              <w:bottom w:val="nil"/>
              <w:right w:val="nil"/>
            </w:tcBorders>
            <w:noWrap/>
            <w:vAlign w:val="center"/>
            <w:hideMark/>
          </w:tcPr>
          <w:p w14:paraId="19CDD647"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nil"/>
              <w:left w:val="nil"/>
              <w:bottom w:val="nil"/>
              <w:right w:val="nil"/>
            </w:tcBorders>
            <w:noWrap/>
            <w:vAlign w:val="center"/>
            <w:hideMark/>
          </w:tcPr>
          <w:p w14:paraId="08A232F2"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right w:val="nil"/>
            </w:tcBorders>
            <w:noWrap/>
            <w:vAlign w:val="center"/>
            <w:hideMark/>
          </w:tcPr>
          <w:p w14:paraId="51891686"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nil"/>
              <w:left w:val="nil"/>
              <w:bottom w:val="nil"/>
              <w:right w:val="nil"/>
            </w:tcBorders>
            <w:noWrap/>
            <w:vAlign w:val="center"/>
            <w:hideMark/>
          </w:tcPr>
          <w:p w14:paraId="1331FDC1"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right w:val="nil"/>
            </w:tcBorders>
            <w:noWrap/>
            <w:vAlign w:val="center"/>
            <w:hideMark/>
          </w:tcPr>
          <w:p w14:paraId="7FE09E3D" w14:textId="77777777" w:rsidR="008576C8" w:rsidRPr="00052E20" w:rsidRDefault="008576C8" w:rsidP="008576C8">
            <w:pPr>
              <w:spacing w:line="240" w:lineRule="auto"/>
              <w:ind w:firstLineChars="0" w:firstLine="0"/>
              <w:jc w:val="left"/>
              <w:rPr>
                <w:rFonts w:cs="Times New Roman"/>
                <w:szCs w:val="24"/>
              </w:rPr>
            </w:pPr>
          </w:p>
        </w:tc>
        <w:tc>
          <w:tcPr>
            <w:tcW w:w="916" w:type="dxa"/>
            <w:tcBorders>
              <w:top w:val="nil"/>
              <w:left w:val="nil"/>
              <w:bottom w:val="nil"/>
              <w:right w:val="nil"/>
            </w:tcBorders>
            <w:vAlign w:val="center"/>
          </w:tcPr>
          <w:p w14:paraId="67239526" w14:textId="77777777" w:rsidR="008576C8" w:rsidRPr="00052E20" w:rsidRDefault="008576C8" w:rsidP="008576C8">
            <w:pPr>
              <w:spacing w:line="240" w:lineRule="auto"/>
              <w:ind w:firstLineChars="0" w:firstLine="0"/>
              <w:jc w:val="left"/>
              <w:rPr>
                <w:rFonts w:cs="Times New Roman"/>
                <w:szCs w:val="24"/>
              </w:rPr>
            </w:pPr>
          </w:p>
        </w:tc>
        <w:tc>
          <w:tcPr>
            <w:tcW w:w="916" w:type="dxa"/>
            <w:tcBorders>
              <w:top w:val="nil"/>
              <w:left w:val="nil"/>
              <w:bottom w:val="nil"/>
              <w:right w:val="nil"/>
            </w:tcBorders>
            <w:noWrap/>
            <w:vAlign w:val="center"/>
            <w:hideMark/>
          </w:tcPr>
          <w:p w14:paraId="5B1DD0E8"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right w:val="nil"/>
            </w:tcBorders>
            <w:noWrap/>
            <w:vAlign w:val="center"/>
            <w:hideMark/>
          </w:tcPr>
          <w:p w14:paraId="21E44906"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nil"/>
              <w:left w:val="nil"/>
              <w:bottom w:val="nil"/>
              <w:right w:val="nil"/>
            </w:tcBorders>
            <w:noWrap/>
            <w:vAlign w:val="center"/>
            <w:hideMark/>
          </w:tcPr>
          <w:p w14:paraId="4DD21E81"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tcBorders>
            <w:noWrap/>
            <w:vAlign w:val="center"/>
            <w:hideMark/>
          </w:tcPr>
          <w:p w14:paraId="10E924F7"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68015F9A" w14:textId="77777777" w:rsidTr="008576C8">
        <w:trPr>
          <w:trHeight w:val="405"/>
          <w:jc w:val="center"/>
        </w:trPr>
        <w:tc>
          <w:tcPr>
            <w:tcW w:w="3401" w:type="dxa"/>
            <w:tcBorders>
              <w:top w:val="nil"/>
              <w:bottom w:val="nil"/>
              <w:right w:val="single" w:sz="4" w:space="0" w:color="auto"/>
            </w:tcBorders>
            <w:noWrap/>
            <w:vAlign w:val="center"/>
            <w:hideMark/>
          </w:tcPr>
          <w:p w14:paraId="211A747A" w14:textId="77777777" w:rsidR="008576C8" w:rsidRPr="00052E20" w:rsidRDefault="008576C8" w:rsidP="008576C8">
            <w:pPr>
              <w:spacing w:line="240" w:lineRule="auto"/>
              <w:ind w:firstLineChars="0" w:firstLine="0"/>
              <w:rPr>
                <w:rFonts w:cs="Times New Roman"/>
                <w:b/>
                <w:szCs w:val="24"/>
                <w:lang w:val="de-DE"/>
              </w:rPr>
            </w:pPr>
            <w:r w:rsidRPr="00052E20">
              <w:rPr>
                <w:rFonts w:cs="Times New Roman"/>
                <w:b/>
                <w:szCs w:val="24"/>
                <w:lang w:val="de-DE"/>
              </w:rPr>
              <w:t>HML (04)</w:t>
            </w:r>
          </w:p>
        </w:tc>
        <w:tc>
          <w:tcPr>
            <w:tcW w:w="921" w:type="dxa"/>
            <w:tcBorders>
              <w:top w:val="nil"/>
              <w:left w:val="single" w:sz="4" w:space="0" w:color="auto"/>
              <w:bottom w:val="nil"/>
              <w:right w:val="nil"/>
            </w:tcBorders>
            <w:noWrap/>
            <w:vAlign w:val="center"/>
            <w:hideMark/>
          </w:tcPr>
          <w:p w14:paraId="0EF33F1F"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-0.023</w:t>
            </w:r>
          </w:p>
        </w:tc>
        <w:tc>
          <w:tcPr>
            <w:tcW w:w="923" w:type="dxa"/>
            <w:tcBorders>
              <w:top w:val="nil"/>
              <w:left w:val="nil"/>
              <w:bottom w:val="nil"/>
              <w:right w:val="nil"/>
            </w:tcBorders>
            <w:noWrap/>
            <w:vAlign w:val="center"/>
            <w:hideMark/>
          </w:tcPr>
          <w:p w14:paraId="24C930BA"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0.026</w:t>
            </w:r>
          </w:p>
        </w:tc>
        <w:tc>
          <w:tcPr>
            <w:tcW w:w="871" w:type="dxa"/>
            <w:tcBorders>
              <w:top w:val="nil"/>
              <w:left w:val="nil"/>
              <w:bottom w:val="nil"/>
              <w:right w:val="nil"/>
            </w:tcBorders>
            <w:noWrap/>
            <w:vAlign w:val="center"/>
            <w:hideMark/>
          </w:tcPr>
          <w:p w14:paraId="555F0658" w14:textId="77777777" w:rsidR="008576C8" w:rsidRPr="00B8251D" w:rsidRDefault="008576C8" w:rsidP="008576C8">
            <w:pPr>
              <w:spacing w:line="240" w:lineRule="auto"/>
              <w:ind w:firstLineChars="0" w:firstLine="0"/>
              <w:jc w:val="left"/>
              <w:rPr>
                <w:rFonts w:cs="Times New Roman"/>
                <w:szCs w:val="24"/>
              </w:rPr>
            </w:pPr>
            <w:r w:rsidRPr="00B8251D">
              <w:rPr>
                <w:rFonts w:cs="Times New Roman"/>
                <w:szCs w:val="24"/>
              </w:rPr>
              <w:t>0.982</w:t>
            </w:r>
          </w:p>
        </w:tc>
        <w:tc>
          <w:tcPr>
            <w:tcW w:w="823" w:type="dxa"/>
            <w:tcBorders>
              <w:top w:val="nil"/>
              <w:left w:val="nil"/>
              <w:bottom w:val="nil"/>
              <w:right w:val="nil"/>
            </w:tcBorders>
            <w:noWrap/>
            <w:vAlign w:val="center"/>
            <w:hideMark/>
          </w:tcPr>
          <w:p w14:paraId="39832F57"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23" w:type="dxa"/>
            <w:tcBorders>
              <w:top w:val="nil"/>
              <w:left w:val="nil"/>
              <w:bottom w:val="nil"/>
              <w:right w:val="nil"/>
            </w:tcBorders>
            <w:noWrap/>
            <w:vAlign w:val="center"/>
            <w:hideMark/>
          </w:tcPr>
          <w:p w14:paraId="78BC007B"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right w:val="nil"/>
            </w:tcBorders>
            <w:noWrap/>
            <w:vAlign w:val="center"/>
            <w:hideMark/>
          </w:tcPr>
          <w:p w14:paraId="5F6B73C1"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nil"/>
              <w:left w:val="nil"/>
              <w:bottom w:val="nil"/>
              <w:right w:val="nil"/>
            </w:tcBorders>
            <w:noWrap/>
            <w:vAlign w:val="center"/>
            <w:hideMark/>
          </w:tcPr>
          <w:p w14:paraId="3844A3BB"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right w:val="nil"/>
            </w:tcBorders>
            <w:noWrap/>
            <w:vAlign w:val="center"/>
            <w:hideMark/>
          </w:tcPr>
          <w:p w14:paraId="3C4A16FF" w14:textId="77777777" w:rsidR="008576C8" w:rsidRPr="00052E20" w:rsidRDefault="008576C8" w:rsidP="008576C8">
            <w:pPr>
              <w:spacing w:line="240" w:lineRule="auto"/>
              <w:ind w:firstLineChars="0" w:firstLine="0"/>
              <w:jc w:val="left"/>
              <w:rPr>
                <w:rFonts w:cs="Times New Roman"/>
                <w:szCs w:val="24"/>
              </w:rPr>
            </w:pPr>
          </w:p>
        </w:tc>
        <w:tc>
          <w:tcPr>
            <w:tcW w:w="916" w:type="dxa"/>
            <w:tcBorders>
              <w:top w:val="nil"/>
              <w:left w:val="nil"/>
              <w:bottom w:val="nil"/>
              <w:right w:val="nil"/>
            </w:tcBorders>
            <w:vAlign w:val="center"/>
          </w:tcPr>
          <w:p w14:paraId="01611B38" w14:textId="77777777" w:rsidR="008576C8" w:rsidRPr="00052E20" w:rsidRDefault="008576C8" w:rsidP="008576C8">
            <w:pPr>
              <w:spacing w:line="240" w:lineRule="auto"/>
              <w:ind w:firstLineChars="0" w:firstLine="0"/>
              <w:jc w:val="left"/>
              <w:rPr>
                <w:rFonts w:cs="Times New Roman"/>
                <w:szCs w:val="24"/>
              </w:rPr>
            </w:pPr>
          </w:p>
        </w:tc>
        <w:tc>
          <w:tcPr>
            <w:tcW w:w="916" w:type="dxa"/>
            <w:tcBorders>
              <w:top w:val="nil"/>
              <w:left w:val="nil"/>
              <w:bottom w:val="nil"/>
              <w:right w:val="nil"/>
            </w:tcBorders>
            <w:noWrap/>
            <w:vAlign w:val="center"/>
            <w:hideMark/>
          </w:tcPr>
          <w:p w14:paraId="055DDA03"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right w:val="nil"/>
            </w:tcBorders>
            <w:noWrap/>
            <w:vAlign w:val="center"/>
            <w:hideMark/>
          </w:tcPr>
          <w:p w14:paraId="7C814E13"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nil"/>
              <w:left w:val="nil"/>
              <w:bottom w:val="nil"/>
              <w:right w:val="nil"/>
            </w:tcBorders>
            <w:noWrap/>
            <w:vAlign w:val="center"/>
            <w:hideMark/>
          </w:tcPr>
          <w:p w14:paraId="079D21F4"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tcBorders>
            <w:noWrap/>
            <w:vAlign w:val="center"/>
            <w:hideMark/>
          </w:tcPr>
          <w:p w14:paraId="322C4936"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7E996C2F" w14:textId="77777777" w:rsidTr="008576C8">
        <w:trPr>
          <w:trHeight w:val="405"/>
          <w:jc w:val="center"/>
        </w:trPr>
        <w:tc>
          <w:tcPr>
            <w:tcW w:w="3401" w:type="dxa"/>
            <w:tcBorders>
              <w:top w:val="nil"/>
              <w:bottom w:val="nil"/>
              <w:right w:val="single" w:sz="4" w:space="0" w:color="auto"/>
            </w:tcBorders>
            <w:noWrap/>
            <w:vAlign w:val="center"/>
            <w:hideMark/>
          </w:tcPr>
          <w:p w14:paraId="17BD7F9F" w14:textId="77777777" w:rsidR="008576C8" w:rsidRPr="00052E20" w:rsidRDefault="008576C8" w:rsidP="008576C8">
            <w:pPr>
              <w:spacing w:line="240" w:lineRule="auto"/>
              <w:ind w:firstLineChars="0" w:firstLine="0"/>
              <w:rPr>
                <w:rFonts w:cs="Times New Roman"/>
                <w:b/>
                <w:szCs w:val="24"/>
              </w:rPr>
            </w:pPr>
            <w:r w:rsidRPr="00052E20">
              <w:rPr>
                <w:rFonts w:cs="Times New Roman"/>
                <w:b/>
                <w:szCs w:val="24"/>
              </w:rPr>
              <w:t>Cash-only dummy (05)</w:t>
            </w:r>
          </w:p>
        </w:tc>
        <w:tc>
          <w:tcPr>
            <w:tcW w:w="921" w:type="dxa"/>
            <w:tcBorders>
              <w:top w:val="nil"/>
              <w:left w:val="single" w:sz="4" w:space="0" w:color="auto"/>
              <w:bottom w:val="nil"/>
              <w:right w:val="nil"/>
            </w:tcBorders>
            <w:noWrap/>
            <w:vAlign w:val="center"/>
            <w:hideMark/>
          </w:tcPr>
          <w:p w14:paraId="5BD5C715"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-0.128</w:t>
            </w:r>
          </w:p>
        </w:tc>
        <w:tc>
          <w:tcPr>
            <w:tcW w:w="923" w:type="dxa"/>
            <w:tcBorders>
              <w:top w:val="nil"/>
              <w:left w:val="nil"/>
              <w:bottom w:val="nil"/>
              <w:right w:val="nil"/>
            </w:tcBorders>
            <w:noWrap/>
            <w:vAlign w:val="center"/>
            <w:hideMark/>
          </w:tcPr>
          <w:p w14:paraId="3343660B"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w:t>
            </w:r>
            <w:r>
              <w:rPr>
                <w:rFonts w:cs="Times New Roman"/>
                <w:szCs w:val="24"/>
              </w:rPr>
              <w:t>0.032</w:t>
            </w:r>
          </w:p>
        </w:tc>
        <w:tc>
          <w:tcPr>
            <w:tcW w:w="871" w:type="dxa"/>
            <w:tcBorders>
              <w:top w:val="nil"/>
              <w:left w:val="nil"/>
              <w:bottom w:val="nil"/>
              <w:right w:val="nil"/>
            </w:tcBorders>
            <w:noWrap/>
            <w:vAlign w:val="center"/>
            <w:hideMark/>
          </w:tcPr>
          <w:p w14:paraId="3BAE7FAD"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.055</w:t>
            </w:r>
          </w:p>
        </w:tc>
        <w:tc>
          <w:tcPr>
            <w:tcW w:w="823" w:type="dxa"/>
            <w:tcBorders>
              <w:top w:val="nil"/>
              <w:left w:val="nil"/>
              <w:bottom w:val="nil"/>
              <w:right w:val="nil"/>
            </w:tcBorders>
            <w:noWrap/>
            <w:vAlign w:val="center"/>
            <w:hideMark/>
          </w:tcPr>
          <w:p w14:paraId="3064D4DC"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0.057</w:t>
            </w:r>
          </w:p>
        </w:tc>
        <w:tc>
          <w:tcPr>
            <w:tcW w:w="923" w:type="dxa"/>
            <w:tcBorders>
              <w:top w:val="nil"/>
              <w:left w:val="nil"/>
              <w:bottom w:val="nil"/>
              <w:right w:val="nil"/>
            </w:tcBorders>
            <w:noWrap/>
            <w:vAlign w:val="center"/>
            <w:hideMark/>
          </w:tcPr>
          <w:p w14:paraId="2746BA90"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21" w:type="dxa"/>
            <w:tcBorders>
              <w:top w:val="nil"/>
              <w:left w:val="nil"/>
              <w:bottom w:val="nil"/>
              <w:right w:val="nil"/>
            </w:tcBorders>
            <w:noWrap/>
            <w:vAlign w:val="center"/>
            <w:hideMark/>
          </w:tcPr>
          <w:p w14:paraId="5F6FFA75"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nil"/>
              <w:left w:val="nil"/>
              <w:bottom w:val="nil"/>
              <w:right w:val="nil"/>
            </w:tcBorders>
            <w:noWrap/>
            <w:vAlign w:val="center"/>
            <w:hideMark/>
          </w:tcPr>
          <w:p w14:paraId="65E833AB"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right w:val="nil"/>
            </w:tcBorders>
            <w:noWrap/>
            <w:vAlign w:val="center"/>
            <w:hideMark/>
          </w:tcPr>
          <w:p w14:paraId="181306CF" w14:textId="77777777" w:rsidR="008576C8" w:rsidRPr="00052E20" w:rsidRDefault="008576C8" w:rsidP="008576C8">
            <w:pPr>
              <w:spacing w:line="240" w:lineRule="auto"/>
              <w:ind w:firstLineChars="0" w:firstLine="0"/>
              <w:jc w:val="left"/>
              <w:rPr>
                <w:rFonts w:cs="Times New Roman"/>
                <w:szCs w:val="24"/>
              </w:rPr>
            </w:pPr>
          </w:p>
        </w:tc>
        <w:tc>
          <w:tcPr>
            <w:tcW w:w="916" w:type="dxa"/>
            <w:tcBorders>
              <w:top w:val="nil"/>
              <w:left w:val="nil"/>
              <w:bottom w:val="nil"/>
              <w:right w:val="nil"/>
            </w:tcBorders>
            <w:vAlign w:val="center"/>
          </w:tcPr>
          <w:p w14:paraId="2CF8E4F4" w14:textId="77777777" w:rsidR="008576C8" w:rsidRPr="00052E20" w:rsidRDefault="008576C8" w:rsidP="008576C8">
            <w:pPr>
              <w:spacing w:line="240" w:lineRule="auto"/>
              <w:ind w:firstLineChars="0" w:firstLine="0"/>
              <w:jc w:val="left"/>
              <w:rPr>
                <w:rFonts w:cs="Times New Roman"/>
                <w:szCs w:val="24"/>
              </w:rPr>
            </w:pPr>
          </w:p>
        </w:tc>
        <w:tc>
          <w:tcPr>
            <w:tcW w:w="916" w:type="dxa"/>
            <w:tcBorders>
              <w:top w:val="nil"/>
              <w:left w:val="nil"/>
              <w:bottom w:val="nil"/>
              <w:right w:val="nil"/>
            </w:tcBorders>
            <w:noWrap/>
            <w:vAlign w:val="center"/>
            <w:hideMark/>
          </w:tcPr>
          <w:p w14:paraId="63742F7E"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right w:val="nil"/>
            </w:tcBorders>
            <w:noWrap/>
            <w:vAlign w:val="center"/>
            <w:hideMark/>
          </w:tcPr>
          <w:p w14:paraId="7B4EE038"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nil"/>
              <w:left w:val="nil"/>
              <w:bottom w:val="nil"/>
              <w:right w:val="nil"/>
            </w:tcBorders>
            <w:noWrap/>
            <w:vAlign w:val="center"/>
            <w:hideMark/>
          </w:tcPr>
          <w:p w14:paraId="1BFCB051"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tcBorders>
            <w:noWrap/>
            <w:vAlign w:val="center"/>
            <w:hideMark/>
          </w:tcPr>
          <w:p w14:paraId="4804E386"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639E172F" w14:textId="77777777" w:rsidTr="008576C8">
        <w:trPr>
          <w:trHeight w:val="405"/>
          <w:jc w:val="center"/>
        </w:trPr>
        <w:tc>
          <w:tcPr>
            <w:tcW w:w="3401" w:type="dxa"/>
            <w:tcBorders>
              <w:top w:val="nil"/>
              <w:bottom w:val="nil"/>
              <w:right w:val="single" w:sz="4" w:space="0" w:color="auto"/>
            </w:tcBorders>
            <w:noWrap/>
            <w:vAlign w:val="center"/>
            <w:hideMark/>
          </w:tcPr>
          <w:p w14:paraId="5ED8457A" w14:textId="77777777" w:rsidR="008576C8" w:rsidRPr="00052E20" w:rsidRDefault="008576C8" w:rsidP="008576C8">
            <w:pPr>
              <w:spacing w:line="240" w:lineRule="auto"/>
              <w:ind w:firstLineChars="0" w:firstLine="0"/>
              <w:rPr>
                <w:rFonts w:cs="Times New Roman"/>
                <w:b/>
                <w:szCs w:val="24"/>
              </w:rPr>
            </w:pPr>
            <w:r w:rsidRPr="00052E20">
              <w:rPr>
                <w:rFonts w:cs="Times New Roman"/>
                <w:b/>
                <w:szCs w:val="24"/>
              </w:rPr>
              <w:t>Stock-only dummy (06)</w:t>
            </w:r>
          </w:p>
        </w:tc>
        <w:tc>
          <w:tcPr>
            <w:tcW w:w="921" w:type="dxa"/>
            <w:tcBorders>
              <w:top w:val="nil"/>
              <w:left w:val="single" w:sz="4" w:space="0" w:color="auto"/>
              <w:bottom w:val="nil"/>
              <w:right w:val="nil"/>
            </w:tcBorders>
            <w:noWrap/>
            <w:vAlign w:val="center"/>
            <w:hideMark/>
          </w:tcPr>
          <w:p w14:paraId="29EE43A5"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0.031</w:t>
            </w:r>
          </w:p>
        </w:tc>
        <w:tc>
          <w:tcPr>
            <w:tcW w:w="923" w:type="dxa"/>
            <w:tcBorders>
              <w:top w:val="nil"/>
              <w:left w:val="nil"/>
              <w:bottom w:val="nil"/>
              <w:right w:val="nil"/>
            </w:tcBorders>
            <w:noWrap/>
            <w:vAlign w:val="center"/>
            <w:hideMark/>
          </w:tcPr>
          <w:p w14:paraId="34A5E11E"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111</w:t>
            </w:r>
          </w:p>
        </w:tc>
        <w:tc>
          <w:tcPr>
            <w:tcW w:w="871" w:type="dxa"/>
            <w:tcBorders>
              <w:top w:val="nil"/>
              <w:left w:val="nil"/>
              <w:bottom w:val="nil"/>
              <w:right w:val="nil"/>
            </w:tcBorders>
            <w:noWrap/>
            <w:vAlign w:val="center"/>
            <w:hideMark/>
          </w:tcPr>
          <w:p w14:paraId="5AB9FD03"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w:t>
            </w:r>
            <w:r>
              <w:rPr>
                <w:rFonts w:cs="Times New Roman"/>
                <w:szCs w:val="24"/>
              </w:rPr>
              <w:t>0.176</w:t>
            </w:r>
          </w:p>
        </w:tc>
        <w:tc>
          <w:tcPr>
            <w:tcW w:w="823" w:type="dxa"/>
            <w:tcBorders>
              <w:top w:val="nil"/>
              <w:left w:val="nil"/>
              <w:bottom w:val="nil"/>
              <w:right w:val="nil"/>
            </w:tcBorders>
            <w:noWrap/>
            <w:vAlign w:val="center"/>
            <w:hideMark/>
          </w:tcPr>
          <w:p w14:paraId="2C2C3003"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w:t>
            </w:r>
            <w:r w:rsidRPr="00052E20">
              <w:rPr>
                <w:rFonts w:cs="Times New Roman"/>
                <w:szCs w:val="24"/>
              </w:rPr>
              <w:t>0.</w:t>
            </w:r>
            <w:r>
              <w:rPr>
                <w:rFonts w:cs="Times New Roman"/>
                <w:szCs w:val="24"/>
              </w:rPr>
              <w:t>102</w:t>
            </w:r>
          </w:p>
        </w:tc>
        <w:tc>
          <w:tcPr>
            <w:tcW w:w="923" w:type="dxa"/>
            <w:tcBorders>
              <w:top w:val="nil"/>
              <w:left w:val="nil"/>
              <w:bottom w:val="nil"/>
              <w:right w:val="nil"/>
            </w:tcBorders>
            <w:noWrap/>
            <w:vAlign w:val="center"/>
            <w:hideMark/>
          </w:tcPr>
          <w:p w14:paraId="363AA75A"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0.001</w:t>
            </w:r>
          </w:p>
        </w:tc>
        <w:tc>
          <w:tcPr>
            <w:tcW w:w="921" w:type="dxa"/>
            <w:tcBorders>
              <w:top w:val="nil"/>
              <w:left w:val="nil"/>
              <w:bottom w:val="nil"/>
              <w:right w:val="nil"/>
            </w:tcBorders>
            <w:noWrap/>
            <w:vAlign w:val="center"/>
            <w:hideMark/>
          </w:tcPr>
          <w:p w14:paraId="0332ED62"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23" w:type="dxa"/>
            <w:tcBorders>
              <w:top w:val="nil"/>
              <w:left w:val="nil"/>
              <w:bottom w:val="nil"/>
              <w:right w:val="nil"/>
            </w:tcBorders>
            <w:noWrap/>
            <w:vAlign w:val="center"/>
            <w:hideMark/>
          </w:tcPr>
          <w:p w14:paraId="53C9793B"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right w:val="nil"/>
            </w:tcBorders>
            <w:noWrap/>
            <w:vAlign w:val="center"/>
            <w:hideMark/>
          </w:tcPr>
          <w:p w14:paraId="733CA1DA" w14:textId="77777777" w:rsidR="008576C8" w:rsidRPr="00052E20" w:rsidRDefault="008576C8" w:rsidP="008576C8">
            <w:pPr>
              <w:spacing w:line="240" w:lineRule="auto"/>
              <w:ind w:firstLineChars="0" w:firstLine="0"/>
              <w:jc w:val="left"/>
              <w:rPr>
                <w:rFonts w:cs="Times New Roman"/>
                <w:szCs w:val="24"/>
              </w:rPr>
            </w:pPr>
          </w:p>
        </w:tc>
        <w:tc>
          <w:tcPr>
            <w:tcW w:w="916" w:type="dxa"/>
            <w:tcBorders>
              <w:top w:val="nil"/>
              <w:left w:val="nil"/>
              <w:bottom w:val="nil"/>
              <w:right w:val="nil"/>
            </w:tcBorders>
            <w:vAlign w:val="center"/>
          </w:tcPr>
          <w:p w14:paraId="781A1BBB" w14:textId="77777777" w:rsidR="008576C8" w:rsidRPr="00052E20" w:rsidRDefault="008576C8" w:rsidP="008576C8">
            <w:pPr>
              <w:spacing w:line="240" w:lineRule="auto"/>
              <w:ind w:firstLineChars="0" w:firstLine="0"/>
              <w:jc w:val="left"/>
              <w:rPr>
                <w:rFonts w:cs="Times New Roman"/>
                <w:szCs w:val="24"/>
              </w:rPr>
            </w:pPr>
          </w:p>
        </w:tc>
        <w:tc>
          <w:tcPr>
            <w:tcW w:w="916" w:type="dxa"/>
            <w:tcBorders>
              <w:top w:val="nil"/>
              <w:left w:val="nil"/>
              <w:bottom w:val="nil"/>
              <w:right w:val="nil"/>
            </w:tcBorders>
            <w:noWrap/>
            <w:vAlign w:val="center"/>
            <w:hideMark/>
          </w:tcPr>
          <w:p w14:paraId="1CA6D8BC"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right w:val="nil"/>
            </w:tcBorders>
            <w:noWrap/>
            <w:vAlign w:val="center"/>
            <w:hideMark/>
          </w:tcPr>
          <w:p w14:paraId="47D56B41"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nil"/>
              <w:left w:val="nil"/>
              <w:bottom w:val="nil"/>
              <w:right w:val="nil"/>
            </w:tcBorders>
            <w:noWrap/>
            <w:vAlign w:val="center"/>
            <w:hideMark/>
          </w:tcPr>
          <w:p w14:paraId="618076FA"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tcBorders>
            <w:noWrap/>
            <w:vAlign w:val="center"/>
            <w:hideMark/>
          </w:tcPr>
          <w:p w14:paraId="186130E9"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1A8B2823" w14:textId="77777777" w:rsidTr="008576C8">
        <w:trPr>
          <w:trHeight w:val="405"/>
          <w:jc w:val="center"/>
        </w:trPr>
        <w:tc>
          <w:tcPr>
            <w:tcW w:w="3401" w:type="dxa"/>
            <w:tcBorders>
              <w:top w:val="nil"/>
              <w:bottom w:val="nil"/>
              <w:right w:val="single" w:sz="4" w:space="0" w:color="auto"/>
            </w:tcBorders>
            <w:noWrap/>
            <w:vAlign w:val="center"/>
            <w:hideMark/>
          </w:tcPr>
          <w:p w14:paraId="42EC5D49" w14:textId="77777777" w:rsidR="008576C8" w:rsidRPr="00052E20" w:rsidRDefault="008576C8" w:rsidP="008576C8">
            <w:pPr>
              <w:spacing w:line="240" w:lineRule="auto"/>
              <w:ind w:firstLineChars="0" w:firstLine="0"/>
              <w:rPr>
                <w:rFonts w:cs="Times New Roman"/>
                <w:b/>
                <w:szCs w:val="24"/>
              </w:rPr>
            </w:pPr>
            <w:r w:rsidRPr="00052E20">
              <w:rPr>
                <w:rFonts w:cs="Times New Roman"/>
                <w:b/>
                <w:szCs w:val="24"/>
              </w:rPr>
              <w:t>Ln relative size (07)</w:t>
            </w:r>
          </w:p>
        </w:tc>
        <w:tc>
          <w:tcPr>
            <w:tcW w:w="921" w:type="dxa"/>
            <w:tcBorders>
              <w:top w:val="nil"/>
              <w:left w:val="single" w:sz="4" w:space="0" w:color="auto"/>
              <w:bottom w:val="nil"/>
              <w:right w:val="nil"/>
            </w:tcBorders>
            <w:noWrap/>
            <w:vAlign w:val="center"/>
            <w:hideMark/>
          </w:tcPr>
          <w:p w14:paraId="00C392FD"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-0.013</w:t>
            </w:r>
          </w:p>
        </w:tc>
        <w:tc>
          <w:tcPr>
            <w:tcW w:w="923" w:type="dxa"/>
            <w:tcBorders>
              <w:top w:val="nil"/>
              <w:left w:val="nil"/>
              <w:bottom w:val="nil"/>
              <w:right w:val="nil"/>
            </w:tcBorders>
            <w:noWrap/>
            <w:vAlign w:val="center"/>
            <w:hideMark/>
          </w:tcPr>
          <w:p w14:paraId="69EAA2BD"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-0.0</w:t>
            </w:r>
            <w:r>
              <w:rPr>
                <w:rFonts w:cs="Times New Roman"/>
                <w:szCs w:val="24"/>
              </w:rPr>
              <w:t>17</w:t>
            </w:r>
          </w:p>
        </w:tc>
        <w:tc>
          <w:tcPr>
            <w:tcW w:w="871" w:type="dxa"/>
            <w:tcBorders>
              <w:top w:val="nil"/>
              <w:left w:val="nil"/>
              <w:bottom w:val="nil"/>
              <w:right w:val="nil"/>
            </w:tcBorders>
            <w:noWrap/>
            <w:vAlign w:val="center"/>
            <w:hideMark/>
          </w:tcPr>
          <w:p w14:paraId="69721AA7"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.001</w:t>
            </w:r>
          </w:p>
        </w:tc>
        <w:tc>
          <w:tcPr>
            <w:tcW w:w="823" w:type="dxa"/>
            <w:tcBorders>
              <w:top w:val="nil"/>
              <w:left w:val="nil"/>
              <w:bottom w:val="nil"/>
              <w:right w:val="nil"/>
            </w:tcBorders>
            <w:noWrap/>
            <w:vAlign w:val="center"/>
            <w:hideMark/>
          </w:tcPr>
          <w:p w14:paraId="597576D9"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-0.017</w:t>
            </w:r>
          </w:p>
        </w:tc>
        <w:tc>
          <w:tcPr>
            <w:tcW w:w="923" w:type="dxa"/>
            <w:tcBorders>
              <w:top w:val="nil"/>
              <w:left w:val="nil"/>
              <w:bottom w:val="nil"/>
              <w:right w:val="nil"/>
            </w:tcBorders>
            <w:noWrap/>
            <w:vAlign w:val="center"/>
            <w:hideMark/>
          </w:tcPr>
          <w:p w14:paraId="0A5D382E"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-0.174</w:t>
            </w:r>
          </w:p>
        </w:tc>
        <w:tc>
          <w:tcPr>
            <w:tcW w:w="921" w:type="dxa"/>
            <w:tcBorders>
              <w:top w:val="nil"/>
              <w:left w:val="nil"/>
              <w:bottom w:val="nil"/>
              <w:right w:val="nil"/>
            </w:tcBorders>
            <w:noWrap/>
            <w:vAlign w:val="center"/>
            <w:hideMark/>
          </w:tcPr>
          <w:p w14:paraId="3540EBEB"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-0.090</w:t>
            </w:r>
          </w:p>
        </w:tc>
        <w:tc>
          <w:tcPr>
            <w:tcW w:w="923" w:type="dxa"/>
            <w:tcBorders>
              <w:top w:val="nil"/>
              <w:left w:val="nil"/>
              <w:bottom w:val="nil"/>
              <w:right w:val="nil"/>
            </w:tcBorders>
            <w:noWrap/>
            <w:vAlign w:val="center"/>
            <w:hideMark/>
          </w:tcPr>
          <w:p w14:paraId="16A75A7C"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21" w:type="dxa"/>
            <w:tcBorders>
              <w:top w:val="nil"/>
              <w:left w:val="nil"/>
              <w:bottom w:val="nil"/>
              <w:right w:val="nil"/>
            </w:tcBorders>
            <w:noWrap/>
            <w:vAlign w:val="center"/>
            <w:hideMark/>
          </w:tcPr>
          <w:p w14:paraId="2D46FECC" w14:textId="77777777" w:rsidR="008576C8" w:rsidRPr="00052E20" w:rsidRDefault="008576C8" w:rsidP="008576C8">
            <w:pPr>
              <w:spacing w:line="240" w:lineRule="auto"/>
              <w:ind w:firstLineChars="0" w:firstLine="0"/>
              <w:jc w:val="left"/>
              <w:rPr>
                <w:rFonts w:cs="Times New Roman"/>
                <w:szCs w:val="24"/>
              </w:rPr>
            </w:pPr>
          </w:p>
        </w:tc>
        <w:tc>
          <w:tcPr>
            <w:tcW w:w="916" w:type="dxa"/>
            <w:tcBorders>
              <w:top w:val="nil"/>
              <w:left w:val="nil"/>
              <w:bottom w:val="nil"/>
              <w:right w:val="nil"/>
            </w:tcBorders>
            <w:vAlign w:val="center"/>
          </w:tcPr>
          <w:p w14:paraId="17A990FC" w14:textId="77777777" w:rsidR="008576C8" w:rsidRPr="00052E20" w:rsidRDefault="008576C8" w:rsidP="008576C8">
            <w:pPr>
              <w:spacing w:line="240" w:lineRule="auto"/>
              <w:ind w:firstLineChars="0" w:firstLine="0"/>
              <w:jc w:val="left"/>
              <w:rPr>
                <w:rFonts w:cs="Times New Roman"/>
                <w:szCs w:val="24"/>
              </w:rPr>
            </w:pPr>
          </w:p>
        </w:tc>
        <w:tc>
          <w:tcPr>
            <w:tcW w:w="916" w:type="dxa"/>
            <w:tcBorders>
              <w:top w:val="nil"/>
              <w:left w:val="nil"/>
              <w:bottom w:val="nil"/>
              <w:right w:val="nil"/>
            </w:tcBorders>
            <w:noWrap/>
            <w:vAlign w:val="center"/>
            <w:hideMark/>
          </w:tcPr>
          <w:p w14:paraId="5F2BC1DA"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right w:val="nil"/>
            </w:tcBorders>
            <w:noWrap/>
            <w:vAlign w:val="center"/>
            <w:hideMark/>
          </w:tcPr>
          <w:p w14:paraId="2CB8ABC7"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nil"/>
              <w:left w:val="nil"/>
              <w:bottom w:val="nil"/>
              <w:right w:val="nil"/>
            </w:tcBorders>
            <w:noWrap/>
            <w:vAlign w:val="center"/>
            <w:hideMark/>
          </w:tcPr>
          <w:p w14:paraId="43A2B421"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tcBorders>
            <w:noWrap/>
            <w:vAlign w:val="center"/>
            <w:hideMark/>
          </w:tcPr>
          <w:p w14:paraId="53E530BA"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69940BB9" w14:textId="77777777" w:rsidTr="008576C8">
        <w:trPr>
          <w:trHeight w:val="405"/>
          <w:jc w:val="center"/>
        </w:trPr>
        <w:tc>
          <w:tcPr>
            <w:tcW w:w="3401" w:type="dxa"/>
            <w:tcBorders>
              <w:top w:val="nil"/>
              <w:bottom w:val="nil"/>
              <w:right w:val="single" w:sz="4" w:space="0" w:color="auto"/>
            </w:tcBorders>
            <w:noWrap/>
            <w:vAlign w:val="center"/>
            <w:hideMark/>
          </w:tcPr>
          <w:p w14:paraId="678F9503" w14:textId="77777777" w:rsidR="008576C8" w:rsidRPr="00052E20" w:rsidRDefault="008576C8" w:rsidP="008576C8">
            <w:pPr>
              <w:spacing w:line="240" w:lineRule="auto"/>
              <w:ind w:firstLineChars="0" w:firstLine="0"/>
              <w:rPr>
                <w:rFonts w:cs="Times New Roman"/>
                <w:b/>
                <w:szCs w:val="24"/>
              </w:rPr>
            </w:pPr>
            <w:r w:rsidRPr="00052E20">
              <w:rPr>
                <w:rFonts w:cs="Times New Roman"/>
                <w:b/>
                <w:szCs w:val="24"/>
              </w:rPr>
              <w:t>Unrelated acquisition dummy (08)</w:t>
            </w:r>
          </w:p>
        </w:tc>
        <w:tc>
          <w:tcPr>
            <w:tcW w:w="921" w:type="dxa"/>
            <w:tcBorders>
              <w:top w:val="nil"/>
              <w:left w:val="single" w:sz="4" w:space="0" w:color="auto"/>
              <w:bottom w:val="nil"/>
              <w:right w:val="nil"/>
            </w:tcBorders>
            <w:noWrap/>
            <w:vAlign w:val="center"/>
            <w:hideMark/>
          </w:tcPr>
          <w:p w14:paraId="0A548D2D"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0.044</w:t>
            </w:r>
          </w:p>
        </w:tc>
        <w:tc>
          <w:tcPr>
            <w:tcW w:w="923" w:type="dxa"/>
            <w:tcBorders>
              <w:top w:val="nil"/>
              <w:left w:val="nil"/>
              <w:bottom w:val="nil"/>
              <w:right w:val="nil"/>
            </w:tcBorders>
            <w:noWrap/>
            <w:vAlign w:val="center"/>
            <w:hideMark/>
          </w:tcPr>
          <w:p w14:paraId="68B8BF34"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-0.0</w:t>
            </w:r>
            <w:r>
              <w:rPr>
                <w:rFonts w:cs="Times New Roman"/>
                <w:szCs w:val="24"/>
              </w:rPr>
              <w:t>37</w:t>
            </w:r>
          </w:p>
        </w:tc>
        <w:tc>
          <w:tcPr>
            <w:tcW w:w="871" w:type="dxa"/>
            <w:tcBorders>
              <w:top w:val="nil"/>
              <w:left w:val="nil"/>
              <w:bottom w:val="nil"/>
              <w:right w:val="nil"/>
            </w:tcBorders>
            <w:noWrap/>
            <w:vAlign w:val="center"/>
            <w:hideMark/>
          </w:tcPr>
          <w:p w14:paraId="128C0F27"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0.019</w:t>
            </w:r>
          </w:p>
        </w:tc>
        <w:tc>
          <w:tcPr>
            <w:tcW w:w="823" w:type="dxa"/>
            <w:tcBorders>
              <w:top w:val="nil"/>
              <w:left w:val="nil"/>
              <w:bottom w:val="nil"/>
              <w:right w:val="nil"/>
            </w:tcBorders>
            <w:noWrap/>
            <w:vAlign w:val="center"/>
            <w:hideMark/>
          </w:tcPr>
          <w:p w14:paraId="222DF5CE"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0.026</w:t>
            </w:r>
          </w:p>
        </w:tc>
        <w:tc>
          <w:tcPr>
            <w:tcW w:w="923" w:type="dxa"/>
            <w:tcBorders>
              <w:top w:val="nil"/>
              <w:left w:val="nil"/>
              <w:bottom w:val="nil"/>
              <w:right w:val="nil"/>
            </w:tcBorders>
            <w:noWrap/>
            <w:vAlign w:val="center"/>
            <w:hideMark/>
          </w:tcPr>
          <w:p w14:paraId="583BA0DF"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0.027</w:t>
            </w:r>
          </w:p>
        </w:tc>
        <w:tc>
          <w:tcPr>
            <w:tcW w:w="921" w:type="dxa"/>
            <w:tcBorders>
              <w:top w:val="nil"/>
              <w:left w:val="nil"/>
              <w:bottom w:val="nil"/>
              <w:right w:val="nil"/>
            </w:tcBorders>
            <w:noWrap/>
            <w:vAlign w:val="center"/>
            <w:hideMark/>
          </w:tcPr>
          <w:p w14:paraId="02977E55"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0.054</w:t>
            </w:r>
          </w:p>
        </w:tc>
        <w:tc>
          <w:tcPr>
            <w:tcW w:w="923" w:type="dxa"/>
            <w:tcBorders>
              <w:top w:val="nil"/>
              <w:left w:val="nil"/>
              <w:bottom w:val="nil"/>
              <w:right w:val="nil"/>
            </w:tcBorders>
            <w:noWrap/>
            <w:vAlign w:val="center"/>
            <w:hideMark/>
          </w:tcPr>
          <w:p w14:paraId="08D624E6"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0.080</w:t>
            </w:r>
          </w:p>
        </w:tc>
        <w:tc>
          <w:tcPr>
            <w:tcW w:w="921" w:type="dxa"/>
            <w:tcBorders>
              <w:top w:val="nil"/>
              <w:left w:val="nil"/>
              <w:bottom w:val="nil"/>
              <w:right w:val="nil"/>
            </w:tcBorders>
            <w:noWrap/>
            <w:vAlign w:val="center"/>
            <w:hideMark/>
          </w:tcPr>
          <w:p w14:paraId="1A5250DE"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16" w:type="dxa"/>
            <w:tcBorders>
              <w:top w:val="nil"/>
              <w:left w:val="nil"/>
              <w:bottom w:val="nil"/>
              <w:right w:val="nil"/>
            </w:tcBorders>
            <w:vAlign w:val="center"/>
          </w:tcPr>
          <w:p w14:paraId="62F51FCA" w14:textId="77777777" w:rsidR="008576C8" w:rsidRPr="00052E20" w:rsidRDefault="008576C8" w:rsidP="008576C8">
            <w:pPr>
              <w:spacing w:line="240" w:lineRule="auto"/>
              <w:ind w:firstLineChars="0" w:firstLine="0"/>
              <w:jc w:val="left"/>
              <w:rPr>
                <w:rFonts w:cs="Times New Roman"/>
                <w:szCs w:val="24"/>
              </w:rPr>
            </w:pPr>
          </w:p>
        </w:tc>
        <w:tc>
          <w:tcPr>
            <w:tcW w:w="916" w:type="dxa"/>
            <w:tcBorders>
              <w:top w:val="nil"/>
              <w:left w:val="nil"/>
              <w:bottom w:val="nil"/>
              <w:right w:val="nil"/>
            </w:tcBorders>
            <w:noWrap/>
            <w:vAlign w:val="center"/>
            <w:hideMark/>
          </w:tcPr>
          <w:p w14:paraId="70D18074"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right w:val="nil"/>
            </w:tcBorders>
            <w:noWrap/>
            <w:vAlign w:val="center"/>
            <w:hideMark/>
          </w:tcPr>
          <w:p w14:paraId="3039D23C"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nil"/>
              <w:left w:val="nil"/>
              <w:bottom w:val="nil"/>
              <w:right w:val="nil"/>
            </w:tcBorders>
            <w:noWrap/>
            <w:vAlign w:val="center"/>
            <w:hideMark/>
          </w:tcPr>
          <w:p w14:paraId="35431772"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tcBorders>
            <w:noWrap/>
            <w:vAlign w:val="center"/>
            <w:hideMark/>
          </w:tcPr>
          <w:p w14:paraId="69E74D79"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5FFE3EB9" w14:textId="77777777" w:rsidTr="008576C8">
        <w:trPr>
          <w:trHeight w:val="405"/>
          <w:jc w:val="center"/>
        </w:trPr>
        <w:tc>
          <w:tcPr>
            <w:tcW w:w="3401" w:type="dxa"/>
            <w:tcBorders>
              <w:top w:val="nil"/>
              <w:bottom w:val="nil"/>
              <w:right w:val="single" w:sz="4" w:space="0" w:color="auto"/>
            </w:tcBorders>
            <w:noWrap/>
            <w:vAlign w:val="center"/>
          </w:tcPr>
          <w:p w14:paraId="6F92A034" w14:textId="77777777" w:rsidR="008576C8" w:rsidRPr="00052E20" w:rsidRDefault="008576C8" w:rsidP="008576C8">
            <w:pPr>
              <w:spacing w:line="240" w:lineRule="auto"/>
              <w:ind w:firstLineChars="0" w:firstLine="0"/>
              <w:rPr>
                <w:rFonts w:cs="Times New Roman"/>
                <w:b/>
                <w:szCs w:val="24"/>
              </w:rPr>
            </w:pPr>
            <w:r>
              <w:rPr>
                <w:rFonts w:cs="Times New Roman"/>
                <w:b/>
                <w:szCs w:val="24"/>
              </w:rPr>
              <w:t>Multiple bid dummy (09)</w:t>
            </w:r>
          </w:p>
        </w:tc>
        <w:tc>
          <w:tcPr>
            <w:tcW w:w="921" w:type="dxa"/>
            <w:tcBorders>
              <w:top w:val="nil"/>
              <w:left w:val="single" w:sz="4" w:space="0" w:color="auto"/>
              <w:bottom w:val="nil"/>
              <w:right w:val="nil"/>
            </w:tcBorders>
            <w:noWrap/>
            <w:vAlign w:val="center"/>
          </w:tcPr>
          <w:p w14:paraId="6718EF96" w14:textId="77777777" w:rsidR="008576C8" w:rsidRDefault="008576C8" w:rsidP="008576C8">
            <w:pPr>
              <w:spacing w:line="240" w:lineRule="auto"/>
              <w:ind w:firstLineChars="0" w:firstLine="0"/>
              <w:jc w:val="left"/>
              <w:rPr>
                <w:rFonts w:cs="Times New Roman"/>
                <w:szCs w:val="24"/>
              </w:rPr>
            </w:pPr>
            <w:r>
              <w:rPr>
                <w:rFonts w:cs="Times New Roman"/>
                <w:szCs w:val="24"/>
              </w:rPr>
              <w:t>-0.115</w:t>
            </w:r>
          </w:p>
        </w:tc>
        <w:tc>
          <w:tcPr>
            <w:tcW w:w="923" w:type="dxa"/>
            <w:tcBorders>
              <w:top w:val="nil"/>
              <w:left w:val="nil"/>
              <w:bottom w:val="nil"/>
              <w:right w:val="nil"/>
            </w:tcBorders>
            <w:noWrap/>
            <w:vAlign w:val="center"/>
          </w:tcPr>
          <w:p w14:paraId="42AC41B5"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0.037</w:t>
            </w:r>
          </w:p>
        </w:tc>
        <w:tc>
          <w:tcPr>
            <w:tcW w:w="871" w:type="dxa"/>
            <w:tcBorders>
              <w:top w:val="nil"/>
              <w:left w:val="nil"/>
              <w:bottom w:val="nil"/>
              <w:right w:val="nil"/>
            </w:tcBorders>
            <w:noWrap/>
            <w:vAlign w:val="center"/>
          </w:tcPr>
          <w:p w14:paraId="65618C07"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-0.026</w:t>
            </w:r>
          </w:p>
        </w:tc>
        <w:tc>
          <w:tcPr>
            <w:tcW w:w="823" w:type="dxa"/>
            <w:tcBorders>
              <w:top w:val="nil"/>
              <w:left w:val="nil"/>
              <w:bottom w:val="nil"/>
              <w:right w:val="nil"/>
            </w:tcBorders>
            <w:noWrap/>
            <w:vAlign w:val="center"/>
          </w:tcPr>
          <w:p w14:paraId="6A45C920"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-0.020</w:t>
            </w:r>
          </w:p>
        </w:tc>
        <w:tc>
          <w:tcPr>
            <w:tcW w:w="923" w:type="dxa"/>
            <w:tcBorders>
              <w:top w:val="nil"/>
              <w:left w:val="nil"/>
              <w:bottom w:val="nil"/>
              <w:right w:val="nil"/>
            </w:tcBorders>
            <w:noWrap/>
            <w:vAlign w:val="center"/>
          </w:tcPr>
          <w:p w14:paraId="1241AFA3"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0.103</w:t>
            </w:r>
          </w:p>
        </w:tc>
        <w:tc>
          <w:tcPr>
            <w:tcW w:w="921" w:type="dxa"/>
            <w:tcBorders>
              <w:top w:val="nil"/>
              <w:left w:val="nil"/>
              <w:bottom w:val="nil"/>
              <w:right w:val="nil"/>
            </w:tcBorders>
            <w:noWrap/>
            <w:vAlign w:val="center"/>
          </w:tcPr>
          <w:p w14:paraId="7CFBBFFA"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-0.035</w:t>
            </w:r>
          </w:p>
        </w:tc>
        <w:tc>
          <w:tcPr>
            <w:tcW w:w="923" w:type="dxa"/>
            <w:tcBorders>
              <w:top w:val="nil"/>
              <w:left w:val="nil"/>
              <w:bottom w:val="nil"/>
              <w:right w:val="nil"/>
            </w:tcBorders>
            <w:noWrap/>
            <w:vAlign w:val="center"/>
          </w:tcPr>
          <w:p w14:paraId="6100C9C3"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-0.071</w:t>
            </w:r>
          </w:p>
        </w:tc>
        <w:tc>
          <w:tcPr>
            <w:tcW w:w="921" w:type="dxa"/>
            <w:tcBorders>
              <w:top w:val="nil"/>
              <w:left w:val="nil"/>
              <w:bottom w:val="nil"/>
              <w:right w:val="nil"/>
            </w:tcBorders>
            <w:noWrap/>
            <w:vAlign w:val="center"/>
          </w:tcPr>
          <w:p w14:paraId="76492610"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-0.114</w:t>
            </w:r>
          </w:p>
        </w:tc>
        <w:tc>
          <w:tcPr>
            <w:tcW w:w="916" w:type="dxa"/>
            <w:tcBorders>
              <w:top w:val="nil"/>
              <w:left w:val="nil"/>
              <w:bottom w:val="nil"/>
              <w:right w:val="nil"/>
            </w:tcBorders>
            <w:vAlign w:val="center"/>
          </w:tcPr>
          <w:p w14:paraId="6F46270D"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1.000</w:t>
            </w:r>
          </w:p>
        </w:tc>
        <w:tc>
          <w:tcPr>
            <w:tcW w:w="916" w:type="dxa"/>
            <w:tcBorders>
              <w:top w:val="nil"/>
              <w:left w:val="nil"/>
              <w:bottom w:val="nil"/>
              <w:right w:val="nil"/>
            </w:tcBorders>
            <w:noWrap/>
            <w:vAlign w:val="center"/>
          </w:tcPr>
          <w:p w14:paraId="715505A5"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right w:val="nil"/>
            </w:tcBorders>
            <w:noWrap/>
            <w:vAlign w:val="center"/>
          </w:tcPr>
          <w:p w14:paraId="65C688BE"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nil"/>
              <w:left w:val="nil"/>
              <w:bottom w:val="nil"/>
              <w:right w:val="nil"/>
            </w:tcBorders>
            <w:noWrap/>
            <w:vAlign w:val="center"/>
          </w:tcPr>
          <w:p w14:paraId="0C78E054"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tcBorders>
            <w:noWrap/>
            <w:vAlign w:val="center"/>
          </w:tcPr>
          <w:p w14:paraId="1442C14C"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579D4E0D" w14:textId="77777777" w:rsidTr="008576C8">
        <w:trPr>
          <w:trHeight w:val="405"/>
          <w:jc w:val="center"/>
        </w:trPr>
        <w:tc>
          <w:tcPr>
            <w:tcW w:w="3401" w:type="dxa"/>
            <w:tcBorders>
              <w:top w:val="nil"/>
              <w:bottom w:val="nil"/>
              <w:right w:val="single" w:sz="4" w:space="0" w:color="auto"/>
            </w:tcBorders>
            <w:noWrap/>
            <w:vAlign w:val="center"/>
            <w:hideMark/>
          </w:tcPr>
          <w:p w14:paraId="37B92F4D" w14:textId="77777777" w:rsidR="008576C8" w:rsidRPr="00052E20" w:rsidRDefault="008576C8" w:rsidP="008576C8">
            <w:pPr>
              <w:spacing w:line="240" w:lineRule="auto"/>
              <w:ind w:firstLineChars="0" w:firstLine="0"/>
              <w:rPr>
                <w:rFonts w:cs="Times New Roman"/>
                <w:b/>
                <w:szCs w:val="24"/>
              </w:rPr>
            </w:pPr>
            <w:r>
              <w:rPr>
                <w:rFonts w:cs="Times New Roman"/>
                <w:b/>
                <w:szCs w:val="24"/>
              </w:rPr>
              <w:t>Ln market value (10</w:t>
            </w:r>
            <w:r w:rsidRPr="00052E20">
              <w:rPr>
                <w:rFonts w:cs="Times New Roman"/>
                <w:b/>
                <w:szCs w:val="24"/>
              </w:rPr>
              <w:t>)</w:t>
            </w:r>
          </w:p>
        </w:tc>
        <w:tc>
          <w:tcPr>
            <w:tcW w:w="921" w:type="dxa"/>
            <w:tcBorders>
              <w:top w:val="nil"/>
              <w:left w:val="single" w:sz="4" w:space="0" w:color="auto"/>
              <w:bottom w:val="nil"/>
              <w:right w:val="nil"/>
            </w:tcBorders>
            <w:noWrap/>
            <w:vAlign w:val="center"/>
            <w:hideMark/>
          </w:tcPr>
          <w:p w14:paraId="56586C9F"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0.003</w:t>
            </w:r>
          </w:p>
        </w:tc>
        <w:tc>
          <w:tcPr>
            <w:tcW w:w="923" w:type="dxa"/>
            <w:tcBorders>
              <w:top w:val="nil"/>
              <w:left w:val="nil"/>
              <w:bottom w:val="nil"/>
              <w:right w:val="nil"/>
            </w:tcBorders>
            <w:noWrap/>
            <w:vAlign w:val="center"/>
            <w:hideMark/>
          </w:tcPr>
          <w:p w14:paraId="194BECD3"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043</w:t>
            </w:r>
          </w:p>
        </w:tc>
        <w:tc>
          <w:tcPr>
            <w:tcW w:w="871" w:type="dxa"/>
            <w:tcBorders>
              <w:top w:val="nil"/>
              <w:left w:val="nil"/>
              <w:bottom w:val="nil"/>
              <w:right w:val="nil"/>
            </w:tcBorders>
            <w:noWrap/>
            <w:vAlign w:val="center"/>
            <w:hideMark/>
          </w:tcPr>
          <w:p w14:paraId="10C9250F"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.030</w:t>
            </w:r>
          </w:p>
        </w:tc>
        <w:tc>
          <w:tcPr>
            <w:tcW w:w="823" w:type="dxa"/>
            <w:tcBorders>
              <w:top w:val="nil"/>
              <w:left w:val="nil"/>
              <w:bottom w:val="nil"/>
              <w:right w:val="nil"/>
            </w:tcBorders>
            <w:noWrap/>
            <w:vAlign w:val="center"/>
            <w:hideMark/>
          </w:tcPr>
          <w:p w14:paraId="0F9F7217"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0.046</w:t>
            </w:r>
          </w:p>
        </w:tc>
        <w:tc>
          <w:tcPr>
            <w:tcW w:w="923" w:type="dxa"/>
            <w:tcBorders>
              <w:top w:val="nil"/>
              <w:left w:val="nil"/>
              <w:bottom w:val="nil"/>
              <w:right w:val="nil"/>
            </w:tcBorders>
            <w:noWrap/>
            <w:vAlign w:val="center"/>
            <w:hideMark/>
          </w:tcPr>
          <w:p w14:paraId="72E89453"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.151</w:t>
            </w:r>
          </w:p>
        </w:tc>
        <w:tc>
          <w:tcPr>
            <w:tcW w:w="921" w:type="dxa"/>
            <w:tcBorders>
              <w:top w:val="nil"/>
              <w:left w:val="nil"/>
              <w:bottom w:val="nil"/>
              <w:right w:val="nil"/>
            </w:tcBorders>
            <w:noWrap/>
            <w:vAlign w:val="center"/>
            <w:hideMark/>
          </w:tcPr>
          <w:p w14:paraId="5F8F284A"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0.111</w:t>
            </w:r>
          </w:p>
        </w:tc>
        <w:tc>
          <w:tcPr>
            <w:tcW w:w="923" w:type="dxa"/>
            <w:tcBorders>
              <w:top w:val="nil"/>
              <w:left w:val="nil"/>
              <w:bottom w:val="nil"/>
              <w:right w:val="nil"/>
            </w:tcBorders>
            <w:noWrap/>
            <w:vAlign w:val="center"/>
            <w:hideMark/>
          </w:tcPr>
          <w:p w14:paraId="12098DB4"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-0.307</w:t>
            </w:r>
          </w:p>
        </w:tc>
        <w:tc>
          <w:tcPr>
            <w:tcW w:w="921" w:type="dxa"/>
            <w:tcBorders>
              <w:top w:val="nil"/>
              <w:left w:val="nil"/>
              <w:bottom w:val="nil"/>
              <w:right w:val="nil"/>
            </w:tcBorders>
            <w:noWrap/>
            <w:vAlign w:val="center"/>
            <w:hideMark/>
          </w:tcPr>
          <w:p w14:paraId="138DFEAC"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-0.127</w:t>
            </w:r>
          </w:p>
        </w:tc>
        <w:tc>
          <w:tcPr>
            <w:tcW w:w="916" w:type="dxa"/>
            <w:tcBorders>
              <w:top w:val="nil"/>
              <w:left w:val="nil"/>
              <w:bottom w:val="nil"/>
              <w:right w:val="nil"/>
            </w:tcBorders>
            <w:vAlign w:val="center"/>
          </w:tcPr>
          <w:p w14:paraId="496FBC83"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0.046</w:t>
            </w:r>
          </w:p>
        </w:tc>
        <w:tc>
          <w:tcPr>
            <w:tcW w:w="916" w:type="dxa"/>
            <w:tcBorders>
              <w:top w:val="nil"/>
              <w:left w:val="nil"/>
              <w:bottom w:val="nil"/>
              <w:right w:val="nil"/>
            </w:tcBorders>
            <w:noWrap/>
            <w:vAlign w:val="center"/>
            <w:hideMark/>
          </w:tcPr>
          <w:p w14:paraId="5E9FD7FD"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21" w:type="dxa"/>
            <w:tcBorders>
              <w:top w:val="nil"/>
              <w:left w:val="nil"/>
              <w:bottom w:val="nil"/>
              <w:right w:val="nil"/>
            </w:tcBorders>
            <w:noWrap/>
            <w:vAlign w:val="center"/>
            <w:hideMark/>
          </w:tcPr>
          <w:p w14:paraId="352DDC0E" w14:textId="77777777" w:rsidR="008576C8" w:rsidRPr="00052E20" w:rsidRDefault="008576C8" w:rsidP="008576C8">
            <w:pPr>
              <w:spacing w:line="240" w:lineRule="auto"/>
              <w:ind w:firstLineChars="0" w:firstLine="0"/>
              <w:jc w:val="left"/>
              <w:rPr>
                <w:rFonts w:cs="Times New Roman"/>
                <w:szCs w:val="24"/>
              </w:rPr>
            </w:pPr>
          </w:p>
        </w:tc>
        <w:tc>
          <w:tcPr>
            <w:tcW w:w="923" w:type="dxa"/>
            <w:tcBorders>
              <w:top w:val="nil"/>
              <w:left w:val="nil"/>
              <w:bottom w:val="nil"/>
              <w:right w:val="nil"/>
            </w:tcBorders>
            <w:noWrap/>
            <w:vAlign w:val="center"/>
            <w:hideMark/>
          </w:tcPr>
          <w:p w14:paraId="3B5FC214"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tcBorders>
            <w:noWrap/>
            <w:vAlign w:val="center"/>
            <w:hideMark/>
          </w:tcPr>
          <w:p w14:paraId="63A54D8F"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1D5DCDC5" w14:textId="77777777" w:rsidTr="008576C8">
        <w:trPr>
          <w:trHeight w:val="405"/>
          <w:jc w:val="center"/>
        </w:trPr>
        <w:tc>
          <w:tcPr>
            <w:tcW w:w="3401" w:type="dxa"/>
            <w:tcBorders>
              <w:top w:val="nil"/>
              <w:bottom w:val="nil"/>
              <w:right w:val="single" w:sz="4" w:space="0" w:color="auto"/>
            </w:tcBorders>
            <w:noWrap/>
            <w:vAlign w:val="center"/>
            <w:hideMark/>
          </w:tcPr>
          <w:p w14:paraId="48C8202A" w14:textId="77777777" w:rsidR="008576C8" w:rsidRPr="00052E20" w:rsidRDefault="008576C8" w:rsidP="008576C8">
            <w:pPr>
              <w:spacing w:line="240" w:lineRule="auto"/>
              <w:ind w:firstLineChars="0" w:firstLine="0"/>
              <w:rPr>
                <w:rFonts w:cs="Times New Roman"/>
                <w:b/>
                <w:szCs w:val="24"/>
              </w:rPr>
            </w:pPr>
            <w:r>
              <w:rPr>
                <w:rFonts w:cs="Times New Roman"/>
                <w:b/>
                <w:szCs w:val="24"/>
              </w:rPr>
              <w:t>Free cash flow (11</w:t>
            </w:r>
            <w:r w:rsidRPr="00052E20">
              <w:rPr>
                <w:rFonts w:cs="Times New Roman"/>
                <w:b/>
                <w:szCs w:val="24"/>
              </w:rPr>
              <w:t>)</w:t>
            </w:r>
          </w:p>
        </w:tc>
        <w:tc>
          <w:tcPr>
            <w:tcW w:w="921" w:type="dxa"/>
            <w:tcBorders>
              <w:top w:val="nil"/>
              <w:left w:val="single" w:sz="4" w:space="0" w:color="auto"/>
              <w:bottom w:val="nil"/>
              <w:right w:val="nil"/>
            </w:tcBorders>
            <w:noWrap/>
            <w:vAlign w:val="center"/>
            <w:hideMark/>
          </w:tcPr>
          <w:p w14:paraId="4086C420"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-0.004</w:t>
            </w:r>
          </w:p>
        </w:tc>
        <w:tc>
          <w:tcPr>
            <w:tcW w:w="923" w:type="dxa"/>
            <w:tcBorders>
              <w:top w:val="nil"/>
              <w:left w:val="nil"/>
              <w:bottom w:val="nil"/>
              <w:right w:val="nil"/>
            </w:tcBorders>
            <w:noWrap/>
            <w:vAlign w:val="center"/>
            <w:hideMark/>
          </w:tcPr>
          <w:p w14:paraId="0D1EC370"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057</w:t>
            </w:r>
          </w:p>
        </w:tc>
        <w:tc>
          <w:tcPr>
            <w:tcW w:w="871" w:type="dxa"/>
            <w:tcBorders>
              <w:top w:val="nil"/>
              <w:left w:val="nil"/>
              <w:bottom w:val="nil"/>
              <w:right w:val="nil"/>
            </w:tcBorders>
            <w:noWrap/>
            <w:vAlign w:val="center"/>
            <w:hideMark/>
          </w:tcPr>
          <w:p w14:paraId="703C61EC"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.064</w:t>
            </w:r>
          </w:p>
        </w:tc>
        <w:tc>
          <w:tcPr>
            <w:tcW w:w="823" w:type="dxa"/>
            <w:tcBorders>
              <w:top w:val="nil"/>
              <w:left w:val="nil"/>
              <w:bottom w:val="nil"/>
              <w:right w:val="nil"/>
            </w:tcBorders>
            <w:noWrap/>
            <w:vAlign w:val="center"/>
            <w:hideMark/>
          </w:tcPr>
          <w:p w14:paraId="57858A74"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0.060</w:t>
            </w:r>
          </w:p>
        </w:tc>
        <w:tc>
          <w:tcPr>
            <w:tcW w:w="923" w:type="dxa"/>
            <w:tcBorders>
              <w:top w:val="nil"/>
              <w:left w:val="nil"/>
              <w:bottom w:val="nil"/>
              <w:right w:val="nil"/>
            </w:tcBorders>
            <w:noWrap/>
            <w:vAlign w:val="center"/>
            <w:hideMark/>
          </w:tcPr>
          <w:p w14:paraId="391D5763"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0.112</w:t>
            </w:r>
          </w:p>
        </w:tc>
        <w:tc>
          <w:tcPr>
            <w:tcW w:w="921" w:type="dxa"/>
            <w:tcBorders>
              <w:top w:val="nil"/>
              <w:left w:val="nil"/>
              <w:bottom w:val="nil"/>
              <w:right w:val="nil"/>
            </w:tcBorders>
            <w:noWrap/>
            <w:vAlign w:val="center"/>
            <w:hideMark/>
          </w:tcPr>
          <w:p w14:paraId="35AE433D"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-0.052</w:t>
            </w:r>
          </w:p>
        </w:tc>
        <w:tc>
          <w:tcPr>
            <w:tcW w:w="923" w:type="dxa"/>
            <w:tcBorders>
              <w:top w:val="nil"/>
              <w:left w:val="nil"/>
              <w:bottom w:val="nil"/>
              <w:right w:val="nil"/>
            </w:tcBorders>
            <w:noWrap/>
            <w:vAlign w:val="center"/>
            <w:hideMark/>
          </w:tcPr>
          <w:p w14:paraId="79563F91"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-0.012</w:t>
            </w:r>
          </w:p>
        </w:tc>
        <w:tc>
          <w:tcPr>
            <w:tcW w:w="921" w:type="dxa"/>
            <w:tcBorders>
              <w:top w:val="nil"/>
              <w:left w:val="nil"/>
              <w:bottom w:val="nil"/>
              <w:right w:val="nil"/>
            </w:tcBorders>
            <w:noWrap/>
            <w:vAlign w:val="center"/>
            <w:hideMark/>
          </w:tcPr>
          <w:p w14:paraId="7CD197A8"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-0.060</w:t>
            </w:r>
          </w:p>
        </w:tc>
        <w:tc>
          <w:tcPr>
            <w:tcW w:w="916" w:type="dxa"/>
            <w:tcBorders>
              <w:top w:val="nil"/>
              <w:left w:val="nil"/>
              <w:bottom w:val="nil"/>
              <w:right w:val="nil"/>
            </w:tcBorders>
            <w:vAlign w:val="center"/>
          </w:tcPr>
          <w:p w14:paraId="0FB3FD26"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0.040</w:t>
            </w:r>
          </w:p>
        </w:tc>
        <w:tc>
          <w:tcPr>
            <w:tcW w:w="916" w:type="dxa"/>
            <w:tcBorders>
              <w:top w:val="nil"/>
              <w:left w:val="nil"/>
              <w:bottom w:val="nil"/>
              <w:right w:val="nil"/>
            </w:tcBorders>
            <w:noWrap/>
            <w:vAlign w:val="center"/>
            <w:hideMark/>
          </w:tcPr>
          <w:p w14:paraId="07034AB0"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248</w:t>
            </w:r>
          </w:p>
        </w:tc>
        <w:tc>
          <w:tcPr>
            <w:tcW w:w="921" w:type="dxa"/>
            <w:tcBorders>
              <w:top w:val="nil"/>
              <w:left w:val="nil"/>
              <w:bottom w:val="nil"/>
              <w:right w:val="nil"/>
            </w:tcBorders>
            <w:noWrap/>
            <w:vAlign w:val="center"/>
            <w:hideMark/>
          </w:tcPr>
          <w:p w14:paraId="2454F80A"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23" w:type="dxa"/>
            <w:tcBorders>
              <w:top w:val="nil"/>
              <w:left w:val="nil"/>
              <w:bottom w:val="nil"/>
              <w:right w:val="nil"/>
            </w:tcBorders>
            <w:noWrap/>
            <w:vAlign w:val="center"/>
            <w:hideMark/>
          </w:tcPr>
          <w:p w14:paraId="6ABC50A7" w14:textId="77777777" w:rsidR="008576C8" w:rsidRPr="00052E20" w:rsidRDefault="008576C8" w:rsidP="008576C8">
            <w:pPr>
              <w:spacing w:line="240" w:lineRule="auto"/>
              <w:ind w:firstLineChars="0" w:firstLine="0"/>
              <w:jc w:val="left"/>
              <w:rPr>
                <w:rFonts w:cs="Times New Roman"/>
                <w:szCs w:val="24"/>
              </w:rPr>
            </w:pPr>
          </w:p>
        </w:tc>
        <w:tc>
          <w:tcPr>
            <w:tcW w:w="921" w:type="dxa"/>
            <w:tcBorders>
              <w:top w:val="nil"/>
              <w:left w:val="nil"/>
              <w:bottom w:val="nil"/>
            </w:tcBorders>
            <w:noWrap/>
            <w:vAlign w:val="center"/>
            <w:hideMark/>
          </w:tcPr>
          <w:p w14:paraId="556EF946"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634FE72C" w14:textId="77777777" w:rsidTr="008576C8">
        <w:trPr>
          <w:trHeight w:val="405"/>
          <w:jc w:val="center"/>
        </w:trPr>
        <w:tc>
          <w:tcPr>
            <w:tcW w:w="3401" w:type="dxa"/>
            <w:tcBorders>
              <w:top w:val="nil"/>
              <w:bottom w:val="nil"/>
              <w:right w:val="single" w:sz="4" w:space="0" w:color="auto"/>
            </w:tcBorders>
            <w:noWrap/>
            <w:vAlign w:val="center"/>
            <w:hideMark/>
          </w:tcPr>
          <w:p w14:paraId="32ABC227" w14:textId="77777777" w:rsidR="008576C8" w:rsidRPr="00052E20" w:rsidRDefault="008576C8" w:rsidP="008576C8">
            <w:pPr>
              <w:spacing w:line="240" w:lineRule="auto"/>
              <w:ind w:firstLineChars="0" w:firstLine="0"/>
              <w:rPr>
                <w:rFonts w:cs="Times New Roman"/>
                <w:b/>
                <w:szCs w:val="24"/>
              </w:rPr>
            </w:pPr>
            <w:r>
              <w:rPr>
                <w:rFonts w:cs="Times New Roman"/>
                <w:b/>
                <w:szCs w:val="24"/>
              </w:rPr>
              <w:t>Leverage (12</w:t>
            </w:r>
            <w:r w:rsidRPr="00052E20">
              <w:rPr>
                <w:rFonts w:cs="Times New Roman"/>
                <w:b/>
                <w:szCs w:val="24"/>
              </w:rPr>
              <w:t>)</w:t>
            </w:r>
          </w:p>
        </w:tc>
        <w:tc>
          <w:tcPr>
            <w:tcW w:w="921" w:type="dxa"/>
            <w:tcBorders>
              <w:top w:val="nil"/>
              <w:left w:val="single" w:sz="4" w:space="0" w:color="auto"/>
              <w:bottom w:val="nil"/>
              <w:right w:val="nil"/>
            </w:tcBorders>
            <w:noWrap/>
            <w:vAlign w:val="center"/>
            <w:hideMark/>
          </w:tcPr>
          <w:p w14:paraId="024425DE"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-0.057</w:t>
            </w:r>
          </w:p>
        </w:tc>
        <w:tc>
          <w:tcPr>
            <w:tcW w:w="923" w:type="dxa"/>
            <w:tcBorders>
              <w:top w:val="nil"/>
              <w:left w:val="nil"/>
              <w:bottom w:val="nil"/>
              <w:right w:val="nil"/>
            </w:tcBorders>
            <w:noWrap/>
            <w:vAlign w:val="center"/>
            <w:hideMark/>
          </w:tcPr>
          <w:p w14:paraId="0B6D6502"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-0.098</w:t>
            </w:r>
          </w:p>
        </w:tc>
        <w:tc>
          <w:tcPr>
            <w:tcW w:w="871" w:type="dxa"/>
            <w:tcBorders>
              <w:top w:val="nil"/>
              <w:left w:val="nil"/>
              <w:bottom w:val="nil"/>
              <w:right w:val="nil"/>
            </w:tcBorders>
            <w:noWrap/>
            <w:vAlign w:val="center"/>
            <w:hideMark/>
          </w:tcPr>
          <w:p w14:paraId="7EC8A969"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0.032</w:t>
            </w:r>
          </w:p>
        </w:tc>
        <w:tc>
          <w:tcPr>
            <w:tcW w:w="823" w:type="dxa"/>
            <w:tcBorders>
              <w:top w:val="nil"/>
              <w:left w:val="nil"/>
              <w:bottom w:val="nil"/>
              <w:right w:val="nil"/>
            </w:tcBorders>
            <w:noWrap/>
            <w:vAlign w:val="center"/>
            <w:hideMark/>
          </w:tcPr>
          <w:p w14:paraId="73180E01"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0.004</w:t>
            </w:r>
          </w:p>
        </w:tc>
        <w:tc>
          <w:tcPr>
            <w:tcW w:w="923" w:type="dxa"/>
            <w:tcBorders>
              <w:top w:val="nil"/>
              <w:left w:val="nil"/>
              <w:bottom w:val="nil"/>
              <w:right w:val="nil"/>
            </w:tcBorders>
            <w:noWrap/>
            <w:vAlign w:val="center"/>
            <w:hideMark/>
          </w:tcPr>
          <w:p w14:paraId="7CDE2A6E"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-0.003</w:t>
            </w:r>
          </w:p>
        </w:tc>
        <w:tc>
          <w:tcPr>
            <w:tcW w:w="921" w:type="dxa"/>
            <w:tcBorders>
              <w:top w:val="nil"/>
              <w:left w:val="nil"/>
              <w:bottom w:val="nil"/>
              <w:right w:val="nil"/>
            </w:tcBorders>
            <w:noWrap/>
            <w:vAlign w:val="center"/>
            <w:hideMark/>
          </w:tcPr>
          <w:p w14:paraId="720EB7B7"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-0.109</w:t>
            </w:r>
          </w:p>
        </w:tc>
        <w:tc>
          <w:tcPr>
            <w:tcW w:w="923" w:type="dxa"/>
            <w:tcBorders>
              <w:top w:val="nil"/>
              <w:left w:val="nil"/>
              <w:bottom w:val="nil"/>
              <w:right w:val="nil"/>
            </w:tcBorders>
            <w:noWrap/>
            <w:vAlign w:val="center"/>
            <w:hideMark/>
          </w:tcPr>
          <w:p w14:paraId="39AAEE21"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0.022</w:t>
            </w:r>
          </w:p>
        </w:tc>
        <w:tc>
          <w:tcPr>
            <w:tcW w:w="921" w:type="dxa"/>
            <w:tcBorders>
              <w:top w:val="nil"/>
              <w:left w:val="nil"/>
              <w:bottom w:val="nil"/>
              <w:right w:val="nil"/>
            </w:tcBorders>
            <w:noWrap/>
            <w:vAlign w:val="center"/>
            <w:hideMark/>
          </w:tcPr>
          <w:p w14:paraId="6D7E2B32"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-0.050</w:t>
            </w:r>
          </w:p>
        </w:tc>
        <w:tc>
          <w:tcPr>
            <w:tcW w:w="916" w:type="dxa"/>
            <w:tcBorders>
              <w:top w:val="nil"/>
              <w:left w:val="nil"/>
              <w:bottom w:val="nil"/>
              <w:right w:val="nil"/>
            </w:tcBorders>
            <w:vAlign w:val="center"/>
          </w:tcPr>
          <w:p w14:paraId="1C4C1ABF"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0.049</w:t>
            </w:r>
          </w:p>
        </w:tc>
        <w:tc>
          <w:tcPr>
            <w:tcW w:w="916" w:type="dxa"/>
            <w:tcBorders>
              <w:top w:val="nil"/>
              <w:left w:val="nil"/>
              <w:bottom w:val="nil"/>
              <w:right w:val="nil"/>
            </w:tcBorders>
            <w:noWrap/>
            <w:vAlign w:val="center"/>
            <w:hideMark/>
          </w:tcPr>
          <w:p w14:paraId="2EAAD559"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160</w:t>
            </w:r>
          </w:p>
        </w:tc>
        <w:tc>
          <w:tcPr>
            <w:tcW w:w="921" w:type="dxa"/>
            <w:tcBorders>
              <w:top w:val="nil"/>
              <w:left w:val="nil"/>
              <w:bottom w:val="nil"/>
              <w:right w:val="nil"/>
            </w:tcBorders>
            <w:noWrap/>
            <w:vAlign w:val="center"/>
            <w:hideMark/>
          </w:tcPr>
          <w:p w14:paraId="6AC78781"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0.0</w:t>
            </w:r>
            <w:r>
              <w:rPr>
                <w:rFonts w:cs="Times New Roman"/>
                <w:szCs w:val="24"/>
              </w:rPr>
              <w:t>33</w:t>
            </w:r>
          </w:p>
        </w:tc>
        <w:tc>
          <w:tcPr>
            <w:tcW w:w="923" w:type="dxa"/>
            <w:tcBorders>
              <w:top w:val="nil"/>
              <w:left w:val="nil"/>
              <w:bottom w:val="nil"/>
              <w:right w:val="nil"/>
            </w:tcBorders>
            <w:noWrap/>
            <w:vAlign w:val="center"/>
            <w:hideMark/>
          </w:tcPr>
          <w:p w14:paraId="03A64758"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21" w:type="dxa"/>
            <w:tcBorders>
              <w:top w:val="nil"/>
              <w:left w:val="nil"/>
              <w:bottom w:val="nil"/>
            </w:tcBorders>
            <w:noWrap/>
            <w:vAlign w:val="center"/>
            <w:hideMark/>
          </w:tcPr>
          <w:p w14:paraId="1D0BA89A"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0B03A3DF" w14:textId="77777777" w:rsidTr="008576C8">
        <w:trPr>
          <w:trHeight w:val="405"/>
          <w:jc w:val="center"/>
        </w:trPr>
        <w:tc>
          <w:tcPr>
            <w:tcW w:w="3401" w:type="dxa"/>
            <w:tcBorders>
              <w:top w:val="nil"/>
              <w:bottom w:val="single" w:sz="4" w:space="0" w:color="auto"/>
              <w:right w:val="single" w:sz="4" w:space="0" w:color="auto"/>
            </w:tcBorders>
            <w:noWrap/>
            <w:vAlign w:val="center"/>
            <w:hideMark/>
          </w:tcPr>
          <w:p w14:paraId="0B646AEA" w14:textId="77777777" w:rsidR="008576C8" w:rsidRPr="00052E20" w:rsidRDefault="008576C8" w:rsidP="008576C8">
            <w:pPr>
              <w:spacing w:line="240" w:lineRule="auto"/>
              <w:ind w:firstLineChars="0" w:firstLine="0"/>
              <w:rPr>
                <w:rFonts w:cs="Times New Roman"/>
                <w:b/>
                <w:szCs w:val="24"/>
              </w:rPr>
            </w:pPr>
            <w:r>
              <w:rPr>
                <w:rFonts w:cs="Times New Roman"/>
                <w:b/>
                <w:szCs w:val="24"/>
              </w:rPr>
              <w:t>Profitability (13</w:t>
            </w:r>
            <w:r w:rsidRPr="00052E20">
              <w:rPr>
                <w:rFonts w:cs="Times New Roman"/>
                <w:b/>
                <w:szCs w:val="24"/>
              </w:rPr>
              <w:t>)</w:t>
            </w:r>
          </w:p>
        </w:tc>
        <w:tc>
          <w:tcPr>
            <w:tcW w:w="921" w:type="dxa"/>
            <w:tcBorders>
              <w:top w:val="nil"/>
              <w:left w:val="single" w:sz="4" w:space="0" w:color="auto"/>
              <w:bottom w:val="single" w:sz="4" w:space="0" w:color="auto"/>
              <w:right w:val="nil"/>
            </w:tcBorders>
            <w:noWrap/>
            <w:vAlign w:val="center"/>
            <w:hideMark/>
          </w:tcPr>
          <w:p w14:paraId="26664403"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0.009</w:t>
            </w:r>
          </w:p>
        </w:tc>
        <w:tc>
          <w:tcPr>
            <w:tcW w:w="923" w:type="dxa"/>
            <w:tcBorders>
              <w:top w:val="nil"/>
              <w:left w:val="nil"/>
              <w:bottom w:val="single" w:sz="4" w:space="0" w:color="auto"/>
              <w:right w:val="nil"/>
            </w:tcBorders>
            <w:noWrap/>
            <w:vAlign w:val="center"/>
            <w:hideMark/>
          </w:tcPr>
          <w:p w14:paraId="3C4BF8FD"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0.110</w:t>
            </w:r>
          </w:p>
        </w:tc>
        <w:tc>
          <w:tcPr>
            <w:tcW w:w="871" w:type="dxa"/>
            <w:tcBorders>
              <w:top w:val="nil"/>
              <w:left w:val="nil"/>
              <w:bottom w:val="single" w:sz="4" w:space="0" w:color="auto"/>
              <w:right w:val="nil"/>
            </w:tcBorders>
            <w:noWrap/>
            <w:vAlign w:val="center"/>
            <w:hideMark/>
          </w:tcPr>
          <w:p w14:paraId="499BC9D7"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0.009</w:t>
            </w:r>
          </w:p>
        </w:tc>
        <w:tc>
          <w:tcPr>
            <w:tcW w:w="823" w:type="dxa"/>
            <w:tcBorders>
              <w:top w:val="nil"/>
              <w:left w:val="nil"/>
              <w:bottom w:val="single" w:sz="4" w:space="0" w:color="auto"/>
              <w:right w:val="nil"/>
            </w:tcBorders>
            <w:noWrap/>
            <w:vAlign w:val="center"/>
            <w:hideMark/>
          </w:tcPr>
          <w:p w14:paraId="789B2554"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0.009</w:t>
            </w:r>
          </w:p>
        </w:tc>
        <w:tc>
          <w:tcPr>
            <w:tcW w:w="923" w:type="dxa"/>
            <w:tcBorders>
              <w:top w:val="nil"/>
              <w:left w:val="nil"/>
              <w:bottom w:val="single" w:sz="4" w:space="0" w:color="auto"/>
              <w:right w:val="nil"/>
            </w:tcBorders>
            <w:noWrap/>
            <w:vAlign w:val="center"/>
            <w:hideMark/>
          </w:tcPr>
          <w:p w14:paraId="72F3FAC1"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0.092</w:t>
            </w:r>
          </w:p>
        </w:tc>
        <w:tc>
          <w:tcPr>
            <w:tcW w:w="921" w:type="dxa"/>
            <w:tcBorders>
              <w:top w:val="nil"/>
              <w:left w:val="nil"/>
              <w:bottom w:val="single" w:sz="4" w:space="0" w:color="auto"/>
              <w:right w:val="nil"/>
            </w:tcBorders>
            <w:noWrap/>
            <w:vAlign w:val="center"/>
            <w:hideMark/>
          </w:tcPr>
          <w:p w14:paraId="14E7A60B"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0.017</w:t>
            </w:r>
          </w:p>
        </w:tc>
        <w:tc>
          <w:tcPr>
            <w:tcW w:w="923" w:type="dxa"/>
            <w:tcBorders>
              <w:top w:val="nil"/>
              <w:left w:val="nil"/>
              <w:bottom w:val="single" w:sz="4" w:space="0" w:color="auto"/>
              <w:right w:val="nil"/>
            </w:tcBorders>
            <w:noWrap/>
            <w:vAlign w:val="center"/>
            <w:hideMark/>
          </w:tcPr>
          <w:p w14:paraId="15D9A514"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0.034</w:t>
            </w:r>
          </w:p>
        </w:tc>
        <w:tc>
          <w:tcPr>
            <w:tcW w:w="921" w:type="dxa"/>
            <w:tcBorders>
              <w:top w:val="nil"/>
              <w:left w:val="nil"/>
              <w:bottom w:val="single" w:sz="4" w:space="0" w:color="auto"/>
              <w:right w:val="nil"/>
            </w:tcBorders>
            <w:noWrap/>
            <w:vAlign w:val="center"/>
            <w:hideMark/>
          </w:tcPr>
          <w:p w14:paraId="599EA2C4"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-0.061</w:t>
            </w:r>
          </w:p>
        </w:tc>
        <w:tc>
          <w:tcPr>
            <w:tcW w:w="916" w:type="dxa"/>
            <w:tcBorders>
              <w:top w:val="nil"/>
              <w:left w:val="nil"/>
              <w:bottom w:val="single" w:sz="4" w:space="0" w:color="auto"/>
              <w:right w:val="nil"/>
            </w:tcBorders>
            <w:vAlign w:val="center"/>
          </w:tcPr>
          <w:p w14:paraId="35D72361"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0.037</w:t>
            </w:r>
          </w:p>
        </w:tc>
        <w:tc>
          <w:tcPr>
            <w:tcW w:w="916" w:type="dxa"/>
            <w:tcBorders>
              <w:top w:val="nil"/>
              <w:left w:val="nil"/>
              <w:bottom w:val="single" w:sz="4" w:space="0" w:color="auto"/>
              <w:right w:val="nil"/>
            </w:tcBorders>
            <w:noWrap/>
            <w:vAlign w:val="center"/>
            <w:hideMark/>
          </w:tcPr>
          <w:p w14:paraId="1975027A"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0.2</w:t>
            </w:r>
            <w:r>
              <w:rPr>
                <w:rFonts w:cs="Times New Roman"/>
                <w:szCs w:val="24"/>
              </w:rPr>
              <w:t>19</w:t>
            </w:r>
          </w:p>
        </w:tc>
        <w:tc>
          <w:tcPr>
            <w:tcW w:w="921" w:type="dxa"/>
            <w:tcBorders>
              <w:top w:val="nil"/>
              <w:left w:val="nil"/>
              <w:bottom w:val="single" w:sz="4" w:space="0" w:color="auto"/>
              <w:right w:val="nil"/>
            </w:tcBorders>
            <w:noWrap/>
            <w:vAlign w:val="center"/>
            <w:hideMark/>
          </w:tcPr>
          <w:p w14:paraId="38ECCBAD"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408</w:t>
            </w:r>
          </w:p>
        </w:tc>
        <w:tc>
          <w:tcPr>
            <w:tcW w:w="923" w:type="dxa"/>
            <w:tcBorders>
              <w:top w:val="nil"/>
              <w:left w:val="nil"/>
              <w:bottom w:val="single" w:sz="4" w:space="0" w:color="auto"/>
              <w:right w:val="nil"/>
            </w:tcBorders>
            <w:noWrap/>
            <w:vAlign w:val="center"/>
            <w:hideMark/>
          </w:tcPr>
          <w:p w14:paraId="6F4E7F04"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-0.0</w:t>
            </w:r>
            <w:r>
              <w:rPr>
                <w:rFonts w:cs="Times New Roman"/>
                <w:szCs w:val="24"/>
              </w:rPr>
              <w:t>57</w:t>
            </w:r>
          </w:p>
        </w:tc>
        <w:tc>
          <w:tcPr>
            <w:tcW w:w="921" w:type="dxa"/>
            <w:tcBorders>
              <w:top w:val="nil"/>
              <w:left w:val="nil"/>
              <w:bottom w:val="single" w:sz="4" w:space="0" w:color="auto"/>
            </w:tcBorders>
            <w:noWrap/>
            <w:vAlign w:val="center"/>
            <w:hideMark/>
          </w:tcPr>
          <w:p w14:paraId="316BAE1F"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r>
    </w:tbl>
    <w:p w14:paraId="25B255DD" w14:textId="77777777" w:rsidR="008576C8" w:rsidRDefault="008576C8" w:rsidP="008576C8">
      <w:pPr>
        <w:tabs>
          <w:tab w:val="left" w:pos="1412"/>
        </w:tabs>
        <w:ind w:firstLineChars="83" w:firstLine="199"/>
        <w:rPr>
          <w:lang w:val="en-GB"/>
        </w:rPr>
      </w:pPr>
    </w:p>
    <w:p w14:paraId="4594CD6F" w14:textId="77777777" w:rsidR="008576C8" w:rsidRDefault="008576C8" w:rsidP="008576C8">
      <w:pPr>
        <w:tabs>
          <w:tab w:val="left" w:pos="1412"/>
        </w:tabs>
        <w:ind w:firstLineChars="83" w:firstLine="199"/>
        <w:rPr>
          <w:lang w:val="en-GB"/>
        </w:rPr>
      </w:pPr>
    </w:p>
    <w:p w14:paraId="789A0678" w14:textId="77777777" w:rsidR="008576C8" w:rsidRDefault="008576C8" w:rsidP="008576C8">
      <w:pPr>
        <w:tabs>
          <w:tab w:val="left" w:pos="1412"/>
        </w:tabs>
        <w:ind w:firstLineChars="83" w:firstLine="199"/>
        <w:rPr>
          <w:lang w:val="en-GB"/>
        </w:rPr>
      </w:pPr>
    </w:p>
    <w:p w14:paraId="47F7200E" w14:textId="77777777" w:rsidR="008576C8" w:rsidRDefault="008576C8" w:rsidP="008576C8">
      <w:pPr>
        <w:tabs>
          <w:tab w:val="left" w:pos="1412"/>
        </w:tabs>
        <w:ind w:firstLineChars="83" w:firstLine="199"/>
        <w:rPr>
          <w:lang w:val="en-GB"/>
        </w:rPr>
      </w:pPr>
    </w:p>
    <w:p w14:paraId="6E9599AA" w14:textId="77777777" w:rsidR="008576C8" w:rsidRDefault="008576C8" w:rsidP="008576C8">
      <w:pPr>
        <w:tabs>
          <w:tab w:val="left" w:pos="1412"/>
        </w:tabs>
        <w:ind w:firstLineChars="83" w:firstLine="199"/>
        <w:rPr>
          <w:lang w:val="en-GB"/>
        </w:rPr>
      </w:pPr>
    </w:p>
    <w:p w14:paraId="7C351420" w14:textId="77777777" w:rsidR="008576C8" w:rsidRDefault="008576C8" w:rsidP="008576C8">
      <w:pPr>
        <w:tabs>
          <w:tab w:val="left" w:pos="1412"/>
        </w:tabs>
        <w:ind w:firstLineChars="83" w:firstLine="199"/>
        <w:rPr>
          <w:lang w:val="en-GB"/>
        </w:rPr>
      </w:pPr>
      <w:r>
        <w:rPr>
          <w:lang w:val="en-GB"/>
        </w:rPr>
        <w:tab/>
      </w:r>
    </w:p>
    <w:tbl>
      <w:tblPr>
        <w:tblStyle w:val="TableGrid"/>
        <w:tblW w:w="15323" w:type="dxa"/>
        <w:jc w:val="center"/>
        <w:tblBorders>
          <w:left w:val="none" w:sz="0" w:space="0" w:color="auto"/>
          <w:right w:val="none" w:sz="0" w:space="0" w:color="auto"/>
        </w:tblBorders>
        <w:tblLook w:val="04A0" w:firstRow="1" w:lastRow="0" w:firstColumn="1" w:lastColumn="0" w:noHBand="0" w:noVBand="1"/>
      </w:tblPr>
      <w:tblGrid>
        <w:gridCol w:w="3423"/>
        <w:gridCol w:w="927"/>
        <w:gridCol w:w="929"/>
        <w:gridCol w:w="877"/>
        <w:gridCol w:w="828"/>
        <w:gridCol w:w="929"/>
        <w:gridCol w:w="927"/>
        <w:gridCol w:w="929"/>
        <w:gridCol w:w="927"/>
        <w:gridCol w:w="922"/>
        <w:gridCol w:w="922"/>
        <w:gridCol w:w="927"/>
        <w:gridCol w:w="929"/>
        <w:gridCol w:w="927"/>
      </w:tblGrid>
      <w:tr w:rsidR="008576C8" w:rsidRPr="00052E20" w14:paraId="2E4D4224" w14:textId="77777777" w:rsidTr="008576C8">
        <w:trPr>
          <w:trHeight w:val="399"/>
          <w:jc w:val="center"/>
        </w:trPr>
        <w:tc>
          <w:tcPr>
            <w:tcW w:w="3423" w:type="dxa"/>
            <w:tcBorders>
              <w:top w:val="single" w:sz="4" w:space="0" w:color="auto"/>
              <w:bottom w:val="single" w:sz="4" w:space="0" w:color="auto"/>
              <w:right w:val="single" w:sz="4" w:space="0" w:color="auto"/>
            </w:tcBorders>
            <w:noWrap/>
            <w:vAlign w:val="center"/>
            <w:hideMark/>
          </w:tcPr>
          <w:p w14:paraId="1B521C1E" w14:textId="74616B28" w:rsidR="008576C8" w:rsidRPr="00052E20" w:rsidRDefault="00413890" w:rsidP="008576C8">
            <w:pPr>
              <w:spacing w:line="240" w:lineRule="auto"/>
              <w:ind w:firstLineChars="0" w:firstLine="0"/>
              <w:rPr>
                <w:rFonts w:cs="Times New Roman"/>
                <w:b/>
                <w:szCs w:val="24"/>
              </w:rPr>
            </w:pPr>
            <w:r>
              <w:rPr>
                <w:rFonts w:cs="Times New Roman"/>
                <w:b/>
                <w:szCs w:val="24"/>
              </w:rPr>
              <w:t xml:space="preserve">Bidders of </w:t>
            </w:r>
            <w:r w:rsidR="008576C8" w:rsidRPr="00052E20">
              <w:rPr>
                <w:rFonts w:cs="Times New Roman"/>
                <w:b/>
                <w:szCs w:val="24"/>
              </w:rPr>
              <w:t>Mainland</w:t>
            </w:r>
            <w:r>
              <w:rPr>
                <w:rFonts w:cs="Times New Roman"/>
                <w:b/>
                <w:szCs w:val="24"/>
              </w:rPr>
              <w:t xml:space="preserve"> China</w:t>
            </w:r>
            <w:r w:rsidR="008576C8" w:rsidRPr="00052E20">
              <w:rPr>
                <w:rFonts w:cs="Times New Roman"/>
                <w:b/>
                <w:szCs w:val="24"/>
              </w:rPr>
              <w:t xml:space="preserve"> Target</w:t>
            </w:r>
          </w:p>
        </w:tc>
        <w:tc>
          <w:tcPr>
            <w:tcW w:w="927" w:type="dxa"/>
            <w:tcBorders>
              <w:top w:val="single" w:sz="4" w:space="0" w:color="auto"/>
              <w:left w:val="single" w:sz="4" w:space="0" w:color="auto"/>
              <w:bottom w:val="single" w:sz="4" w:space="0" w:color="auto"/>
              <w:right w:val="nil"/>
            </w:tcBorders>
            <w:noWrap/>
            <w:vAlign w:val="center"/>
            <w:hideMark/>
          </w:tcPr>
          <w:p w14:paraId="380D748E" w14:textId="77777777" w:rsidR="008576C8" w:rsidRPr="00052E20" w:rsidRDefault="008576C8" w:rsidP="008576C8">
            <w:pPr>
              <w:spacing w:line="240" w:lineRule="auto"/>
              <w:ind w:firstLineChars="0" w:firstLine="0"/>
              <w:rPr>
                <w:rFonts w:cs="Times New Roman"/>
                <w:szCs w:val="24"/>
              </w:rPr>
            </w:pPr>
            <w:r w:rsidRPr="00052E20">
              <w:rPr>
                <w:rFonts w:cs="Times New Roman"/>
                <w:szCs w:val="24"/>
              </w:rPr>
              <w:t>01</w:t>
            </w:r>
          </w:p>
        </w:tc>
        <w:tc>
          <w:tcPr>
            <w:tcW w:w="929" w:type="dxa"/>
            <w:tcBorders>
              <w:top w:val="single" w:sz="4" w:space="0" w:color="auto"/>
              <w:left w:val="nil"/>
              <w:bottom w:val="single" w:sz="4" w:space="0" w:color="auto"/>
              <w:right w:val="nil"/>
            </w:tcBorders>
            <w:noWrap/>
            <w:vAlign w:val="center"/>
            <w:hideMark/>
          </w:tcPr>
          <w:p w14:paraId="773D3443" w14:textId="77777777" w:rsidR="008576C8" w:rsidRPr="00052E20" w:rsidRDefault="008576C8" w:rsidP="008576C8">
            <w:pPr>
              <w:spacing w:line="240" w:lineRule="auto"/>
              <w:ind w:firstLineChars="0" w:firstLine="0"/>
              <w:rPr>
                <w:rFonts w:cs="Times New Roman"/>
                <w:szCs w:val="24"/>
              </w:rPr>
            </w:pPr>
            <w:r w:rsidRPr="00052E20">
              <w:rPr>
                <w:rFonts w:cs="Times New Roman"/>
                <w:szCs w:val="24"/>
              </w:rPr>
              <w:t>02</w:t>
            </w:r>
          </w:p>
        </w:tc>
        <w:tc>
          <w:tcPr>
            <w:tcW w:w="877" w:type="dxa"/>
            <w:tcBorders>
              <w:top w:val="single" w:sz="4" w:space="0" w:color="auto"/>
              <w:left w:val="nil"/>
              <w:bottom w:val="single" w:sz="4" w:space="0" w:color="auto"/>
              <w:right w:val="nil"/>
            </w:tcBorders>
            <w:noWrap/>
            <w:vAlign w:val="center"/>
            <w:hideMark/>
          </w:tcPr>
          <w:p w14:paraId="020AF5E4" w14:textId="77777777" w:rsidR="008576C8" w:rsidRPr="00052E20" w:rsidRDefault="008576C8" w:rsidP="008576C8">
            <w:pPr>
              <w:spacing w:line="240" w:lineRule="auto"/>
              <w:ind w:firstLineChars="0" w:firstLine="0"/>
              <w:rPr>
                <w:rFonts w:cs="Times New Roman"/>
                <w:szCs w:val="24"/>
              </w:rPr>
            </w:pPr>
            <w:r w:rsidRPr="00052E20">
              <w:rPr>
                <w:rFonts w:cs="Times New Roman"/>
                <w:szCs w:val="24"/>
              </w:rPr>
              <w:t>03</w:t>
            </w:r>
          </w:p>
        </w:tc>
        <w:tc>
          <w:tcPr>
            <w:tcW w:w="828" w:type="dxa"/>
            <w:tcBorders>
              <w:top w:val="single" w:sz="4" w:space="0" w:color="auto"/>
              <w:left w:val="nil"/>
              <w:bottom w:val="single" w:sz="4" w:space="0" w:color="auto"/>
              <w:right w:val="nil"/>
            </w:tcBorders>
            <w:noWrap/>
            <w:vAlign w:val="center"/>
            <w:hideMark/>
          </w:tcPr>
          <w:p w14:paraId="7987CF91" w14:textId="77777777" w:rsidR="008576C8" w:rsidRPr="00052E20" w:rsidRDefault="008576C8" w:rsidP="008576C8">
            <w:pPr>
              <w:spacing w:line="240" w:lineRule="auto"/>
              <w:ind w:firstLineChars="0" w:firstLine="0"/>
              <w:rPr>
                <w:rFonts w:cs="Times New Roman"/>
                <w:szCs w:val="24"/>
              </w:rPr>
            </w:pPr>
            <w:r w:rsidRPr="00052E20">
              <w:rPr>
                <w:rFonts w:cs="Times New Roman"/>
                <w:szCs w:val="24"/>
              </w:rPr>
              <w:t>04</w:t>
            </w:r>
          </w:p>
        </w:tc>
        <w:tc>
          <w:tcPr>
            <w:tcW w:w="929" w:type="dxa"/>
            <w:tcBorders>
              <w:top w:val="single" w:sz="4" w:space="0" w:color="auto"/>
              <w:left w:val="nil"/>
              <w:bottom w:val="single" w:sz="4" w:space="0" w:color="auto"/>
              <w:right w:val="nil"/>
            </w:tcBorders>
            <w:noWrap/>
            <w:vAlign w:val="center"/>
            <w:hideMark/>
          </w:tcPr>
          <w:p w14:paraId="6A32E02B" w14:textId="77777777" w:rsidR="008576C8" w:rsidRPr="00052E20" w:rsidRDefault="008576C8" w:rsidP="008576C8">
            <w:pPr>
              <w:spacing w:line="240" w:lineRule="auto"/>
              <w:ind w:firstLineChars="0" w:firstLine="0"/>
              <w:rPr>
                <w:rFonts w:cs="Times New Roman"/>
                <w:szCs w:val="24"/>
              </w:rPr>
            </w:pPr>
            <w:r w:rsidRPr="00052E20">
              <w:rPr>
                <w:rFonts w:cs="Times New Roman"/>
                <w:szCs w:val="24"/>
              </w:rPr>
              <w:t>05</w:t>
            </w:r>
          </w:p>
        </w:tc>
        <w:tc>
          <w:tcPr>
            <w:tcW w:w="927" w:type="dxa"/>
            <w:tcBorders>
              <w:top w:val="single" w:sz="4" w:space="0" w:color="auto"/>
              <w:left w:val="nil"/>
              <w:bottom w:val="single" w:sz="4" w:space="0" w:color="auto"/>
              <w:right w:val="nil"/>
            </w:tcBorders>
            <w:noWrap/>
            <w:vAlign w:val="center"/>
            <w:hideMark/>
          </w:tcPr>
          <w:p w14:paraId="3CCEB128" w14:textId="77777777" w:rsidR="008576C8" w:rsidRPr="00052E20" w:rsidRDefault="008576C8" w:rsidP="008576C8">
            <w:pPr>
              <w:spacing w:line="240" w:lineRule="auto"/>
              <w:ind w:firstLineChars="0" w:firstLine="0"/>
              <w:rPr>
                <w:rFonts w:cs="Times New Roman"/>
                <w:szCs w:val="24"/>
              </w:rPr>
            </w:pPr>
            <w:r w:rsidRPr="00052E20">
              <w:rPr>
                <w:rFonts w:cs="Times New Roman"/>
                <w:szCs w:val="24"/>
              </w:rPr>
              <w:t>06</w:t>
            </w:r>
          </w:p>
        </w:tc>
        <w:tc>
          <w:tcPr>
            <w:tcW w:w="929" w:type="dxa"/>
            <w:tcBorders>
              <w:top w:val="single" w:sz="4" w:space="0" w:color="auto"/>
              <w:left w:val="nil"/>
              <w:bottom w:val="single" w:sz="4" w:space="0" w:color="auto"/>
              <w:right w:val="nil"/>
            </w:tcBorders>
            <w:noWrap/>
            <w:vAlign w:val="center"/>
            <w:hideMark/>
          </w:tcPr>
          <w:p w14:paraId="606F15B5" w14:textId="77777777" w:rsidR="008576C8" w:rsidRPr="00052E20" w:rsidRDefault="008576C8" w:rsidP="008576C8">
            <w:pPr>
              <w:spacing w:line="240" w:lineRule="auto"/>
              <w:ind w:firstLineChars="0" w:firstLine="0"/>
              <w:rPr>
                <w:rFonts w:cs="Times New Roman"/>
                <w:szCs w:val="24"/>
              </w:rPr>
            </w:pPr>
            <w:r w:rsidRPr="00052E20">
              <w:rPr>
                <w:rFonts w:cs="Times New Roman"/>
                <w:szCs w:val="24"/>
              </w:rPr>
              <w:t>07</w:t>
            </w:r>
          </w:p>
        </w:tc>
        <w:tc>
          <w:tcPr>
            <w:tcW w:w="927" w:type="dxa"/>
            <w:tcBorders>
              <w:top w:val="single" w:sz="4" w:space="0" w:color="auto"/>
              <w:left w:val="nil"/>
              <w:bottom w:val="single" w:sz="4" w:space="0" w:color="auto"/>
              <w:right w:val="nil"/>
            </w:tcBorders>
            <w:noWrap/>
            <w:vAlign w:val="center"/>
            <w:hideMark/>
          </w:tcPr>
          <w:p w14:paraId="20A0BA37" w14:textId="77777777" w:rsidR="008576C8" w:rsidRPr="00052E20" w:rsidRDefault="008576C8" w:rsidP="008576C8">
            <w:pPr>
              <w:spacing w:line="240" w:lineRule="auto"/>
              <w:ind w:firstLineChars="0" w:firstLine="0"/>
              <w:rPr>
                <w:rFonts w:cs="Times New Roman"/>
                <w:szCs w:val="24"/>
              </w:rPr>
            </w:pPr>
            <w:r w:rsidRPr="00052E20">
              <w:rPr>
                <w:rFonts w:cs="Times New Roman"/>
                <w:szCs w:val="24"/>
              </w:rPr>
              <w:t>08</w:t>
            </w:r>
          </w:p>
        </w:tc>
        <w:tc>
          <w:tcPr>
            <w:tcW w:w="922" w:type="dxa"/>
            <w:tcBorders>
              <w:top w:val="single" w:sz="4" w:space="0" w:color="auto"/>
              <w:left w:val="nil"/>
              <w:bottom w:val="single" w:sz="4" w:space="0" w:color="auto"/>
              <w:right w:val="nil"/>
            </w:tcBorders>
            <w:vAlign w:val="center"/>
          </w:tcPr>
          <w:p w14:paraId="51149450" w14:textId="77777777" w:rsidR="008576C8" w:rsidRPr="00052E20" w:rsidRDefault="008576C8" w:rsidP="008576C8">
            <w:pPr>
              <w:spacing w:line="240" w:lineRule="auto"/>
              <w:ind w:firstLineChars="0" w:firstLine="0"/>
              <w:rPr>
                <w:rFonts w:cs="Times New Roman"/>
                <w:szCs w:val="24"/>
              </w:rPr>
            </w:pPr>
            <w:r>
              <w:rPr>
                <w:rFonts w:cs="Times New Roman"/>
                <w:szCs w:val="24"/>
              </w:rPr>
              <w:t>09</w:t>
            </w:r>
          </w:p>
        </w:tc>
        <w:tc>
          <w:tcPr>
            <w:tcW w:w="922" w:type="dxa"/>
            <w:tcBorders>
              <w:top w:val="single" w:sz="4" w:space="0" w:color="auto"/>
              <w:left w:val="nil"/>
              <w:bottom w:val="single" w:sz="4" w:space="0" w:color="auto"/>
              <w:right w:val="nil"/>
            </w:tcBorders>
            <w:noWrap/>
            <w:vAlign w:val="center"/>
            <w:hideMark/>
          </w:tcPr>
          <w:p w14:paraId="1D8AB414" w14:textId="77777777" w:rsidR="008576C8" w:rsidRPr="00052E20" w:rsidRDefault="008576C8" w:rsidP="008576C8">
            <w:pPr>
              <w:spacing w:line="240" w:lineRule="auto"/>
              <w:ind w:firstLineChars="0" w:firstLine="0"/>
              <w:rPr>
                <w:rFonts w:cs="Times New Roman"/>
                <w:szCs w:val="24"/>
              </w:rPr>
            </w:pPr>
            <w:r>
              <w:rPr>
                <w:rFonts w:cs="Times New Roman"/>
                <w:szCs w:val="24"/>
              </w:rPr>
              <w:t>10</w:t>
            </w:r>
          </w:p>
        </w:tc>
        <w:tc>
          <w:tcPr>
            <w:tcW w:w="927" w:type="dxa"/>
            <w:tcBorders>
              <w:top w:val="single" w:sz="4" w:space="0" w:color="auto"/>
              <w:left w:val="nil"/>
              <w:bottom w:val="single" w:sz="4" w:space="0" w:color="auto"/>
              <w:right w:val="nil"/>
            </w:tcBorders>
            <w:noWrap/>
            <w:vAlign w:val="center"/>
            <w:hideMark/>
          </w:tcPr>
          <w:p w14:paraId="6D2B3622" w14:textId="77777777" w:rsidR="008576C8" w:rsidRPr="00052E20" w:rsidRDefault="008576C8" w:rsidP="008576C8">
            <w:pPr>
              <w:spacing w:line="240" w:lineRule="auto"/>
              <w:ind w:firstLineChars="0" w:firstLine="0"/>
              <w:rPr>
                <w:rFonts w:cs="Times New Roman"/>
                <w:szCs w:val="24"/>
              </w:rPr>
            </w:pPr>
            <w:r>
              <w:rPr>
                <w:rFonts w:cs="Times New Roman"/>
                <w:szCs w:val="24"/>
              </w:rPr>
              <w:t>11</w:t>
            </w:r>
          </w:p>
        </w:tc>
        <w:tc>
          <w:tcPr>
            <w:tcW w:w="929" w:type="dxa"/>
            <w:tcBorders>
              <w:top w:val="single" w:sz="4" w:space="0" w:color="auto"/>
              <w:left w:val="nil"/>
              <w:bottom w:val="single" w:sz="4" w:space="0" w:color="auto"/>
              <w:right w:val="nil"/>
            </w:tcBorders>
            <w:noWrap/>
            <w:vAlign w:val="center"/>
            <w:hideMark/>
          </w:tcPr>
          <w:p w14:paraId="2DC8B282" w14:textId="77777777" w:rsidR="008576C8" w:rsidRPr="00052E20" w:rsidRDefault="008576C8" w:rsidP="008576C8">
            <w:pPr>
              <w:spacing w:line="240" w:lineRule="auto"/>
              <w:ind w:firstLineChars="0" w:firstLine="0"/>
              <w:rPr>
                <w:rFonts w:cs="Times New Roman"/>
                <w:szCs w:val="24"/>
              </w:rPr>
            </w:pPr>
            <w:r>
              <w:rPr>
                <w:rFonts w:cs="Times New Roman"/>
                <w:szCs w:val="24"/>
              </w:rPr>
              <w:t>12</w:t>
            </w:r>
          </w:p>
        </w:tc>
        <w:tc>
          <w:tcPr>
            <w:tcW w:w="927" w:type="dxa"/>
            <w:tcBorders>
              <w:top w:val="single" w:sz="4" w:space="0" w:color="auto"/>
              <w:left w:val="nil"/>
              <w:bottom w:val="single" w:sz="4" w:space="0" w:color="auto"/>
            </w:tcBorders>
            <w:noWrap/>
            <w:vAlign w:val="center"/>
            <w:hideMark/>
          </w:tcPr>
          <w:p w14:paraId="0774FE52" w14:textId="77777777" w:rsidR="008576C8" w:rsidRPr="00052E20" w:rsidRDefault="008576C8" w:rsidP="008576C8">
            <w:pPr>
              <w:spacing w:line="240" w:lineRule="auto"/>
              <w:ind w:firstLineChars="0" w:firstLine="0"/>
              <w:rPr>
                <w:rFonts w:cs="Times New Roman"/>
                <w:szCs w:val="24"/>
              </w:rPr>
            </w:pPr>
            <w:r>
              <w:rPr>
                <w:rFonts w:cs="Times New Roman"/>
                <w:szCs w:val="24"/>
              </w:rPr>
              <w:t>13</w:t>
            </w:r>
          </w:p>
        </w:tc>
      </w:tr>
      <w:tr w:rsidR="008576C8" w:rsidRPr="00052E20" w14:paraId="1F271086" w14:textId="77777777" w:rsidTr="008576C8">
        <w:trPr>
          <w:trHeight w:val="399"/>
          <w:jc w:val="center"/>
        </w:trPr>
        <w:tc>
          <w:tcPr>
            <w:tcW w:w="3423" w:type="dxa"/>
            <w:tcBorders>
              <w:top w:val="single" w:sz="4" w:space="0" w:color="auto"/>
              <w:bottom w:val="nil"/>
              <w:right w:val="single" w:sz="4" w:space="0" w:color="auto"/>
            </w:tcBorders>
            <w:noWrap/>
            <w:vAlign w:val="center"/>
            <w:hideMark/>
          </w:tcPr>
          <w:p w14:paraId="64EF3B50" w14:textId="77777777" w:rsidR="008576C8" w:rsidRPr="00052E20" w:rsidRDefault="00923871" w:rsidP="008576C8">
            <w:pPr>
              <w:spacing w:line="240" w:lineRule="auto"/>
              <w:ind w:firstLineChars="0" w:firstLine="0"/>
              <w:rPr>
                <w:rFonts w:cs="Times New Roman"/>
                <w:b/>
                <w:szCs w:val="24"/>
                <w:lang w:val="de-DE"/>
              </w:rPr>
            </w:pPr>
            <m:oMath>
              <m:sSub>
                <m:sSubPr>
                  <m:ctrlPr>
                    <w:rPr>
                      <w:rFonts w:ascii="Cambria Math" w:hAnsi="Cambria Math" w:cs="Times New Roman"/>
                      <w:b/>
                      <w:szCs w:val="24"/>
                    </w:rPr>
                  </m:ctrlPr>
                </m:sSubPr>
                <m:e>
                  <m:r>
                    <m:rPr>
                      <m:sty m:val="bi"/>
                    </m:rPr>
                    <w:rPr>
                      <w:rFonts w:ascii="Cambria Math" w:hAnsi="Cambria Math" w:cs="Times New Roman"/>
                      <w:szCs w:val="24"/>
                    </w:rPr>
                    <m:t>R</m:t>
                  </m:r>
                </m:e>
                <m:sub>
                  <m:r>
                    <m:rPr>
                      <m:sty m:val="bi"/>
                    </m:rPr>
                    <w:rPr>
                      <w:rFonts w:ascii="Cambria Math" w:hAnsi="Cambria Math" w:cs="Times New Roman"/>
                      <w:szCs w:val="24"/>
                    </w:rPr>
                    <m:t>i</m:t>
                  </m:r>
                  <m:r>
                    <m:rPr>
                      <m:sty m:val="b"/>
                    </m:rPr>
                    <w:rPr>
                      <w:rFonts w:ascii="Cambria Math" w:hAnsi="Cambria Math" w:cs="Times New Roman"/>
                      <w:szCs w:val="24"/>
                    </w:rPr>
                    <m:t>,</m:t>
                  </m:r>
                  <m:r>
                    <m:rPr>
                      <m:sty m:val="bi"/>
                    </m:rPr>
                    <w:rPr>
                      <w:rFonts w:ascii="Cambria Math" w:hAnsi="Cambria Math" w:cs="Times New Roman"/>
                      <w:szCs w:val="24"/>
                    </w:rPr>
                    <m:t>t</m:t>
                  </m:r>
                </m:sub>
              </m:sSub>
              <m:r>
                <m:rPr>
                  <m:sty m:val="b"/>
                </m:rPr>
                <w:rPr>
                  <w:rFonts w:ascii="Cambria Math" w:hAnsi="Cambria Math" w:cs="Times New Roman"/>
                  <w:szCs w:val="24"/>
                </w:rPr>
                <m:t>-</m:t>
              </m:r>
              <m:sSub>
                <m:sSubPr>
                  <m:ctrlPr>
                    <w:rPr>
                      <w:rFonts w:ascii="Cambria Math" w:hAnsi="Cambria Math" w:cs="Times New Roman"/>
                      <w:b/>
                      <w:szCs w:val="24"/>
                    </w:rPr>
                  </m:ctrlPr>
                </m:sSubPr>
                <m:e>
                  <m:r>
                    <m:rPr>
                      <m:sty m:val="bi"/>
                    </m:rPr>
                    <w:rPr>
                      <w:rFonts w:ascii="Cambria Math" w:hAnsi="Cambria Math" w:cs="Times New Roman"/>
                      <w:szCs w:val="24"/>
                    </w:rPr>
                    <m:t>R</m:t>
                  </m:r>
                </m:e>
                <m:sub>
                  <m:r>
                    <m:rPr>
                      <m:sty m:val="bi"/>
                    </m:rPr>
                    <w:rPr>
                      <w:rFonts w:ascii="Cambria Math" w:hAnsi="Cambria Math" w:cs="Times New Roman"/>
                      <w:szCs w:val="24"/>
                    </w:rPr>
                    <m:t>f</m:t>
                  </m:r>
                  <m:r>
                    <m:rPr>
                      <m:sty m:val="b"/>
                    </m:rPr>
                    <w:rPr>
                      <w:rFonts w:ascii="Cambria Math" w:hAnsi="Cambria Math" w:cs="Times New Roman"/>
                      <w:szCs w:val="24"/>
                    </w:rPr>
                    <m:t>,</m:t>
                  </m:r>
                  <m:r>
                    <m:rPr>
                      <m:sty m:val="bi"/>
                    </m:rPr>
                    <w:rPr>
                      <w:rFonts w:ascii="Cambria Math" w:hAnsi="Cambria Math" w:cs="Times New Roman"/>
                      <w:szCs w:val="24"/>
                    </w:rPr>
                    <m:t>t</m:t>
                  </m:r>
                </m:sub>
              </m:sSub>
            </m:oMath>
            <w:r w:rsidR="008576C8" w:rsidRPr="00052E20">
              <w:rPr>
                <w:rFonts w:cs="Times New Roman"/>
                <w:b/>
                <w:szCs w:val="24"/>
                <w:lang w:val="de-DE"/>
              </w:rPr>
              <w:t>(%) (01)</w:t>
            </w:r>
          </w:p>
        </w:tc>
        <w:tc>
          <w:tcPr>
            <w:tcW w:w="927" w:type="dxa"/>
            <w:tcBorders>
              <w:top w:val="single" w:sz="4" w:space="0" w:color="auto"/>
              <w:left w:val="single" w:sz="4" w:space="0" w:color="auto"/>
              <w:bottom w:val="nil"/>
              <w:right w:val="nil"/>
            </w:tcBorders>
            <w:noWrap/>
            <w:vAlign w:val="center"/>
            <w:hideMark/>
          </w:tcPr>
          <w:p w14:paraId="48C35CE7" w14:textId="77777777" w:rsidR="008576C8" w:rsidRPr="00052E20" w:rsidRDefault="008576C8" w:rsidP="008576C8">
            <w:pPr>
              <w:spacing w:line="240" w:lineRule="auto"/>
              <w:ind w:firstLineChars="0" w:firstLine="0"/>
              <w:jc w:val="left"/>
              <w:rPr>
                <w:rFonts w:cs="Times New Roman"/>
                <w:szCs w:val="24"/>
                <w:lang w:val="de-DE"/>
              </w:rPr>
            </w:pPr>
            <w:r w:rsidRPr="00052E20">
              <w:rPr>
                <w:rFonts w:cs="Times New Roman"/>
                <w:szCs w:val="24"/>
                <w:lang w:val="de-DE"/>
              </w:rPr>
              <w:t>1.0000</w:t>
            </w:r>
          </w:p>
        </w:tc>
        <w:tc>
          <w:tcPr>
            <w:tcW w:w="929" w:type="dxa"/>
            <w:tcBorders>
              <w:top w:val="single" w:sz="4" w:space="0" w:color="auto"/>
              <w:left w:val="nil"/>
              <w:bottom w:val="nil"/>
              <w:right w:val="nil"/>
            </w:tcBorders>
            <w:noWrap/>
            <w:vAlign w:val="center"/>
            <w:hideMark/>
          </w:tcPr>
          <w:p w14:paraId="09CFF8E4" w14:textId="77777777" w:rsidR="008576C8" w:rsidRPr="00052E20" w:rsidRDefault="008576C8" w:rsidP="008576C8">
            <w:pPr>
              <w:spacing w:line="240" w:lineRule="auto"/>
              <w:ind w:firstLineChars="0" w:firstLine="0"/>
              <w:jc w:val="left"/>
              <w:rPr>
                <w:rFonts w:cs="Times New Roman"/>
                <w:szCs w:val="24"/>
                <w:lang w:val="de-DE"/>
              </w:rPr>
            </w:pPr>
          </w:p>
        </w:tc>
        <w:tc>
          <w:tcPr>
            <w:tcW w:w="877" w:type="dxa"/>
            <w:tcBorders>
              <w:top w:val="single" w:sz="4" w:space="0" w:color="auto"/>
              <w:left w:val="nil"/>
              <w:bottom w:val="nil"/>
              <w:right w:val="nil"/>
            </w:tcBorders>
            <w:noWrap/>
            <w:vAlign w:val="center"/>
            <w:hideMark/>
          </w:tcPr>
          <w:p w14:paraId="0A8BF6AF" w14:textId="77777777" w:rsidR="008576C8" w:rsidRPr="00052E20" w:rsidRDefault="008576C8" w:rsidP="008576C8">
            <w:pPr>
              <w:spacing w:line="240" w:lineRule="auto"/>
              <w:ind w:firstLineChars="0" w:firstLine="0"/>
              <w:jc w:val="left"/>
              <w:rPr>
                <w:rFonts w:cs="Times New Roman"/>
                <w:szCs w:val="24"/>
                <w:lang w:val="de-DE"/>
              </w:rPr>
            </w:pPr>
          </w:p>
        </w:tc>
        <w:tc>
          <w:tcPr>
            <w:tcW w:w="828" w:type="dxa"/>
            <w:tcBorders>
              <w:top w:val="single" w:sz="4" w:space="0" w:color="auto"/>
              <w:left w:val="nil"/>
              <w:bottom w:val="nil"/>
              <w:right w:val="nil"/>
            </w:tcBorders>
            <w:noWrap/>
            <w:vAlign w:val="center"/>
            <w:hideMark/>
          </w:tcPr>
          <w:p w14:paraId="36833F5D" w14:textId="77777777" w:rsidR="008576C8" w:rsidRPr="00052E20" w:rsidRDefault="008576C8" w:rsidP="008576C8">
            <w:pPr>
              <w:spacing w:line="240" w:lineRule="auto"/>
              <w:ind w:firstLineChars="0" w:firstLine="0"/>
              <w:jc w:val="left"/>
              <w:rPr>
                <w:rFonts w:cs="Times New Roman"/>
                <w:szCs w:val="24"/>
                <w:lang w:val="de-DE"/>
              </w:rPr>
            </w:pPr>
          </w:p>
        </w:tc>
        <w:tc>
          <w:tcPr>
            <w:tcW w:w="929" w:type="dxa"/>
            <w:tcBorders>
              <w:top w:val="single" w:sz="4" w:space="0" w:color="auto"/>
              <w:left w:val="nil"/>
              <w:bottom w:val="nil"/>
              <w:right w:val="nil"/>
            </w:tcBorders>
            <w:noWrap/>
            <w:vAlign w:val="center"/>
            <w:hideMark/>
          </w:tcPr>
          <w:p w14:paraId="64229791" w14:textId="77777777" w:rsidR="008576C8" w:rsidRPr="00052E20" w:rsidRDefault="008576C8" w:rsidP="008576C8">
            <w:pPr>
              <w:spacing w:line="240" w:lineRule="auto"/>
              <w:ind w:firstLineChars="0" w:firstLine="0"/>
              <w:jc w:val="left"/>
              <w:rPr>
                <w:rFonts w:cs="Times New Roman"/>
                <w:szCs w:val="24"/>
                <w:lang w:val="de-DE"/>
              </w:rPr>
            </w:pPr>
          </w:p>
        </w:tc>
        <w:tc>
          <w:tcPr>
            <w:tcW w:w="927" w:type="dxa"/>
            <w:tcBorders>
              <w:top w:val="single" w:sz="4" w:space="0" w:color="auto"/>
              <w:left w:val="nil"/>
              <w:bottom w:val="nil"/>
              <w:right w:val="nil"/>
            </w:tcBorders>
            <w:noWrap/>
            <w:vAlign w:val="center"/>
            <w:hideMark/>
          </w:tcPr>
          <w:p w14:paraId="1E1D8C24" w14:textId="77777777" w:rsidR="008576C8" w:rsidRPr="00052E20" w:rsidRDefault="008576C8" w:rsidP="008576C8">
            <w:pPr>
              <w:spacing w:line="240" w:lineRule="auto"/>
              <w:ind w:firstLineChars="0" w:firstLine="0"/>
              <w:jc w:val="left"/>
              <w:rPr>
                <w:rFonts w:cs="Times New Roman"/>
                <w:szCs w:val="24"/>
                <w:lang w:val="de-DE"/>
              </w:rPr>
            </w:pPr>
          </w:p>
        </w:tc>
        <w:tc>
          <w:tcPr>
            <w:tcW w:w="929" w:type="dxa"/>
            <w:tcBorders>
              <w:top w:val="single" w:sz="4" w:space="0" w:color="auto"/>
              <w:left w:val="nil"/>
              <w:bottom w:val="nil"/>
              <w:right w:val="nil"/>
            </w:tcBorders>
            <w:noWrap/>
            <w:vAlign w:val="center"/>
            <w:hideMark/>
          </w:tcPr>
          <w:p w14:paraId="6E95FB38" w14:textId="77777777" w:rsidR="008576C8" w:rsidRPr="00052E20" w:rsidRDefault="008576C8" w:rsidP="008576C8">
            <w:pPr>
              <w:spacing w:line="240" w:lineRule="auto"/>
              <w:ind w:firstLineChars="0" w:firstLine="0"/>
              <w:jc w:val="left"/>
              <w:rPr>
                <w:rFonts w:cs="Times New Roman"/>
                <w:szCs w:val="24"/>
                <w:lang w:val="de-DE"/>
              </w:rPr>
            </w:pPr>
          </w:p>
        </w:tc>
        <w:tc>
          <w:tcPr>
            <w:tcW w:w="927" w:type="dxa"/>
            <w:tcBorders>
              <w:top w:val="single" w:sz="4" w:space="0" w:color="auto"/>
              <w:left w:val="nil"/>
              <w:bottom w:val="nil"/>
              <w:right w:val="nil"/>
            </w:tcBorders>
            <w:noWrap/>
            <w:vAlign w:val="center"/>
            <w:hideMark/>
          </w:tcPr>
          <w:p w14:paraId="0AD391C0" w14:textId="77777777" w:rsidR="008576C8" w:rsidRPr="00052E20" w:rsidRDefault="008576C8" w:rsidP="008576C8">
            <w:pPr>
              <w:spacing w:line="240" w:lineRule="auto"/>
              <w:ind w:firstLineChars="0" w:firstLine="0"/>
              <w:jc w:val="left"/>
              <w:rPr>
                <w:rFonts w:cs="Times New Roman"/>
                <w:szCs w:val="24"/>
                <w:lang w:val="de-DE"/>
              </w:rPr>
            </w:pPr>
          </w:p>
        </w:tc>
        <w:tc>
          <w:tcPr>
            <w:tcW w:w="922" w:type="dxa"/>
            <w:tcBorders>
              <w:top w:val="single" w:sz="4" w:space="0" w:color="auto"/>
              <w:left w:val="nil"/>
              <w:bottom w:val="nil"/>
              <w:right w:val="nil"/>
            </w:tcBorders>
            <w:vAlign w:val="center"/>
          </w:tcPr>
          <w:p w14:paraId="718B36B5" w14:textId="77777777" w:rsidR="008576C8" w:rsidRPr="00052E20" w:rsidRDefault="008576C8" w:rsidP="008576C8">
            <w:pPr>
              <w:spacing w:line="240" w:lineRule="auto"/>
              <w:ind w:firstLineChars="0" w:firstLine="0"/>
              <w:jc w:val="left"/>
              <w:rPr>
                <w:rFonts w:cs="Times New Roman"/>
                <w:szCs w:val="24"/>
                <w:lang w:val="de-DE"/>
              </w:rPr>
            </w:pPr>
          </w:p>
        </w:tc>
        <w:tc>
          <w:tcPr>
            <w:tcW w:w="922" w:type="dxa"/>
            <w:tcBorders>
              <w:top w:val="single" w:sz="4" w:space="0" w:color="auto"/>
              <w:left w:val="nil"/>
              <w:bottom w:val="nil"/>
              <w:right w:val="nil"/>
            </w:tcBorders>
            <w:noWrap/>
            <w:vAlign w:val="center"/>
            <w:hideMark/>
          </w:tcPr>
          <w:p w14:paraId="04BEB44B" w14:textId="77777777" w:rsidR="008576C8" w:rsidRPr="00052E20" w:rsidRDefault="008576C8" w:rsidP="008576C8">
            <w:pPr>
              <w:spacing w:line="240" w:lineRule="auto"/>
              <w:ind w:firstLineChars="0" w:firstLine="0"/>
              <w:jc w:val="left"/>
              <w:rPr>
                <w:rFonts w:cs="Times New Roman"/>
                <w:szCs w:val="24"/>
                <w:lang w:val="de-DE"/>
              </w:rPr>
            </w:pPr>
          </w:p>
        </w:tc>
        <w:tc>
          <w:tcPr>
            <w:tcW w:w="927" w:type="dxa"/>
            <w:tcBorders>
              <w:top w:val="single" w:sz="4" w:space="0" w:color="auto"/>
              <w:left w:val="nil"/>
              <w:bottom w:val="nil"/>
              <w:right w:val="nil"/>
            </w:tcBorders>
            <w:noWrap/>
            <w:vAlign w:val="center"/>
            <w:hideMark/>
          </w:tcPr>
          <w:p w14:paraId="23176283" w14:textId="77777777" w:rsidR="008576C8" w:rsidRPr="00052E20" w:rsidRDefault="008576C8" w:rsidP="008576C8">
            <w:pPr>
              <w:spacing w:line="240" w:lineRule="auto"/>
              <w:ind w:firstLineChars="0" w:firstLine="0"/>
              <w:jc w:val="left"/>
              <w:rPr>
                <w:rFonts w:cs="Times New Roman"/>
                <w:szCs w:val="24"/>
                <w:lang w:val="de-DE"/>
              </w:rPr>
            </w:pPr>
          </w:p>
        </w:tc>
        <w:tc>
          <w:tcPr>
            <w:tcW w:w="929" w:type="dxa"/>
            <w:tcBorders>
              <w:top w:val="single" w:sz="4" w:space="0" w:color="auto"/>
              <w:left w:val="nil"/>
              <w:bottom w:val="nil"/>
              <w:right w:val="nil"/>
            </w:tcBorders>
            <w:noWrap/>
            <w:vAlign w:val="center"/>
            <w:hideMark/>
          </w:tcPr>
          <w:p w14:paraId="532AF715" w14:textId="77777777" w:rsidR="008576C8" w:rsidRPr="00052E20" w:rsidRDefault="008576C8" w:rsidP="008576C8">
            <w:pPr>
              <w:spacing w:line="240" w:lineRule="auto"/>
              <w:ind w:firstLineChars="0" w:firstLine="0"/>
              <w:jc w:val="left"/>
              <w:rPr>
                <w:rFonts w:cs="Times New Roman"/>
                <w:szCs w:val="24"/>
                <w:lang w:val="de-DE"/>
              </w:rPr>
            </w:pPr>
          </w:p>
        </w:tc>
        <w:tc>
          <w:tcPr>
            <w:tcW w:w="927" w:type="dxa"/>
            <w:tcBorders>
              <w:top w:val="single" w:sz="4" w:space="0" w:color="auto"/>
              <w:left w:val="nil"/>
              <w:bottom w:val="nil"/>
            </w:tcBorders>
            <w:noWrap/>
            <w:vAlign w:val="center"/>
            <w:hideMark/>
          </w:tcPr>
          <w:p w14:paraId="3255C303" w14:textId="77777777" w:rsidR="008576C8" w:rsidRPr="00052E20" w:rsidRDefault="008576C8" w:rsidP="008576C8">
            <w:pPr>
              <w:spacing w:line="240" w:lineRule="auto"/>
              <w:ind w:firstLineChars="0" w:firstLine="0"/>
              <w:jc w:val="left"/>
              <w:rPr>
                <w:rFonts w:cs="Times New Roman"/>
                <w:szCs w:val="24"/>
                <w:lang w:val="de-DE"/>
              </w:rPr>
            </w:pPr>
          </w:p>
        </w:tc>
      </w:tr>
      <w:tr w:rsidR="008576C8" w:rsidRPr="00052E20" w14:paraId="4C9F3A47" w14:textId="77777777" w:rsidTr="008576C8">
        <w:trPr>
          <w:trHeight w:val="399"/>
          <w:jc w:val="center"/>
        </w:trPr>
        <w:tc>
          <w:tcPr>
            <w:tcW w:w="3423" w:type="dxa"/>
            <w:tcBorders>
              <w:top w:val="nil"/>
              <w:bottom w:val="nil"/>
              <w:right w:val="single" w:sz="4" w:space="0" w:color="auto"/>
            </w:tcBorders>
            <w:noWrap/>
            <w:vAlign w:val="center"/>
            <w:hideMark/>
          </w:tcPr>
          <w:p w14:paraId="38B1B4A1" w14:textId="77777777" w:rsidR="008576C8" w:rsidRPr="00052E20" w:rsidRDefault="00923871" w:rsidP="008576C8">
            <w:pPr>
              <w:spacing w:line="240" w:lineRule="auto"/>
              <w:ind w:firstLineChars="0" w:firstLine="0"/>
              <w:rPr>
                <w:rFonts w:cs="Times New Roman"/>
                <w:b/>
                <w:szCs w:val="24"/>
                <w:lang w:val="de-DE"/>
              </w:rPr>
            </w:pPr>
            <m:oMath>
              <m:sSub>
                <m:sSubPr>
                  <m:ctrlPr>
                    <w:rPr>
                      <w:rFonts w:ascii="Cambria Math" w:hAnsi="Cambria Math" w:cs="Times New Roman"/>
                      <w:b/>
                      <w:szCs w:val="24"/>
                      <w:lang w:val="de-DE"/>
                    </w:rPr>
                  </m:ctrlPr>
                </m:sSubPr>
                <m:e>
                  <m:r>
                    <m:rPr>
                      <m:sty m:val="bi"/>
                    </m:rPr>
                    <w:rPr>
                      <w:rFonts w:ascii="Cambria Math" w:hAnsi="Cambria Math" w:cs="Times New Roman"/>
                      <w:szCs w:val="24"/>
                      <w:lang w:val="de-DE"/>
                    </w:rPr>
                    <m:t>R</m:t>
                  </m:r>
                </m:e>
                <m:sub>
                  <m:r>
                    <m:rPr>
                      <m:sty m:val="bi"/>
                    </m:rPr>
                    <w:rPr>
                      <w:rFonts w:ascii="Cambria Math" w:hAnsi="Cambria Math" w:cs="Times New Roman"/>
                      <w:szCs w:val="24"/>
                      <w:lang w:val="de-DE"/>
                    </w:rPr>
                    <m:t>m</m:t>
                  </m:r>
                  <m:r>
                    <m:rPr>
                      <m:sty m:val="b"/>
                    </m:rPr>
                    <w:rPr>
                      <w:rFonts w:ascii="Cambria Math" w:hAnsi="Cambria Math" w:cs="Times New Roman"/>
                      <w:szCs w:val="24"/>
                      <w:lang w:val="de-DE"/>
                    </w:rPr>
                    <m:t>,</m:t>
                  </m:r>
                  <m:r>
                    <m:rPr>
                      <m:sty m:val="bi"/>
                    </m:rPr>
                    <w:rPr>
                      <w:rFonts w:ascii="Cambria Math" w:hAnsi="Cambria Math" w:cs="Times New Roman"/>
                      <w:szCs w:val="24"/>
                      <w:lang w:val="de-DE"/>
                    </w:rPr>
                    <m:t>t</m:t>
                  </m:r>
                </m:sub>
              </m:sSub>
              <m:r>
                <m:rPr>
                  <m:sty m:val="b"/>
                </m:rPr>
                <w:rPr>
                  <w:rFonts w:ascii="Cambria Math" w:hAnsi="Cambria Math" w:cs="Times New Roman"/>
                  <w:szCs w:val="24"/>
                  <w:lang w:val="de-DE"/>
                </w:rPr>
                <m:t>-</m:t>
              </m:r>
              <m:sSub>
                <m:sSubPr>
                  <m:ctrlPr>
                    <w:rPr>
                      <w:rFonts w:ascii="Cambria Math" w:hAnsi="Cambria Math" w:cs="Times New Roman"/>
                      <w:b/>
                      <w:szCs w:val="24"/>
                      <w:lang w:val="de-DE"/>
                    </w:rPr>
                  </m:ctrlPr>
                </m:sSubPr>
                <m:e>
                  <m:r>
                    <m:rPr>
                      <m:sty m:val="bi"/>
                    </m:rPr>
                    <w:rPr>
                      <w:rFonts w:ascii="Cambria Math" w:hAnsi="Cambria Math" w:cs="Times New Roman"/>
                      <w:szCs w:val="24"/>
                      <w:lang w:val="de-DE"/>
                    </w:rPr>
                    <m:t>R</m:t>
                  </m:r>
                </m:e>
                <m:sub>
                  <m:r>
                    <m:rPr>
                      <m:sty m:val="bi"/>
                    </m:rPr>
                    <w:rPr>
                      <w:rFonts w:ascii="Cambria Math" w:hAnsi="Cambria Math" w:cs="Times New Roman"/>
                      <w:szCs w:val="24"/>
                      <w:lang w:val="de-DE"/>
                    </w:rPr>
                    <m:t>f</m:t>
                  </m:r>
                  <m:r>
                    <m:rPr>
                      <m:sty m:val="b"/>
                    </m:rPr>
                    <w:rPr>
                      <w:rFonts w:ascii="Cambria Math" w:hAnsi="Cambria Math" w:cs="Times New Roman"/>
                      <w:szCs w:val="24"/>
                      <w:lang w:val="de-DE"/>
                    </w:rPr>
                    <m:t>,</m:t>
                  </m:r>
                  <m:r>
                    <m:rPr>
                      <m:sty m:val="bi"/>
                    </m:rPr>
                    <w:rPr>
                      <w:rFonts w:ascii="Cambria Math" w:hAnsi="Cambria Math" w:cs="Times New Roman"/>
                      <w:szCs w:val="24"/>
                      <w:lang w:val="de-DE"/>
                    </w:rPr>
                    <m:t>t</m:t>
                  </m:r>
                </m:sub>
              </m:sSub>
            </m:oMath>
            <w:r w:rsidR="008576C8" w:rsidRPr="00052E20">
              <w:rPr>
                <w:rFonts w:cs="Times New Roman"/>
                <w:b/>
                <w:szCs w:val="24"/>
                <w:lang w:val="de-DE"/>
              </w:rPr>
              <w:t>(%) (02)</w:t>
            </w:r>
          </w:p>
        </w:tc>
        <w:tc>
          <w:tcPr>
            <w:tcW w:w="927" w:type="dxa"/>
            <w:tcBorders>
              <w:top w:val="nil"/>
              <w:left w:val="single" w:sz="4" w:space="0" w:color="auto"/>
              <w:bottom w:val="nil"/>
              <w:right w:val="nil"/>
            </w:tcBorders>
            <w:noWrap/>
            <w:vAlign w:val="center"/>
            <w:hideMark/>
          </w:tcPr>
          <w:p w14:paraId="146B5710" w14:textId="77777777" w:rsidR="008576C8" w:rsidRPr="00052E20" w:rsidRDefault="008576C8" w:rsidP="008576C8">
            <w:pPr>
              <w:spacing w:line="240" w:lineRule="auto"/>
              <w:ind w:firstLineChars="0" w:firstLine="0"/>
              <w:jc w:val="left"/>
              <w:rPr>
                <w:rFonts w:cs="Times New Roman"/>
                <w:szCs w:val="24"/>
                <w:lang w:val="de-DE"/>
              </w:rPr>
            </w:pPr>
            <w:r w:rsidRPr="00052E20">
              <w:rPr>
                <w:rFonts w:cs="Times New Roman"/>
                <w:szCs w:val="24"/>
              </w:rPr>
              <w:t>0.0</w:t>
            </w:r>
            <w:r>
              <w:rPr>
                <w:rFonts w:cs="Times New Roman"/>
                <w:szCs w:val="24"/>
              </w:rPr>
              <w:t>35</w:t>
            </w:r>
          </w:p>
        </w:tc>
        <w:tc>
          <w:tcPr>
            <w:tcW w:w="929" w:type="dxa"/>
            <w:tcBorders>
              <w:top w:val="nil"/>
              <w:left w:val="nil"/>
              <w:bottom w:val="nil"/>
              <w:right w:val="nil"/>
            </w:tcBorders>
            <w:noWrap/>
            <w:vAlign w:val="center"/>
            <w:hideMark/>
          </w:tcPr>
          <w:p w14:paraId="74F7BABB" w14:textId="77777777" w:rsidR="008576C8" w:rsidRPr="00052E20" w:rsidRDefault="008576C8" w:rsidP="008576C8">
            <w:pPr>
              <w:spacing w:line="240" w:lineRule="auto"/>
              <w:ind w:firstLineChars="0" w:firstLine="0"/>
              <w:jc w:val="left"/>
              <w:rPr>
                <w:rFonts w:cs="Times New Roman"/>
                <w:szCs w:val="24"/>
                <w:lang w:val="de-DE"/>
              </w:rPr>
            </w:pPr>
            <w:r w:rsidRPr="00052E20">
              <w:rPr>
                <w:rFonts w:cs="Times New Roman"/>
                <w:szCs w:val="24"/>
              </w:rPr>
              <w:t>1.000</w:t>
            </w:r>
          </w:p>
        </w:tc>
        <w:tc>
          <w:tcPr>
            <w:tcW w:w="877" w:type="dxa"/>
            <w:tcBorders>
              <w:top w:val="nil"/>
              <w:left w:val="nil"/>
              <w:bottom w:val="nil"/>
              <w:right w:val="nil"/>
            </w:tcBorders>
            <w:noWrap/>
            <w:vAlign w:val="center"/>
            <w:hideMark/>
          </w:tcPr>
          <w:p w14:paraId="5EC3816E" w14:textId="77777777" w:rsidR="008576C8" w:rsidRPr="00052E20" w:rsidRDefault="008576C8" w:rsidP="008576C8">
            <w:pPr>
              <w:spacing w:line="240" w:lineRule="auto"/>
              <w:ind w:firstLineChars="0" w:firstLine="0"/>
              <w:jc w:val="left"/>
              <w:rPr>
                <w:rFonts w:cs="Times New Roman"/>
                <w:szCs w:val="24"/>
                <w:lang w:val="de-DE"/>
              </w:rPr>
            </w:pPr>
          </w:p>
        </w:tc>
        <w:tc>
          <w:tcPr>
            <w:tcW w:w="828" w:type="dxa"/>
            <w:tcBorders>
              <w:top w:val="nil"/>
              <w:left w:val="nil"/>
              <w:bottom w:val="nil"/>
              <w:right w:val="nil"/>
            </w:tcBorders>
            <w:noWrap/>
            <w:vAlign w:val="center"/>
            <w:hideMark/>
          </w:tcPr>
          <w:p w14:paraId="0D494F93" w14:textId="77777777" w:rsidR="008576C8" w:rsidRPr="00052E20" w:rsidRDefault="008576C8" w:rsidP="008576C8">
            <w:pPr>
              <w:spacing w:line="240" w:lineRule="auto"/>
              <w:ind w:firstLineChars="0" w:firstLine="0"/>
              <w:jc w:val="left"/>
              <w:rPr>
                <w:rFonts w:cs="Times New Roman"/>
                <w:szCs w:val="24"/>
                <w:lang w:val="de-DE"/>
              </w:rPr>
            </w:pPr>
          </w:p>
        </w:tc>
        <w:tc>
          <w:tcPr>
            <w:tcW w:w="929" w:type="dxa"/>
            <w:tcBorders>
              <w:top w:val="nil"/>
              <w:left w:val="nil"/>
              <w:bottom w:val="nil"/>
              <w:right w:val="nil"/>
            </w:tcBorders>
            <w:noWrap/>
            <w:vAlign w:val="center"/>
            <w:hideMark/>
          </w:tcPr>
          <w:p w14:paraId="507E827C" w14:textId="77777777" w:rsidR="008576C8" w:rsidRPr="00052E20" w:rsidRDefault="008576C8" w:rsidP="008576C8">
            <w:pPr>
              <w:spacing w:line="240" w:lineRule="auto"/>
              <w:ind w:firstLineChars="0" w:firstLine="0"/>
              <w:jc w:val="left"/>
              <w:rPr>
                <w:rFonts w:cs="Times New Roman"/>
                <w:szCs w:val="24"/>
                <w:lang w:val="de-DE"/>
              </w:rPr>
            </w:pPr>
          </w:p>
        </w:tc>
        <w:tc>
          <w:tcPr>
            <w:tcW w:w="927" w:type="dxa"/>
            <w:tcBorders>
              <w:top w:val="nil"/>
              <w:left w:val="nil"/>
              <w:bottom w:val="nil"/>
              <w:right w:val="nil"/>
            </w:tcBorders>
            <w:noWrap/>
            <w:vAlign w:val="center"/>
            <w:hideMark/>
          </w:tcPr>
          <w:p w14:paraId="20609ED9" w14:textId="77777777" w:rsidR="008576C8" w:rsidRPr="00052E20" w:rsidRDefault="008576C8" w:rsidP="008576C8">
            <w:pPr>
              <w:spacing w:line="240" w:lineRule="auto"/>
              <w:ind w:firstLineChars="0" w:firstLine="0"/>
              <w:jc w:val="left"/>
              <w:rPr>
                <w:rFonts w:cs="Times New Roman"/>
                <w:szCs w:val="24"/>
                <w:lang w:val="de-DE"/>
              </w:rPr>
            </w:pPr>
          </w:p>
        </w:tc>
        <w:tc>
          <w:tcPr>
            <w:tcW w:w="929" w:type="dxa"/>
            <w:tcBorders>
              <w:top w:val="nil"/>
              <w:left w:val="nil"/>
              <w:bottom w:val="nil"/>
              <w:right w:val="nil"/>
            </w:tcBorders>
            <w:noWrap/>
            <w:vAlign w:val="center"/>
            <w:hideMark/>
          </w:tcPr>
          <w:p w14:paraId="35BAAF78" w14:textId="77777777" w:rsidR="008576C8" w:rsidRPr="00052E20" w:rsidRDefault="008576C8" w:rsidP="008576C8">
            <w:pPr>
              <w:spacing w:line="240" w:lineRule="auto"/>
              <w:ind w:firstLineChars="0" w:firstLine="0"/>
              <w:jc w:val="left"/>
              <w:rPr>
                <w:rFonts w:cs="Times New Roman"/>
                <w:szCs w:val="24"/>
                <w:lang w:val="de-DE"/>
              </w:rPr>
            </w:pPr>
          </w:p>
        </w:tc>
        <w:tc>
          <w:tcPr>
            <w:tcW w:w="927" w:type="dxa"/>
            <w:tcBorders>
              <w:top w:val="nil"/>
              <w:left w:val="nil"/>
              <w:bottom w:val="nil"/>
              <w:right w:val="nil"/>
            </w:tcBorders>
            <w:noWrap/>
            <w:vAlign w:val="center"/>
            <w:hideMark/>
          </w:tcPr>
          <w:p w14:paraId="55EA50C1" w14:textId="77777777" w:rsidR="008576C8" w:rsidRPr="00052E20" w:rsidRDefault="008576C8" w:rsidP="008576C8">
            <w:pPr>
              <w:spacing w:line="240" w:lineRule="auto"/>
              <w:ind w:firstLineChars="0" w:firstLine="0"/>
              <w:jc w:val="left"/>
              <w:rPr>
                <w:rFonts w:cs="Times New Roman"/>
                <w:szCs w:val="24"/>
                <w:lang w:val="de-DE"/>
              </w:rPr>
            </w:pPr>
          </w:p>
        </w:tc>
        <w:tc>
          <w:tcPr>
            <w:tcW w:w="922" w:type="dxa"/>
            <w:tcBorders>
              <w:top w:val="nil"/>
              <w:left w:val="nil"/>
              <w:bottom w:val="nil"/>
              <w:right w:val="nil"/>
            </w:tcBorders>
            <w:vAlign w:val="center"/>
          </w:tcPr>
          <w:p w14:paraId="1928E4DE" w14:textId="77777777" w:rsidR="008576C8" w:rsidRPr="00052E20" w:rsidRDefault="008576C8" w:rsidP="008576C8">
            <w:pPr>
              <w:spacing w:line="240" w:lineRule="auto"/>
              <w:ind w:firstLineChars="0" w:firstLine="0"/>
              <w:jc w:val="left"/>
              <w:rPr>
                <w:rFonts w:cs="Times New Roman"/>
                <w:szCs w:val="24"/>
                <w:lang w:val="de-DE"/>
              </w:rPr>
            </w:pPr>
          </w:p>
        </w:tc>
        <w:tc>
          <w:tcPr>
            <w:tcW w:w="922" w:type="dxa"/>
            <w:tcBorders>
              <w:top w:val="nil"/>
              <w:left w:val="nil"/>
              <w:bottom w:val="nil"/>
              <w:right w:val="nil"/>
            </w:tcBorders>
            <w:noWrap/>
            <w:vAlign w:val="center"/>
            <w:hideMark/>
          </w:tcPr>
          <w:p w14:paraId="50E0C993" w14:textId="77777777" w:rsidR="008576C8" w:rsidRPr="00052E20" w:rsidRDefault="008576C8" w:rsidP="008576C8">
            <w:pPr>
              <w:spacing w:line="240" w:lineRule="auto"/>
              <w:ind w:firstLineChars="0" w:firstLine="0"/>
              <w:jc w:val="left"/>
              <w:rPr>
                <w:rFonts w:cs="Times New Roman"/>
                <w:szCs w:val="24"/>
                <w:lang w:val="de-DE"/>
              </w:rPr>
            </w:pPr>
          </w:p>
        </w:tc>
        <w:tc>
          <w:tcPr>
            <w:tcW w:w="927" w:type="dxa"/>
            <w:tcBorders>
              <w:top w:val="nil"/>
              <w:left w:val="nil"/>
              <w:bottom w:val="nil"/>
              <w:right w:val="nil"/>
            </w:tcBorders>
            <w:noWrap/>
            <w:vAlign w:val="center"/>
            <w:hideMark/>
          </w:tcPr>
          <w:p w14:paraId="5AA1FDB1" w14:textId="77777777" w:rsidR="008576C8" w:rsidRPr="00052E20" w:rsidRDefault="008576C8" w:rsidP="008576C8">
            <w:pPr>
              <w:spacing w:line="240" w:lineRule="auto"/>
              <w:ind w:firstLineChars="0" w:firstLine="0"/>
              <w:jc w:val="left"/>
              <w:rPr>
                <w:rFonts w:cs="Times New Roman"/>
                <w:szCs w:val="24"/>
                <w:lang w:val="de-DE"/>
              </w:rPr>
            </w:pPr>
          </w:p>
        </w:tc>
        <w:tc>
          <w:tcPr>
            <w:tcW w:w="929" w:type="dxa"/>
            <w:tcBorders>
              <w:top w:val="nil"/>
              <w:left w:val="nil"/>
              <w:bottom w:val="nil"/>
              <w:right w:val="nil"/>
            </w:tcBorders>
            <w:noWrap/>
            <w:vAlign w:val="center"/>
            <w:hideMark/>
          </w:tcPr>
          <w:p w14:paraId="138E61B8" w14:textId="77777777" w:rsidR="008576C8" w:rsidRPr="00052E20" w:rsidRDefault="008576C8" w:rsidP="008576C8">
            <w:pPr>
              <w:spacing w:line="240" w:lineRule="auto"/>
              <w:ind w:firstLineChars="0" w:firstLine="0"/>
              <w:jc w:val="left"/>
              <w:rPr>
                <w:rFonts w:cs="Times New Roman"/>
                <w:szCs w:val="24"/>
                <w:lang w:val="de-DE"/>
              </w:rPr>
            </w:pPr>
          </w:p>
        </w:tc>
        <w:tc>
          <w:tcPr>
            <w:tcW w:w="927" w:type="dxa"/>
            <w:tcBorders>
              <w:top w:val="nil"/>
              <w:left w:val="nil"/>
              <w:bottom w:val="nil"/>
            </w:tcBorders>
            <w:noWrap/>
            <w:vAlign w:val="center"/>
            <w:hideMark/>
          </w:tcPr>
          <w:p w14:paraId="58479154" w14:textId="77777777" w:rsidR="008576C8" w:rsidRPr="00052E20" w:rsidRDefault="008576C8" w:rsidP="008576C8">
            <w:pPr>
              <w:spacing w:line="240" w:lineRule="auto"/>
              <w:ind w:firstLineChars="0" w:firstLine="0"/>
              <w:jc w:val="left"/>
              <w:rPr>
                <w:rFonts w:cs="Times New Roman"/>
                <w:szCs w:val="24"/>
                <w:lang w:val="de-DE"/>
              </w:rPr>
            </w:pPr>
          </w:p>
        </w:tc>
      </w:tr>
      <w:tr w:rsidR="008576C8" w:rsidRPr="00052E20" w14:paraId="6B762440" w14:textId="77777777" w:rsidTr="008576C8">
        <w:trPr>
          <w:trHeight w:val="399"/>
          <w:jc w:val="center"/>
        </w:trPr>
        <w:tc>
          <w:tcPr>
            <w:tcW w:w="3423" w:type="dxa"/>
            <w:tcBorders>
              <w:top w:val="nil"/>
              <w:bottom w:val="nil"/>
              <w:right w:val="single" w:sz="4" w:space="0" w:color="auto"/>
            </w:tcBorders>
            <w:noWrap/>
            <w:vAlign w:val="center"/>
            <w:hideMark/>
          </w:tcPr>
          <w:p w14:paraId="138B8BD0" w14:textId="77777777" w:rsidR="008576C8" w:rsidRPr="00052E20" w:rsidRDefault="008576C8" w:rsidP="008576C8">
            <w:pPr>
              <w:spacing w:line="240" w:lineRule="auto"/>
              <w:ind w:firstLineChars="0" w:firstLine="0"/>
              <w:rPr>
                <w:rFonts w:cs="Times New Roman"/>
                <w:b/>
                <w:szCs w:val="24"/>
                <w:lang w:val="de-DE"/>
              </w:rPr>
            </w:pPr>
            <w:r w:rsidRPr="00052E20">
              <w:rPr>
                <w:rFonts w:cs="Times New Roman"/>
                <w:b/>
                <w:szCs w:val="24"/>
                <w:lang w:val="de-DE"/>
              </w:rPr>
              <w:t>SMB (03)</w:t>
            </w:r>
          </w:p>
        </w:tc>
        <w:tc>
          <w:tcPr>
            <w:tcW w:w="927" w:type="dxa"/>
            <w:tcBorders>
              <w:top w:val="nil"/>
              <w:left w:val="single" w:sz="4" w:space="0" w:color="auto"/>
              <w:bottom w:val="nil"/>
              <w:right w:val="nil"/>
            </w:tcBorders>
            <w:noWrap/>
            <w:vAlign w:val="center"/>
            <w:hideMark/>
          </w:tcPr>
          <w:p w14:paraId="6B7F721E" w14:textId="77777777" w:rsidR="008576C8" w:rsidRPr="00052E20" w:rsidRDefault="008576C8" w:rsidP="008576C8">
            <w:pPr>
              <w:spacing w:line="240" w:lineRule="auto"/>
              <w:ind w:firstLineChars="0" w:firstLine="0"/>
              <w:jc w:val="left"/>
              <w:rPr>
                <w:rFonts w:cs="Times New Roman"/>
                <w:szCs w:val="24"/>
                <w:lang w:val="de-DE"/>
              </w:rPr>
            </w:pPr>
            <w:r>
              <w:rPr>
                <w:rFonts w:cs="Times New Roman"/>
                <w:szCs w:val="24"/>
              </w:rPr>
              <w:t>0.068</w:t>
            </w:r>
          </w:p>
        </w:tc>
        <w:tc>
          <w:tcPr>
            <w:tcW w:w="929" w:type="dxa"/>
            <w:tcBorders>
              <w:top w:val="nil"/>
              <w:left w:val="nil"/>
              <w:bottom w:val="nil"/>
              <w:right w:val="nil"/>
            </w:tcBorders>
            <w:noWrap/>
            <w:vAlign w:val="center"/>
            <w:hideMark/>
          </w:tcPr>
          <w:p w14:paraId="1349D4A6" w14:textId="77777777" w:rsidR="008576C8" w:rsidRPr="00052E20" w:rsidRDefault="008576C8" w:rsidP="008576C8">
            <w:pPr>
              <w:spacing w:line="240" w:lineRule="auto"/>
              <w:ind w:firstLineChars="0" w:firstLine="0"/>
              <w:jc w:val="left"/>
              <w:rPr>
                <w:rFonts w:cs="Times New Roman"/>
                <w:szCs w:val="24"/>
                <w:lang w:val="de-DE"/>
              </w:rPr>
            </w:pPr>
            <w:r>
              <w:rPr>
                <w:rFonts w:cs="Times New Roman"/>
                <w:szCs w:val="24"/>
              </w:rPr>
              <w:t>-</w:t>
            </w:r>
            <w:r w:rsidRPr="00052E20">
              <w:rPr>
                <w:rFonts w:cs="Times New Roman"/>
                <w:szCs w:val="24"/>
              </w:rPr>
              <w:t>0.0</w:t>
            </w:r>
            <w:r>
              <w:rPr>
                <w:rFonts w:cs="Times New Roman"/>
                <w:szCs w:val="24"/>
              </w:rPr>
              <w:t>66</w:t>
            </w:r>
          </w:p>
        </w:tc>
        <w:tc>
          <w:tcPr>
            <w:tcW w:w="877" w:type="dxa"/>
            <w:tcBorders>
              <w:top w:val="nil"/>
              <w:left w:val="nil"/>
              <w:bottom w:val="nil"/>
              <w:right w:val="nil"/>
            </w:tcBorders>
            <w:noWrap/>
            <w:vAlign w:val="center"/>
            <w:hideMark/>
          </w:tcPr>
          <w:p w14:paraId="126F9F93" w14:textId="77777777" w:rsidR="008576C8" w:rsidRPr="00052E20" w:rsidRDefault="008576C8" w:rsidP="008576C8">
            <w:pPr>
              <w:spacing w:line="240" w:lineRule="auto"/>
              <w:ind w:firstLineChars="0" w:firstLine="0"/>
              <w:jc w:val="left"/>
              <w:rPr>
                <w:rFonts w:cs="Times New Roman"/>
                <w:szCs w:val="24"/>
                <w:lang w:val="de-DE"/>
              </w:rPr>
            </w:pPr>
            <w:r w:rsidRPr="00052E20">
              <w:rPr>
                <w:rFonts w:cs="Times New Roman"/>
                <w:szCs w:val="24"/>
              </w:rPr>
              <w:t>1.000</w:t>
            </w:r>
          </w:p>
        </w:tc>
        <w:tc>
          <w:tcPr>
            <w:tcW w:w="828" w:type="dxa"/>
            <w:tcBorders>
              <w:top w:val="nil"/>
              <w:left w:val="nil"/>
              <w:bottom w:val="nil"/>
              <w:right w:val="nil"/>
            </w:tcBorders>
            <w:noWrap/>
            <w:vAlign w:val="center"/>
            <w:hideMark/>
          </w:tcPr>
          <w:p w14:paraId="5F4997E0" w14:textId="77777777" w:rsidR="008576C8" w:rsidRPr="00052E20" w:rsidRDefault="008576C8" w:rsidP="008576C8">
            <w:pPr>
              <w:spacing w:line="240" w:lineRule="auto"/>
              <w:ind w:firstLineChars="0" w:firstLine="0"/>
              <w:jc w:val="left"/>
              <w:rPr>
                <w:rFonts w:cs="Times New Roman"/>
                <w:szCs w:val="24"/>
                <w:lang w:val="de-DE"/>
              </w:rPr>
            </w:pPr>
          </w:p>
        </w:tc>
        <w:tc>
          <w:tcPr>
            <w:tcW w:w="929" w:type="dxa"/>
            <w:tcBorders>
              <w:top w:val="nil"/>
              <w:left w:val="nil"/>
              <w:bottom w:val="nil"/>
              <w:right w:val="nil"/>
            </w:tcBorders>
            <w:noWrap/>
            <w:vAlign w:val="center"/>
            <w:hideMark/>
          </w:tcPr>
          <w:p w14:paraId="25546589" w14:textId="77777777" w:rsidR="008576C8" w:rsidRPr="00052E20" w:rsidRDefault="008576C8" w:rsidP="008576C8">
            <w:pPr>
              <w:spacing w:line="240" w:lineRule="auto"/>
              <w:ind w:firstLineChars="0" w:firstLine="0"/>
              <w:jc w:val="left"/>
              <w:rPr>
                <w:rFonts w:cs="Times New Roman"/>
                <w:szCs w:val="24"/>
                <w:lang w:val="de-DE"/>
              </w:rPr>
            </w:pPr>
          </w:p>
        </w:tc>
        <w:tc>
          <w:tcPr>
            <w:tcW w:w="927" w:type="dxa"/>
            <w:tcBorders>
              <w:top w:val="nil"/>
              <w:left w:val="nil"/>
              <w:bottom w:val="nil"/>
              <w:right w:val="nil"/>
            </w:tcBorders>
            <w:noWrap/>
            <w:vAlign w:val="center"/>
            <w:hideMark/>
          </w:tcPr>
          <w:p w14:paraId="31C80798" w14:textId="77777777" w:rsidR="008576C8" w:rsidRPr="00052E20" w:rsidRDefault="008576C8" w:rsidP="008576C8">
            <w:pPr>
              <w:spacing w:line="240" w:lineRule="auto"/>
              <w:ind w:firstLineChars="0" w:firstLine="0"/>
              <w:jc w:val="left"/>
              <w:rPr>
                <w:rFonts w:cs="Times New Roman"/>
                <w:szCs w:val="24"/>
                <w:lang w:val="de-DE"/>
              </w:rPr>
            </w:pPr>
          </w:p>
        </w:tc>
        <w:tc>
          <w:tcPr>
            <w:tcW w:w="929" w:type="dxa"/>
            <w:tcBorders>
              <w:top w:val="nil"/>
              <w:left w:val="nil"/>
              <w:bottom w:val="nil"/>
              <w:right w:val="nil"/>
            </w:tcBorders>
            <w:noWrap/>
            <w:vAlign w:val="center"/>
            <w:hideMark/>
          </w:tcPr>
          <w:p w14:paraId="61D82F5A" w14:textId="77777777" w:rsidR="008576C8" w:rsidRPr="00052E20" w:rsidRDefault="008576C8" w:rsidP="008576C8">
            <w:pPr>
              <w:spacing w:line="240" w:lineRule="auto"/>
              <w:ind w:firstLineChars="0" w:firstLine="0"/>
              <w:jc w:val="left"/>
              <w:rPr>
                <w:rFonts w:cs="Times New Roman"/>
                <w:szCs w:val="24"/>
                <w:lang w:val="de-DE"/>
              </w:rPr>
            </w:pPr>
          </w:p>
        </w:tc>
        <w:tc>
          <w:tcPr>
            <w:tcW w:w="927" w:type="dxa"/>
            <w:tcBorders>
              <w:top w:val="nil"/>
              <w:left w:val="nil"/>
              <w:bottom w:val="nil"/>
              <w:right w:val="nil"/>
            </w:tcBorders>
            <w:noWrap/>
            <w:vAlign w:val="center"/>
            <w:hideMark/>
          </w:tcPr>
          <w:p w14:paraId="3D9D876E" w14:textId="77777777" w:rsidR="008576C8" w:rsidRPr="00052E20" w:rsidRDefault="008576C8" w:rsidP="008576C8">
            <w:pPr>
              <w:spacing w:line="240" w:lineRule="auto"/>
              <w:ind w:firstLineChars="0" w:firstLine="0"/>
              <w:jc w:val="left"/>
              <w:rPr>
                <w:rFonts w:cs="Times New Roman"/>
                <w:szCs w:val="24"/>
                <w:lang w:val="de-DE"/>
              </w:rPr>
            </w:pPr>
          </w:p>
        </w:tc>
        <w:tc>
          <w:tcPr>
            <w:tcW w:w="922" w:type="dxa"/>
            <w:tcBorders>
              <w:top w:val="nil"/>
              <w:left w:val="nil"/>
              <w:bottom w:val="nil"/>
              <w:right w:val="nil"/>
            </w:tcBorders>
            <w:vAlign w:val="center"/>
          </w:tcPr>
          <w:p w14:paraId="5F616AD7" w14:textId="77777777" w:rsidR="008576C8" w:rsidRPr="00052E20" w:rsidRDefault="008576C8" w:rsidP="008576C8">
            <w:pPr>
              <w:spacing w:line="240" w:lineRule="auto"/>
              <w:ind w:firstLineChars="0" w:firstLine="0"/>
              <w:jc w:val="left"/>
              <w:rPr>
                <w:rFonts w:cs="Times New Roman"/>
                <w:szCs w:val="24"/>
                <w:lang w:val="de-DE"/>
              </w:rPr>
            </w:pPr>
          </w:p>
        </w:tc>
        <w:tc>
          <w:tcPr>
            <w:tcW w:w="922" w:type="dxa"/>
            <w:tcBorders>
              <w:top w:val="nil"/>
              <w:left w:val="nil"/>
              <w:bottom w:val="nil"/>
              <w:right w:val="nil"/>
            </w:tcBorders>
            <w:noWrap/>
            <w:vAlign w:val="center"/>
            <w:hideMark/>
          </w:tcPr>
          <w:p w14:paraId="374C98D1" w14:textId="77777777" w:rsidR="008576C8" w:rsidRPr="00052E20" w:rsidRDefault="008576C8" w:rsidP="008576C8">
            <w:pPr>
              <w:spacing w:line="240" w:lineRule="auto"/>
              <w:ind w:firstLineChars="0" w:firstLine="0"/>
              <w:jc w:val="left"/>
              <w:rPr>
                <w:rFonts w:cs="Times New Roman"/>
                <w:szCs w:val="24"/>
                <w:lang w:val="de-DE"/>
              </w:rPr>
            </w:pPr>
          </w:p>
        </w:tc>
        <w:tc>
          <w:tcPr>
            <w:tcW w:w="927" w:type="dxa"/>
            <w:tcBorders>
              <w:top w:val="nil"/>
              <w:left w:val="nil"/>
              <w:bottom w:val="nil"/>
              <w:right w:val="nil"/>
            </w:tcBorders>
            <w:noWrap/>
            <w:vAlign w:val="center"/>
            <w:hideMark/>
          </w:tcPr>
          <w:p w14:paraId="108F542F" w14:textId="77777777" w:rsidR="008576C8" w:rsidRPr="00052E20" w:rsidRDefault="008576C8" w:rsidP="008576C8">
            <w:pPr>
              <w:spacing w:line="240" w:lineRule="auto"/>
              <w:ind w:firstLineChars="0" w:firstLine="0"/>
              <w:jc w:val="left"/>
              <w:rPr>
                <w:rFonts w:cs="Times New Roman"/>
                <w:szCs w:val="24"/>
                <w:lang w:val="de-DE"/>
              </w:rPr>
            </w:pPr>
          </w:p>
        </w:tc>
        <w:tc>
          <w:tcPr>
            <w:tcW w:w="929" w:type="dxa"/>
            <w:tcBorders>
              <w:top w:val="nil"/>
              <w:left w:val="nil"/>
              <w:bottom w:val="nil"/>
              <w:right w:val="nil"/>
            </w:tcBorders>
            <w:noWrap/>
            <w:vAlign w:val="center"/>
            <w:hideMark/>
          </w:tcPr>
          <w:p w14:paraId="659D42C6" w14:textId="77777777" w:rsidR="008576C8" w:rsidRPr="00052E20" w:rsidRDefault="008576C8" w:rsidP="008576C8">
            <w:pPr>
              <w:spacing w:line="240" w:lineRule="auto"/>
              <w:ind w:firstLineChars="0" w:firstLine="0"/>
              <w:jc w:val="left"/>
              <w:rPr>
                <w:rFonts w:cs="Times New Roman"/>
                <w:szCs w:val="24"/>
                <w:lang w:val="de-DE"/>
              </w:rPr>
            </w:pPr>
          </w:p>
        </w:tc>
        <w:tc>
          <w:tcPr>
            <w:tcW w:w="927" w:type="dxa"/>
            <w:tcBorders>
              <w:top w:val="nil"/>
              <w:left w:val="nil"/>
              <w:bottom w:val="nil"/>
            </w:tcBorders>
            <w:noWrap/>
            <w:vAlign w:val="center"/>
            <w:hideMark/>
          </w:tcPr>
          <w:p w14:paraId="5D178C81" w14:textId="77777777" w:rsidR="008576C8" w:rsidRPr="00052E20" w:rsidRDefault="008576C8" w:rsidP="008576C8">
            <w:pPr>
              <w:spacing w:line="240" w:lineRule="auto"/>
              <w:ind w:firstLineChars="0" w:firstLine="0"/>
              <w:jc w:val="left"/>
              <w:rPr>
                <w:rFonts w:cs="Times New Roman"/>
                <w:szCs w:val="24"/>
                <w:lang w:val="de-DE"/>
              </w:rPr>
            </w:pPr>
          </w:p>
        </w:tc>
      </w:tr>
      <w:tr w:rsidR="008576C8" w:rsidRPr="00052E20" w14:paraId="129D9ABE" w14:textId="77777777" w:rsidTr="008576C8">
        <w:trPr>
          <w:trHeight w:val="399"/>
          <w:jc w:val="center"/>
        </w:trPr>
        <w:tc>
          <w:tcPr>
            <w:tcW w:w="3423" w:type="dxa"/>
            <w:tcBorders>
              <w:top w:val="nil"/>
              <w:bottom w:val="nil"/>
              <w:right w:val="single" w:sz="4" w:space="0" w:color="auto"/>
            </w:tcBorders>
            <w:noWrap/>
            <w:vAlign w:val="center"/>
            <w:hideMark/>
          </w:tcPr>
          <w:p w14:paraId="2E59A0F7" w14:textId="77777777" w:rsidR="008576C8" w:rsidRPr="00052E20" w:rsidRDefault="008576C8" w:rsidP="008576C8">
            <w:pPr>
              <w:spacing w:line="240" w:lineRule="auto"/>
              <w:ind w:firstLineChars="0" w:firstLine="0"/>
              <w:rPr>
                <w:rFonts w:cs="Times New Roman"/>
                <w:b/>
                <w:szCs w:val="24"/>
                <w:lang w:val="de-DE"/>
              </w:rPr>
            </w:pPr>
            <w:r w:rsidRPr="00052E20">
              <w:rPr>
                <w:rFonts w:cs="Times New Roman"/>
                <w:b/>
                <w:szCs w:val="24"/>
                <w:lang w:val="de-DE"/>
              </w:rPr>
              <w:t>HML (04)</w:t>
            </w:r>
          </w:p>
        </w:tc>
        <w:tc>
          <w:tcPr>
            <w:tcW w:w="927" w:type="dxa"/>
            <w:tcBorders>
              <w:top w:val="nil"/>
              <w:left w:val="single" w:sz="4" w:space="0" w:color="auto"/>
              <w:bottom w:val="nil"/>
              <w:right w:val="nil"/>
            </w:tcBorders>
            <w:noWrap/>
            <w:vAlign w:val="center"/>
            <w:hideMark/>
          </w:tcPr>
          <w:p w14:paraId="3F80E4FE" w14:textId="77777777" w:rsidR="008576C8" w:rsidRPr="00052E20" w:rsidRDefault="008576C8" w:rsidP="008576C8">
            <w:pPr>
              <w:spacing w:line="240" w:lineRule="auto"/>
              <w:ind w:firstLineChars="0" w:firstLine="0"/>
              <w:jc w:val="left"/>
              <w:rPr>
                <w:rFonts w:cs="Times New Roman"/>
                <w:szCs w:val="24"/>
                <w:lang w:val="de-DE"/>
              </w:rPr>
            </w:pPr>
            <w:r>
              <w:rPr>
                <w:rFonts w:cs="Times New Roman"/>
                <w:szCs w:val="24"/>
              </w:rPr>
              <w:t>0.109</w:t>
            </w:r>
          </w:p>
        </w:tc>
        <w:tc>
          <w:tcPr>
            <w:tcW w:w="929" w:type="dxa"/>
            <w:tcBorders>
              <w:top w:val="nil"/>
              <w:left w:val="nil"/>
              <w:bottom w:val="nil"/>
              <w:right w:val="nil"/>
            </w:tcBorders>
            <w:noWrap/>
            <w:vAlign w:val="center"/>
            <w:hideMark/>
          </w:tcPr>
          <w:p w14:paraId="4EDDC621" w14:textId="77777777" w:rsidR="008576C8" w:rsidRPr="00052E20" w:rsidRDefault="008576C8" w:rsidP="008576C8">
            <w:pPr>
              <w:spacing w:line="240" w:lineRule="auto"/>
              <w:ind w:firstLineChars="0" w:firstLine="0"/>
              <w:jc w:val="left"/>
              <w:rPr>
                <w:rFonts w:cs="Times New Roman"/>
                <w:szCs w:val="24"/>
                <w:lang w:val="de-DE"/>
              </w:rPr>
            </w:pPr>
            <w:r w:rsidRPr="00052E20">
              <w:rPr>
                <w:rFonts w:cs="Times New Roman"/>
                <w:szCs w:val="24"/>
              </w:rPr>
              <w:t>-0.</w:t>
            </w:r>
            <w:r>
              <w:rPr>
                <w:rFonts w:cs="Times New Roman"/>
                <w:szCs w:val="24"/>
              </w:rPr>
              <w:t>030</w:t>
            </w:r>
          </w:p>
        </w:tc>
        <w:tc>
          <w:tcPr>
            <w:tcW w:w="877" w:type="dxa"/>
            <w:tcBorders>
              <w:top w:val="nil"/>
              <w:left w:val="nil"/>
              <w:bottom w:val="nil"/>
              <w:right w:val="nil"/>
            </w:tcBorders>
            <w:noWrap/>
            <w:vAlign w:val="center"/>
            <w:hideMark/>
          </w:tcPr>
          <w:p w14:paraId="2D06C25F"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-0.595</w:t>
            </w:r>
          </w:p>
        </w:tc>
        <w:tc>
          <w:tcPr>
            <w:tcW w:w="828" w:type="dxa"/>
            <w:tcBorders>
              <w:top w:val="nil"/>
              <w:left w:val="nil"/>
              <w:bottom w:val="nil"/>
              <w:right w:val="nil"/>
            </w:tcBorders>
            <w:noWrap/>
            <w:vAlign w:val="center"/>
            <w:hideMark/>
          </w:tcPr>
          <w:p w14:paraId="775B7CF1"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29" w:type="dxa"/>
            <w:tcBorders>
              <w:top w:val="nil"/>
              <w:left w:val="nil"/>
              <w:bottom w:val="nil"/>
              <w:right w:val="nil"/>
            </w:tcBorders>
            <w:noWrap/>
            <w:vAlign w:val="center"/>
            <w:hideMark/>
          </w:tcPr>
          <w:p w14:paraId="0BD51FDE"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right w:val="nil"/>
            </w:tcBorders>
            <w:noWrap/>
            <w:vAlign w:val="center"/>
            <w:hideMark/>
          </w:tcPr>
          <w:p w14:paraId="0A3433EF" w14:textId="77777777" w:rsidR="008576C8" w:rsidRPr="00052E20" w:rsidRDefault="008576C8" w:rsidP="008576C8">
            <w:pPr>
              <w:spacing w:line="240" w:lineRule="auto"/>
              <w:ind w:firstLineChars="0" w:firstLine="0"/>
              <w:jc w:val="left"/>
              <w:rPr>
                <w:rFonts w:cs="Times New Roman"/>
                <w:szCs w:val="24"/>
              </w:rPr>
            </w:pPr>
          </w:p>
        </w:tc>
        <w:tc>
          <w:tcPr>
            <w:tcW w:w="929" w:type="dxa"/>
            <w:tcBorders>
              <w:top w:val="nil"/>
              <w:left w:val="nil"/>
              <w:bottom w:val="nil"/>
              <w:right w:val="nil"/>
            </w:tcBorders>
            <w:noWrap/>
            <w:vAlign w:val="center"/>
            <w:hideMark/>
          </w:tcPr>
          <w:p w14:paraId="0FB918B7"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right w:val="nil"/>
            </w:tcBorders>
            <w:noWrap/>
            <w:vAlign w:val="center"/>
            <w:hideMark/>
          </w:tcPr>
          <w:p w14:paraId="4AF5E37F" w14:textId="77777777" w:rsidR="008576C8" w:rsidRPr="00052E20" w:rsidRDefault="008576C8" w:rsidP="008576C8">
            <w:pPr>
              <w:spacing w:line="240" w:lineRule="auto"/>
              <w:ind w:firstLineChars="0" w:firstLine="0"/>
              <w:jc w:val="left"/>
              <w:rPr>
                <w:rFonts w:cs="Times New Roman"/>
                <w:szCs w:val="24"/>
              </w:rPr>
            </w:pPr>
          </w:p>
        </w:tc>
        <w:tc>
          <w:tcPr>
            <w:tcW w:w="922" w:type="dxa"/>
            <w:tcBorders>
              <w:top w:val="nil"/>
              <w:left w:val="nil"/>
              <w:bottom w:val="nil"/>
              <w:right w:val="nil"/>
            </w:tcBorders>
            <w:vAlign w:val="center"/>
          </w:tcPr>
          <w:p w14:paraId="56254FC2" w14:textId="77777777" w:rsidR="008576C8" w:rsidRPr="00052E20" w:rsidRDefault="008576C8" w:rsidP="008576C8">
            <w:pPr>
              <w:spacing w:line="240" w:lineRule="auto"/>
              <w:ind w:firstLineChars="0" w:firstLine="0"/>
              <w:jc w:val="left"/>
              <w:rPr>
                <w:rFonts w:cs="Times New Roman"/>
                <w:szCs w:val="24"/>
              </w:rPr>
            </w:pPr>
          </w:p>
        </w:tc>
        <w:tc>
          <w:tcPr>
            <w:tcW w:w="922" w:type="dxa"/>
            <w:tcBorders>
              <w:top w:val="nil"/>
              <w:left w:val="nil"/>
              <w:bottom w:val="nil"/>
              <w:right w:val="nil"/>
            </w:tcBorders>
            <w:noWrap/>
            <w:vAlign w:val="center"/>
            <w:hideMark/>
          </w:tcPr>
          <w:p w14:paraId="7071B066"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right w:val="nil"/>
            </w:tcBorders>
            <w:noWrap/>
            <w:vAlign w:val="center"/>
            <w:hideMark/>
          </w:tcPr>
          <w:p w14:paraId="54891A9C" w14:textId="77777777" w:rsidR="008576C8" w:rsidRPr="00052E20" w:rsidRDefault="008576C8" w:rsidP="008576C8">
            <w:pPr>
              <w:spacing w:line="240" w:lineRule="auto"/>
              <w:ind w:firstLineChars="0" w:firstLine="0"/>
              <w:jc w:val="left"/>
              <w:rPr>
                <w:rFonts w:cs="Times New Roman"/>
                <w:szCs w:val="24"/>
              </w:rPr>
            </w:pPr>
          </w:p>
        </w:tc>
        <w:tc>
          <w:tcPr>
            <w:tcW w:w="929" w:type="dxa"/>
            <w:tcBorders>
              <w:top w:val="nil"/>
              <w:left w:val="nil"/>
              <w:bottom w:val="nil"/>
              <w:right w:val="nil"/>
            </w:tcBorders>
            <w:noWrap/>
            <w:vAlign w:val="center"/>
            <w:hideMark/>
          </w:tcPr>
          <w:p w14:paraId="2ACEBFB2"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tcBorders>
            <w:noWrap/>
            <w:vAlign w:val="center"/>
            <w:hideMark/>
          </w:tcPr>
          <w:p w14:paraId="589CCE27"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2134204B" w14:textId="77777777" w:rsidTr="008576C8">
        <w:trPr>
          <w:trHeight w:val="399"/>
          <w:jc w:val="center"/>
        </w:trPr>
        <w:tc>
          <w:tcPr>
            <w:tcW w:w="3423" w:type="dxa"/>
            <w:tcBorders>
              <w:top w:val="nil"/>
              <w:bottom w:val="nil"/>
              <w:right w:val="single" w:sz="4" w:space="0" w:color="auto"/>
            </w:tcBorders>
            <w:noWrap/>
            <w:vAlign w:val="center"/>
            <w:hideMark/>
          </w:tcPr>
          <w:p w14:paraId="43462611" w14:textId="77777777" w:rsidR="008576C8" w:rsidRPr="00052E20" w:rsidRDefault="008576C8" w:rsidP="008576C8">
            <w:pPr>
              <w:spacing w:line="240" w:lineRule="auto"/>
              <w:ind w:firstLineChars="0" w:firstLine="0"/>
              <w:rPr>
                <w:rFonts w:cs="Times New Roman"/>
                <w:b/>
                <w:szCs w:val="24"/>
              </w:rPr>
            </w:pPr>
            <w:r w:rsidRPr="00052E20">
              <w:rPr>
                <w:rFonts w:cs="Times New Roman"/>
                <w:b/>
                <w:szCs w:val="24"/>
              </w:rPr>
              <w:t>Cash-only dummy (05)</w:t>
            </w:r>
          </w:p>
        </w:tc>
        <w:tc>
          <w:tcPr>
            <w:tcW w:w="927" w:type="dxa"/>
            <w:tcBorders>
              <w:top w:val="nil"/>
              <w:left w:val="single" w:sz="4" w:space="0" w:color="auto"/>
              <w:bottom w:val="nil"/>
              <w:right w:val="nil"/>
            </w:tcBorders>
            <w:noWrap/>
            <w:vAlign w:val="center"/>
            <w:hideMark/>
          </w:tcPr>
          <w:p w14:paraId="752F391B"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w:t>
            </w:r>
            <w:r w:rsidRPr="00052E20">
              <w:rPr>
                <w:rFonts w:cs="Times New Roman"/>
                <w:szCs w:val="24"/>
              </w:rPr>
              <w:t>0.0</w:t>
            </w:r>
            <w:r>
              <w:rPr>
                <w:rFonts w:cs="Times New Roman"/>
                <w:szCs w:val="24"/>
              </w:rPr>
              <w:t>38</w:t>
            </w:r>
          </w:p>
        </w:tc>
        <w:tc>
          <w:tcPr>
            <w:tcW w:w="929" w:type="dxa"/>
            <w:tcBorders>
              <w:top w:val="nil"/>
              <w:left w:val="nil"/>
              <w:bottom w:val="nil"/>
              <w:right w:val="nil"/>
            </w:tcBorders>
            <w:noWrap/>
            <w:vAlign w:val="center"/>
            <w:hideMark/>
          </w:tcPr>
          <w:p w14:paraId="2FAEC655"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-0.097</w:t>
            </w:r>
          </w:p>
        </w:tc>
        <w:tc>
          <w:tcPr>
            <w:tcW w:w="877" w:type="dxa"/>
            <w:tcBorders>
              <w:top w:val="nil"/>
              <w:left w:val="nil"/>
              <w:bottom w:val="nil"/>
              <w:right w:val="nil"/>
            </w:tcBorders>
            <w:noWrap/>
            <w:vAlign w:val="center"/>
            <w:hideMark/>
          </w:tcPr>
          <w:p w14:paraId="5EFB78BA"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0.067</w:t>
            </w:r>
          </w:p>
        </w:tc>
        <w:tc>
          <w:tcPr>
            <w:tcW w:w="828" w:type="dxa"/>
            <w:tcBorders>
              <w:top w:val="nil"/>
              <w:left w:val="nil"/>
              <w:bottom w:val="nil"/>
              <w:right w:val="nil"/>
            </w:tcBorders>
            <w:noWrap/>
            <w:vAlign w:val="center"/>
            <w:hideMark/>
          </w:tcPr>
          <w:p w14:paraId="70536D35"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-0.086</w:t>
            </w:r>
          </w:p>
        </w:tc>
        <w:tc>
          <w:tcPr>
            <w:tcW w:w="929" w:type="dxa"/>
            <w:tcBorders>
              <w:top w:val="nil"/>
              <w:left w:val="nil"/>
              <w:bottom w:val="nil"/>
              <w:right w:val="nil"/>
            </w:tcBorders>
            <w:noWrap/>
            <w:vAlign w:val="center"/>
            <w:hideMark/>
          </w:tcPr>
          <w:p w14:paraId="4B916AD6"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27" w:type="dxa"/>
            <w:tcBorders>
              <w:top w:val="nil"/>
              <w:left w:val="nil"/>
              <w:bottom w:val="nil"/>
              <w:right w:val="nil"/>
            </w:tcBorders>
            <w:noWrap/>
            <w:vAlign w:val="center"/>
            <w:hideMark/>
          </w:tcPr>
          <w:p w14:paraId="24BC72D4" w14:textId="77777777" w:rsidR="008576C8" w:rsidRPr="00052E20" w:rsidRDefault="008576C8" w:rsidP="008576C8">
            <w:pPr>
              <w:spacing w:line="240" w:lineRule="auto"/>
              <w:ind w:firstLineChars="0" w:firstLine="0"/>
              <w:jc w:val="left"/>
              <w:rPr>
                <w:rFonts w:cs="Times New Roman"/>
                <w:szCs w:val="24"/>
              </w:rPr>
            </w:pPr>
          </w:p>
        </w:tc>
        <w:tc>
          <w:tcPr>
            <w:tcW w:w="929" w:type="dxa"/>
            <w:tcBorders>
              <w:top w:val="nil"/>
              <w:left w:val="nil"/>
              <w:bottom w:val="nil"/>
              <w:right w:val="nil"/>
            </w:tcBorders>
            <w:noWrap/>
            <w:vAlign w:val="center"/>
            <w:hideMark/>
          </w:tcPr>
          <w:p w14:paraId="6C8DF5BF"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right w:val="nil"/>
            </w:tcBorders>
            <w:noWrap/>
            <w:vAlign w:val="center"/>
            <w:hideMark/>
          </w:tcPr>
          <w:p w14:paraId="1D198C36" w14:textId="77777777" w:rsidR="008576C8" w:rsidRPr="00052E20" w:rsidRDefault="008576C8" w:rsidP="008576C8">
            <w:pPr>
              <w:spacing w:line="240" w:lineRule="auto"/>
              <w:ind w:firstLineChars="0" w:firstLine="0"/>
              <w:jc w:val="left"/>
              <w:rPr>
                <w:rFonts w:cs="Times New Roman"/>
                <w:szCs w:val="24"/>
              </w:rPr>
            </w:pPr>
          </w:p>
        </w:tc>
        <w:tc>
          <w:tcPr>
            <w:tcW w:w="922" w:type="dxa"/>
            <w:tcBorders>
              <w:top w:val="nil"/>
              <w:left w:val="nil"/>
              <w:bottom w:val="nil"/>
              <w:right w:val="nil"/>
            </w:tcBorders>
            <w:vAlign w:val="center"/>
          </w:tcPr>
          <w:p w14:paraId="7824B5C7" w14:textId="77777777" w:rsidR="008576C8" w:rsidRPr="00052E20" w:rsidRDefault="008576C8" w:rsidP="008576C8">
            <w:pPr>
              <w:spacing w:line="240" w:lineRule="auto"/>
              <w:ind w:firstLineChars="0" w:firstLine="0"/>
              <w:jc w:val="left"/>
              <w:rPr>
                <w:rFonts w:cs="Times New Roman"/>
                <w:szCs w:val="24"/>
              </w:rPr>
            </w:pPr>
          </w:p>
        </w:tc>
        <w:tc>
          <w:tcPr>
            <w:tcW w:w="922" w:type="dxa"/>
            <w:tcBorders>
              <w:top w:val="nil"/>
              <w:left w:val="nil"/>
              <w:bottom w:val="nil"/>
              <w:right w:val="nil"/>
            </w:tcBorders>
            <w:noWrap/>
            <w:vAlign w:val="center"/>
            <w:hideMark/>
          </w:tcPr>
          <w:p w14:paraId="335E7C0B"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right w:val="nil"/>
            </w:tcBorders>
            <w:noWrap/>
            <w:vAlign w:val="center"/>
            <w:hideMark/>
          </w:tcPr>
          <w:p w14:paraId="4AC98970" w14:textId="77777777" w:rsidR="008576C8" w:rsidRPr="00052E20" w:rsidRDefault="008576C8" w:rsidP="008576C8">
            <w:pPr>
              <w:spacing w:line="240" w:lineRule="auto"/>
              <w:ind w:firstLineChars="0" w:firstLine="0"/>
              <w:jc w:val="left"/>
              <w:rPr>
                <w:rFonts w:cs="Times New Roman"/>
                <w:szCs w:val="24"/>
              </w:rPr>
            </w:pPr>
          </w:p>
        </w:tc>
        <w:tc>
          <w:tcPr>
            <w:tcW w:w="929" w:type="dxa"/>
            <w:tcBorders>
              <w:top w:val="nil"/>
              <w:left w:val="nil"/>
              <w:bottom w:val="nil"/>
              <w:right w:val="nil"/>
            </w:tcBorders>
            <w:noWrap/>
            <w:vAlign w:val="center"/>
            <w:hideMark/>
          </w:tcPr>
          <w:p w14:paraId="30AA668E"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tcBorders>
            <w:noWrap/>
            <w:vAlign w:val="center"/>
            <w:hideMark/>
          </w:tcPr>
          <w:p w14:paraId="142D1966"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64FA78F3" w14:textId="77777777" w:rsidTr="008576C8">
        <w:trPr>
          <w:trHeight w:val="399"/>
          <w:jc w:val="center"/>
        </w:trPr>
        <w:tc>
          <w:tcPr>
            <w:tcW w:w="3423" w:type="dxa"/>
            <w:tcBorders>
              <w:top w:val="nil"/>
              <w:bottom w:val="nil"/>
              <w:right w:val="single" w:sz="4" w:space="0" w:color="auto"/>
            </w:tcBorders>
            <w:noWrap/>
            <w:vAlign w:val="center"/>
            <w:hideMark/>
          </w:tcPr>
          <w:p w14:paraId="67C7A699" w14:textId="77777777" w:rsidR="008576C8" w:rsidRPr="00052E20" w:rsidRDefault="008576C8" w:rsidP="008576C8">
            <w:pPr>
              <w:spacing w:line="240" w:lineRule="auto"/>
              <w:ind w:firstLineChars="0" w:firstLine="0"/>
              <w:rPr>
                <w:rFonts w:cs="Times New Roman"/>
                <w:b/>
                <w:szCs w:val="24"/>
              </w:rPr>
            </w:pPr>
            <w:r w:rsidRPr="00052E20">
              <w:rPr>
                <w:rFonts w:cs="Times New Roman"/>
                <w:b/>
                <w:szCs w:val="24"/>
              </w:rPr>
              <w:t>Stock-only dummy (06)</w:t>
            </w:r>
          </w:p>
        </w:tc>
        <w:tc>
          <w:tcPr>
            <w:tcW w:w="927" w:type="dxa"/>
            <w:tcBorders>
              <w:top w:val="nil"/>
              <w:left w:val="single" w:sz="4" w:space="0" w:color="auto"/>
              <w:bottom w:val="nil"/>
              <w:right w:val="nil"/>
            </w:tcBorders>
            <w:noWrap/>
            <w:vAlign w:val="center"/>
            <w:hideMark/>
          </w:tcPr>
          <w:p w14:paraId="714F351D"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-0.052</w:t>
            </w:r>
          </w:p>
        </w:tc>
        <w:tc>
          <w:tcPr>
            <w:tcW w:w="929" w:type="dxa"/>
            <w:tcBorders>
              <w:top w:val="nil"/>
              <w:left w:val="nil"/>
              <w:bottom w:val="nil"/>
              <w:right w:val="nil"/>
            </w:tcBorders>
            <w:noWrap/>
            <w:vAlign w:val="center"/>
            <w:hideMark/>
          </w:tcPr>
          <w:p w14:paraId="06B58B35"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0.039</w:t>
            </w:r>
          </w:p>
        </w:tc>
        <w:tc>
          <w:tcPr>
            <w:tcW w:w="877" w:type="dxa"/>
            <w:tcBorders>
              <w:top w:val="nil"/>
              <w:left w:val="nil"/>
              <w:bottom w:val="nil"/>
              <w:right w:val="nil"/>
            </w:tcBorders>
            <w:noWrap/>
            <w:vAlign w:val="center"/>
            <w:hideMark/>
          </w:tcPr>
          <w:p w14:paraId="7DAA127E"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0.006</w:t>
            </w:r>
          </w:p>
        </w:tc>
        <w:tc>
          <w:tcPr>
            <w:tcW w:w="828" w:type="dxa"/>
            <w:tcBorders>
              <w:top w:val="nil"/>
              <w:left w:val="nil"/>
              <w:bottom w:val="nil"/>
              <w:right w:val="nil"/>
            </w:tcBorders>
            <w:noWrap/>
            <w:vAlign w:val="center"/>
            <w:hideMark/>
          </w:tcPr>
          <w:p w14:paraId="00946C5B"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0.050</w:t>
            </w:r>
          </w:p>
        </w:tc>
        <w:tc>
          <w:tcPr>
            <w:tcW w:w="929" w:type="dxa"/>
            <w:tcBorders>
              <w:top w:val="nil"/>
              <w:left w:val="nil"/>
              <w:bottom w:val="nil"/>
              <w:right w:val="nil"/>
            </w:tcBorders>
            <w:noWrap/>
            <w:vAlign w:val="center"/>
            <w:hideMark/>
          </w:tcPr>
          <w:p w14:paraId="590D86D8"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-0.3</w:t>
            </w:r>
            <w:r>
              <w:rPr>
                <w:rFonts w:cs="Times New Roman"/>
                <w:szCs w:val="24"/>
              </w:rPr>
              <w:t>64</w:t>
            </w:r>
          </w:p>
        </w:tc>
        <w:tc>
          <w:tcPr>
            <w:tcW w:w="927" w:type="dxa"/>
            <w:tcBorders>
              <w:top w:val="nil"/>
              <w:left w:val="nil"/>
              <w:bottom w:val="nil"/>
              <w:right w:val="nil"/>
            </w:tcBorders>
            <w:noWrap/>
            <w:vAlign w:val="center"/>
            <w:hideMark/>
          </w:tcPr>
          <w:p w14:paraId="76FAF79D"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29" w:type="dxa"/>
            <w:tcBorders>
              <w:top w:val="nil"/>
              <w:left w:val="nil"/>
              <w:bottom w:val="nil"/>
              <w:right w:val="nil"/>
            </w:tcBorders>
            <w:noWrap/>
            <w:vAlign w:val="center"/>
            <w:hideMark/>
          </w:tcPr>
          <w:p w14:paraId="14FA43F7"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right w:val="nil"/>
            </w:tcBorders>
            <w:noWrap/>
            <w:vAlign w:val="center"/>
            <w:hideMark/>
          </w:tcPr>
          <w:p w14:paraId="600E0D01" w14:textId="77777777" w:rsidR="008576C8" w:rsidRPr="00052E20" w:rsidRDefault="008576C8" w:rsidP="008576C8">
            <w:pPr>
              <w:spacing w:line="240" w:lineRule="auto"/>
              <w:ind w:firstLineChars="0" w:firstLine="0"/>
              <w:jc w:val="left"/>
              <w:rPr>
                <w:rFonts w:cs="Times New Roman"/>
                <w:szCs w:val="24"/>
              </w:rPr>
            </w:pPr>
          </w:p>
        </w:tc>
        <w:tc>
          <w:tcPr>
            <w:tcW w:w="922" w:type="dxa"/>
            <w:tcBorders>
              <w:top w:val="nil"/>
              <w:left w:val="nil"/>
              <w:bottom w:val="nil"/>
              <w:right w:val="nil"/>
            </w:tcBorders>
            <w:vAlign w:val="center"/>
          </w:tcPr>
          <w:p w14:paraId="1615DAFF" w14:textId="77777777" w:rsidR="008576C8" w:rsidRPr="00052E20" w:rsidRDefault="008576C8" w:rsidP="008576C8">
            <w:pPr>
              <w:spacing w:line="240" w:lineRule="auto"/>
              <w:ind w:firstLineChars="0" w:firstLine="0"/>
              <w:jc w:val="left"/>
              <w:rPr>
                <w:rFonts w:cs="Times New Roman"/>
                <w:szCs w:val="24"/>
              </w:rPr>
            </w:pPr>
          </w:p>
        </w:tc>
        <w:tc>
          <w:tcPr>
            <w:tcW w:w="922" w:type="dxa"/>
            <w:tcBorders>
              <w:top w:val="nil"/>
              <w:left w:val="nil"/>
              <w:bottom w:val="nil"/>
              <w:right w:val="nil"/>
            </w:tcBorders>
            <w:noWrap/>
            <w:vAlign w:val="center"/>
            <w:hideMark/>
          </w:tcPr>
          <w:p w14:paraId="5F7F373C"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right w:val="nil"/>
            </w:tcBorders>
            <w:noWrap/>
            <w:vAlign w:val="center"/>
            <w:hideMark/>
          </w:tcPr>
          <w:p w14:paraId="2E76E764" w14:textId="77777777" w:rsidR="008576C8" w:rsidRPr="00052E20" w:rsidRDefault="008576C8" w:rsidP="008576C8">
            <w:pPr>
              <w:spacing w:line="240" w:lineRule="auto"/>
              <w:ind w:firstLineChars="0" w:firstLine="0"/>
              <w:jc w:val="left"/>
              <w:rPr>
                <w:rFonts w:cs="Times New Roman"/>
                <w:szCs w:val="24"/>
              </w:rPr>
            </w:pPr>
          </w:p>
        </w:tc>
        <w:tc>
          <w:tcPr>
            <w:tcW w:w="929" w:type="dxa"/>
            <w:tcBorders>
              <w:top w:val="nil"/>
              <w:left w:val="nil"/>
              <w:bottom w:val="nil"/>
              <w:right w:val="nil"/>
            </w:tcBorders>
            <w:noWrap/>
            <w:vAlign w:val="center"/>
            <w:hideMark/>
          </w:tcPr>
          <w:p w14:paraId="2297C511"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tcBorders>
            <w:noWrap/>
            <w:vAlign w:val="center"/>
            <w:hideMark/>
          </w:tcPr>
          <w:p w14:paraId="336FD992"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0D8EC402" w14:textId="77777777" w:rsidTr="008576C8">
        <w:trPr>
          <w:trHeight w:val="399"/>
          <w:jc w:val="center"/>
        </w:trPr>
        <w:tc>
          <w:tcPr>
            <w:tcW w:w="3423" w:type="dxa"/>
            <w:tcBorders>
              <w:top w:val="nil"/>
              <w:bottom w:val="nil"/>
              <w:right w:val="single" w:sz="4" w:space="0" w:color="auto"/>
            </w:tcBorders>
            <w:noWrap/>
            <w:vAlign w:val="center"/>
            <w:hideMark/>
          </w:tcPr>
          <w:p w14:paraId="77FEE3FB" w14:textId="77777777" w:rsidR="008576C8" w:rsidRPr="00052E20" w:rsidRDefault="008576C8" w:rsidP="008576C8">
            <w:pPr>
              <w:spacing w:line="240" w:lineRule="auto"/>
              <w:ind w:firstLineChars="0" w:firstLine="0"/>
              <w:rPr>
                <w:rFonts w:cs="Times New Roman"/>
                <w:b/>
                <w:szCs w:val="24"/>
              </w:rPr>
            </w:pPr>
            <w:r w:rsidRPr="00052E20">
              <w:rPr>
                <w:rFonts w:cs="Times New Roman"/>
                <w:b/>
                <w:szCs w:val="24"/>
              </w:rPr>
              <w:t>Ln relative size (07)</w:t>
            </w:r>
          </w:p>
        </w:tc>
        <w:tc>
          <w:tcPr>
            <w:tcW w:w="927" w:type="dxa"/>
            <w:tcBorders>
              <w:top w:val="nil"/>
              <w:left w:val="single" w:sz="4" w:space="0" w:color="auto"/>
              <w:bottom w:val="nil"/>
              <w:right w:val="nil"/>
            </w:tcBorders>
            <w:noWrap/>
            <w:vAlign w:val="center"/>
            <w:hideMark/>
          </w:tcPr>
          <w:p w14:paraId="087D0EFF"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0.069</w:t>
            </w:r>
          </w:p>
        </w:tc>
        <w:tc>
          <w:tcPr>
            <w:tcW w:w="929" w:type="dxa"/>
            <w:tcBorders>
              <w:top w:val="nil"/>
              <w:left w:val="nil"/>
              <w:bottom w:val="nil"/>
              <w:right w:val="nil"/>
            </w:tcBorders>
            <w:noWrap/>
            <w:vAlign w:val="center"/>
            <w:hideMark/>
          </w:tcPr>
          <w:p w14:paraId="40B4F506"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0.049</w:t>
            </w:r>
          </w:p>
        </w:tc>
        <w:tc>
          <w:tcPr>
            <w:tcW w:w="877" w:type="dxa"/>
            <w:tcBorders>
              <w:top w:val="nil"/>
              <w:left w:val="nil"/>
              <w:bottom w:val="nil"/>
              <w:right w:val="nil"/>
            </w:tcBorders>
            <w:noWrap/>
            <w:vAlign w:val="center"/>
            <w:hideMark/>
          </w:tcPr>
          <w:p w14:paraId="7928BD58"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094</w:t>
            </w:r>
          </w:p>
        </w:tc>
        <w:tc>
          <w:tcPr>
            <w:tcW w:w="828" w:type="dxa"/>
            <w:tcBorders>
              <w:top w:val="nil"/>
              <w:left w:val="nil"/>
              <w:bottom w:val="nil"/>
              <w:right w:val="nil"/>
            </w:tcBorders>
            <w:noWrap/>
            <w:vAlign w:val="center"/>
            <w:hideMark/>
          </w:tcPr>
          <w:p w14:paraId="2AF4D4D4"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113</w:t>
            </w:r>
          </w:p>
        </w:tc>
        <w:tc>
          <w:tcPr>
            <w:tcW w:w="929" w:type="dxa"/>
            <w:tcBorders>
              <w:top w:val="nil"/>
              <w:left w:val="nil"/>
              <w:bottom w:val="nil"/>
              <w:right w:val="nil"/>
            </w:tcBorders>
            <w:noWrap/>
            <w:vAlign w:val="center"/>
            <w:hideMark/>
          </w:tcPr>
          <w:p w14:paraId="0D95863C"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364</w:t>
            </w:r>
          </w:p>
        </w:tc>
        <w:tc>
          <w:tcPr>
            <w:tcW w:w="927" w:type="dxa"/>
            <w:tcBorders>
              <w:top w:val="nil"/>
              <w:left w:val="nil"/>
              <w:bottom w:val="nil"/>
              <w:right w:val="nil"/>
            </w:tcBorders>
            <w:noWrap/>
            <w:vAlign w:val="center"/>
            <w:hideMark/>
          </w:tcPr>
          <w:p w14:paraId="3C4B6EA2"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0.053</w:t>
            </w:r>
          </w:p>
        </w:tc>
        <w:tc>
          <w:tcPr>
            <w:tcW w:w="929" w:type="dxa"/>
            <w:tcBorders>
              <w:top w:val="nil"/>
              <w:left w:val="nil"/>
              <w:bottom w:val="nil"/>
              <w:right w:val="nil"/>
            </w:tcBorders>
            <w:noWrap/>
            <w:vAlign w:val="center"/>
            <w:hideMark/>
          </w:tcPr>
          <w:p w14:paraId="34E01797"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27" w:type="dxa"/>
            <w:tcBorders>
              <w:top w:val="nil"/>
              <w:left w:val="nil"/>
              <w:bottom w:val="nil"/>
              <w:right w:val="nil"/>
            </w:tcBorders>
            <w:noWrap/>
            <w:vAlign w:val="center"/>
            <w:hideMark/>
          </w:tcPr>
          <w:p w14:paraId="13F5D46C" w14:textId="77777777" w:rsidR="008576C8" w:rsidRPr="00052E20" w:rsidRDefault="008576C8" w:rsidP="008576C8">
            <w:pPr>
              <w:spacing w:line="240" w:lineRule="auto"/>
              <w:ind w:firstLineChars="0" w:firstLine="0"/>
              <w:jc w:val="left"/>
              <w:rPr>
                <w:rFonts w:cs="Times New Roman"/>
                <w:szCs w:val="24"/>
              </w:rPr>
            </w:pPr>
          </w:p>
        </w:tc>
        <w:tc>
          <w:tcPr>
            <w:tcW w:w="922" w:type="dxa"/>
            <w:tcBorders>
              <w:top w:val="nil"/>
              <w:left w:val="nil"/>
              <w:bottom w:val="nil"/>
              <w:right w:val="nil"/>
            </w:tcBorders>
            <w:vAlign w:val="center"/>
          </w:tcPr>
          <w:p w14:paraId="58E30189" w14:textId="77777777" w:rsidR="008576C8" w:rsidRPr="00052E20" w:rsidRDefault="008576C8" w:rsidP="008576C8">
            <w:pPr>
              <w:spacing w:line="240" w:lineRule="auto"/>
              <w:ind w:firstLineChars="0" w:firstLine="0"/>
              <w:jc w:val="left"/>
              <w:rPr>
                <w:rFonts w:cs="Times New Roman"/>
                <w:szCs w:val="24"/>
              </w:rPr>
            </w:pPr>
          </w:p>
        </w:tc>
        <w:tc>
          <w:tcPr>
            <w:tcW w:w="922" w:type="dxa"/>
            <w:tcBorders>
              <w:top w:val="nil"/>
              <w:left w:val="nil"/>
              <w:bottom w:val="nil"/>
              <w:right w:val="nil"/>
            </w:tcBorders>
            <w:noWrap/>
            <w:vAlign w:val="center"/>
            <w:hideMark/>
          </w:tcPr>
          <w:p w14:paraId="17BEB77E"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right w:val="nil"/>
            </w:tcBorders>
            <w:noWrap/>
            <w:vAlign w:val="center"/>
            <w:hideMark/>
          </w:tcPr>
          <w:p w14:paraId="0A9224A2" w14:textId="77777777" w:rsidR="008576C8" w:rsidRPr="00052E20" w:rsidRDefault="008576C8" w:rsidP="008576C8">
            <w:pPr>
              <w:spacing w:line="240" w:lineRule="auto"/>
              <w:ind w:firstLineChars="0" w:firstLine="0"/>
              <w:jc w:val="left"/>
              <w:rPr>
                <w:rFonts w:cs="Times New Roman"/>
                <w:szCs w:val="24"/>
              </w:rPr>
            </w:pPr>
          </w:p>
        </w:tc>
        <w:tc>
          <w:tcPr>
            <w:tcW w:w="929" w:type="dxa"/>
            <w:tcBorders>
              <w:top w:val="nil"/>
              <w:left w:val="nil"/>
              <w:bottom w:val="nil"/>
              <w:right w:val="nil"/>
            </w:tcBorders>
            <w:noWrap/>
            <w:vAlign w:val="center"/>
            <w:hideMark/>
          </w:tcPr>
          <w:p w14:paraId="239415BF"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tcBorders>
            <w:noWrap/>
            <w:vAlign w:val="center"/>
            <w:hideMark/>
          </w:tcPr>
          <w:p w14:paraId="03131163"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422525C6" w14:textId="77777777" w:rsidTr="008576C8">
        <w:trPr>
          <w:trHeight w:val="399"/>
          <w:jc w:val="center"/>
        </w:trPr>
        <w:tc>
          <w:tcPr>
            <w:tcW w:w="3423" w:type="dxa"/>
            <w:tcBorders>
              <w:top w:val="nil"/>
              <w:bottom w:val="nil"/>
              <w:right w:val="single" w:sz="4" w:space="0" w:color="auto"/>
            </w:tcBorders>
            <w:noWrap/>
            <w:vAlign w:val="center"/>
            <w:hideMark/>
          </w:tcPr>
          <w:p w14:paraId="39022751" w14:textId="77777777" w:rsidR="008576C8" w:rsidRPr="00052E20" w:rsidRDefault="008576C8" w:rsidP="008576C8">
            <w:pPr>
              <w:spacing w:line="240" w:lineRule="auto"/>
              <w:ind w:firstLineChars="0" w:firstLine="0"/>
              <w:rPr>
                <w:rFonts w:cs="Times New Roman"/>
                <w:b/>
                <w:szCs w:val="24"/>
              </w:rPr>
            </w:pPr>
            <w:r w:rsidRPr="00052E20">
              <w:rPr>
                <w:rFonts w:cs="Times New Roman"/>
                <w:b/>
                <w:szCs w:val="24"/>
              </w:rPr>
              <w:t>Unrelated acquisition dummy (08)</w:t>
            </w:r>
          </w:p>
        </w:tc>
        <w:tc>
          <w:tcPr>
            <w:tcW w:w="927" w:type="dxa"/>
            <w:tcBorders>
              <w:top w:val="nil"/>
              <w:left w:val="single" w:sz="4" w:space="0" w:color="auto"/>
              <w:bottom w:val="nil"/>
              <w:right w:val="nil"/>
            </w:tcBorders>
            <w:noWrap/>
            <w:vAlign w:val="center"/>
            <w:hideMark/>
          </w:tcPr>
          <w:p w14:paraId="22AB2DD0"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0.056</w:t>
            </w:r>
          </w:p>
        </w:tc>
        <w:tc>
          <w:tcPr>
            <w:tcW w:w="929" w:type="dxa"/>
            <w:tcBorders>
              <w:top w:val="nil"/>
              <w:left w:val="nil"/>
              <w:bottom w:val="nil"/>
              <w:right w:val="nil"/>
            </w:tcBorders>
            <w:noWrap/>
            <w:vAlign w:val="center"/>
            <w:hideMark/>
          </w:tcPr>
          <w:p w14:paraId="1C0940CF"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0.004</w:t>
            </w:r>
          </w:p>
        </w:tc>
        <w:tc>
          <w:tcPr>
            <w:tcW w:w="877" w:type="dxa"/>
            <w:tcBorders>
              <w:top w:val="nil"/>
              <w:left w:val="nil"/>
              <w:bottom w:val="nil"/>
              <w:right w:val="nil"/>
            </w:tcBorders>
            <w:noWrap/>
            <w:vAlign w:val="center"/>
            <w:hideMark/>
          </w:tcPr>
          <w:p w14:paraId="2A07FA2D"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-0.0</w:t>
            </w:r>
            <w:r>
              <w:rPr>
                <w:rFonts w:cs="Times New Roman"/>
                <w:szCs w:val="24"/>
              </w:rPr>
              <w:t>35</w:t>
            </w:r>
          </w:p>
        </w:tc>
        <w:tc>
          <w:tcPr>
            <w:tcW w:w="828" w:type="dxa"/>
            <w:tcBorders>
              <w:top w:val="nil"/>
              <w:left w:val="nil"/>
              <w:bottom w:val="nil"/>
              <w:right w:val="nil"/>
            </w:tcBorders>
            <w:noWrap/>
            <w:vAlign w:val="center"/>
            <w:hideMark/>
          </w:tcPr>
          <w:p w14:paraId="0F1553F0"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072</w:t>
            </w:r>
          </w:p>
        </w:tc>
        <w:tc>
          <w:tcPr>
            <w:tcW w:w="929" w:type="dxa"/>
            <w:tcBorders>
              <w:top w:val="nil"/>
              <w:left w:val="nil"/>
              <w:bottom w:val="nil"/>
              <w:right w:val="nil"/>
            </w:tcBorders>
            <w:noWrap/>
            <w:vAlign w:val="center"/>
            <w:hideMark/>
          </w:tcPr>
          <w:p w14:paraId="4041CB85"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096</w:t>
            </w:r>
          </w:p>
        </w:tc>
        <w:tc>
          <w:tcPr>
            <w:tcW w:w="927" w:type="dxa"/>
            <w:tcBorders>
              <w:top w:val="nil"/>
              <w:left w:val="nil"/>
              <w:bottom w:val="nil"/>
              <w:right w:val="nil"/>
            </w:tcBorders>
            <w:noWrap/>
            <w:vAlign w:val="center"/>
            <w:hideMark/>
          </w:tcPr>
          <w:p w14:paraId="37298309"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w:t>
            </w:r>
            <w:r w:rsidRPr="00052E20">
              <w:rPr>
                <w:rFonts w:cs="Times New Roman"/>
                <w:szCs w:val="24"/>
              </w:rPr>
              <w:t>0.</w:t>
            </w:r>
            <w:r>
              <w:rPr>
                <w:rFonts w:cs="Times New Roman"/>
                <w:szCs w:val="24"/>
              </w:rPr>
              <w:t>018</w:t>
            </w:r>
          </w:p>
        </w:tc>
        <w:tc>
          <w:tcPr>
            <w:tcW w:w="929" w:type="dxa"/>
            <w:tcBorders>
              <w:top w:val="nil"/>
              <w:left w:val="nil"/>
              <w:bottom w:val="nil"/>
              <w:right w:val="nil"/>
            </w:tcBorders>
            <w:noWrap/>
            <w:vAlign w:val="center"/>
            <w:hideMark/>
          </w:tcPr>
          <w:p w14:paraId="4E94C251"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0.085</w:t>
            </w:r>
          </w:p>
        </w:tc>
        <w:tc>
          <w:tcPr>
            <w:tcW w:w="927" w:type="dxa"/>
            <w:tcBorders>
              <w:top w:val="nil"/>
              <w:left w:val="nil"/>
              <w:bottom w:val="nil"/>
              <w:right w:val="nil"/>
            </w:tcBorders>
            <w:noWrap/>
            <w:vAlign w:val="center"/>
            <w:hideMark/>
          </w:tcPr>
          <w:p w14:paraId="3BEF734B"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22" w:type="dxa"/>
            <w:tcBorders>
              <w:top w:val="nil"/>
              <w:left w:val="nil"/>
              <w:bottom w:val="nil"/>
              <w:right w:val="nil"/>
            </w:tcBorders>
            <w:vAlign w:val="center"/>
          </w:tcPr>
          <w:p w14:paraId="6C26E43A" w14:textId="77777777" w:rsidR="008576C8" w:rsidRPr="00052E20" w:rsidRDefault="008576C8" w:rsidP="008576C8">
            <w:pPr>
              <w:spacing w:line="240" w:lineRule="auto"/>
              <w:ind w:firstLineChars="0" w:firstLine="0"/>
              <w:jc w:val="left"/>
              <w:rPr>
                <w:rFonts w:cs="Times New Roman"/>
                <w:szCs w:val="24"/>
              </w:rPr>
            </w:pPr>
          </w:p>
        </w:tc>
        <w:tc>
          <w:tcPr>
            <w:tcW w:w="922" w:type="dxa"/>
            <w:tcBorders>
              <w:top w:val="nil"/>
              <w:left w:val="nil"/>
              <w:bottom w:val="nil"/>
              <w:right w:val="nil"/>
            </w:tcBorders>
            <w:noWrap/>
            <w:vAlign w:val="center"/>
            <w:hideMark/>
          </w:tcPr>
          <w:p w14:paraId="2B0E7910"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right w:val="nil"/>
            </w:tcBorders>
            <w:noWrap/>
            <w:vAlign w:val="center"/>
            <w:hideMark/>
          </w:tcPr>
          <w:p w14:paraId="6547152E" w14:textId="77777777" w:rsidR="008576C8" w:rsidRPr="00052E20" w:rsidRDefault="008576C8" w:rsidP="008576C8">
            <w:pPr>
              <w:spacing w:line="240" w:lineRule="auto"/>
              <w:ind w:firstLineChars="0" w:firstLine="0"/>
              <w:jc w:val="left"/>
              <w:rPr>
                <w:rFonts w:cs="Times New Roman"/>
                <w:szCs w:val="24"/>
              </w:rPr>
            </w:pPr>
          </w:p>
        </w:tc>
        <w:tc>
          <w:tcPr>
            <w:tcW w:w="929" w:type="dxa"/>
            <w:tcBorders>
              <w:top w:val="nil"/>
              <w:left w:val="nil"/>
              <w:bottom w:val="nil"/>
              <w:right w:val="nil"/>
            </w:tcBorders>
            <w:noWrap/>
            <w:vAlign w:val="center"/>
            <w:hideMark/>
          </w:tcPr>
          <w:p w14:paraId="730472A7"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tcBorders>
            <w:noWrap/>
            <w:vAlign w:val="center"/>
            <w:hideMark/>
          </w:tcPr>
          <w:p w14:paraId="0CAF74EB"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3407828E" w14:textId="77777777" w:rsidTr="008576C8">
        <w:trPr>
          <w:trHeight w:val="399"/>
          <w:jc w:val="center"/>
        </w:trPr>
        <w:tc>
          <w:tcPr>
            <w:tcW w:w="3423" w:type="dxa"/>
            <w:tcBorders>
              <w:top w:val="nil"/>
              <w:bottom w:val="nil"/>
              <w:right w:val="single" w:sz="4" w:space="0" w:color="auto"/>
            </w:tcBorders>
            <w:noWrap/>
            <w:vAlign w:val="center"/>
          </w:tcPr>
          <w:p w14:paraId="262704EF" w14:textId="77777777" w:rsidR="008576C8" w:rsidRPr="00052E20" w:rsidRDefault="008576C8" w:rsidP="008576C8">
            <w:pPr>
              <w:spacing w:line="240" w:lineRule="auto"/>
              <w:ind w:firstLineChars="0" w:firstLine="0"/>
              <w:rPr>
                <w:rFonts w:cs="Times New Roman"/>
                <w:b/>
                <w:szCs w:val="24"/>
              </w:rPr>
            </w:pPr>
            <w:r>
              <w:rPr>
                <w:rFonts w:cs="Times New Roman"/>
                <w:b/>
                <w:szCs w:val="24"/>
              </w:rPr>
              <w:t>Multiple bid dummy (09)</w:t>
            </w:r>
          </w:p>
        </w:tc>
        <w:tc>
          <w:tcPr>
            <w:tcW w:w="927" w:type="dxa"/>
            <w:tcBorders>
              <w:top w:val="nil"/>
              <w:left w:val="single" w:sz="4" w:space="0" w:color="auto"/>
              <w:bottom w:val="nil"/>
              <w:right w:val="nil"/>
            </w:tcBorders>
            <w:noWrap/>
            <w:vAlign w:val="center"/>
          </w:tcPr>
          <w:p w14:paraId="41F4FCCC"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0.079</w:t>
            </w:r>
          </w:p>
        </w:tc>
        <w:tc>
          <w:tcPr>
            <w:tcW w:w="929" w:type="dxa"/>
            <w:tcBorders>
              <w:top w:val="nil"/>
              <w:left w:val="nil"/>
              <w:bottom w:val="nil"/>
              <w:right w:val="nil"/>
            </w:tcBorders>
            <w:noWrap/>
            <w:vAlign w:val="center"/>
          </w:tcPr>
          <w:p w14:paraId="6E92EBE2"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-0.016</w:t>
            </w:r>
          </w:p>
        </w:tc>
        <w:tc>
          <w:tcPr>
            <w:tcW w:w="877" w:type="dxa"/>
            <w:tcBorders>
              <w:top w:val="nil"/>
              <w:left w:val="nil"/>
              <w:bottom w:val="nil"/>
              <w:right w:val="nil"/>
            </w:tcBorders>
            <w:noWrap/>
            <w:vAlign w:val="center"/>
          </w:tcPr>
          <w:p w14:paraId="15702BC6"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-0.038</w:t>
            </w:r>
          </w:p>
        </w:tc>
        <w:tc>
          <w:tcPr>
            <w:tcW w:w="828" w:type="dxa"/>
            <w:tcBorders>
              <w:top w:val="nil"/>
              <w:left w:val="nil"/>
              <w:bottom w:val="nil"/>
              <w:right w:val="nil"/>
            </w:tcBorders>
            <w:noWrap/>
            <w:vAlign w:val="center"/>
          </w:tcPr>
          <w:p w14:paraId="0B4C0959"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0.105</w:t>
            </w:r>
          </w:p>
        </w:tc>
        <w:tc>
          <w:tcPr>
            <w:tcW w:w="929" w:type="dxa"/>
            <w:tcBorders>
              <w:top w:val="nil"/>
              <w:left w:val="nil"/>
              <w:bottom w:val="nil"/>
              <w:right w:val="nil"/>
            </w:tcBorders>
            <w:noWrap/>
            <w:vAlign w:val="center"/>
          </w:tcPr>
          <w:p w14:paraId="7F0F5A91"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0.102</w:t>
            </w:r>
          </w:p>
        </w:tc>
        <w:tc>
          <w:tcPr>
            <w:tcW w:w="927" w:type="dxa"/>
            <w:tcBorders>
              <w:top w:val="nil"/>
              <w:left w:val="nil"/>
              <w:bottom w:val="nil"/>
              <w:right w:val="nil"/>
            </w:tcBorders>
            <w:noWrap/>
            <w:vAlign w:val="center"/>
          </w:tcPr>
          <w:p w14:paraId="0B127892"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-0.045</w:t>
            </w:r>
          </w:p>
        </w:tc>
        <w:tc>
          <w:tcPr>
            <w:tcW w:w="929" w:type="dxa"/>
            <w:tcBorders>
              <w:top w:val="nil"/>
              <w:left w:val="nil"/>
              <w:bottom w:val="nil"/>
              <w:right w:val="nil"/>
            </w:tcBorders>
            <w:noWrap/>
            <w:vAlign w:val="center"/>
          </w:tcPr>
          <w:p w14:paraId="5EA8314F"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-0.036</w:t>
            </w:r>
          </w:p>
        </w:tc>
        <w:tc>
          <w:tcPr>
            <w:tcW w:w="927" w:type="dxa"/>
            <w:tcBorders>
              <w:top w:val="nil"/>
              <w:left w:val="nil"/>
              <w:bottom w:val="nil"/>
              <w:right w:val="nil"/>
            </w:tcBorders>
            <w:noWrap/>
            <w:vAlign w:val="center"/>
          </w:tcPr>
          <w:p w14:paraId="75788D58"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0.175</w:t>
            </w:r>
          </w:p>
        </w:tc>
        <w:tc>
          <w:tcPr>
            <w:tcW w:w="922" w:type="dxa"/>
            <w:tcBorders>
              <w:top w:val="nil"/>
              <w:left w:val="nil"/>
              <w:bottom w:val="nil"/>
              <w:right w:val="nil"/>
            </w:tcBorders>
            <w:vAlign w:val="center"/>
          </w:tcPr>
          <w:p w14:paraId="2CD36D85"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1.000</w:t>
            </w:r>
          </w:p>
        </w:tc>
        <w:tc>
          <w:tcPr>
            <w:tcW w:w="922" w:type="dxa"/>
            <w:tcBorders>
              <w:top w:val="nil"/>
              <w:left w:val="nil"/>
              <w:bottom w:val="nil"/>
              <w:right w:val="nil"/>
            </w:tcBorders>
            <w:noWrap/>
            <w:vAlign w:val="center"/>
          </w:tcPr>
          <w:p w14:paraId="461D473B"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right w:val="nil"/>
            </w:tcBorders>
            <w:noWrap/>
            <w:vAlign w:val="center"/>
          </w:tcPr>
          <w:p w14:paraId="6C4279F3" w14:textId="77777777" w:rsidR="008576C8" w:rsidRPr="00052E20" w:rsidRDefault="008576C8" w:rsidP="008576C8">
            <w:pPr>
              <w:spacing w:line="240" w:lineRule="auto"/>
              <w:ind w:firstLineChars="0" w:firstLine="0"/>
              <w:jc w:val="left"/>
              <w:rPr>
                <w:rFonts w:cs="Times New Roman"/>
                <w:szCs w:val="24"/>
              </w:rPr>
            </w:pPr>
          </w:p>
        </w:tc>
        <w:tc>
          <w:tcPr>
            <w:tcW w:w="929" w:type="dxa"/>
            <w:tcBorders>
              <w:top w:val="nil"/>
              <w:left w:val="nil"/>
              <w:bottom w:val="nil"/>
              <w:right w:val="nil"/>
            </w:tcBorders>
            <w:noWrap/>
            <w:vAlign w:val="center"/>
          </w:tcPr>
          <w:p w14:paraId="4D4D3F1C"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tcBorders>
            <w:noWrap/>
            <w:vAlign w:val="center"/>
          </w:tcPr>
          <w:p w14:paraId="277AFB4D"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3BC302CF" w14:textId="77777777" w:rsidTr="008576C8">
        <w:trPr>
          <w:trHeight w:val="399"/>
          <w:jc w:val="center"/>
        </w:trPr>
        <w:tc>
          <w:tcPr>
            <w:tcW w:w="3423" w:type="dxa"/>
            <w:tcBorders>
              <w:top w:val="nil"/>
              <w:bottom w:val="nil"/>
              <w:right w:val="single" w:sz="4" w:space="0" w:color="auto"/>
            </w:tcBorders>
            <w:noWrap/>
            <w:vAlign w:val="center"/>
            <w:hideMark/>
          </w:tcPr>
          <w:p w14:paraId="1F28434D" w14:textId="77777777" w:rsidR="008576C8" w:rsidRPr="00052E20" w:rsidRDefault="008576C8" w:rsidP="008576C8">
            <w:pPr>
              <w:spacing w:line="240" w:lineRule="auto"/>
              <w:ind w:firstLineChars="0" w:firstLine="0"/>
              <w:rPr>
                <w:rFonts w:cs="Times New Roman"/>
                <w:b/>
                <w:szCs w:val="24"/>
              </w:rPr>
            </w:pPr>
            <w:r>
              <w:rPr>
                <w:rFonts w:cs="Times New Roman"/>
                <w:b/>
                <w:szCs w:val="24"/>
              </w:rPr>
              <w:t>Ln market value (10</w:t>
            </w:r>
            <w:r w:rsidRPr="00052E20">
              <w:rPr>
                <w:rFonts w:cs="Times New Roman"/>
                <w:b/>
                <w:szCs w:val="24"/>
              </w:rPr>
              <w:t>)</w:t>
            </w:r>
          </w:p>
        </w:tc>
        <w:tc>
          <w:tcPr>
            <w:tcW w:w="927" w:type="dxa"/>
            <w:tcBorders>
              <w:top w:val="nil"/>
              <w:left w:val="single" w:sz="4" w:space="0" w:color="auto"/>
              <w:bottom w:val="nil"/>
              <w:right w:val="nil"/>
            </w:tcBorders>
            <w:noWrap/>
            <w:vAlign w:val="center"/>
            <w:hideMark/>
          </w:tcPr>
          <w:p w14:paraId="66AA9FE9"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106</w:t>
            </w:r>
          </w:p>
        </w:tc>
        <w:tc>
          <w:tcPr>
            <w:tcW w:w="929" w:type="dxa"/>
            <w:tcBorders>
              <w:top w:val="nil"/>
              <w:left w:val="nil"/>
              <w:bottom w:val="nil"/>
              <w:right w:val="nil"/>
            </w:tcBorders>
            <w:noWrap/>
            <w:vAlign w:val="center"/>
            <w:hideMark/>
          </w:tcPr>
          <w:p w14:paraId="3AC59DAA"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0.006</w:t>
            </w:r>
          </w:p>
        </w:tc>
        <w:tc>
          <w:tcPr>
            <w:tcW w:w="877" w:type="dxa"/>
            <w:tcBorders>
              <w:top w:val="nil"/>
              <w:left w:val="nil"/>
              <w:bottom w:val="nil"/>
              <w:right w:val="nil"/>
            </w:tcBorders>
            <w:noWrap/>
            <w:vAlign w:val="center"/>
            <w:hideMark/>
          </w:tcPr>
          <w:p w14:paraId="4A3E4B70"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071</w:t>
            </w:r>
          </w:p>
        </w:tc>
        <w:tc>
          <w:tcPr>
            <w:tcW w:w="828" w:type="dxa"/>
            <w:tcBorders>
              <w:top w:val="nil"/>
              <w:left w:val="nil"/>
              <w:bottom w:val="nil"/>
              <w:right w:val="nil"/>
            </w:tcBorders>
            <w:noWrap/>
            <w:vAlign w:val="center"/>
            <w:hideMark/>
          </w:tcPr>
          <w:p w14:paraId="52E0E8DE"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132</w:t>
            </w:r>
          </w:p>
        </w:tc>
        <w:tc>
          <w:tcPr>
            <w:tcW w:w="929" w:type="dxa"/>
            <w:tcBorders>
              <w:top w:val="nil"/>
              <w:left w:val="nil"/>
              <w:bottom w:val="nil"/>
              <w:right w:val="nil"/>
            </w:tcBorders>
            <w:noWrap/>
            <w:vAlign w:val="center"/>
            <w:hideMark/>
          </w:tcPr>
          <w:p w14:paraId="19527D0B"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0.178</w:t>
            </w:r>
          </w:p>
        </w:tc>
        <w:tc>
          <w:tcPr>
            <w:tcW w:w="927" w:type="dxa"/>
            <w:tcBorders>
              <w:top w:val="nil"/>
              <w:left w:val="nil"/>
              <w:bottom w:val="nil"/>
              <w:right w:val="nil"/>
            </w:tcBorders>
            <w:noWrap/>
            <w:vAlign w:val="center"/>
            <w:hideMark/>
          </w:tcPr>
          <w:p w14:paraId="0C93D429"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021</w:t>
            </w:r>
          </w:p>
        </w:tc>
        <w:tc>
          <w:tcPr>
            <w:tcW w:w="929" w:type="dxa"/>
            <w:tcBorders>
              <w:top w:val="nil"/>
              <w:left w:val="nil"/>
              <w:bottom w:val="nil"/>
              <w:right w:val="nil"/>
            </w:tcBorders>
            <w:noWrap/>
            <w:vAlign w:val="center"/>
            <w:hideMark/>
          </w:tcPr>
          <w:p w14:paraId="1E3ECF1C"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-0.305</w:t>
            </w:r>
          </w:p>
        </w:tc>
        <w:tc>
          <w:tcPr>
            <w:tcW w:w="927" w:type="dxa"/>
            <w:tcBorders>
              <w:top w:val="nil"/>
              <w:left w:val="nil"/>
              <w:bottom w:val="nil"/>
              <w:right w:val="nil"/>
            </w:tcBorders>
            <w:noWrap/>
            <w:vAlign w:val="center"/>
            <w:hideMark/>
          </w:tcPr>
          <w:p w14:paraId="6A9C3112"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-0.210</w:t>
            </w:r>
          </w:p>
        </w:tc>
        <w:tc>
          <w:tcPr>
            <w:tcW w:w="922" w:type="dxa"/>
            <w:tcBorders>
              <w:top w:val="nil"/>
              <w:left w:val="nil"/>
              <w:bottom w:val="nil"/>
              <w:right w:val="nil"/>
            </w:tcBorders>
            <w:vAlign w:val="center"/>
          </w:tcPr>
          <w:p w14:paraId="05137FD2"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-0.006</w:t>
            </w:r>
          </w:p>
        </w:tc>
        <w:tc>
          <w:tcPr>
            <w:tcW w:w="922" w:type="dxa"/>
            <w:tcBorders>
              <w:top w:val="nil"/>
              <w:left w:val="nil"/>
              <w:bottom w:val="nil"/>
              <w:right w:val="nil"/>
            </w:tcBorders>
            <w:noWrap/>
            <w:vAlign w:val="center"/>
            <w:hideMark/>
          </w:tcPr>
          <w:p w14:paraId="581B4D91"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27" w:type="dxa"/>
            <w:tcBorders>
              <w:top w:val="nil"/>
              <w:left w:val="nil"/>
              <w:bottom w:val="nil"/>
              <w:right w:val="nil"/>
            </w:tcBorders>
            <w:noWrap/>
            <w:vAlign w:val="center"/>
            <w:hideMark/>
          </w:tcPr>
          <w:p w14:paraId="2A7B88F2" w14:textId="77777777" w:rsidR="008576C8" w:rsidRPr="00052E20" w:rsidRDefault="008576C8" w:rsidP="008576C8">
            <w:pPr>
              <w:spacing w:line="240" w:lineRule="auto"/>
              <w:ind w:firstLineChars="0" w:firstLine="0"/>
              <w:jc w:val="left"/>
              <w:rPr>
                <w:rFonts w:cs="Times New Roman"/>
                <w:szCs w:val="24"/>
              </w:rPr>
            </w:pPr>
          </w:p>
        </w:tc>
        <w:tc>
          <w:tcPr>
            <w:tcW w:w="929" w:type="dxa"/>
            <w:tcBorders>
              <w:top w:val="nil"/>
              <w:left w:val="nil"/>
              <w:bottom w:val="nil"/>
              <w:right w:val="nil"/>
            </w:tcBorders>
            <w:noWrap/>
            <w:vAlign w:val="center"/>
            <w:hideMark/>
          </w:tcPr>
          <w:p w14:paraId="60417A83"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tcBorders>
            <w:noWrap/>
            <w:vAlign w:val="center"/>
            <w:hideMark/>
          </w:tcPr>
          <w:p w14:paraId="4B05E22F"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033EFD50" w14:textId="77777777" w:rsidTr="008576C8">
        <w:trPr>
          <w:trHeight w:val="399"/>
          <w:jc w:val="center"/>
        </w:trPr>
        <w:tc>
          <w:tcPr>
            <w:tcW w:w="3423" w:type="dxa"/>
            <w:tcBorders>
              <w:top w:val="nil"/>
              <w:bottom w:val="nil"/>
              <w:right w:val="single" w:sz="4" w:space="0" w:color="auto"/>
            </w:tcBorders>
            <w:noWrap/>
            <w:vAlign w:val="center"/>
            <w:hideMark/>
          </w:tcPr>
          <w:p w14:paraId="434FA1F4" w14:textId="77777777" w:rsidR="008576C8" w:rsidRPr="00052E20" w:rsidRDefault="008576C8" w:rsidP="008576C8">
            <w:pPr>
              <w:spacing w:line="240" w:lineRule="auto"/>
              <w:ind w:firstLineChars="0" w:firstLine="0"/>
              <w:rPr>
                <w:rFonts w:cs="Times New Roman"/>
                <w:b/>
                <w:szCs w:val="24"/>
              </w:rPr>
            </w:pPr>
            <w:r>
              <w:rPr>
                <w:rFonts w:cs="Times New Roman"/>
                <w:b/>
                <w:szCs w:val="24"/>
              </w:rPr>
              <w:t>Free cash flow (11</w:t>
            </w:r>
            <w:r w:rsidRPr="00052E20">
              <w:rPr>
                <w:rFonts w:cs="Times New Roman"/>
                <w:b/>
                <w:szCs w:val="24"/>
              </w:rPr>
              <w:t>)</w:t>
            </w:r>
          </w:p>
        </w:tc>
        <w:tc>
          <w:tcPr>
            <w:tcW w:w="927" w:type="dxa"/>
            <w:tcBorders>
              <w:top w:val="nil"/>
              <w:left w:val="single" w:sz="4" w:space="0" w:color="auto"/>
              <w:bottom w:val="nil"/>
              <w:right w:val="nil"/>
            </w:tcBorders>
            <w:noWrap/>
            <w:vAlign w:val="center"/>
            <w:hideMark/>
          </w:tcPr>
          <w:p w14:paraId="6104F6EA"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0.070</w:t>
            </w:r>
          </w:p>
        </w:tc>
        <w:tc>
          <w:tcPr>
            <w:tcW w:w="929" w:type="dxa"/>
            <w:tcBorders>
              <w:top w:val="nil"/>
              <w:left w:val="nil"/>
              <w:bottom w:val="nil"/>
              <w:right w:val="nil"/>
            </w:tcBorders>
            <w:noWrap/>
            <w:vAlign w:val="center"/>
            <w:hideMark/>
          </w:tcPr>
          <w:p w14:paraId="168150B8"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-0.089</w:t>
            </w:r>
          </w:p>
        </w:tc>
        <w:tc>
          <w:tcPr>
            <w:tcW w:w="877" w:type="dxa"/>
            <w:tcBorders>
              <w:top w:val="nil"/>
              <w:left w:val="nil"/>
              <w:bottom w:val="nil"/>
              <w:right w:val="nil"/>
            </w:tcBorders>
            <w:noWrap/>
            <w:vAlign w:val="center"/>
            <w:hideMark/>
          </w:tcPr>
          <w:p w14:paraId="7A0250EC"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097</w:t>
            </w:r>
          </w:p>
        </w:tc>
        <w:tc>
          <w:tcPr>
            <w:tcW w:w="828" w:type="dxa"/>
            <w:tcBorders>
              <w:top w:val="nil"/>
              <w:left w:val="nil"/>
              <w:bottom w:val="nil"/>
              <w:right w:val="nil"/>
            </w:tcBorders>
            <w:noWrap/>
            <w:vAlign w:val="center"/>
            <w:hideMark/>
          </w:tcPr>
          <w:p w14:paraId="45E762C6"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-0.1</w:t>
            </w:r>
            <w:r>
              <w:rPr>
                <w:rFonts w:cs="Times New Roman"/>
                <w:szCs w:val="24"/>
              </w:rPr>
              <w:t>05</w:t>
            </w:r>
          </w:p>
        </w:tc>
        <w:tc>
          <w:tcPr>
            <w:tcW w:w="929" w:type="dxa"/>
            <w:tcBorders>
              <w:top w:val="nil"/>
              <w:left w:val="nil"/>
              <w:bottom w:val="nil"/>
              <w:right w:val="nil"/>
            </w:tcBorders>
            <w:noWrap/>
            <w:vAlign w:val="center"/>
            <w:hideMark/>
          </w:tcPr>
          <w:p w14:paraId="58C51547"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0.124</w:t>
            </w:r>
          </w:p>
        </w:tc>
        <w:tc>
          <w:tcPr>
            <w:tcW w:w="927" w:type="dxa"/>
            <w:tcBorders>
              <w:top w:val="nil"/>
              <w:left w:val="nil"/>
              <w:bottom w:val="nil"/>
              <w:right w:val="nil"/>
            </w:tcBorders>
            <w:noWrap/>
            <w:vAlign w:val="center"/>
            <w:hideMark/>
          </w:tcPr>
          <w:p w14:paraId="1BCE2C59"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282</w:t>
            </w:r>
          </w:p>
        </w:tc>
        <w:tc>
          <w:tcPr>
            <w:tcW w:w="929" w:type="dxa"/>
            <w:tcBorders>
              <w:top w:val="nil"/>
              <w:left w:val="nil"/>
              <w:bottom w:val="nil"/>
              <w:right w:val="nil"/>
            </w:tcBorders>
            <w:noWrap/>
            <w:vAlign w:val="center"/>
            <w:hideMark/>
          </w:tcPr>
          <w:p w14:paraId="4F8806DB"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046</w:t>
            </w:r>
          </w:p>
        </w:tc>
        <w:tc>
          <w:tcPr>
            <w:tcW w:w="927" w:type="dxa"/>
            <w:tcBorders>
              <w:top w:val="nil"/>
              <w:left w:val="nil"/>
              <w:bottom w:val="nil"/>
              <w:right w:val="nil"/>
            </w:tcBorders>
            <w:noWrap/>
            <w:vAlign w:val="center"/>
            <w:hideMark/>
          </w:tcPr>
          <w:p w14:paraId="307BE610"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-0.1</w:t>
            </w:r>
            <w:r>
              <w:rPr>
                <w:rFonts w:cs="Times New Roman"/>
                <w:szCs w:val="24"/>
              </w:rPr>
              <w:t>57</w:t>
            </w:r>
          </w:p>
        </w:tc>
        <w:tc>
          <w:tcPr>
            <w:tcW w:w="922" w:type="dxa"/>
            <w:tcBorders>
              <w:top w:val="nil"/>
              <w:left w:val="nil"/>
              <w:bottom w:val="nil"/>
              <w:right w:val="nil"/>
            </w:tcBorders>
            <w:vAlign w:val="center"/>
          </w:tcPr>
          <w:p w14:paraId="1C35B9DF"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-0.010</w:t>
            </w:r>
          </w:p>
        </w:tc>
        <w:tc>
          <w:tcPr>
            <w:tcW w:w="922" w:type="dxa"/>
            <w:tcBorders>
              <w:top w:val="nil"/>
              <w:left w:val="nil"/>
              <w:bottom w:val="nil"/>
              <w:right w:val="nil"/>
            </w:tcBorders>
            <w:noWrap/>
            <w:vAlign w:val="center"/>
            <w:hideMark/>
          </w:tcPr>
          <w:p w14:paraId="5428737B"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0.227</w:t>
            </w:r>
          </w:p>
        </w:tc>
        <w:tc>
          <w:tcPr>
            <w:tcW w:w="927" w:type="dxa"/>
            <w:tcBorders>
              <w:top w:val="nil"/>
              <w:left w:val="nil"/>
              <w:bottom w:val="nil"/>
              <w:right w:val="nil"/>
            </w:tcBorders>
            <w:noWrap/>
            <w:vAlign w:val="center"/>
            <w:hideMark/>
          </w:tcPr>
          <w:p w14:paraId="2EE31CDC"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29" w:type="dxa"/>
            <w:tcBorders>
              <w:top w:val="nil"/>
              <w:left w:val="nil"/>
              <w:bottom w:val="nil"/>
              <w:right w:val="nil"/>
            </w:tcBorders>
            <w:noWrap/>
            <w:vAlign w:val="center"/>
            <w:hideMark/>
          </w:tcPr>
          <w:p w14:paraId="59D70255" w14:textId="77777777" w:rsidR="008576C8" w:rsidRPr="00052E20" w:rsidRDefault="008576C8" w:rsidP="008576C8">
            <w:pPr>
              <w:spacing w:line="240" w:lineRule="auto"/>
              <w:ind w:firstLineChars="0" w:firstLine="0"/>
              <w:jc w:val="left"/>
              <w:rPr>
                <w:rFonts w:cs="Times New Roman"/>
                <w:szCs w:val="24"/>
              </w:rPr>
            </w:pPr>
          </w:p>
        </w:tc>
        <w:tc>
          <w:tcPr>
            <w:tcW w:w="927" w:type="dxa"/>
            <w:tcBorders>
              <w:top w:val="nil"/>
              <w:left w:val="nil"/>
              <w:bottom w:val="nil"/>
            </w:tcBorders>
            <w:noWrap/>
            <w:vAlign w:val="center"/>
            <w:hideMark/>
          </w:tcPr>
          <w:p w14:paraId="28814BA0"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62BCDFD2" w14:textId="77777777" w:rsidTr="008576C8">
        <w:trPr>
          <w:trHeight w:val="399"/>
          <w:jc w:val="center"/>
        </w:trPr>
        <w:tc>
          <w:tcPr>
            <w:tcW w:w="3423" w:type="dxa"/>
            <w:tcBorders>
              <w:top w:val="nil"/>
              <w:bottom w:val="nil"/>
              <w:right w:val="single" w:sz="4" w:space="0" w:color="auto"/>
            </w:tcBorders>
            <w:noWrap/>
            <w:vAlign w:val="center"/>
            <w:hideMark/>
          </w:tcPr>
          <w:p w14:paraId="2288A4C8" w14:textId="77777777" w:rsidR="008576C8" w:rsidRPr="00052E20" w:rsidRDefault="008576C8" w:rsidP="008576C8">
            <w:pPr>
              <w:spacing w:line="240" w:lineRule="auto"/>
              <w:ind w:firstLineChars="0" w:firstLine="0"/>
              <w:rPr>
                <w:rFonts w:cs="Times New Roman"/>
                <w:b/>
                <w:szCs w:val="24"/>
              </w:rPr>
            </w:pPr>
            <w:r>
              <w:rPr>
                <w:rFonts w:cs="Times New Roman"/>
                <w:b/>
                <w:szCs w:val="24"/>
              </w:rPr>
              <w:t>Leverage (12</w:t>
            </w:r>
            <w:r w:rsidRPr="00052E20">
              <w:rPr>
                <w:rFonts w:cs="Times New Roman"/>
                <w:b/>
                <w:szCs w:val="24"/>
              </w:rPr>
              <w:t>)</w:t>
            </w:r>
          </w:p>
        </w:tc>
        <w:tc>
          <w:tcPr>
            <w:tcW w:w="927" w:type="dxa"/>
            <w:tcBorders>
              <w:top w:val="nil"/>
              <w:left w:val="single" w:sz="4" w:space="0" w:color="auto"/>
              <w:bottom w:val="nil"/>
              <w:right w:val="nil"/>
            </w:tcBorders>
            <w:noWrap/>
            <w:vAlign w:val="center"/>
            <w:hideMark/>
          </w:tcPr>
          <w:p w14:paraId="6F264168"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w:t>
            </w:r>
            <w:r>
              <w:rPr>
                <w:rFonts w:cs="Times New Roman"/>
                <w:szCs w:val="24"/>
              </w:rPr>
              <w:t>0.075</w:t>
            </w:r>
          </w:p>
        </w:tc>
        <w:tc>
          <w:tcPr>
            <w:tcW w:w="929" w:type="dxa"/>
            <w:tcBorders>
              <w:top w:val="nil"/>
              <w:left w:val="nil"/>
              <w:bottom w:val="nil"/>
              <w:right w:val="nil"/>
            </w:tcBorders>
            <w:noWrap/>
            <w:vAlign w:val="center"/>
            <w:hideMark/>
          </w:tcPr>
          <w:p w14:paraId="29A81ED4"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-0.105</w:t>
            </w:r>
          </w:p>
        </w:tc>
        <w:tc>
          <w:tcPr>
            <w:tcW w:w="877" w:type="dxa"/>
            <w:tcBorders>
              <w:top w:val="nil"/>
              <w:left w:val="nil"/>
              <w:bottom w:val="nil"/>
              <w:right w:val="nil"/>
            </w:tcBorders>
            <w:noWrap/>
            <w:vAlign w:val="center"/>
            <w:hideMark/>
          </w:tcPr>
          <w:p w14:paraId="31B38229"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w:t>
            </w:r>
            <w:r w:rsidRPr="00052E20">
              <w:rPr>
                <w:rFonts w:cs="Times New Roman"/>
                <w:szCs w:val="24"/>
              </w:rPr>
              <w:t>0.</w:t>
            </w:r>
            <w:r>
              <w:rPr>
                <w:rFonts w:cs="Times New Roman"/>
                <w:szCs w:val="24"/>
              </w:rPr>
              <w:t>001</w:t>
            </w:r>
          </w:p>
        </w:tc>
        <w:tc>
          <w:tcPr>
            <w:tcW w:w="828" w:type="dxa"/>
            <w:tcBorders>
              <w:top w:val="nil"/>
              <w:left w:val="nil"/>
              <w:bottom w:val="nil"/>
              <w:right w:val="nil"/>
            </w:tcBorders>
            <w:noWrap/>
            <w:vAlign w:val="center"/>
            <w:hideMark/>
          </w:tcPr>
          <w:p w14:paraId="4E951BE3"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0.082</w:t>
            </w:r>
          </w:p>
        </w:tc>
        <w:tc>
          <w:tcPr>
            <w:tcW w:w="929" w:type="dxa"/>
            <w:tcBorders>
              <w:top w:val="nil"/>
              <w:left w:val="nil"/>
              <w:bottom w:val="nil"/>
              <w:right w:val="nil"/>
            </w:tcBorders>
            <w:noWrap/>
            <w:vAlign w:val="center"/>
            <w:hideMark/>
          </w:tcPr>
          <w:p w14:paraId="495BA7C2"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-0.041</w:t>
            </w:r>
          </w:p>
        </w:tc>
        <w:tc>
          <w:tcPr>
            <w:tcW w:w="927" w:type="dxa"/>
            <w:tcBorders>
              <w:top w:val="nil"/>
              <w:left w:val="nil"/>
              <w:bottom w:val="nil"/>
              <w:right w:val="nil"/>
            </w:tcBorders>
            <w:noWrap/>
            <w:vAlign w:val="center"/>
            <w:hideMark/>
          </w:tcPr>
          <w:p w14:paraId="5C3FA494"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0.002</w:t>
            </w:r>
          </w:p>
        </w:tc>
        <w:tc>
          <w:tcPr>
            <w:tcW w:w="929" w:type="dxa"/>
            <w:tcBorders>
              <w:top w:val="nil"/>
              <w:left w:val="nil"/>
              <w:bottom w:val="nil"/>
              <w:right w:val="nil"/>
            </w:tcBorders>
            <w:noWrap/>
            <w:vAlign w:val="center"/>
            <w:hideMark/>
          </w:tcPr>
          <w:p w14:paraId="10999936"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0.1</w:t>
            </w:r>
            <w:r>
              <w:rPr>
                <w:rFonts w:cs="Times New Roman"/>
                <w:szCs w:val="24"/>
              </w:rPr>
              <w:t>08</w:t>
            </w:r>
          </w:p>
        </w:tc>
        <w:tc>
          <w:tcPr>
            <w:tcW w:w="927" w:type="dxa"/>
            <w:tcBorders>
              <w:top w:val="nil"/>
              <w:left w:val="nil"/>
              <w:bottom w:val="nil"/>
              <w:right w:val="nil"/>
            </w:tcBorders>
            <w:noWrap/>
            <w:vAlign w:val="center"/>
            <w:hideMark/>
          </w:tcPr>
          <w:p w14:paraId="6F975F1E"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.084</w:t>
            </w:r>
          </w:p>
        </w:tc>
        <w:tc>
          <w:tcPr>
            <w:tcW w:w="922" w:type="dxa"/>
            <w:tcBorders>
              <w:top w:val="nil"/>
              <w:left w:val="nil"/>
              <w:bottom w:val="nil"/>
              <w:right w:val="nil"/>
            </w:tcBorders>
            <w:vAlign w:val="center"/>
          </w:tcPr>
          <w:p w14:paraId="1D28EC13"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0.044</w:t>
            </w:r>
          </w:p>
        </w:tc>
        <w:tc>
          <w:tcPr>
            <w:tcW w:w="922" w:type="dxa"/>
            <w:tcBorders>
              <w:top w:val="nil"/>
              <w:left w:val="nil"/>
              <w:bottom w:val="nil"/>
              <w:right w:val="nil"/>
            </w:tcBorders>
            <w:noWrap/>
            <w:vAlign w:val="center"/>
            <w:hideMark/>
          </w:tcPr>
          <w:p w14:paraId="45F55737"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w:t>
            </w:r>
            <w:r w:rsidRPr="00052E20">
              <w:rPr>
                <w:rFonts w:cs="Times New Roman"/>
                <w:szCs w:val="24"/>
              </w:rPr>
              <w:t>0.</w:t>
            </w:r>
            <w:r>
              <w:rPr>
                <w:rFonts w:cs="Times New Roman"/>
                <w:szCs w:val="24"/>
              </w:rPr>
              <w:t>017</w:t>
            </w:r>
          </w:p>
        </w:tc>
        <w:tc>
          <w:tcPr>
            <w:tcW w:w="927" w:type="dxa"/>
            <w:tcBorders>
              <w:top w:val="nil"/>
              <w:left w:val="nil"/>
              <w:bottom w:val="nil"/>
              <w:right w:val="nil"/>
            </w:tcBorders>
            <w:noWrap/>
            <w:vAlign w:val="center"/>
            <w:hideMark/>
          </w:tcPr>
          <w:p w14:paraId="701FA94D"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w:t>
            </w:r>
            <w:r w:rsidRPr="00052E20">
              <w:rPr>
                <w:rFonts w:cs="Times New Roman"/>
                <w:szCs w:val="24"/>
              </w:rPr>
              <w:t>0.</w:t>
            </w:r>
            <w:r>
              <w:rPr>
                <w:rFonts w:cs="Times New Roman"/>
                <w:szCs w:val="24"/>
              </w:rPr>
              <w:t>109</w:t>
            </w:r>
          </w:p>
        </w:tc>
        <w:tc>
          <w:tcPr>
            <w:tcW w:w="929" w:type="dxa"/>
            <w:tcBorders>
              <w:top w:val="nil"/>
              <w:left w:val="nil"/>
              <w:bottom w:val="nil"/>
              <w:right w:val="nil"/>
            </w:tcBorders>
            <w:noWrap/>
            <w:vAlign w:val="center"/>
            <w:hideMark/>
          </w:tcPr>
          <w:p w14:paraId="09AEE464"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c>
          <w:tcPr>
            <w:tcW w:w="927" w:type="dxa"/>
            <w:tcBorders>
              <w:top w:val="nil"/>
              <w:left w:val="nil"/>
              <w:bottom w:val="nil"/>
            </w:tcBorders>
            <w:noWrap/>
            <w:vAlign w:val="center"/>
            <w:hideMark/>
          </w:tcPr>
          <w:p w14:paraId="157C75B8" w14:textId="77777777" w:rsidR="008576C8" w:rsidRPr="00052E20" w:rsidRDefault="008576C8" w:rsidP="008576C8">
            <w:pPr>
              <w:spacing w:line="240" w:lineRule="auto"/>
              <w:ind w:firstLineChars="0" w:firstLine="0"/>
              <w:jc w:val="left"/>
              <w:rPr>
                <w:rFonts w:cs="Times New Roman"/>
                <w:szCs w:val="24"/>
              </w:rPr>
            </w:pPr>
          </w:p>
        </w:tc>
      </w:tr>
      <w:tr w:rsidR="008576C8" w:rsidRPr="00052E20" w14:paraId="796E1C13" w14:textId="77777777" w:rsidTr="008576C8">
        <w:trPr>
          <w:trHeight w:val="399"/>
          <w:jc w:val="center"/>
        </w:trPr>
        <w:tc>
          <w:tcPr>
            <w:tcW w:w="3423" w:type="dxa"/>
            <w:tcBorders>
              <w:top w:val="nil"/>
              <w:bottom w:val="single" w:sz="4" w:space="0" w:color="auto"/>
              <w:right w:val="single" w:sz="4" w:space="0" w:color="auto"/>
            </w:tcBorders>
            <w:noWrap/>
            <w:vAlign w:val="center"/>
            <w:hideMark/>
          </w:tcPr>
          <w:p w14:paraId="02E35C2D" w14:textId="77777777" w:rsidR="008576C8" w:rsidRPr="00052E20" w:rsidRDefault="008576C8" w:rsidP="008576C8">
            <w:pPr>
              <w:spacing w:line="240" w:lineRule="auto"/>
              <w:ind w:firstLineChars="0" w:firstLine="0"/>
              <w:rPr>
                <w:rFonts w:cs="Times New Roman"/>
                <w:b/>
                <w:szCs w:val="24"/>
              </w:rPr>
            </w:pPr>
            <w:r>
              <w:rPr>
                <w:rFonts w:cs="Times New Roman"/>
                <w:b/>
                <w:szCs w:val="24"/>
              </w:rPr>
              <w:t>Profitability (13</w:t>
            </w:r>
            <w:r w:rsidRPr="00052E20">
              <w:rPr>
                <w:rFonts w:cs="Times New Roman"/>
                <w:b/>
                <w:szCs w:val="24"/>
              </w:rPr>
              <w:t>)</w:t>
            </w:r>
          </w:p>
        </w:tc>
        <w:tc>
          <w:tcPr>
            <w:tcW w:w="927" w:type="dxa"/>
            <w:tcBorders>
              <w:top w:val="nil"/>
              <w:left w:val="single" w:sz="4" w:space="0" w:color="auto"/>
              <w:bottom w:val="single" w:sz="4" w:space="0" w:color="auto"/>
              <w:right w:val="nil"/>
            </w:tcBorders>
            <w:noWrap/>
            <w:vAlign w:val="center"/>
            <w:hideMark/>
          </w:tcPr>
          <w:p w14:paraId="6753D880"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0.009</w:t>
            </w:r>
          </w:p>
        </w:tc>
        <w:tc>
          <w:tcPr>
            <w:tcW w:w="929" w:type="dxa"/>
            <w:tcBorders>
              <w:top w:val="nil"/>
              <w:left w:val="nil"/>
              <w:bottom w:val="single" w:sz="4" w:space="0" w:color="auto"/>
              <w:right w:val="nil"/>
            </w:tcBorders>
            <w:noWrap/>
            <w:vAlign w:val="center"/>
            <w:hideMark/>
          </w:tcPr>
          <w:p w14:paraId="16A5A283"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-0.294</w:t>
            </w:r>
          </w:p>
        </w:tc>
        <w:tc>
          <w:tcPr>
            <w:tcW w:w="877" w:type="dxa"/>
            <w:tcBorders>
              <w:top w:val="nil"/>
              <w:left w:val="nil"/>
              <w:bottom w:val="single" w:sz="4" w:space="0" w:color="auto"/>
              <w:right w:val="nil"/>
            </w:tcBorders>
            <w:noWrap/>
            <w:vAlign w:val="center"/>
            <w:hideMark/>
          </w:tcPr>
          <w:p w14:paraId="6B58374E"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0.085</w:t>
            </w:r>
          </w:p>
        </w:tc>
        <w:tc>
          <w:tcPr>
            <w:tcW w:w="828" w:type="dxa"/>
            <w:tcBorders>
              <w:top w:val="nil"/>
              <w:left w:val="nil"/>
              <w:bottom w:val="single" w:sz="4" w:space="0" w:color="auto"/>
              <w:right w:val="nil"/>
            </w:tcBorders>
            <w:noWrap/>
            <w:vAlign w:val="center"/>
            <w:hideMark/>
          </w:tcPr>
          <w:p w14:paraId="324EA29F"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-0.085</w:t>
            </w:r>
          </w:p>
        </w:tc>
        <w:tc>
          <w:tcPr>
            <w:tcW w:w="929" w:type="dxa"/>
            <w:tcBorders>
              <w:top w:val="nil"/>
              <w:left w:val="nil"/>
              <w:bottom w:val="single" w:sz="4" w:space="0" w:color="auto"/>
              <w:right w:val="nil"/>
            </w:tcBorders>
            <w:noWrap/>
            <w:vAlign w:val="center"/>
            <w:hideMark/>
          </w:tcPr>
          <w:p w14:paraId="0DC18E33"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0.180</w:t>
            </w:r>
          </w:p>
        </w:tc>
        <w:tc>
          <w:tcPr>
            <w:tcW w:w="927" w:type="dxa"/>
            <w:tcBorders>
              <w:top w:val="nil"/>
              <w:left w:val="nil"/>
              <w:bottom w:val="single" w:sz="4" w:space="0" w:color="auto"/>
              <w:right w:val="nil"/>
            </w:tcBorders>
            <w:noWrap/>
            <w:vAlign w:val="center"/>
            <w:hideMark/>
          </w:tcPr>
          <w:p w14:paraId="5578E53C"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092</w:t>
            </w:r>
          </w:p>
        </w:tc>
        <w:tc>
          <w:tcPr>
            <w:tcW w:w="929" w:type="dxa"/>
            <w:tcBorders>
              <w:top w:val="nil"/>
              <w:left w:val="nil"/>
              <w:bottom w:val="single" w:sz="4" w:space="0" w:color="auto"/>
              <w:right w:val="nil"/>
            </w:tcBorders>
            <w:noWrap/>
            <w:vAlign w:val="center"/>
            <w:hideMark/>
          </w:tcPr>
          <w:p w14:paraId="19FF1D2B"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006</w:t>
            </w:r>
          </w:p>
        </w:tc>
        <w:tc>
          <w:tcPr>
            <w:tcW w:w="927" w:type="dxa"/>
            <w:tcBorders>
              <w:top w:val="nil"/>
              <w:left w:val="nil"/>
              <w:bottom w:val="single" w:sz="4" w:space="0" w:color="auto"/>
              <w:right w:val="nil"/>
            </w:tcBorders>
            <w:noWrap/>
            <w:vAlign w:val="center"/>
            <w:hideMark/>
          </w:tcPr>
          <w:p w14:paraId="6B0EC373"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182</w:t>
            </w:r>
          </w:p>
        </w:tc>
        <w:tc>
          <w:tcPr>
            <w:tcW w:w="922" w:type="dxa"/>
            <w:tcBorders>
              <w:top w:val="nil"/>
              <w:left w:val="nil"/>
              <w:bottom w:val="single" w:sz="4" w:space="0" w:color="auto"/>
              <w:right w:val="nil"/>
            </w:tcBorders>
            <w:vAlign w:val="center"/>
          </w:tcPr>
          <w:p w14:paraId="306D01E6"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-0.013</w:t>
            </w:r>
          </w:p>
        </w:tc>
        <w:tc>
          <w:tcPr>
            <w:tcW w:w="922" w:type="dxa"/>
            <w:tcBorders>
              <w:top w:val="nil"/>
              <w:left w:val="nil"/>
              <w:bottom w:val="single" w:sz="4" w:space="0" w:color="auto"/>
              <w:right w:val="nil"/>
            </w:tcBorders>
            <w:noWrap/>
            <w:vAlign w:val="center"/>
            <w:hideMark/>
          </w:tcPr>
          <w:p w14:paraId="60EE966A"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0.0</w:t>
            </w:r>
            <w:r>
              <w:rPr>
                <w:rFonts w:cs="Times New Roman"/>
                <w:szCs w:val="24"/>
              </w:rPr>
              <w:t>66</w:t>
            </w:r>
          </w:p>
        </w:tc>
        <w:tc>
          <w:tcPr>
            <w:tcW w:w="927" w:type="dxa"/>
            <w:tcBorders>
              <w:top w:val="nil"/>
              <w:left w:val="nil"/>
              <w:bottom w:val="single" w:sz="4" w:space="0" w:color="auto"/>
              <w:right w:val="nil"/>
            </w:tcBorders>
            <w:noWrap/>
            <w:vAlign w:val="center"/>
            <w:hideMark/>
          </w:tcPr>
          <w:p w14:paraId="3C0D53C0"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0.</w:t>
            </w:r>
            <w:r>
              <w:rPr>
                <w:rFonts w:cs="Times New Roman"/>
                <w:szCs w:val="24"/>
              </w:rPr>
              <w:t>244</w:t>
            </w:r>
          </w:p>
        </w:tc>
        <w:tc>
          <w:tcPr>
            <w:tcW w:w="929" w:type="dxa"/>
            <w:tcBorders>
              <w:top w:val="nil"/>
              <w:left w:val="nil"/>
              <w:bottom w:val="single" w:sz="4" w:space="0" w:color="auto"/>
              <w:right w:val="nil"/>
            </w:tcBorders>
            <w:noWrap/>
            <w:vAlign w:val="center"/>
            <w:hideMark/>
          </w:tcPr>
          <w:p w14:paraId="6652AE29" w14:textId="77777777" w:rsidR="008576C8" w:rsidRPr="00052E20" w:rsidRDefault="008576C8" w:rsidP="008576C8">
            <w:pPr>
              <w:spacing w:line="240" w:lineRule="auto"/>
              <w:ind w:firstLineChars="0" w:firstLine="0"/>
              <w:jc w:val="left"/>
              <w:rPr>
                <w:rFonts w:cs="Times New Roman"/>
                <w:szCs w:val="24"/>
              </w:rPr>
            </w:pPr>
            <w:r>
              <w:rPr>
                <w:rFonts w:cs="Times New Roman"/>
                <w:szCs w:val="24"/>
              </w:rPr>
              <w:t>-0.067</w:t>
            </w:r>
          </w:p>
        </w:tc>
        <w:tc>
          <w:tcPr>
            <w:tcW w:w="927" w:type="dxa"/>
            <w:tcBorders>
              <w:top w:val="nil"/>
              <w:left w:val="nil"/>
              <w:bottom w:val="single" w:sz="4" w:space="0" w:color="auto"/>
            </w:tcBorders>
            <w:noWrap/>
            <w:vAlign w:val="center"/>
            <w:hideMark/>
          </w:tcPr>
          <w:p w14:paraId="0CF04AB1" w14:textId="77777777" w:rsidR="008576C8" w:rsidRPr="00052E20" w:rsidRDefault="008576C8" w:rsidP="008576C8">
            <w:pPr>
              <w:spacing w:line="240" w:lineRule="auto"/>
              <w:ind w:firstLineChars="0" w:firstLine="0"/>
              <w:jc w:val="left"/>
              <w:rPr>
                <w:rFonts w:cs="Times New Roman"/>
                <w:szCs w:val="24"/>
              </w:rPr>
            </w:pPr>
            <w:r w:rsidRPr="00052E20">
              <w:rPr>
                <w:rFonts w:cs="Times New Roman"/>
                <w:szCs w:val="24"/>
              </w:rPr>
              <w:t>1.000</w:t>
            </w:r>
          </w:p>
        </w:tc>
      </w:tr>
    </w:tbl>
    <w:p w14:paraId="1037F273" w14:textId="77777777" w:rsidR="008576C8" w:rsidRDefault="008576C8" w:rsidP="008576C8">
      <w:pPr>
        <w:tabs>
          <w:tab w:val="left" w:pos="1412"/>
        </w:tabs>
        <w:ind w:firstLineChars="83" w:firstLine="199"/>
        <w:rPr>
          <w:lang w:val="en-GB"/>
        </w:rPr>
      </w:pPr>
    </w:p>
    <w:p w14:paraId="133627AA" w14:textId="77777777" w:rsidR="008576C8" w:rsidRDefault="008576C8" w:rsidP="008576C8">
      <w:pPr>
        <w:ind w:firstLineChars="0" w:firstLine="0"/>
        <w:rPr>
          <w:rFonts w:cs="Times New Roman"/>
          <w:szCs w:val="24"/>
          <w:lang w:val="en-GB"/>
        </w:rPr>
        <w:sectPr w:rsidR="008576C8" w:rsidSect="008576C8">
          <w:pgSz w:w="16840" w:h="11900" w:orient="landscape"/>
          <w:pgMar w:top="1440" w:right="1440" w:bottom="1440" w:left="1440" w:header="720" w:footer="720" w:gutter="0"/>
          <w:cols w:space="720"/>
          <w:docGrid w:linePitch="360"/>
        </w:sectPr>
      </w:pPr>
    </w:p>
    <w:p w14:paraId="1F9C5996" w14:textId="6AFC11F8" w:rsidR="008576C8" w:rsidRPr="00D438EF" w:rsidRDefault="008576C8" w:rsidP="008576C8">
      <w:pPr>
        <w:pStyle w:val="a"/>
        <w:ind w:firstLine="400"/>
        <w:jc w:val="left"/>
        <w:rPr>
          <w:sz w:val="20"/>
          <w:szCs w:val="20"/>
        </w:rPr>
      </w:pPr>
      <w:bookmarkStart w:id="39" w:name="_Toc491801686"/>
      <w:r w:rsidRPr="00D438EF">
        <w:rPr>
          <w:sz w:val="20"/>
          <w:szCs w:val="20"/>
        </w:rPr>
        <w:t xml:space="preserve">Table 4: Bidder’s abnormal returns </w:t>
      </w:r>
      <w:r w:rsidR="00B8251D">
        <w:rPr>
          <w:sz w:val="20"/>
          <w:szCs w:val="20"/>
        </w:rPr>
        <w:t xml:space="preserve">over various event windows </w:t>
      </w:r>
      <w:bookmarkEnd w:id="39"/>
    </w:p>
    <w:p w14:paraId="4C258524" w14:textId="77777777" w:rsidR="008576C8" w:rsidRDefault="008576C8" w:rsidP="008576C8">
      <w:pPr>
        <w:pStyle w:val="a"/>
        <w:ind w:firstLine="480"/>
        <w:jc w:val="left"/>
      </w:pPr>
    </w:p>
    <w:p w14:paraId="56719204" w14:textId="011D18D9" w:rsidR="008576C8" w:rsidRPr="00511FFA" w:rsidRDefault="008576C8" w:rsidP="008576C8">
      <w:pPr>
        <w:pStyle w:val="a"/>
        <w:ind w:firstLineChars="0" w:firstLine="0"/>
        <w:jc w:val="both"/>
        <w:rPr>
          <w:rFonts w:eastAsiaTheme="minorEastAsia"/>
          <w:b w:val="0"/>
          <w:sz w:val="20"/>
          <w:szCs w:val="20"/>
          <w:u w:val="none"/>
        </w:rPr>
      </w:pPr>
      <w:r w:rsidRPr="00511FFA">
        <w:rPr>
          <w:b w:val="0"/>
          <w:color w:val="000000" w:themeColor="text1"/>
          <w:sz w:val="20"/>
          <w:szCs w:val="20"/>
          <w:u w:val="none"/>
        </w:rPr>
        <w:t xml:space="preserve">Table </w:t>
      </w:r>
      <w:r w:rsidR="00B8251D">
        <w:rPr>
          <w:b w:val="0"/>
          <w:color w:val="000000" w:themeColor="text1"/>
          <w:sz w:val="20"/>
          <w:szCs w:val="20"/>
          <w:u w:val="none"/>
        </w:rPr>
        <w:t xml:space="preserve">4 </w:t>
      </w:r>
      <w:r w:rsidRPr="00511FFA">
        <w:rPr>
          <w:b w:val="0"/>
          <w:sz w:val="20"/>
          <w:szCs w:val="20"/>
          <w:u w:val="none"/>
        </w:rPr>
        <w:t xml:space="preserve">reports the cumulative average excess returns of acquiring firms around the announcement period for both bidders from Hong Kong target and </w:t>
      </w:r>
      <w:r>
        <w:rPr>
          <w:b w:val="0"/>
          <w:sz w:val="20"/>
          <w:szCs w:val="20"/>
          <w:u w:val="none"/>
        </w:rPr>
        <w:t>China M</w:t>
      </w:r>
      <w:r w:rsidRPr="00511FFA">
        <w:rPr>
          <w:b w:val="0"/>
          <w:sz w:val="20"/>
          <w:szCs w:val="20"/>
          <w:u w:val="none"/>
        </w:rPr>
        <w:t>ainland target. We have implemented three asset pricing models i.e. market return, single factor model</w:t>
      </w:r>
      <w:r>
        <w:rPr>
          <w:b w:val="0"/>
          <w:sz w:val="20"/>
          <w:szCs w:val="20"/>
          <w:u w:val="none"/>
        </w:rPr>
        <w:t xml:space="preserve"> (CAPM)</w:t>
      </w:r>
      <w:r w:rsidRPr="00511FFA">
        <w:rPr>
          <w:b w:val="0"/>
          <w:sz w:val="20"/>
          <w:szCs w:val="20"/>
          <w:u w:val="none"/>
        </w:rPr>
        <w:t xml:space="preserve"> and three factor model (Fama-French). Moreover, table consist of entire period of event</w:t>
      </w:r>
      <w:r>
        <w:rPr>
          <w:b w:val="0"/>
          <w:sz w:val="20"/>
          <w:szCs w:val="20"/>
          <w:u w:val="none"/>
        </w:rPr>
        <w:t xml:space="preserve"> (day -26 to day +26)</w:t>
      </w:r>
      <w:r w:rsidRPr="00511FFA">
        <w:rPr>
          <w:b w:val="0"/>
          <w:sz w:val="20"/>
          <w:szCs w:val="20"/>
          <w:u w:val="none"/>
        </w:rPr>
        <w:t>, far pre-announcement period</w:t>
      </w:r>
      <w:r>
        <w:rPr>
          <w:b w:val="0"/>
          <w:sz w:val="20"/>
          <w:szCs w:val="20"/>
          <w:u w:val="none"/>
        </w:rPr>
        <w:t xml:space="preserve"> (-26 to -10)</w:t>
      </w:r>
      <w:r w:rsidRPr="00511FFA">
        <w:rPr>
          <w:b w:val="0"/>
          <w:sz w:val="20"/>
          <w:szCs w:val="20"/>
          <w:u w:val="none"/>
        </w:rPr>
        <w:t>, near pre-announcement period</w:t>
      </w:r>
      <w:r>
        <w:rPr>
          <w:b w:val="0"/>
          <w:sz w:val="20"/>
          <w:szCs w:val="20"/>
          <w:u w:val="none"/>
        </w:rPr>
        <w:t xml:space="preserve"> (-9 to -1)</w:t>
      </w:r>
      <w:r w:rsidRPr="00511FFA">
        <w:rPr>
          <w:b w:val="0"/>
          <w:sz w:val="20"/>
          <w:szCs w:val="20"/>
          <w:u w:val="none"/>
        </w:rPr>
        <w:t>, announcement day</w:t>
      </w:r>
      <w:r>
        <w:rPr>
          <w:b w:val="0"/>
          <w:sz w:val="20"/>
          <w:szCs w:val="20"/>
          <w:u w:val="none"/>
        </w:rPr>
        <w:t xml:space="preserve"> (day 0)</w:t>
      </w:r>
      <w:r w:rsidRPr="00511FFA">
        <w:rPr>
          <w:b w:val="0"/>
          <w:sz w:val="20"/>
          <w:szCs w:val="20"/>
          <w:u w:val="none"/>
        </w:rPr>
        <w:t>, near post announcement period</w:t>
      </w:r>
      <w:r>
        <w:rPr>
          <w:b w:val="0"/>
          <w:sz w:val="20"/>
          <w:szCs w:val="20"/>
          <w:u w:val="none"/>
        </w:rPr>
        <w:t xml:space="preserve"> (+1 to +9)</w:t>
      </w:r>
      <w:r w:rsidRPr="00511FFA">
        <w:rPr>
          <w:b w:val="0"/>
          <w:sz w:val="20"/>
          <w:szCs w:val="20"/>
          <w:u w:val="none"/>
        </w:rPr>
        <w:t xml:space="preserve"> and far post announcement period</w:t>
      </w:r>
      <w:r>
        <w:rPr>
          <w:b w:val="0"/>
          <w:sz w:val="20"/>
          <w:szCs w:val="20"/>
          <w:u w:val="none"/>
        </w:rPr>
        <w:t xml:space="preserve"> (+10 to +26)</w:t>
      </w:r>
      <w:r w:rsidRPr="00511FFA">
        <w:rPr>
          <w:b w:val="0"/>
          <w:sz w:val="20"/>
          <w:szCs w:val="20"/>
          <w:u w:val="none"/>
        </w:rPr>
        <w:t xml:space="preserve">. </w:t>
      </w:r>
    </w:p>
    <w:p w14:paraId="5DFB786C" w14:textId="77777777" w:rsidR="008576C8" w:rsidRPr="00052E20" w:rsidRDefault="008576C8" w:rsidP="008576C8">
      <w:pPr>
        <w:pStyle w:val="a"/>
        <w:ind w:firstLine="482"/>
        <w:rPr>
          <w:rFonts w:eastAsiaTheme="minorEastAsia"/>
        </w:rPr>
      </w:pPr>
    </w:p>
    <w:tbl>
      <w:tblPr>
        <w:tblStyle w:val="TableGrid"/>
        <w:tblW w:w="0" w:type="auto"/>
        <w:jc w:val="center"/>
        <w:tblBorders>
          <w:left w:val="none" w:sz="0" w:space="0" w:color="auto"/>
          <w:right w:val="none" w:sz="0" w:space="0" w:color="auto"/>
        </w:tblBorders>
        <w:tblLayout w:type="fixed"/>
        <w:tblLook w:val="04A0" w:firstRow="1" w:lastRow="0" w:firstColumn="1" w:lastColumn="0" w:noHBand="0" w:noVBand="1"/>
      </w:tblPr>
      <w:tblGrid>
        <w:gridCol w:w="840"/>
        <w:gridCol w:w="1145"/>
        <w:gridCol w:w="1268"/>
        <w:gridCol w:w="1422"/>
        <w:gridCol w:w="1479"/>
        <w:gridCol w:w="1444"/>
        <w:gridCol w:w="1422"/>
      </w:tblGrid>
      <w:tr w:rsidR="008576C8" w:rsidRPr="00D438EF" w14:paraId="3DDE68DE" w14:textId="77777777" w:rsidTr="008576C8">
        <w:trPr>
          <w:trHeight w:val="308"/>
          <w:jc w:val="center"/>
        </w:trPr>
        <w:tc>
          <w:tcPr>
            <w:tcW w:w="9020" w:type="dxa"/>
            <w:gridSpan w:val="7"/>
            <w:tcBorders>
              <w:bottom w:val="single" w:sz="4" w:space="0" w:color="auto"/>
            </w:tcBorders>
            <w:noWrap/>
            <w:vAlign w:val="center"/>
          </w:tcPr>
          <w:p w14:paraId="1347A054" w14:textId="77777777" w:rsidR="008576C8" w:rsidRPr="00D438EF" w:rsidRDefault="008576C8" w:rsidP="008576C8">
            <w:pPr>
              <w:tabs>
                <w:tab w:val="left" w:pos="202"/>
              </w:tabs>
              <w:spacing w:line="240" w:lineRule="auto"/>
              <w:ind w:firstLineChars="0" w:firstLine="0"/>
              <w:jc w:val="left"/>
              <w:rPr>
                <w:rFonts w:cs="Times New Roman"/>
                <w:b/>
                <w:sz w:val="20"/>
                <w:szCs w:val="20"/>
              </w:rPr>
            </w:pPr>
            <w:r w:rsidRPr="00D438EF">
              <w:rPr>
                <w:rFonts w:cs="Times New Roman"/>
                <w:b/>
                <w:sz w:val="20"/>
                <w:szCs w:val="20"/>
              </w:rPr>
              <w:t>Bidders’ of Hong Kong Target</w:t>
            </w:r>
          </w:p>
        </w:tc>
      </w:tr>
      <w:tr w:rsidR="008576C8" w:rsidRPr="00D438EF" w14:paraId="2E364633" w14:textId="77777777" w:rsidTr="008576C8">
        <w:trPr>
          <w:trHeight w:val="540"/>
          <w:jc w:val="center"/>
        </w:trPr>
        <w:tc>
          <w:tcPr>
            <w:tcW w:w="840" w:type="dxa"/>
            <w:tcBorders>
              <w:top w:val="single" w:sz="4" w:space="0" w:color="auto"/>
              <w:bottom w:val="single" w:sz="4" w:space="0" w:color="auto"/>
              <w:right w:val="nil"/>
            </w:tcBorders>
            <w:noWrap/>
            <w:vAlign w:val="center"/>
            <w:hideMark/>
          </w:tcPr>
          <w:p w14:paraId="1869E8E3" w14:textId="77777777" w:rsidR="008576C8" w:rsidRPr="00D438EF" w:rsidRDefault="008576C8" w:rsidP="008576C8">
            <w:pPr>
              <w:spacing w:line="240" w:lineRule="auto"/>
              <w:ind w:firstLineChars="0" w:firstLine="0"/>
              <w:jc w:val="center"/>
              <w:rPr>
                <w:rFonts w:cs="Times New Roman"/>
                <w:sz w:val="20"/>
                <w:szCs w:val="20"/>
              </w:rPr>
            </w:pPr>
          </w:p>
        </w:tc>
        <w:tc>
          <w:tcPr>
            <w:tcW w:w="1145" w:type="dxa"/>
            <w:tcBorders>
              <w:top w:val="nil"/>
              <w:left w:val="nil"/>
              <w:bottom w:val="single" w:sz="4" w:space="0" w:color="auto"/>
              <w:right w:val="nil"/>
            </w:tcBorders>
            <w:noWrap/>
            <w:vAlign w:val="center"/>
            <w:hideMark/>
          </w:tcPr>
          <w:p w14:paraId="321816F2"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Entire Period</w:t>
            </w:r>
          </w:p>
        </w:tc>
        <w:tc>
          <w:tcPr>
            <w:tcW w:w="1268" w:type="dxa"/>
            <w:tcBorders>
              <w:top w:val="nil"/>
              <w:left w:val="nil"/>
              <w:bottom w:val="single" w:sz="4" w:space="0" w:color="auto"/>
              <w:right w:val="nil"/>
            </w:tcBorders>
            <w:vAlign w:val="center"/>
            <w:hideMark/>
          </w:tcPr>
          <w:p w14:paraId="61350A85"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Far Pre-announcement Period</w:t>
            </w:r>
          </w:p>
        </w:tc>
        <w:tc>
          <w:tcPr>
            <w:tcW w:w="1422" w:type="dxa"/>
            <w:tcBorders>
              <w:top w:val="nil"/>
              <w:left w:val="nil"/>
              <w:bottom w:val="single" w:sz="4" w:space="0" w:color="auto"/>
              <w:right w:val="nil"/>
            </w:tcBorders>
            <w:vAlign w:val="center"/>
            <w:hideMark/>
          </w:tcPr>
          <w:p w14:paraId="4AE16A88"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Near Pre-announcement Period</w:t>
            </w:r>
          </w:p>
        </w:tc>
        <w:tc>
          <w:tcPr>
            <w:tcW w:w="1479" w:type="dxa"/>
            <w:tcBorders>
              <w:top w:val="nil"/>
              <w:left w:val="nil"/>
              <w:bottom w:val="single" w:sz="4" w:space="0" w:color="auto"/>
              <w:right w:val="nil"/>
            </w:tcBorders>
            <w:noWrap/>
            <w:vAlign w:val="center"/>
            <w:hideMark/>
          </w:tcPr>
          <w:p w14:paraId="44C0B18E"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Announcement Day</w:t>
            </w:r>
          </w:p>
        </w:tc>
        <w:tc>
          <w:tcPr>
            <w:tcW w:w="1444" w:type="dxa"/>
            <w:tcBorders>
              <w:top w:val="nil"/>
              <w:left w:val="nil"/>
              <w:bottom w:val="single" w:sz="4" w:space="0" w:color="auto"/>
              <w:right w:val="nil"/>
            </w:tcBorders>
            <w:vAlign w:val="center"/>
            <w:hideMark/>
          </w:tcPr>
          <w:p w14:paraId="2F687FBC"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Near Post-announcement Period</w:t>
            </w:r>
          </w:p>
        </w:tc>
        <w:tc>
          <w:tcPr>
            <w:tcW w:w="1422" w:type="dxa"/>
            <w:tcBorders>
              <w:top w:val="nil"/>
              <w:left w:val="nil"/>
              <w:bottom w:val="single" w:sz="4" w:space="0" w:color="auto"/>
            </w:tcBorders>
            <w:vAlign w:val="center"/>
            <w:hideMark/>
          </w:tcPr>
          <w:p w14:paraId="56F91F65"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Far Post-announcement Period</w:t>
            </w:r>
          </w:p>
        </w:tc>
      </w:tr>
      <w:tr w:rsidR="008576C8" w:rsidRPr="00D438EF" w14:paraId="1FC5FFFB" w14:textId="77777777" w:rsidTr="008576C8">
        <w:trPr>
          <w:trHeight w:val="300"/>
          <w:jc w:val="center"/>
        </w:trPr>
        <w:tc>
          <w:tcPr>
            <w:tcW w:w="840" w:type="dxa"/>
            <w:tcBorders>
              <w:top w:val="single" w:sz="4" w:space="0" w:color="auto"/>
              <w:bottom w:val="single" w:sz="4" w:space="0" w:color="auto"/>
              <w:right w:val="nil"/>
            </w:tcBorders>
            <w:noWrap/>
            <w:vAlign w:val="center"/>
            <w:hideMark/>
          </w:tcPr>
          <w:p w14:paraId="732FEA91" w14:textId="77777777" w:rsidR="008576C8" w:rsidRPr="00D438EF" w:rsidRDefault="008576C8" w:rsidP="008576C8">
            <w:pPr>
              <w:spacing w:line="240" w:lineRule="auto"/>
              <w:ind w:firstLineChars="0" w:firstLine="0"/>
              <w:jc w:val="center"/>
              <w:rPr>
                <w:rFonts w:cs="Times New Roman"/>
                <w:sz w:val="20"/>
                <w:szCs w:val="20"/>
              </w:rPr>
            </w:pPr>
          </w:p>
        </w:tc>
        <w:tc>
          <w:tcPr>
            <w:tcW w:w="1145" w:type="dxa"/>
            <w:tcBorders>
              <w:top w:val="single" w:sz="4" w:space="0" w:color="auto"/>
              <w:left w:val="nil"/>
              <w:bottom w:val="single" w:sz="4" w:space="0" w:color="auto"/>
              <w:right w:val="nil"/>
            </w:tcBorders>
            <w:noWrap/>
            <w:vAlign w:val="center"/>
            <w:hideMark/>
          </w:tcPr>
          <w:p w14:paraId="1046A6ED"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Day -26 to day +26 </w:t>
            </w:r>
          </w:p>
        </w:tc>
        <w:tc>
          <w:tcPr>
            <w:tcW w:w="1268" w:type="dxa"/>
            <w:tcBorders>
              <w:top w:val="single" w:sz="4" w:space="0" w:color="auto"/>
              <w:left w:val="nil"/>
              <w:bottom w:val="single" w:sz="4" w:space="0" w:color="auto"/>
              <w:right w:val="nil"/>
            </w:tcBorders>
            <w:noWrap/>
            <w:vAlign w:val="center"/>
            <w:hideMark/>
          </w:tcPr>
          <w:p w14:paraId="017E9B75"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Day -26 to day -10 </w:t>
            </w:r>
          </w:p>
        </w:tc>
        <w:tc>
          <w:tcPr>
            <w:tcW w:w="1422" w:type="dxa"/>
            <w:tcBorders>
              <w:top w:val="single" w:sz="4" w:space="0" w:color="auto"/>
              <w:left w:val="nil"/>
              <w:bottom w:val="single" w:sz="4" w:space="0" w:color="auto"/>
              <w:right w:val="nil"/>
            </w:tcBorders>
            <w:noWrap/>
            <w:vAlign w:val="center"/>
            <w:hideMark/>
          </w:tcPr>
          <w:p w14:paraId="711E844F"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Day -9 to day  -1 </w:t>
            </w:r>
          </w:p>
        </w:tc>
        <w:tc>
          <w:tcPr>
            <w:tcW w:w="1479" w:type="dxa"/>
            <w:tcBorders>
              <w:top w:val="single" w:sz="4" w:space="0" w:color="auto"/>
              <w:left w:val="nil"/>
              <w:bottom w:val="single" w:sz="4" w:space="0" w:color="auto"/>
              <w:right w:val="nil"/>
            </w:tcBorders>
            <w:noWrap/>
            <w:vAlign w:val="center"/>
            <w:hideMark/>
          </w:tcPr>
          <w:p w14:paraId="3AC6BC5E"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w:t>
            </w:r>
          </w:p>
        </w:tc>
        <w:tc>
          <w:tcPr>
            <w:tcW w:w="1444" w:type="dxa"/>
            <w:tcBorders>
              <w:top w:val="single" w:sz="4" w:space="0" w:color="auto"/>
              <w:left w:val="nil"/>
              <w:bottom w:val="single" w:sz="4" w:space="0" w:color="auto"/>
              <w:right w:val="nil"/>
            </w:tcBorders>
            <w:noWrap/>
            <w:vAlign w:val="center"/>
            <w:hideMark/>
          </w:tcPr>
          <w:p w14:paraId="7535364A"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Day +1 to day +9 </w:t>
            </w:r>
          </w:p>
        </w:tc>
        <w:tc>
          <w:tcPr>
            <w:tcW w:w="1422" w:type="dxa"/>
            <w:tcBorders>
              <w:top w:val="single" w:sz="4" w:space="0" w:color="auto"/>
              <w:left w:val="nil"/>
              <w:bottom w:val="single" w:sz="4" w:space="0" w:color="auto"/>
            </w:tcBorders>
            <w:noWrap/>
            <w:vAlign w:val="center"/>
            <w:hideMark/>
          </w:tcPr>
          <w:p w14:paraId="1570B46A"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Day +10 to day +26 </w:t>
            </w:r>
          </w:p>
        </w:tc>
      </w:tr>
      <w:tr w:rsidR="008576C8" w:rsidRPr="00D438EF" w14:paraId="56D9F6FC" w14:textId="77777777" w:rsidTr="008576C8">
        <w:trPr>
          <w:trHeight w:val="300"/>
          <w:jc w:val="center"/>
        </w:trPr>
        <w:tc>
          <w:tcPr>
            <w:tcW w:w="9020" w:type="dxa"/>
            <w:gridSpan w:val="7"/>
            <w:tcBorders>
              <w:top w:val="single" w:sz="4" w:space="0" w:color="auto"/>
              <w:bottom w:val="single" w:sz="4" w:space="0" w:color="auto"/>
            </w:tcBorders>
            <w:noWrap/>
            <w:vAlign w:val="center"/>
            <w:hideMark/>
          </w:tcPr>
          <w:p w14:paraId="09F9FFE0" w14:textId="77777777" w:rsidR="008576C8" w:rsidRPr="00D438EF" w:rsidRDefault="008576C8" w:rsidP="008576C8">
            <w:pPr>
              <w:spacing w:line="240" w:lineRule="auto"/>
              <w:ind w:firstLineChars="0" w:firstLine="0"/>
              <w:jc w:val="left"/>
              <w:rPr>
                <w:rFonts w:cs="Times New Roman"/>
                <w:b/>
                <w:sz w:val="20"/>
                <w:szCs w:val="20"/>
              </w:rPr>
            </w:pPr>
            <w:r w:rsidRPr="00D438EF">
              <w:rPr>
                <w:rFonts w:cs="Times New Roman"/>
                <w:b/>
                <w:sz w:val="20"/>
                <w:szCs w:val="20"/>
              </w:rPr>
              <w:t>Market Return</w:t>
            </w:r>
          </w:p>
        </w:tc>
      </w:tr>
      <w:tr w:rsidR="008576C8" w:rsidRPr="00D438EF" w14:paraId="6DD4B810" w14:textId="77777777" w:rsidTr="008576C8">
        <w:trPr>
          <w:trHeight w:val="300"/>
          <w:jc w:val="center"/>
        </w:trPr>
        <w:tc>
          <w:tcPr>
            <w:tcW w:w="840" w:type="dxa"/>
            <w:tcBorders>
              <w:top w:val="single" w:sz="4" w:space="0" w:color="auto"/>
              <w:bottom w:val="single" w:sz="4" w:space="0" w:color="auto"/>
              <w:right w:val="nil"/>
            </w:tcBorders>
            <w:noWrap/>
            <w:vAlign w:val="center"/>
            <w:hideMark/>
          </w:tcPr>
          <w:p w14:paraId="02E50DBF"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CAAR</w:t>
            </w:r>
          </w:p>
        </w:tc>
        <w:tc>
          <w:tcPr>
            <w:tcW w:w="1145" w:type="dxa"/>
            <w:tcBorders>
              <w:top w:val="single" w:sz="4" w:space="0" w:color="auto"/>
              <w:left w:val="nil"/>
              <w:bottom w:val="single" w:sz="4" w:space="0" w:color="auto"/>
              <w:right w:val="nil"/>
            </w:tcBorders>
            <w:noWrap/>
            <w:vAlign w:val="center"/>
            <w:hideMark/>
          </w:tcPr>
          <w:p w14:paraId="284D16F4" w14:textId="77777777" w:rsidR="008576C8" w:rsidRPr="00D438EF" w:rsidRDefault="008576C8" w:rsidP="008576C8">
            <w:pPr>
              <w:spacing w:line="240" w:lineRule="auto"/>
              <w:ind w:firstLineChars="0" w:firstLine="0"/>
              <w:jc w:val="center"/>
              <w:rPr>
                <w:rFonts w:cs="Times New Roman"/>
                <w:sz w:val="20"/>
                <w:szCs w:val="20"/>
              </w:rPr>
            </w:pPr>
            <w:r w:rsidRPr="00D438EF">
              <w:rPr>
                <w:rFonts w:eastAsiaTheme="minorEastAsia" w:cs="Times New Roman"/>
                <w:sz w:val="20"/>
                <w:szCs w:val="20"/>
              </w:rPr>
              <w:t>0.0235</w:t>
            </w:r>
            <w:r w:rsidRPr="00D438EF">
              <w:rPr>
                <w:rFonts w:cs="Times New Roman"/>
                <w:sz w:val="20"/>
                <w:szCs w:val="20"/>
              </w:rPr>
              <w:t xml:space="preserve">     (</w:t>
            </w:r>
            <w:r w:rsidRPr="00D438EF">
              <w:rPr>
                <w:rFonts w:eastAsiaTheme="minorEastAsia" w:cs="Times New Roman"/>
                <w:sz w:val="20"/>
                <w:szCs w:val="20"/>
              </w:rPr>
              <w:t>1.24</w:t>
            </w:r>
            <w:r w:rsidRPr="00D438EF">
              <w:rPr>
                <w:rFonts w:cs="Times New Roman"/>
                <w:sz w:val="20"/>
                <w:szCs w:val="20"/>
              </w:rPr>
              <w:t>)</w:t>
            </w:r>
          </w:p>
        </w:tc>
        <w:tc>
          <w:tcPr>
            <w:tcW w:w="1268" w:type="dxa"/>
            <w:tcBorders>
              <w:top w:val="single" w:sz="4" w:space="0" w:color="auto"/>
              <w:left w:val="nil"/>
              <w:bottom w:val="single" w:sz="4" w:space="0" w:color="auto"/>
              <w:right w:val="nil"/>
            </w:tcBorders>
            <w:noWrap/>
            <w:vAlign w:val="center"/>
            <w:hideMark/>
          </w:tcPr>
          <w:p w14:paraId="30765BD2" w14:textId="77777777" w:rsidR="008576C8" w:rsidRPr="00D438EF" w:rsidRDefault="008576C8" w:rsidP="008576C8">
            <w:pPr>
              <w:spacing w:line="240" w:lineRule="auto"/>
              <w:ind w:firstLineChars="0" w:firstLine="0"/>
              <w:jc w:val="center"/>
              <w:rPr>
                <w:rFonts w:cs="Times New Roman"/>
                <w:sz w:val="20"/>
                <w:szCs w:val="20"/>
              </w:rPr>
            </w:pPr>
            <w:r w:rsidRPr="00D438EF">
              <w:rPr>
                <w:rFonts w:eastAsiaTheme="minorEastAsia" w:cs="Times New Roman"/>
                <w:sz w:val="20"/>
                <w:szCs w:val="20"/>
              </w:rPr>
              <w:t>0.0154</w:t>
            </w:r>
            <w:r w:rsidRPr="00D438EF">
              <w:rPr>
                <w:rFonts w:cs="Times New Roman"/>
                <w:sz w:val="20"/>
                <w:szCs w:val="20"/>
              </w:rPr>
              <w:t xml:space="preserve">     </w:t>
            </w:r>
          </w:p>
          <w:p w14:paraId="47AD5537"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w:t>
            </w:r>
            <w:r w:rsidRPr="00D438EF">
              <w:rPr>
                <w:rFonts w:eastAsiaTheme="minorEastAsia" w:cs="Times New Roman"/>
                <w:sz w:val="20"/>
                <w:szCs w:val="20"/>
              </w:rPr>
              <w:t>1.43</w:t>
            </w:r>
            <w:r w:rsidRPr="00D438EF">
              <w:rPr>
                <w:rFonts w:cs="Times New Roman"/>
                <w:sz w:val="20"/>
                <w:szCs w:val="20"/>
              </w:rPr>
              <w:t>)</w:t>
            </w:r>
          </w:p>
        </w:tc>
        <w:tc>
          <w:tcPr>
            <w:tcW w:w="1422" w:type="dxa"/>
            <w:tcBorders>
              <w:top w:val="single" w:sz="4" w:space="0" w:color="auto"/>
              <w:left w:val="nil"/>
              <w:bottom w:val="single" w:sz="4" w:space="0" w:color="auto"/>
              <w:right w:val="nil"/>
            </w:tcBorders>
            <w:noWrap/>
            <w:vAlign w:val="center"/>
            <w:hideMark/>
          </w:tcPr>
          <w:p w14:paraId="5FAAF539"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0.0</w:t>
            </w:r>
            <w:r w:rsidRPr="00D438EF">
              <w:rPr>
                <w:rFonts w:eastAsiaTheme="minorEastAsia" w:cs="Times New Roman"/>
                <w:sz w:val="20"/>
                <w:szCs w:val="20"/>
              </w:rPr>
              <w:t>127</w:t>
            </w:r>
            <w:r w:rsidRPr="00D438EF">
              <w:rPr>
                <w:rFonts w:cs="Times New Roman"/>
                <w:sz w:val="20"/>
                <w:szCs w:val="20"/>
              </w:rPr>
              <w:t xml:space="preserve">      (</w:t>
            </w:r>
            <w:r w:rsidRPr="00D438EF">
              <w:rPr>
                <w:rFonts w:eastAsiaTheme="minorEastAsia" w:cs="Times New Roman"/>
                <w:sz w:val="20"/>
                <w:szCs w:val="20"/>
              </w:rPr>
              <w:t>1.63</w:t>
            </w:r>
            <w:r w:rsidRPr="00D438EF">
              <w:rPr>
                <w:rFonts w:cs="Times New Roman"/>
                <w:sz w:val="20"/>
                <w:szCs w:val="20"/>
              </w:rPr>
              <w:t>)</w:t>
            </w:r>
          </w:p>
        </w:tc>
        <w:tc>
          <w:tcPr>
            <w:tcW w:w="1479" w:type="dxa"/>
            <w:tcBorders>
              <w:top w:val="single" w:sz="4" w:space="0" w:color="auto"/>
              <w:left w:val="nil"/>
              <w:bottom w:val="single" w:sz="4" w:space="0" w:color="auto"/>
              <w:right w:val="nil"/>
            </w:tcBorders>
            <w:noWrap/>
            <w:vAlign w:val="center"/>
            <w:hideMark/>
          </w:tcPr>
          <w:p w14:paraId="3C8E682B" w14:textId="77777777" w:rsidR="008576C8" w:rsidRPr="00D438EF" w:rsidRDefault="008576C8" w:rsidP="008576C8">
            <w:pPr>
              <w:spacing w:line="240" w:lineRule="auto"/>
              <w:ind w:firstLineChars="0" w:firstLine="0"/>
              <w:jc w:val="center"/>
              <w:rPr>
                <w:rFonts w:cs="Times New Roman"/>
                <w:sz w:val="20"/>
                <w:szCs w:val="20"/>
                <w:vertAlign w:val="superscript"/>
              </w:rPr>
            </w:pPr>
            <w:r w:rsidRPr="00D438EF">
              <w:rPr>
                <w:rFonts w:cs="Times New Roman"/>
                <w:sz w:val="20"/>
                <w:szCs w:val="20"/>
              </w:rPr>
              <w:t>0.0</w:t>
            </w:r>
            <w:r w:rsidRPr="00D438EF">
              <w:rPr>
                <w:rFonts w:eastAsiaTheme="minorEastAsia" w:cs="Times New Roman"/>
                <w:sz w:val="20"/>
                <w:szCs w:val="20"/>
              </w:rPr>
              <w:t>028</w:t>
            </w:r>
            <w:r w:rsidRPr="00D438EF">
              <w:rPr>
                <w:rFonts w:cs="Times New Roman"/>
                <w:sz w:val="20"/>
                <w:szCs w:val="20"/>
                <w:vertAlign w:val="superscript"/>
              </w:rPr>
              <w:t xml:space="preserve">      </w:t>
            </w:r>
          </w:p>
          <w:p w14:paraId="3E3F1901"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(1.</w:t>
            </w:r>
            <w:r w:rsidRPr="00D438EF">
              <w:rPr>
                <w:rFonts w:eastAsiaTheme="minorEastAsia" w:cs="Times New Roman"/>
                <w:sz w:val="20"/>
                <w:szCs w:val="20"/>
              </w:rPr>
              <w:t>08</w:t>
            </w:r>
            <w:r w:rsidRPr="00D438EF">
              <w:rPr>
                <w:rFonts w:cs="Times New Roman"/>
                <w:sz w:val="20"/>
                <w:szCs w:val="20"/>
              </w:rPr>
              <w:t>)</w:t>
            </w:r>
          </w:p>
        </w:tc>
        <w:tc>
          <w:tcPr>
            <w:tcW w:w="1444" w:type="dxa"/>
            <w:tcBorders>
              <w:top w:val="single" w:sz="4" w:space="0" w:color="auto"/>
              <w:left w:val="nil"/>
              <w:bottom w:val="single" w:sz="4" w:space="0" w:color="auto"/>
              <w:right w:val="nil"/>
            </w:tcBorders>
            <w:noWrap/>
            <w:vAlign w:val="center"/>
            <w:hideMark/>
          </w:tcPr>
          <w:p w14:paraId="15AF1DF9"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-0.0</w:t>
            </w:r>
            <w:r w:rsidRPr="00D438EF">
              <w:rPr>
                <w:rFonts w:eastAsiaTheme="minorEastAsia" w:cs="Times New Roman"/>
                <w:sz w:val="20"/>
                <w:szCs w:val="20"/>
              </w:rPr>
              <w:t>120</w:t>
            </w:r>
            <w:r w:rsidRPr="00D438EF">
              <w:rPr>
                <w:rFonts w:cs="Times New Roman"/>
                <w:sz w:val="20"/>
                <w:szCs w:val="20"/>
              </w:rPr>
              <w:t xml:space="preserve"> </w:t>
            </w:r>
          </w:p>
          <w:p w14:paraId="7A1D8E6E"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(-1.</w:t>
            </w:r>
            <w:r w:rsidRPr="00D438EF">
              <w:rPr>
                <w:rFonts w:eastAsiaTheme="minorEastAsia" w:cs="Times New Roman"/>
                <w:sz w:val="20"/>
                <w:szCs w:val="20"/>
              </w:rPr>
              <w:t>54</w:t>
            </w:r>
            <w:r w:rsidRPr="00D438EF">
              <w:rPr>
                <w:rFonts w:cs="Times New Roman"/>
                <w:sz w:val="20"/>
                <w:szCs w:val="20"/>
              </w:rPr>
              <w:t>)</w:t>
            </w:r>
          </w:p>
        </w:tc>
        <w:tc>
          <w:tcPr>
            <w:tcW w:w="1422" w:type="dxa"/>
            <w:tcBorders>
              <w:top w:val="single" w:sz="4" w:space="0" w:color="auto"/>
              <w:left w:val="nil"/>
              <w:bottom w:val="single" w:sz="4" w:space="0" w:color="auto"/>
            </w:tcBorders>
            <w:noWrap/>
            <w:vAlign w:val="center"/>
            <w:hideMark/>
          </w:tcPr>
          <w:p w14:paraId="5AEDFBE9"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0.0</w:t>
            </w:r>
            <w:r w:rsidRPr="00D438EF">
              <w:rPr>
                <w:rFonts w:eastAsiaTheme="minorEastAsia" w:cs="Times New Roman"/>
                <w:sz w:val="20"/>
                <w:szCs w:val="20"/>
              </w:rPr>
              <w:t>047</w:t>
            </w:r>
            <w:r w:rsidRPr="00D438EF">
              <w:rPr>
                <w:rFonts w:cs="Times New Roman"/>
                <w:sz w:val="20"/>
                <w:szCs w:val="20"/>
              </w:rPr>
              <w:t xml:space="preserve">     </w:t>
            </w:r>
          </w:p>
          <w:p w14:paraId="76E5ED7C"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w:t>
            </w:r>
            <w:r w:rsidRPr="00D438EF">
              <w:rPr>
                <w:rFonts w:eastAsiaTheme="minorEastAsia" w:cs="Times New Roman"/>
                <w:sz w:val="20"/>
                <w:szCs w:val="20"/>
              </w:rPr>
              <w:t>44</w:t>
            </w:r>
            <w:r w:rsidRPr="00D438EF">
              <w:rPr>
                <w:rFonts w:cs="Times New Roman"/>
                <w:sz w:val="20"/>
                <w:szCs w:val="20"/>
              </w:rPr>
              <w:t>)</w:t>
            </w:r>
          </w:p>
        </w:tc>
      </w:tr>
      <w:tr w:rsidR="008576C8" w:rsidRPr="00D438EF" w14:paraId="46448C9E" w14:textId="77777777" w:rsidTr="008576C8">
        <w:trPr>
          <w:trHeight w:val="300"/>
          <w:jc w:val="center"/>
        </w:trPr>
        <w:tc>
          <w:tcPr>
            <w:tcW w:w="9020" w:type="dxa"/>
            <w:gridSpan w:val="7"/>
            <w:tcBorders>
              <w:top w:val="single" w:sz="4" w:space="0" w:color="auto"/>
              <w:bottom w:val="single" w:sz="4" w:space="0" w:color="auto"/>
            </w:tcBorders>
            <w:noWrap/>
            <w:vAlign w:val="center"/>
            <w:hideMark/>
          </w:tcPr>
          <w:p w14:paraId="14A62E22" w14:textId="77777777" w:rsidR="008576C8" w:rsidRPr="00D438EF" w:rsidRDefault="008576C8" w:rsidP="008576C8">
            <w:pPr>
              <w:spacing w:line="240" w:lineRule="auto"/>
              <w:ind w:firstLineChars="0" w:firstLine="0"/>
              <w:jc w:val="left"/>
              <w:rPr>
                <w:rFonts w:cs="Times New Roman"/>
                <w:b/>
                <w:sz w:val="20"/>
                <w:szCs w:val="20"/>
              </w:rPr>
            </w:pPr>
            <w:r w:rsidRPr="00D438EF">
              <w:rPr>
                <w:rFonts w:cs="Times New Roman"/>
                <w:b/>
                <w:sz w:val="20"/>
                <w:szCs w:val="20"/>
              </w:rPr>
              <w:t>Single Factor Model (CAPM)</w:t>
            </w:r>
          </w:p>
        </w:tc>
      </w:tr>
      <w:tr w:rsidR="008576C8" w:rsidRPr="00D438EF" w14:paraId="04121F9F" w14:textId="77777777" w:rsidTr="008576C8">
        <w:trPr>
          <w:trHeight w:val="300"/>
          <w:jc w:val="center"/>
        </w:trPr>
        <w:tc>
          <w:tcPr>
            <w:tcW w:w="840" w:type="dxa"/>
            <w:tcBorders>
              <w:top w:val="nil"/>
              <w:bottom w:val="single" w:sz="4" w:space="0" w:color="auto"/>
              <w:right w:val="nil"/>
            </w:tcBorders>
            <w:noWrap/>
            <w:vAlign w:val="center"/>
            <w:hideMark/>
          </w:tcPr>
          <w:p w14:paraId="4ED36110"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CAAR</w:t>
            </w:r>
          </w:p>
        </w:tc>
        <w:tc>
          <w:tcPr>
            <w:tcW w:w="1145" w:type="dxa"/>
            <w:tcBorders>
              <w:top w:val="nil"/>
              <w:left w:val="nil"/>
              <w:bottom w:val="single" w:sz="4" w:space="0" w:color="auto"/>
              <w:right w:val="nil"/>
            </w:tcBorders>
            <w:noWrap/>
            <w:vAlign w:val="center"/>
            <w:hideMark/>
          </w:tcPr>
          <w:p w14:paraId="1E3F9096"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0.02</w:t>
            </w:r>
            <w:r w:rsidRPr="00D438EF">
              <w:rPr>
                <w:rFonts w:eastAsiaTheme="minorEastAsia" w:cs="Times New Roman"/>
                <w:sz w:val="20"/>
                <w:szCs w:val="20"/>
              </w:rPr>
              <w:t>16</w:t>
            </w:r>
            <w:r w:rsidRPr="00D438EF">
              <w:rPr>
                <w:rFonts w:cs="Times New Roman"/>
                <w:sz w:val="20"/>
                <w:szCs w:val="20"/>
              </w:rPr>
              <w:t xml:space="preserve">     (</w:t>
            </w:r>
            <w:r w:rsidRPr="00D438EF">
              <w:rPr>
                <w:rFonts w:eastAsiaTheme="minorEastAsia" w:cs="Times New Roman"/>
                <w:sz w:val="20"/>
                <w:szCs w:val="20"/>
              </w:rPr>
              <w:t>1.15</w:t>
            </w:r>
            <w:r w:rsidRPr="00D438EF">
              <w:rPr>
                <w:rFonts w:cs="Times New Roman"/>
                <w:sz w:val="20"/>
                <w:szCs w:val="20"/>
              </w:rPr>
              <w:t>)</w:t>
            </w:r>
          </w:p>
        </w:tc>
        <w:tc>
          <w:tcPr>
            <w:tcW w:w="1268" w:type="dxa"/>
            <w:tcBorders>
              <w:top w:val="single" w:sz="4" w:space="0" w:color="auto"/>
              <w:left w:val="nil"/>
              <w:bottom w:val="single" w:sz="4" w:space="0" w:color="auto"/>
              <w:right w:val="nil"/>
            </w:tcBorders>
            <w:noWrap/>
            <w:vAlign w:val="center"/>
            <w:hideMark/>
          </w:tcPr>
          <w:p w14:paraId="079A81F1"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0.01</w:t>
            </w:r>
            <w:r w:rsidRPr="00D438EF">
              <w:rPr>
                <w:rFonts w:eastAsiaTheme="minorEastAsia" w:cs="Times New Roman"/>
                <w:sz w:val="20"/>
                <w:szCs w:val="20"/>
              </w:rPr>
              <w:t>81</w:t>
            </w:r>
            <w:r w:rsidRPr="00D438EF">
              <w:rPr>
                <w:rFonts w:eastAsiaTheme="minorEastAsia" w:cs="Times New Roman"/>
                <w:sz w:val="20"/>
                <w:szCs w:val="20"/>
                <w:vertAlign w:val="superscript"/>
              </w:rPr>
              <w:t>*</w:t>
            </w:r>
            <w:r w:rsidRPr="00D438EF">
              <w:rPr>
                <w:rFonts w:cs="Times New Roman"/>
                <w:sz w:val="20"/>
                <w:szCs w:val="20"/>
              </w:rPr>
              <w:t xml:space="preserve">      </w:t>
            </w:r>
          </w:p>
          <w:p w14:paraId="4D77BDE9"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w:t>
            </w:r>
            <w:r w:rsidRPr="00D438EF">
              <w:rPr>
                <w:rFonts w:eastAsiaTheme="minorEastAsia" w:cs="Times New Roman"/>
                <w:sz w:val="20"/>
                <w:szCs w:val="20"/>
              </w:rPr>
              <w:t>1.71</w:t>
            </w:r>
            <w:r w:rsidRPr="00D438EF">
              <w:rPr>
                <w:rFonts w:cs="Times New Roman"/>
                <w:sz w:val="20"/>
                <w:szCs w:val="20"/>
              </w:rPr>
              <w:t>)</w:t>
            </w:r>
          </w:p>
        </w:tc>
        <w:tc>
          <w:tcPr>
            <w:tcW w:w="1422" w:type="dxa"/>
            <w:tcBorders>
              <w:top w:val="single" w:sz="4" w:space="0" w:color="auto"/>
              <w:left w:val="nil"/>
              <w:bottom w:val="single" w:sz="4" w:space="0" w:color="auto"/>
              <w:right w:val="nil"/>
            </w:tcBorders>
            <w:noWrap/>
            <w:vAlign w:val="center"/>
            <w:hideMark/>
          </w:tcPr>
          <w:p w14:paraId="05BD78CD"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0.0</w:t>
            </w:r>
            <w:r w:rsidRPr="00D438EF">
              <w:rPr>
                <w:rFonts w:eastAsiaTheme="minorEastAsia" w:cs="Times New Roman"/>
                <w:sz w:val="20"/>
                <w:szCs w:val="20"/>
              </w:rPr>
              <w:t>128</w:t>
            </w:r>
            <w:r w:rsidRPr="00D438EF">
              <w:rPr>
                <w:rFonts w:eastAsiaTheme="minorEastAsia" w:cs="Times New Roman"/>
                <w:sz w:val="20"/>
                <w:szCs w:val="20"/>
                <w:vertAlign w:val="superscript"/>
              </w:rPr>
              <w:t>*</w:t>
            </w:r>
            <w:r w:rsidRPr="00D438EF">
              <w:rPr>
                <w:rFonts w:cs="Times New Roman"/>
                <w:sz w:val="20"/>
                <w:szCs w:val="20"/>
              </w:rPr>
              <w:t xml:space="preserve">   (</w:t>
            </w:r>
            <w:r w:rsidRPr="00D438EF">
              <w:rPr>
                <w:rFonts w:eastAsiaTheme="minorEastAsia" w:cs="Times New Roman"/>
                <w:sz w:val="20"/>
                <w:szCs w:val="20"/>
              </w:rPr>
              <w:t>1.66</w:t>
            </w:r>
            <w:r w:rsidRPr="00D438EF">
              <w:rPr>
                <w:rFonts w:cs="Times New Roman"/>
                <w:sz w:val="20"/>
                <w:szCs w:val="20"/>
              </w:rPr>
              <w:t>)</w:t>
            </w:r>
          </w:p>
        </w:tc>
        <w:tc>
          <w:tcPr>
            <w:tcW w:w="1479" w:type="dxa"/>
            <w:tcBorders>
              <w:top w:val="single" w:sz="4" w:space="0" w:color="auto"/>
              <w:left w:val="nil"/>
              <w:bottom w:val="single" w:sz="4" w:space="0" w:color="auto"/>
              <w:right w:val="nil"/>
            </w:tcBorders>
            <w:noWrap/>
            <w:vAlign w:val="center"/>
            <w:hideMark/>
          </w:tcPr>
          <w:p w14:paraId="50D00C31" w14:textId="77777777" w:rsidR="008576C8" w:rsidRPr="00D438EF" w:rsidRDefault="008576C8" w:rsidP="008576C8">
            <w:pPr>
              <w:spacing w:line="240" w:lineRule="auto"/>
              <w:ind w:firstLineChars="0" w:firstLine="0"/>
              <w:jc w:val="center"/>
              <w:rPr>
                <w:rFonts w:cs="Times New Roman"/>
                <w:sz w:val="20"/>
                <w:szCs w:val="20"/>
                <w:vertAlign w:val="superscript"/>
              </w:rPr>
            </w:pPr>
            <w:r w:rsidRPr="00D438EF">
              <w:rPr>
                <w:rFonts w:cs="Times New Roman"/>
                <w:sz w:val="20"/>
                <w:szCs w:val="20"/>
              </w:rPr>
              <w:t>0.0</w:t>
            </w:r>
            <w:r w:rsidRPr="00D438EF">
              <w:rPr>
                <w:rFonts w:eastAsiaTheme="minorEastAsia" w:cs="Times New Roman"/>
                <w:sz w:val="20"/>
                <w:szCs w:val="20"/>
              </w:rPr>
              <w:t>032</w:t>
            </w:r>
          </w:p>
          <w:p w14:paraId="587084B9"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vertAlign w:val="superscript"/>
              </w:rPr>
              <w:t xml:space="preserve">  </w:t>
            </w:r>
            <w:r w:rsidRPr="00D438EF">
              <w:rPr>
                <w:rFonts w:cs="Times New Roman"/>
                <w:sz w:val="20"/>
                <w:szCs w:val="20"/>
              </w:rPr>
              <w:t>(</w:t>
            </w:r>
            <w:r w:rsidRPr="00D438EF">
              <w:rPr>
                <w:rFonts w:eastAsiaTheme="minorEastAsia" w:cs="Times New Roman"/>
                <w:sz w:val="20"/>
                <w:szCs w:val="20"/>
              </w:rPr>
              <w:t>1.24</w:t>
            </w:r>
            <w:r w:rsidRPr="00D438EF">
              <w:rPr>
                <w:rFonts w:cs="Times New Roman"/>
                <w:sz w:val="20"/>
                <w:szCs w:val="20"/>
              </w:rPr>
              <w:t>)</w:t>
            </w:r>
          </w:p>
        </w:tc>
        <w:tc>
          <w:tcPr>
            <w:tcW w:w="1444" w:type="dxa"/>
            <w:tcBorders>
              <w:top w:val="single" w:sz="4" w:space="0" w:color="auto"/>
              <w:left w:val="nil"/>
              <w:bottom w:val="single" w:sz="4" w:space="0" w:color="auto"/>
              <w:right w:val="nil"/>
            </w:tcBorders>
            <w:noWrap/>
            <w:vAlign w:val="center"/>
            <w:hideMark/>
          </w:tcPr>
          <w:p w14:paraId="6FA08DA3"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-0.01</w:t>
            </w:r>
            <w:r w:rsidRPr="00D438EF">
              <w:rPr>
                <w:rFonts w:eastAsiaTheme="minorEastAsia" w:cs="Times New Roman"/>
                <w:sz w:val="20"/>
                <w:szCs w:val="20"/>
              </w:rPr>
              <w:t>50</w:t>
            </w:r>
            <w:r w:rsidRPr="00D438EF">
              <w:rPr>
                <w:rFonts w:eastAsiaTheme="minorEastAsia" w:cs="Times New Roman"/>
                <w:sz w:val="20"/>
                <w:szCs w:val="20"/>
                <w:vertAlign w:val="superscript"/>
              </w:rPr>
              <w:t>*</w:t>
            </w:r>
            <w:r w:rsidRPr="00D438EF">
              <w:rPr>
                <w:rFonts w:cs="Times New Roman"/>
                <w:sz w:val="20"/>
                <w:szCs w:val="20"/>
              </w:rPr>
              <w:t xml:space="preserve">    </w:t>
            </w:r>
          </w:p>
          <w:p w14:paraId="7D669DA6"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 (-1.</w:t>
            </w:r>
            <w:r w:rsidRPr="00D438EF">
              <w:rPr>
                <w:rFonts w:eastAsiaTheme="minorEastAsia" w:cs="Times New Roman"/>
                <w:sz w:val="20"/>
                <w:szCs w:val="20"/>
              </w:rPr>
              <w:t>94</w:t>
            </w:r>
            <w:r w:rsidRPr="00D438EF">
              <w:rPr>
                <w:rFonts w:cs="Times New Roman"/>
                <w:sz w:val="20"/>
                <w:szCs w:val="20"/>
              </w:rPr>
              <w:t>)</w:t>
            </w:r>
          </w:p>
        </w:tc>
        <w:tc>
          <w:tcPr>
            <w:tcW w:w="1422" w:type="dxa"/>
            <w:tcBorders>
              <w:top w:val="single" w:sz="4" w:space="0" w:color="auto"/>
              <w:left w:val="nil"/>
              <w:bottom w:val="single" w:sz="4" w:space="0" w:color="auto"/>
            </w:tcBorders>
            <w:noWrap/>
            <w:vAlign w:val="center"/>
            <w:hideMark/>
          </w:tcPr>
          <w:p w14:paraId="64BAD7D2" w14:textId="77777777" w:rsidR="008576C8" w:rsidRPr="00D438EF" w:rsidRDefault="008576C8" w:rsidP="008576C8">
            <w:pPr>
              <w:spacing w:line="240" w:lineRule="auto"/>
              <w:ind w:firstLineChars="0" w:firstLine="0"/>
              <w:jc w:val="center"/>
              <w:rPr>
                <w:rFonts w:cs="Times New Roman"/>
                <w:sz w:val="20"/>
                <w:szCs w:val="20"/>
              </w:rPr>
            </w:pPr>
            <w:r w:rsidRPr="00D438EF">
              <w:rPr>
                <w:rFonts w:eastAsiaTheme="minorEastAsia" w:cs="Times New Roman"/>
                <w:sz w:val="20"/>
                <w:szCs w:val="20"/>
              </w:rPr>
              <w:t>0.0024</w:t>
            </w:r>
            <w:r w:rsidRPr="00D438EF">
              <w:rPr>
                <w:rFonts w:cs="Times New Roman"/>
                <w:sz w:val="20"/>
                <w:szCs w:val="20"/>
              </w:rPr>
              <w:t xml:space="preserve">      </w:t>
            </w:r>
          </w:p>
          <w:p w14:paraId="6EF6907E"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w:t>
            </w:r>
            <w:r w:rsidRPr="00D438EF">
              <w:rPr>
                <w:rFonts w:eastAsiaTheme="minorEastAsia" w:cs="Times New Roman"/>
                <w:sz w:val="20"/>
                <w:szCs w:val="20"/>
              </w:rPr>
              <w:t>0.23</w:t>
            </w:r>
            <w:r w:rsidRPr="00D438EF">
              <w:rPr>
                <w:rFonts w:cs="Times New Roman"/>
                <w:sz w:val="20"/>
                <w:szCs w:val="20"/>
              </w:rPr>
              <w:t>)</w:t>
            </w:r>
          </w:p>
        </w:tc>
      </w:tr>
      <w:tr w:rsidR="008576C8" w:rsidRPr="00D438EF" w14:paraId="192BC4B2" w14:textId="77777777" w:rsidTr="008576C8">
        <w:trPr>
          <w:trHeight w:val="300"/>
          <w:jc w:val="center"/>
        </w:trPr>
        <w:tc>
          <w:tcPr>
            <w:tcW w:w="9020" w:type="dxa"/>
            <w:gridSpan w:val="7"/>
            <w:tcBorders>
              <w:top w:val="single" w:sz="4" w:space="0" w:color="auto"/>
              <w:bottom w:val="single" w:sz="4" w:space="0" w:color="auto"/>
            </w:tcBorders>
            <w:noWrap/>
            <w:vAlign w:val="center"/>
            <w:hideMark/>
          </w:tcPr>
          <w:p w14:paraId="4653D554" w14:textId="77777777" w:rsidR="008576C8" w:rsidRPr="00D438EF" w:rsidRDefault="008576C8" w:rsidP="008576C8">
            <w:pPr>
              <w:spacing w:line="240" w:lineRule="auto"/>
              <w:ind w:firstLineChars="0" w:firstLine="0"/>
              <w:jc w:val="left"/>
              <w:rPr>
                <w:rFonts w:cs="Times New Roman"/>
                <w:b/>
                <w:sz w:val="20"/>
                <w:szCs w:val="20"/>
              </w:rPr>
            </w:pPr>
            <w:r w:rsidRPr="00D438EF">
              <w:rPr>
                <w:rFonts w:cs="Times New Roman"/>
                <w:b/>
                <w:sz w:val="20"/>
                <w:szCs w:val="20"/>
              </w:rPr>
              <w:t>Three-factor Model (Fama-French)</w:t>
            </w:r>
          </w:p>
        </w:tc>
      </w:tr>
      <w:tr w:rsidR="008576C8" w:rsidRPr="00D438EF" w14:paraId="0C4D6A01" w14:textId="77777777" w:rsidTr="008576C8">
        <w:trPr>
          <w:trHeight w:val="300"/>
          <w:jc w:val="center"/>
        </w:trPr>
        <w:tc>
          <w:tcPr>
            <w:tcW w:w="840" w:type="dxa"/>
            <w:tcBorders>
              <w:top w:val="single" w:sz="4" w:space="0" w:color="auto"/>
              <w:bottom w:val="single" w:sz="4" w:space="0" w:color="auto"/>
              <w:right w:val="nil"/>
            </w:tcBorders>
            <w:noWrap/>
            <w:vAlign w:val="center"/>
            <w:hideMark/>
          </w:tcPr>
          <w:p w14:paraId="3F259796"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CAAR</w:t>
            </w:r>
          </w:p>
        </w:tc>
        <w:tc>
          <w:tcPr>
            <w:tcW w:w="1145" w:type="dxa"/>
            <w:tcBorders>
              <w:top w:val="single" w:sz="4" w:space="0" w:color="auto"/>
              <w:left w:val="nil"/>
              <w:bottom w:val="single" w:sz="4" w:space="0" w:color="auto"/>
              <w:right w:val="nil"/>
            </w:tcBorders>
            <w:noWrap/>
            <w:vAlign w:val="center"/>
            <w:hideMark/>
          </w:tcPr>
          <w:p w14:paraId="203534CE" w14:textId="77777777" w:rsidR="008576C8" w:rsidRPr="00D438EF" w:rsidRDefault="008576C8" w:rsidP="008576C8">
            <w:pPr>
              <w:spacing w:line="240" w:lineRule="auto"/>
              <w:ind w:firstLineChars="0" w:firstLine="0"/>
              <w:jc w:val="center"/>
              <w:rPr>
                <w:rFonts w:eastAsiaTheme="minorEastAsia" w:cs="Times New Roman"/>
                <w:sz w:val="20"/>
                <w:szCs w:val="20"/>
                <w:vertAlign w:val="superscript"/>
              </w:rPr>
            </w:pPr>
            <w:r w:rsidRPr="00D438EF">
              <w:rPr>
                <w:rFonts w:eastAsiaTheme="minorEastAsia" w:cs="Times New Roman"/>
                <w:sz w:val="20"/>
                <w:szCs w:val="20"/>
              </w:rPr>
              <w:t>0.0453</w:t>
            </w:r>
            <w:r w:rsidRPr="00D438EF">
              <w:rPr>
                <w:rFonts w:eastAsiaTheme="minorEastAsia" w:cs="Times New Roman"/>
                <w:sz w:val="20"/>
                <w:szCs w:val="20"/>
                <w:vertAlign w:val="superscript"/>
              </w:rPr>
              <w:t>**</w:t>
            </w:r>
          </w:p>
          <w:p w14:paraId="3437781C" w14:textId="77777777" w:rsidR="008576C8" w:rsidRPr="00D438EF" w:rsidRDefault="008576C8" w:rsidP="008576C8">
            <w:pPr>
              <w:spacing w:line="240" w:lineRule="auto"/>
              <w:ind w:firstLineChars="0" w:firstLine="0"/>
              <w:jc w:val="center"/>
              <w:rPr>
                <w:rFonts w:cs="Times New Roman"/>
                <w:sz w:val="20"/>
                <w:szCs w:val="20"/>
              </w:rPr>
            </w:pPr>
            <w:r w:rsidRPr="00D438EF">
              <w:rPr>
                <w:rFonts w:eastAsiaTheme="minorEastAsia" w:cs="Times New Roman"/>
                <w:sz w:val="20"/>
                <w:szCs w:val="20"/>
              </w:rPr>
              <w:t>（</w:t>
            </w:r>
            <w:r w:rsidRPr="00D438EF">
              <w:rPr>
                <w:rFonts w:eastAsiaTheme="minorEastAsia" w:cs="Times New Roman"/>
                <w:sz w:val="20"/>
                <w:szCs w:val="20"/>
              </w:rPr>
              <w:t>2.49</w:t>
            </w:r>
            <w:r w:rsidRPr="00D438EF">
              <w:rPr>
                <w:rFonts w:eastAsiaTheme="minorEastAsia" w:cs="Times New Roman"/>
                <w:sz w:val="20"/>
                <w:szCs w:val="20"/>
              </w:rPr>
              <w:t>）</w:t>
            </w:r>
          </w:p>
        </w:tc>
        <w:tc>
          <w:tcPr>
            <w:tcW w:w="1268" w:type="dxa"/>
            <w:tcBorders>
              <w:top w:val="single" w:sz="4" w:space="0" w:color="auto"/>
              <w:left w:val="nil"/>
              <w:bottom w:val="single" w:sz="4" w:space="0" w:color="auto"/>
              <w:right w:val="nil"/>
            </w:tcBorders>
            <w:noWrap/>
            <w:vAlign w:val="center"/>
            <w:hideMark/>
          </w:tcPr>
          <w:p w14:paraId="4F07A9A1"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0.0</w:t>
            </w:r>
            <w:r w:rsidRPr="00D438EF">
              <w:rPr>
                <w:rFonts w:eastAsiaTheme="minorEastAsia" w:cs="Times New Roman"/>
                <w:sz w:val="20"/>
                <w:szCs w:val="20"/>
              </w:rPr>
              <w:t>370</w:t>
            </w:r>
            <w:r w:rsidRPr="00D438EF">
              <w:rPr>
                <w:rFonts w:eastAsiaTheme="minorEastAsia" w:cs="Times New Roman"/>
                <w:sz w:val="20"/>
                <w:szCs w:val="20"/>
                <w:vertAlign w:val="superscript"/>
              </w:rPr>
              <w:t>***</w:t>
            </w:r>
            <w:r w:rsidRPr="00D438EF">
              <w:rPr>
                <w:rFonts w:cs="Times New Roman"/>
                <w:sz w:val="20"/>
                <w:szCs w:val="20"/>
                <w:vertAlign w:val="superscript"/>
              </w:rPr>
              <w:t xml:space="preserve"> </w:t>
            </w:r>
          </w:p>
          <w:p w14:paraId="74036F0F"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w:t>
            </w:r>
            <w:r w:rsidRPr="00D438EF">
              <w:rPr>
                <w:rFonts w:eastAsiaTheme="minorEastAsia" w:cs="Times New Roman"/>
                <w:sz w:val="20"/>
                <w:szCs w:val="20"/>
              </w:rPr>
              <w:t>3.60</w:t>
            </w:r>
            <w:r w:rsidRPr="00D438EF">
              <w:rPr>
                <w:rFonts w:cs="Times New Roman"/>
                <w:sz w:val="20"/>
                <w:szCs w:val="20"/>
              </w:rPr>
              <w:t>)</w:t>
            </w:r>
          </w:p>
        </w:tc>
        <w:tc>
          <w:tcPr>
            <w:tcW w:w="1422" w:type="dxa"/>
            <w:tcBorders>
              <w:top w:val="single" w:sz="4" w:space="0" w:color="auto"/>
              <w:left w:val="nil"/>
              <w:bottom w:val="single" w:sz="4" w:space="0" w:color="auto"/>
              <w:right w:val="nil"/>
            </w:tcBorders>
            <w:noWrap/>
            <w:vAlign w:val="center"/>
            <w:hideMark/>
          </w:tcPr>
          <w:p w14:paraId="42C89007" w14:textId="77777777" w:rsidR="008576C8" w:rsidRPr="00D438EF" w:rsidRDefault="008576C8" w:rsidP="008576C8">
            <w:pPr>
              <w:spacing w:line="240" w:lineRule="auto"/>
              <w:ind w:firstLineChars="0" w:firstLine="0"/>
              <w:jc w:val="center"/>
              <w:rPr>
                <w:rFonts w:cs="Times New Roman"/>
                <w:sz w:val="20"/>
                <w:szCs w:val="20"/>
              </w:rPr>
            </w:pPr>
            <w:r w:rsidRPr="00D438EF">
              <w:rPr>
                <w:rFonts w:eastAsiaTheme="minorEastAsia" w:cs="Times New Roman"/>
                <w:sz w:val="20"/>
                <w:szCs w:val="20"/>
              </w:rPr>
              <w:t>0.0203</w:t>
            </w:r>
            <w:r w:rsidRPr="00D438EF">
              <w:rPr>
                <w:rFonts w:eastAsiaTheme="minorEastAsia" w:cs="Times New Roman"/>
                <w:sz w:val="20"/>
                <w:szCs w:val="20"/>
                <w:vertAlign w:val="superscript"/>
              </w:rPr>
              <w:t>***</w:t>
            </w:r>
            <w:r w:rsidRPr="00D438EF">
              <w:rPr>
                <w:rFonts w:cs="Times New Roman"/>
                <w:sz w:val="20"/>
                <w:szCs w:val="20"/>
                <w:vertAlign w:val="superscript"/>
              </w:rPr>
              <w:t xml:space="preserve">  </w:t>
            </w:r>
            <w:r w:rsidRPr="00D438EF">
              <w:rPr>
                <w:rFonts w:cs="Times New Roman"/>
                <w:sz w:val="20"/>
                <w:szCs w:val="20"/>
              </w:rPr>
              <w:t xml:space="preserve">  </w:t>
            </w:r>
          </w:p>
          <w:p w14:paraId="234A46DE"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w:t>
            </w:r>
            <w:r w:rsidRPr="00D438EF">
              <w:rPr>
                <w:rFonts w:eastAsiaTheme="minorEastAsia" w:cs="Times New Roman"/>
                <w:sz w:val="20"/>
                <w:szCs w:val="20"/>
              </w:rPr>
              <w:t>2.71</w:t>
            </w:r>
            <w:r w:rsidRPr="00D438EF">
              <w:rPr>
                <w:rFonts w:cs="Times New Roman"/>
                <w:sz w:val="20"/>
                <w:szCs w:val="20"/>
              </w:rPr>
              <w:t>)</w:t>
            </w:r>
          </w:p>
        </w:tc>
        <w:tc>
          <w:tcPr>
            <w:tcW w:w="1479" w:type="dxa"/>
            <w:tcBorders>
              <w:top w:val="single" w:sz="4" w:space="0" w:color="auto"/>
              <w:left w:val="nil"/>
              <w:bottom w:val="single" w:sz="4" w:space="0" w:color="auto"/>
              <w:right w:val="nil"/>
            </w:tcBorders>
            <w:noWrap/>
            <w:vAlign w:val="center"/>
            <w:hideMark/>
          </w:tcPr>
          <w:p w14:paraId="738D82D2"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0.0</w:t>
            </w:r>
            <w:r w:rsidRPr="00D438EF">
              <w:rPr>
                <w:rFonts w:eastAsiaTheme="minorEastAsia" w:cs="Times New Roman"/>
                <w:sz w:val="20"/>
                <w:szCs w:val="20"/>
              </w:rPr>
              <w:t>041</w:t>
            </w:r>
            <w:r w:rsidRPr="00D438EF">
              <w:rPr>
                <w:rFonts w:cs="Times New Roman"/>
                <w:sz w:val="20"/>
                <w:szCs w:val="20"/>
                <w:vertAlign w:val="superscript"/>
              </w:rPr>
              <w:t>*</w:t>
            </w:r>
            <w:r w:rsidRPr="00D438EF">
              <w:rPr>
                <w:rFonts w:cs="Times New Roman"/>
                <w:sz w:val="20"/>
                <w:szCs w:val="20"/>
              </w:rPr>
              <w:t xml:space="preserve">    (</w:t>
            </w:r>
            <w:r w:rsidRPr="00D438EF">
              <w:rPr>
                <w:rFonts w:eastAsiaTheme="minorEastAsia" w:cs="Times New Roman"/>
                <w:sz w:val="20"/>
                <w:szCs w:val="20"/>
              </w:rPr>
              <w:t>1.65</w:t>
            </w:r>
            <w:r w:rsidRPr="00D438EF">
              <w:rPr>
                <w:rFonts w:cs="Times New Roman"/>
                <w:sz w:val="20"/>
                <w:szCs w:val="20"/>
              </w:rPr>
              <w:t>)</w:t>
            </w:r>
          </w:p>
        </w:tc>
        <w:tc>
          <w:tcPr>
            <w:tcW w:w="1444" w:type="dxa"/>
            <w:tcBorders>
              <w:top w:val="single" w:sz="4" w:space="0" w:color="auto"/>
              <w:left w:val="nil"/>
              <w:bottom w:val="single" w:sz="4" w:space="0" w:color="auto"/>
              <w:right w:val="nil"/>
            </w:tcBorders>
            <w:noWrap/>
            <w:vAlign w:val="center"/>
            <w:hideMark/>
          </w:tcPr>
          <w:p w14:paraId="16E099C5" w14:textId="77777777" w:rsidR="008576C8" w:rsidRPr="00D438EF" w:rsidRDefault="008576C8" w:rsidP="008576C8">
            <w:pPr>
              <w:spacing w:line="240" w:lineRule="auto"/>
              <w:ind w:firstLineChars="0" w:firstLine="0"/>
              <w:jc w:val="center"/>
              <w:rPr>
                <w:rFonts w:cs="Times New Roman"/>
                <w:sz w:val="20"/>
                <w:szCs w:val="20"/>
                <w:vertAlign w:val="superscript"/>
              </w:rPr>
            </w:pPr>
            <w:r w:rsidRPr="00D438EF">
              <w:rPr>
                <w:rFonts w:cs="Times New Roman"/>
                <w:sz w:val="20"/>
                <w:szCs w:val="20"/>
              </w:rPr>
              <w:t>-0.0</w:t>
            </w:r>
            <w:r w:rsidRPr="00D438EF">
              <w:rPr>
                <w:rFonts w:eastAsiaTheme="minorEastAsia" w:cs="Times New Roman"/>
                <w:sz w:val="20"/>
                <w:szCs w:val="20"/>
              </w:rPr>
              <w:t>098</w:t>
            </w:r>
            <w:r w:rsidRPr="00D438EF">
              <w:rPr>
                <w:rFonts w:cs="Times New Roman"/>
                <w:sz w:val="20"/>
                <w:szCs w:val="20"/>
                <w:vertAlign w:val="superscript"/>
              </w:rPr>
              <w:t xml:space="preserve">     </w:t>
            </w:r>
          </w:p>
          <w:p w14:paraId="4177C833"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w:t>
            </w:r>
            <w:r w:rsidRPr="00D438EF">
              <w:rPr>
                <w:rFonts w:eastAsiaTheme="minorEastAsia" w:cs="Times New Roman"/>
                <w:sz w:val="20"/>
                <w:szCs w:val="20"/>
              </w:rPr>
              <w:t>1.30</w:t>
            </w:r>
            <w:r w:rsidRPr="00D438EF">
              <w:rPr>
                <w:rFonts w:cs="Times New Roman"/>
                <w:sz w:val="20"/>
                <w:szCs w:val="20"/>
              </w:rPr>
              <w:t>)</w:t>
            </w:r>
          </w:p>
        </w:tc>
        <w:tc>
          <w:tcPr>
            <w:tcW w:w="1422" w:type="dxa"/>
            <w:tcBorders>
              <w:top w:val="single" w:sz="4" w:space="0" w:color="auto"/>
              <w:left w:val="nil"/>
              <w:bottom w:val="single" w:sz="4" w:space="0" w:color="auto"/>
            </w:tcBorders>
            <w:noWrap/>
            <w:vAlign w:val="center"/>
            <w:hideMark/>
          </w:tcPr>
          <w:p w14:paraId="2B4817C2" w14:textId="77777777" w:rsidR="008576C8" w:rsidRPr="00D438EF" w:rsidRDefault="008576C8" w:rsidP="008576C8">
            <w:pPr>
              <w:spacing w:line="240" w:lineRule="auto"/>
              <w:ind w:firstLineChars="0" w:firstLine="0"/>
              <w:jc w:val="center"/>
              <w:rPr>
                <w:rFonts w:cs="Times New Roman"/>
                <w:sz w:val="20"/>
                <w:szCs w:val="20"/>
                <w:vertAlign w:val="superscript"/>
              </w:rPr>
            </w:pPr>
            <w:r w:rsidRPr="00D438EF">
              <w:rPr>
                <w:rFonts w:cs="Times New Roman"/>
                <w:sz w:val="20"/>
                <w:szCs w:val="20"/>
              </w:rPr>
              <w:t>-0.0</w:t>
            </w:r>
            <w:r w:rsidRPr="00D438EF">
              <w:rPr>
                <w:rFonts w:eastAsiaTheme="minorEastAsia" w:cs="Times New Roman"/>
                <w:sz w:val="20"/>
                <w:szCs w:val="20"/>
              </w:rPr>
              <w:t>064</w:t>
            </w:r>
            <w:r w:rsidRPr="00D438EF">
              <w:rPr>
                <w:rFonts w:cs="Times New Roman"/>
                <w:sz w:val="20"/>
                <w:szCs w:val="20"/>
                <w:vertAlign w:val="superscript"/>
              </w:rPr>
              <w:t xml:space="preserve">    </w:t>
            </w:r>
          </w:p>
          <w:p w14:paraId="07C42F0B"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vertAlign w:val="superscript"/>
              </w:rPr>
              <w:t xml:space="preserve"> </w:t>
            </w:r>
            <w:r w:rsidRPr="00D438EF">
              <w:rPr>
                <w:rFonts w:cs="Times New Roman"/>
                <w:sz w:val="20"/>
                <w:szCs w:val="20"/>
              </w:rPr>
              <w:t>(-</w:t>
            </w:r>
            <w:r w:rsidRPr="00D438EF">
              <w:rPr>
                <w:rFonts w:eastAsiaTheme="minorEastAsia" w:cs="Times New Roman"/>
                <w:sz w:val="20"/>
                <w:szCs w:val="20"/>
              </w:rPr>
              <w:t>0.62</w:t>
            </w:r>
            <w:r w:rsidRPr="00D438EF">
              <w:rPr>
                <w:rFonts w:cs="Times New Roman"/>
                <w:sz w:val="20"/>
                <w:szCs w:val="20"/>
              </w:rPr>
              <w:t>)</w:t>
            </w:r>
          </w:p>
        </w:tc>
      </w:tr>
      <w:tr w:rsidR="008576C8" w:rsidRPr="00D438EF" w14:paraId="3BE7667D" w14:textId="77777777" w:rsidTr="008576C8">
        <w:trPr>
          <w:trHeight w:val="300"/>
          <w:jc w:val="center"/>
        </w:trPr>
        <w:tc>
          <w:tcPr>
            <w:tcW w:w="9020" w:type="dxa"/>
            <w:gridSpan w:val="7"/>
            <w:tcBorders>
              <w:top w:val="single" w:sz="4" w:space="0" w:color="auto"/>
              <w:bottom w:val="single" w:sz="4" w:space="0" w:color="auto"/>
            </w:tcBorders>
            <w:noWrap/>
            <w:vAlign w:val="center"/>
            <w:hideMark/>
          </w:tcPr>
          <w:p w14:paraId="10E853E6" w14:textId="55CE528C" w:rsidR="008576C8" w:rsidRPr="00D438EF" w:rsidRDefault="009961FA" w:rsidP="008576C8">
            <w:pPr>
              <w:spacing w:line="240" w:lineRule="auto"/>
              <w:ind w:firstLineChars="0" w:firstLine="0"/>
              <w:jc w:val="left"/>
              <w:rPr>
                <w:rFonts w:cs="Times New Roman"/>
                <w:b/>
                <w:sz w:val="20"/>
                <w:szCs w:val="20"/>
              </w:rPr>
            </w:pPr>
            <w:r w:rsidRPr="00D438EF">
              <w:rPr>
                <w:rFonts w:cs="Times New Roman"/>
                <w:b/>
                <w:sz w:val="20"/>
                <w:szCs w:val="20"/>
              </w:rPr>
              <w:t xml:space="preserve">Bidders of </w:t>
            </w:r>
            <w:r w:rsidR="008576C8" w:rsidRPr="00D438EF">
              <w:rPr>
                <w:rFonts w:cs="Times New Roman"/>
                <w:b/>
                <w:sz w:val="20"/>
                <w:szCs w:val="20"/>
              </w:rPr>
              <w:t>Mainland</w:t>
            </w:r>
            <w:r w:rsidRPr="00D438EF">
              <w:rPr>
                <w:rFonts w:cs="Times New Roman"/>
                <w:b/>
                <w:sz w:val="20"/>
                <w:szCs w:val="20"/>
              </w:rPr>
              <w:t xml:space="preserve"> China</w:t>
            </w:r>
            <w:r w:rsidR="008576C8" w:rsidRPr="00D438EF">
              <w:rPr>
                <w:rFonts w:cs="Times New Roman"/>
                <w:b/>
                <w:sz w:val="20"/>
                <w:szCs w:val="20"/>
              </w:rPr>
              <w:t xml:space="preserve"> Target</w:t>
            </w:r>
          </w:p>
        </w:tc>
      </w:tr>
      <w:tr w:rsidR="008576C8" w:rsidRPr="00D438EF" w14:paraId="3F952A43" w14:textId="77777777" w:rsidTr="008576C8">
        <w:trPr>
          <w:trHeight w:val="540"/>
          <w:jc w:val="center"/>
        </w:trPr>
        <w:tc>
          <w:tcPr>
            <w:tcW w:w="840" w:type="dxa"/>
            <w:tcBorders>
              <w:top w:val="single" w:sz="4" w:space="0" w:color="auto"/>
              <w:bottom w:val="single" w:sz="4" w:space="0" w:color="auto"/>
              <w:right w:val="nil"/>
            </w:tcBorders>
            <w:noWrap/>
            <w:vAlign w:val="center"/>
            <w:hideMark/>
          </w:tcPr>
          <w:p w14:paraId="37538B46" w14:textId="77777777" w:rsidR="008576C8" w:rsidRPr="00D438EF" w:rsidRDefault="008576C8" w:rsidP="008576C8">
            <w:pPr>
              <w:spacing w:line="240" w:lineRule="auto"/>
              <w:ind w:firstLineChars="0" w:firstLine="0"/>
              <w:jc w:val="center"/>
              <w:rPr>
                <w:rFonts w:cs="Times New Roman"/>
                <w:sz w:val="20"/>
                <w:szCs w:val="20"/>
              </w:rPr>
            </w:pPr>
          </w:p>
        </w:tc>
        <w:tc>
          <w:tcPr>
            <w:tcW w:w="1145" w:type="dxa"/>
            <w:tcBorders>
              <w:top w:val="single" w:sz="4" w:space="0" w:color="auto"/>
              <w:left w:val="nil"/>
              <w:bottom w:val="single" w:sz="4" w:space="0" w:color="auto"/>
              <w:right w:val="nil"/>
            </w:tcBorders>
            <w:noWrap/>
            <w:vAlign w:val="center"/>
            <w:hideMark/>
          </w:tcPr>
          <w:p w14:paraId="1B12C94F"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Entire Period</w:t>
            </w:r>
          </w:p>
        </w:tc>
        <w:tc>
          <w:tcPr>
            <w:tcW w:w="1268" w:type="dxa"/>
            <w:tcBorders>
              <w:top w:val="single" w:sz="4" w:space="0" w:color="auto"/>
              <w:left w:val="nil"/>
              <w:bottom w:val="single" w:sz="4" w:space="0" w:color="auto"/>
              <w:right w:val="nil"/>
            </w:tcBorders>
            <w:vAlign w:val="center"/>
            <w:hideMark/>
          </w:tcPr>
          <w:p w14:paraId="3AC19D1D"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Far Pre-announcement Period</w:t>
            </w:r>
          </w:p>
        </w:tc>
        <w:tc>
          <w:tcPr>
            <w:tcW w:w="1422" w:type="dxa"/>
            <w:tcBorders>
              <w:top w:val="single" w:sz="4" w:space="0" w:color="auto"/>
              <w:left w:val="nil"/>
              <w:bottom w:val="single" w:sz="4" w:space="0" w:color="auto"/>
              <w:right w:val="nil"/>
            </w:tcBorders>
            <w:vAlign w:val="center"/>
            <w:hideMark/>
          </w:tcPr>
          <w:p w14:paraId="30B52AF7"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Near Pre-announcement Period</w:t>
            </w:r>
          </w:p>
        </w:tc>
        <w:tc>
          <w:tcPr>
            <w:tcW w:w="1479" w:type="dxa"/>
            <w:tcBorders>
              <w:top w:val="single" w:sz="4" w:space="0" w:color="auto"/>
              <w:left w:val="nil"/>
              <w:bottom w:val="single" w:sz="4" w:space="0" w:color="auto"/>
              <w:right w:val="nil"/>
            </w:tcBorders>
            <w:noWrap/>
            <w:vAlign w:val="center"/>
            <w:hideMark/>
          </w:tcPr>
          <w:p w14:paraId="313E1FDF"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Announcement Day</w:t>
            </w:r>
          </w:p>
        </w:tc>
        <w:tc>
          <w:tcPr>
            <w:tcW w:w="1444" w:type="dxa"/>
            <w:tcBorders>
              <w:top w:val="single" w:sz="4" w:space="0" w:color="auto"/>
              <w:left w:val="nil"/>
              <w:bottom w:val="single" w:sz="4" w:space="0" w:color="auto"/>
              <w:right w:val="nil"/>
            </w:tcBorders>
            <w:vAlign w:val="center"/>
            <w:hideMark/>
          </w:tcPr>
          <w:p w14:paraId="37597532"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Near Post-announcement Period</w:t>
            </w:r>
          </w:p>
        </w:tc>
        <w:tc>
          <w:tcPr>
            <w:tcW w:w="1422" w:type="dxa"/>
            <w:tcBorders>
              <w:top w:val="single" w:sz="4" w:space="0" w:color="auto"/>
              <w:left w:val="nil"/>
              <w:bottom w:val="single" w:sz="4" w:space="0" w:color="auto"/>
            </w:tcBorders>
            <w:vAlign w:val="center"/>
            <w:hideMark/>
          </w:tcPr>
          <w:p w14:paraId="7DF1C811"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Far Post-announcement Period</w:t>
            </w:r>
          </w:p>
        </w:tc>
      </w:tr>
      <w:tr w:rsidR="008576C8" w:rsidRPr="00D438EF" w14:paraId="6ACE5EB8" w14:textId="77777777" w:rsidTr="008576C8">
        <w:trPr>
          <w:trHeight w:val="300"/>
          <w:jc w:val="center"/>
        </w:trPr>
        <w:tc>
          <w:tcPr>
            <w:tcW w:w="840" w:type="dxa"/>
            <w:tcBorders>
              <w:top w:val="single" w:sz="4" w:space="0" w:color="auto"/>
              <w:bottom w:val="single" w:sz="4" w:space="0" w:color="auto"/>
              <w:right w:val="nil"/>
            </w:tcBorders>
            <w:noWrap/>
            <w:vAlign w:val="center"/>
            <w:hideMark/>
          </w:tcPr>
          <w:p w14:paraId="5883305E" w14:textId="77777777" w:rsidR="008576C8" w:rsidRPr="00D438EF" w:rsidRDefault="008576C8" w:rsidP="008576C8">
            <w:pPr>
              <w:spacing w:line="240" w:lineRule="auto"/>
              <w:ind w:firstLineChars="0" w:firstLine="0"/>
              <w:jc w:val="center"/>
              <w:rPr>
                <w:rFonts w:cs="Times New Roman"/>
                <w:sz w:val="20"/>
                <w:szCs w:val="20"/>
              </w:rPr>
            </w:pPr>
          </w:p>
        </w:tc>
        <w:tc>
          <w:tcPr>
            <w:tcW w:w="1145" w:type="dxa"/>
            <w:tcBorders>
              <w:top w:val="single" w:sz="4" w:space="0" w:color="auto"/>
              <w:left w:val="nil"/>
              <w:bottom w:val="single" w:sz="4" w:space="0" w:color="auto"/>
              <w:right w:val="nil"/>
            </w:tcBorders>
            <w:noWrap/>
            <w:vAlign w:val="center"/>
            <w:hideMark/>
          </w:tcPr>
          <w:p w14:paraId="3BE372CC"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Day -26 to day +26 </w:t>
            </w:r>
          </w:p>
        </w:tc>
        <w:tc>
          <w:tcPr>
            <w:tcW w:w="1268" w:type="dxa"/>
            <w:tcBorders>
              <w:top w:val="single" w:sz="4" w:space="0" w:color="auto"/>
              <w:left w:val="nil"/>
              <w:bottom w:val="single" w:sz="4" w:space="0" w:color="auto"/>
              <w:right w:val="nil"/>
            </w:tcBorders>
            <w:noWrap/>
            <w:vAlign w:val="center"/>
            <w:hideMark/>
          </w:tcPr>
          <w:p w14:paraId="1FB7BE20"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Day -26 to day -10 </w:t>
            </w:r>
          </w:p>
        </w:tc>
        <w:tc>
          <w:tcPr>
            <w:tcW w:w="1422" w:type="dxa"/>
            <w:tcBorders>
              <w:top w:val="single" w:sz="4" w:space="0" w:color="auto"/>
              <w:left w:val="nil"/>
              <w:bottom w:val="single" w:sz="4" w:space="0" w:color="auto"/>
              <w:right w:val="nil"/>
            </w:tcBorders>
            <w:noWrap/>
            <w:vAlign w:val="center"/>
            <w:hideMark/>
          </w:tcPr>
          <w:p w14:paraId="67058613"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Day -9 to day  -1 </w:t>
            </w:r>
          </w:p>
        </w:tc>
        <w:tc>
          <w:tcPr>
            <w:tcW w:w="1479" w:type="dxa"/>
            <w:tcBorders>
              <w:top w:val="single" w:sz="4" w:space="0" w:color="auto"/>
              <w:left w:val="nil"/>
              <w:bottom w:val="single" w:sz="4" w:space="0" w:color="auto"/>
              <w:right w:val="nil"/>
            </w:tcBorders>
            <w:noWrap/>
            <w:vAlign w:val="center"/>
            <w:hideMark/>
          </w:tcPr>
          <w:p w14:paraId="59F5666F"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w:t>
            </w:r>
          </w:p>
        </w:tc>
        <w:tc>
          <w:tcPr>
            <w:tcW w:w="1444" w:type="dxa"/>
            <w:tcBorders>
              <w:top w:val="single" w:sz="4" w:space="0" w:color="auto"/>
              <w:left w:val="nil"/>
              <w:bottom w:val="single" w:sz="4" w:space="0" w:color="auto"/>
              <w:right w:val="nil"/>
            </w:tcBorders>
            <w:noWrap/>
            <w:vAlign w:val="center"/>
            <w:hideMark/>
          </w:tcPr>
          <w:p w14:paraId="3667A0DE"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Day +1 to day +9 </w:t>
            </w:r>
          </w:p>
        </w:tc>
        <w:tc>
          <w:tcPr>
            <w:tcW w:w="1422" w:type="dxa"/>
            <w:tcBorders>
              <w:top w:val="single" w:sz="4" w:space="0" w:color="auto"/>
              <w:left w:val="nil"/>
              <w:bottom w:val="single" w:sz="4" w:space="0" w:color="auto"/>
            </w:tcBorders>
            <w:noWrap/>
            <w:vAlign w:val="center"/>
            <w:hideMark/>
          </w:tcPr>
          <w:p w14:paraId="409337BF"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Day +10 to day +26 </w:t>
            </w:r>
          </w:p>
        </w:tc>
      </w:tr>
      <w:tr w:rsidR="008576C8" w:rsidRPr="00D438EF" w14:paraId="5611E9DE" w14:textId="77777777" w:rsidTr="008576C8">
        <w:trPr>
          <w:trHeight w:val="300"/>
          <w:jc w:val="center"/>
        </w:trPr>
        <w:tc>
          <w:tcPr>
            <w:tcW w:w="9020" w:type="dxa"/>
            <w:gridSpan w:val="7"/>
            <w:tcBorders>
              <w:top w:val="single" w:sz="4" w:space="0" w:color="auto"/>
              <w:bottom w:val="single" w:sz="4" w:space="0" w:color="auto"/>
            </w:tcBorders>
            <w:noWrap/>
            <w:vAlign w:val="center"/>
            <w:hideMark/>
          </w:tcPr>
          <w:p w14:paraId="0A14ABDD" w14:textId="77777777" w:rsidR="008576C8" w:rsidRPr="00D438EF" w:rsidRDefault="008576C8" w:rsidP="008576C8">
            <w:pPr>
              <w:spacing w:line="240" w:lineRule="auto"/>
              <w:ind w:firstLineChars="0" w:firstLine="0"/>
              <w:jc w:val="left"/>
              <w:rPr>
                <w:rFonts w:cs="Times New Roman"/>
                <w:b/>
                <w:sz w:val="20"/>
                <w:szCs w:val="20"/>
              </w:rPr>
            </w:pPr>
            <w:r w:rsidRPr="00D438EF">
              <w:rPr>
                <w:rFonts w:cs="Times New Roman"/>
                <w:b/>
                <w:sz w:val="20"/>
                <w:szCs w:val="20"/>
              </w:rPr>
              <w:t>Market Return</w:t>
            </w:r>
          </w:p>
        </w:tc>
      </w:tr>
      <w:tr w:rsidR="008576C8" w:rsidRPr="00D438EF" w14:paraId="2355B269" w14:textId="77777777" w:rsidTr="008576C8">
        <w:trPr>
          <w:trHeight w:val="300"/>
          <w:jc w:val="center"/>
        </w:trPr>
        <w:tc>
          <w:tcPr>
            <w:tcW w:w="840" w:type="dxa"/>
            <w:tcBorders>
              <w:top w:val="single" w:sz="4" w:space="0" w:color="auto"/>
              <w:bottom w:val="single" w:sz="4" w:space="0" w:color="auto"/>
              <w:right w:val="nil"/>
            </w:tcBorders>
            <w:noWrap/>
            <w:vAlign w:val="center"/>
            <w:hideMark/>
          </w:tcPr>
          <w:p w14:paraId="0845C66A"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CAAR</w:t>
            </w:r>
          </w:p>
        </w:tc>
        <w:tc>
          <w:tcPr>
            <w:tcW w:w="1145" w:type="dxa"/>
            <w:tcBorders>
              <w:top w:val="single" w:sz="4" w:space="0" w:color="auto"/>
              <w:left w:val="nil"/>
              <w:bottom w:val="single" w:sz="4" w:space="0" w:color="auto"/>
              <w:right w:val="nil"/>
            </w:tcBorders>
            <w:noWrap/>
            <w:vAlign w:val="center"/>
            <w:hideMark/>
          </w:tcPr>
          <w:p w14:paraId="77D97F09" w14:textId="77777777" w:rsidR="008576C8" w:rsidRPr="00D438EF" w:rsidRDefault="008576C8" w:rsidP="008576C8">
            <w:pPr>
              <w:spacing w:line="240" w:lineRule="auto"/>
              <w:ind w:firstLineChars="0" w:firstLine="0"/>
              <w:jc w:val="center"/>
              <w:rPr>
                <w:rFonts w:cs="Times New Roman"/>
                <w:sz w:val="20"/>
                <w:szCs w:val="20"/>
              </w:rPr>
            </w:pPr>
            <w:r w:rsidRPr="00D438EF">
              <w:rPr>
                <w:rFonts w:eastAsiaTheme="minorEastAsia" w:cs="Times New Roman"/>
                <w:sz w:val="20"/>
                <w:szCs w:val="20"/>
              </w:rPr>
              <w:t>0.0339</w:t>
            </w:r>
            <w:r w:rsidRPr="00D438EF">
              <w:rPr>
                <w:rFonts w:eastAsiaTheme="minorEastAsia" w:cs="Times New Roman"/>
                <w:sz w:val="20"/>
                <w:szCs w:val="20"/>
                <w:vertAlign w:val="superscript"/>
              </w:rPr>
              <w:t>*</w:t>
            </w:r>
            <w:r w:rsidRPr="00D438EF">
              <w:rPr>
                <w:rFonts w:cs="Times New Roman"/>
                <w:sz w:val="20"/>
                <w:szCs w:val="20"/>
              </w:rPr>
              <w:t xml:space="preserve">     (</w:t>
            </w:r>
            <w:r w:rsidRPr="00D438EF">
              <w:rPr>
                <w:rFonts w:eastAsiaTheme="minorEastAsia" w:cs="Times New Roman"/>
                <w:sz w:val="20"/>
                <w:szCs w:val="20"/>
              </w:rPr>
              <w:t>1.79</w:t>
            </w:r>
            <w:r w:rsidRPr="00D438EF">
              <w:rPr>
                <w:rFonts w:cs="Times New Roman"/>
                <w:sz w:val="20"/>
                <w:szCs w:val="20"/>
              </w:rPr>
              <w:t>)</w:t>
            </w:r>
          </w:p>
        </w:tc>
        <w:tc>
          <w:tcPr>
            <w:tcW w:w="1268" w:type="dxa"/>
            <w:tcBorders>
              <w:top w:val="single" w:sz="4" w:space="0" w:color="auto"/>
              <w:left w:val="nil"/>
              <w:bottom w:val="single" w:sz="4" w:space="0" w:color="auto"/>
              <w:right w:val="nil"/>
            </w:tcBorders>
            <w:noWrap/>
            <w:vAlign w:val="center"/>
            <w:hideMark/>
          </w:tcPr>
          <w:p w14:paraId="6DEB74C0" w14:textId="77777777" w:rsidR="008576C8" w:rsidRPr="00D438EF" w:rsidRDefault="008576C8" w:rsidP="008576C8">
            <w:pPr>
              <w:spacing w:line="240" w:lineRule="auto"/>
              <w:ind w:firstLineChars="0" w:firstLine="0"/>
              <w:jc w:val="center"/>
              <w:rPr>
                <w:rFonts w:cs="Times New Roman"/>
                <w:sz w:val="20"/>
                <w:szCs w:val="20"/>
              </w:rPr>
            </w:pPr>
            <w:r w:rsidRPr="00D438EF">
              <w:rPr>
                <w:rFonts w:eastAsiaTheme="minorEastAsia" w:cs="Times New Roman"/>
                <w:sz w:val="20"/>
                <w:szCs w:val="20"/>
              </w:rPr>
              <w:t>0.0257</w:t>
            </w:r>
            <w:r w:rsidRPr="00D438EF">
              <w:rPr>
                <w:rFonts w:eastAsiaTheme="minorEastAsia" w:cs="Times New Roman"/>
                <w:sz w:val="20"/>
                <w:szCs w:val="20"/>
                <w:vertAlign w:val="superscript"/>
              </w:rPr>
              <w:t>**</w:t>
            </w:r>
            <w:r w:rsidRPr="00D438EF">
              <w:rPr>
                <w:rFonts w:cs="Times New Roman"/>
                <w:sz w:val="20"/>
                <w:szCs w:val="20"/>
              </w:rPr>
              <w:t xml:space="preserve">    </w:t>
            </w:r>
          </w:p>
          <w:p w14:paraId="7CEAECF2"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 (</w:t>
            </w:r>
            <w:r w:rsidRPr="00D438EF">
              <w:rPr>
                <w:rFonts w:eastAsiaTheme="minorEastAsia" w:cs="Times New Roman"/>
                <w:sz w:val="20"/>
                <w:szCs w:val="20"/>
              </w:rPr>
              <w:t>2.39</w:t>
            </w:r>
            <w:r w:rsidRPr="00D438EF">
              <w:rPr>
                <w:rFonts w:cs="Times New Roman"/>
                <w:sz w:val="20"/>
                <w:szCs w:val="20"/>
              </w:rPr>
              <w:t>)</w:t>
            </w:r>
          </w:p>
        </w:tc>
        <w:tc>
          <w:tcPr>
            <w:tcW w:w="1422" w:type="dxa"/>
            <w:tcBorders>
              <w:top w:val="single" w:sz="4" w:space="0" w:color="auto"/>
              <w:left w:val="nil"/>
              <w:bottom w:val="single" w:sz="4" w:space="0" w:color="auto"/>
              <w:right w:val="nil"/>
            </w:tcBorders>
            <w:noWrap/>
            <w:vAlign w:val="center"/>
            <w:hideMark/>
          </w:tcPr>
          <w:p w14:paraId="5B910237" w14:textId="77777777" w:rsidR="008576C8" w:rsidRPr="00D438EF" w:rsidRDefault="008576C8" w:rsidP="008576C8">
            <w:pPr>
              <w:spacing w:line="240" w:lineRule="auto"/>
              <w:ind w:firstLineChars="0" w:firstLine="0"/>
              <w:jc w:val="center"/>
              <w:rPr>
                <w:rFonts w:cs="Times New Roman"/>
                <w:sz w:val="20"/>
                <w:szCs w:val="20"/>
              </w:rPr>
            </w:pPr>
            <w:r w:rsidRPr="00D438EF">
              <w:rPr>
                <w:rFonts w:eastAsiaTheme="minorEastAsia" w:cs="Times New Roman"/>
                <w:sz w:val="20"/>
                <w:szCs w:val="20"/>
              </w:rPr>
              <w:t>0.0083</w:t>
            </w:r>
            <w:r w:rsidRPr="00D438EF">
              <w:rPr>
                <w:rFonts w:cs="Times New Roman"/>
                <w:sz w:val="20"/>
                <w:szCs w:val="20"/>
              </w:rPr>
              <w:t xml:space="preserve">   (1</w:t>
            </w:r>
            <w:r w:rsidRPr="00D438EF">
              <w:rPr>
                <w:rFonts w:eastAsiaTheme="minorEastAsia" w:cs="Times New Roman"/>
                <w:sz w:val="20"/>
                <w:szCs w:val="20"/>
              </w:rPr>
              <w:t>.06</w:t>
            </w:r>
            <w:r w:rsidRPr="00D438EF">
              <w:rPr>
                <w:rFonts w:cs="Times New Roman"/>
                <w:sz w:val="20"/>
                <w:szCs w:val="20"/>
              </w:rPr>
              <w:t>)</w:t>
            </w:r>
          </w:p>
        </w:tc>
        <w:tc>
          <w:tcPr>
            <w:tcW w:w="1479" w:type="dxa"/>
            <w:tcBorders>
              <w:top w:val="single" w:sz="4" w:space="0" w:color="auto"/>
              <w:left w:val="nil"/>
              <w:bottom w:val="single" w:sz="4" w:space="0" w:color="auto"/>
              <w:right w:val="nil"/>
            </w:tcBorders>
            <w:noWrap/>
            <w:vAlign w:val="center"/>
            <w:hideMark/>
          </w:tcPr>
          <w:p w14:paraId="650ECD06"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0.0</w:t>
            </w:r>
            <w:r w:rsidRPr="00D438EF">
              <w:rPr>
                <w:rFonts w:eastAsiaTheme="minorEastAsia" w:cs="Times New Roman"/>
                <w:sz w:val="20"/>
                <w:szCs w:val="20"/>
              </w:rPr>
              <w:t>51</w:t>
            </w:r>
            <w:r w:rsidRPr="00D438EF">
              <w:rPr>
                <w:rFonts w:cs="Times New Roman"/>
                <w:sz w:val="20"/>
                <w:szCs w:val="20"/>
                <w:vertAlign w:val="superscript"/>
              </w:rPr>
              <w:t>*</w:t>
            </w:r>
            <w:r w:rsidRPr="00D438EF">
              <w:rPr>
                <w:rFonts w:cs="Times New Roman"/>
                <w:sz w:val="20"/>
                <w:szCs w:val="20"/>
              </w:rPr>
              <w:t xml:space="preserve">    (1.</w:t>
            </w:r>
            <w:r w:rsidRPr="00D438EF">
              <w:rPr>
                <w:rFonts w:eastAsiaTheme="minorEastAsia" w:cs="Times New Roman"/>
                <w:sz w:val="20"/>
                <w:szCs w:val="20"/>
              </w:rPr>
              <w:t>95</w:t>
            </w:r>
            <w:r w:rsidRPr="00D438EF">
              <w:rPr>
                <w:rFonts w:cs="Times New Roman"/>
                <w:sz w:val="20"/>
                <w:szCs w:val="20"/>
              </w:rPr>
              <w:t>)</w:t>
            </w:r>
          </w:p>
        </w:tc>
        <w:tc>
          <w:tcPr>
            <w:tcW w:w="1444" w:type="dxa"/>
            <w:tcBorders>
              <w:top w:val="single" w:sz="4" w:space="0" w:color="auto"/>
              <w:left w:val="nil"/>
              <w:bottom w:val="single" w:sz="4" w:space="0" w:color="auto"/>
              <w:right w:val="nil"/>
            </w:tcBorders>
            <w:noWrap/>
            <w:vAlign w:val="center"/>
            <w:hideMark/>
          </w:tcPr>
          <w:p w14:paraId="03DC3F3E" w14:textId="77777777" w:rsidR="008576C8" w:rsidRPr="00D438EF" w:rsidRDefault="008576C8" w:rsidP="008576C8">
            <w:pPr>
              <w:spacing w:line="240" w:lineRule="auto"/>
              <w:ind w:firstLineChars="0" w:firstLine="0"/>
              <w:jc w:val="center"/>
              <w:rPr>
                <w:rFonts w:cs="Times New Roman"/>
                <w:sz w:val="20"/>
                <w:szCs w:val="20"/>
              </w:rPr>
            </w:pPr>
            <w:r w:rsidRPr="00D438EF">
              <w:rPr>
                <w:rFonts w:eastAsiaTheme="minorEastAsia" w:cs="Times New Roman"/>
                <w:sz w:val="20"/>
                <w:szCs w:val="20"/>
              </w:rPr>
              <w:t>-</w:t>
            </w:r>
            <w:r w:rsidRPr="00D438EF">
              <w:rPr>
                <w:rFonts w:cs="Times New Roman"/>
                <w:sz w:val="20"/>
                <w:szCs w:val="20"/>
              </w:rPr>
              <w:t>0.0</w:t>
            </w:r>
            <w:r w:rsidRPr="00D438EF">
              <w:rPr>
                <w:rFonts w:eastAsiaTheme="minorEastAsia" w:cs="Times New Roman"/>
                <w:sz w:val="20"/>
                <w:szCs w:val="20"/>
              </w:rPr>
              <w:t>111</w:t>
            </w:r>
            <w:r w:rsidRPr="00D438EF">
              <w:rPr>
                <w:rFonts w:cs="Times New Roman"/>
                <w:sz w:val="20"/>
                <w:szCs w:val="20"/>
              </w:rPr>
              <w:t xml:space="preserve">    </w:t>
            </w:r>
          </w:p>
          <w:p w14:paraId="3372DBC1"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 (</w:t>
            </w:r>
            <w:r w:rsidRPr="00D438EF">
              <w:rPr>
                <w:rFonts w:eastAsiaTheme="minorEastAsia" w:cs="Times New Roman"/>
                <w:sz w:val="20"/>
                <w:szCs w:val="20"/>
              </w:rPr>
              <w:t>-1.43</w:t>
            </w:r>
            <w:r w:rsidRPr="00D438EF">
              <w:rPr>
                <w:rFonts w:cs="Times New Roman"/>
                <w:sz w:val="20"/>
                <w:szCs w:val="20"/>
              </w:rPr>
              <w:t>)</w:t>
            </w:r>
          </w:p>
        </w:tc>
        <w:tc>
          <w:tcPr>
            <w:tcW w:w="1422" w:type="dxa"/>
            <w:tcBorders>
              <w:top w:val="single" w:sz="4" w:space="0" w:color="auto"/>
              <w:left w:val="nil"/>
              <w:bottom w:val="single" w:sz="4" w:space="0" w:color="auto"/>
            </w:tcBorders>
            <w:noWrap/>
            <w:vAlign w:val="center"/>
            <w:hideMark/>
          </w:tcPr>
          <w:p w14:paraId="586557B9"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0.0</w:t>
            </w:r>
            <w:r w:rsidRPr="00D438EF">
              <w:rPr>
                <w:rFonts w:eastAsiaTheme="minorEastAsia" w:cs="Times New Roman"/>
                <w:sz w:val="20"/>
                <w:szCs w:val="20"/>
              </w:rPr>
              <w:t>061</w:t>
            </w:r>
            <w:r w:rsidRPr="00D438EF">
              <w:rPr>
                <w:rFonts w:cs="Times New Roman"/>
                <w:sz w:val="20"/>
                <w:szCs w:val="20"/>
              </w:rPr>
              <w:t xml:space="preserve">     </w:t>
            </w:r>
          </w:p>
          <w:p w14:paraId="42E34187"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w:t>
            </w:r>
            <w:r w:rsidRPr="00D438EF">
              <w:rPr>
                <w:rFonts w:eastAsiaTheme="minorEastAsia" w:cs="Times New Roman"/>
                <w:sz w:val="20"/>
                <w:szCs w:val="20"/>
              </w:rPr>
              <w:t>0.56</w:t>
            </w:r>
            <w:r w:rsidRPr="00D438EF">
              <w:rPr>
                <w:rFonts w:cs="Times New Roman"/>
                <w:sz w:val="20"/>
                <w:szCs w:val="20"/>
              </w:rPr>
              <w:t>)</w:t>
            </w:r>
          </w:p>
        </w:tc>
      </w:tr>
      <w:tr w:rsidR="008576C8" w:rsidRPr="00D438EF" w14:paraId="7DFBF68D" w14:textId="77777777" w:rsidTr="008576C8">
        <w:trPr>
          <w:trHeight w:val="300"/>
          <w:jc w:val="center"/>
        </w:trPr>
        <w:tc>
          <w:tcPr>
            <w:tcW w:w="9020" w:type="dxa"/>
            <w:gridSpan w:val="7"/>
            <w:tcBorders>
              <w:top w:val="single" w:sz="4" w:space="0" w:color="auto"/>
              <w:bottom w:val="single" w:sz="4" w:space="0" w:color="auto"/>
            </w:tcBorders>
            <w:noWrap/>
            <w:vAlign w:val="center"/>
            <w:hideMark/>
          </w:tcPr>
          <w:p w14:paraId="29AA1BDF" w14:textId="77777777" w:rsidR="008576C8" w:rsidRPr="00D438EF" w:rsidRDefault="008576C8" w:rsidP="008576C8">
            <w:pPr>
              <w:spacing w:line="240" w:lineRule="auto"/>
              <w:ind w:firstLineChars="0" w:firstLine="0"/>
              <w:jc w:val="left"/>
              <w:rPr>
                <w:rFonts w:cs="Times New Roman"/>
                <w:b/>
                <w:sz w:val="20"/>
                <w:szCs w:val="20"/>
              </w:rPr>
            </w:pPr>
            <w:r w:rsidRPr="00D438EF">
              <w:rPr>
                <w:rFonts w:cs="Times New Roman"/>
                <w:b/>
                <w:sz w:val="20"/>
                <w:szCs w:val="20"/>
              </w:rPr>
              <w:t>Single Factor Model (CAPM)</w:t>
            </w:r>
          </w:p>
        </w:tc>
      </w:tr>
      <w:tr w:rsidR="008576C8" w:rsidRPr="00D438EF" w14:paraId="2494BCE4" w14:textId="77777777" w:rsidTr="008576C8">
        <w:trPr>
          <w:trHeight w:val="300"/>
          <w:jc w:val="center"/>
        </w:trPr>
        <w:tc>
          <w:tcPr>
            <w:tcW w:w="840" w:type="dxa"/>
            <w:tcBorders>
              <w:top w:val="single" w:sz="4" w:space="0" w:color="auto"/>
              <w:bottom w:val="single" w:sz="4" w:space="0" w:color="auto"/>
              <w:right w:val="nil"/>
            </w:tcBorders>
            <w:noWrap/>
            <w:vAlign w:val="center"/>
            <w:hideMark/>
          </w:tcPr>
          <w:p w14:paraId="462E766F"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CAAR</w:t>
            </w:r>
          </w:p>
        </w:tc>
        <w:tc>
          <w:tcPr>
            <w:tcW w:w="1145" w:type="dxa"/>
            <w:tcBorders>
              <w:top w:val="single" w:sz="4" w:space="0" w:color="auto"/>
              <w:left w:val="nil"/>
              <w:bottom w:val="single" w:sz="4" w:space="0" w:color="auto"/>
              <w:right w:val="nil"/>
            </w:tcBorders>
            <w:noWrap/>
            <w:vAlign w:val="center"/>
            <w:hideMark/>
          </w:tcPr>
          <w:p w14:paraId="7F8259DC" w14:textId="77777777" w:rsidR="008576C8" w:rsidRPr="00D438EF" w:rsidRDefault="008576C8" w:rsidP="008576C8">
            <w:pPr>
              <w:spacing w:line="240" w:lineRule="auto"/>
              <w:ind w:firstLineChars="0" w:firstLine="0"/>
              <w:jc w:val="center"/>
              <w:rPr>
                <w:rFonts w:cs="Times New Roman"/>
                <w:sz w:val="20"/>
                <w:szCs w:val="20"/>
              </w:rPr>
            </w:pPr>
            <w:r w:rsidRPr="00D438EF">
              <w:rPr>
                <w:rFonts w:eastAsiaTheme="minorEastAsia" w:cs="Times New Roman"/>
                <w:sz w:val="20"/>
                <w:szCs w:val="20"/>
              </w:rPr>
              <w:t>0.0373</w:t>
            </w:r>
            <w:r w:rsidRPr="00D438EF">
              <w:rPr>
                <w:rFonts w:eastAsiaTheme="minorEastAsia" w:cs="Times New Roman"/>
                <w:sz w:val="20"/>
                <w:szCs w:val="20"/>
                <w:vertAlign w:val="superscript"/>
              </w:rPr>
              <w:t>**</w:t>
            </w:r>
            <w:r w:rsidRPr="00D438EF">
              <w:rPr>
                <w:rFonts w:cs="Times New Roman"/>
                <w:sz w:val="20"/>
                <w:szCs w:val="20"/>
              </w:rPr>
              <w:t xml:space="preserve">     (</w:t>
            </w:r>
            <w:r w:rsidRPr="00D438EF">
              <w:rPr>
                <w:rFonts w:eastAsiaTheme="minorEastAsia" w:cs="Times New Roman"/>
                <w:sz w:val="20"/>
                <w:szCs w:val="20"/>
              </w:rPr>
              <w:t>2.00</w:t>
            </w:r>
            <w:r w:rsidRPr="00D438EF">
              <w:rPr>
                <w:rFonts w:cs="Times New Roman"/>
                <w:sz w:val="20"/>
                <w:szCs w:val="20"/>
              </w:rPr>
              <w:t>)</w:t>
            </w:r>
          </w:p>
        </w:tc>
        <w:tc>
          <w:tcPr>
            <w:tcW w:w="1268" w:type="dxa"/>
            <w:tcBorders>
              <w:top w:val="single" w:sz="4" w:space="0" w:color="auto"/>
              <w:left w:val="nil"/>
              <w:bottom w:val="single" w:sz="4" w:space="0" w:color="auto"/>
              <w:right w:val="nil"/>
            </w:tcBorders>
            <w:noWrap/>
            <w:vAlign w:val="center"/>
            <w:hideMark/>
          </w:tcPr>
          <w:p w14:paraId="46BE4F72" w14:textId="77777777" w:rsidR="008576C8" w:rsidRPr="00D438EF" w:rsidRDefault="008576C8" w:rsidP="008576C8">
            <w:pPr>
              <w:spacing w:line="240" w:lineRule="auto"/>
              <w:ind w:firstLineChars="0" w:firstLine="0"/>
              <w:jc w:val="center"/>
              <w:rPr>
                <w:rFonts w:cs="Times New Roman"/>
                <w:sz w:val="20"/>
                <w:szCs w:val="20"/>
              </w:rPr>
            </w:pPr>
            <w:r w:rsidRPr="00D438EF">
              <w:rPr>
                <w:rFonts w:eastAsiaTheme="minorEastAsia" w:cs="Times New Roman"/>
                <w:sz w:val="20"/>
                <w:szCs w:val="20"/>
              </w:rPr>
              <w:t>0.0251</w:t>
            </w:r>
            <w:r w:rsidRPr="00D438EF">
              <w:rPr>
                <w:rFonts w:eastAsiaTheme="minorEastAsia" w:cs="Times New Roman"/>
                <w:sz w:val="20"/>
                <w:szCs w:val="20"/>
                <w:vertAlign w:val="superscript"/>
              </w:rPr>
              <w:t>**</w:t>
            </w:r>
            <w:r w:rsidRPr="00D438EF">
              <w:rPr>
                <w:rFonts w:cs="Times New Roman"/>
                <w:sz w:val="20"/>
                <w:szCs w:val="20"/>
              </w:rPr>
              <w:t xml:space="preserve">    </w:t>
            </w:r>
          </w:p>
          <w:p w14:paraId="0DFAB271"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 (</w:t>
            </w:r>
            <w:r w:rsidRPr="00D438EF">
              <w:rPr>
                <w:rFonts w:eastAsiaTheme="minorEastAsia" w:cs="Times New Roman"/>
                <w:sz w:val="20"/>
                <w:szCs w:val="20"/>
              </w:rPr>
              <w:t>2.37</w:t>
            </w:r>
            <w:r w:rsidRPr="00D438EF">
              <w:rPr>
                <w:rFonts w:cs="Times New Roman"/>
                <w:sz w:val="20"/>
                <w:szCs w:val="20"/>
              </w:rPr>
              <w:t>)</w:t>
            </w:r>
          </w:p>
        </w:tc>
        <w:tc>
          <w:tcPr>
            <w:tcW w:w="1422" w:type="dxa"/>
            <w:tcBorders>
              <w:top w:val="single" w:sz="4" w:space="0" w:color="auto"/>
              <w:left w:val="nil"/>
              <w:bottom w:val="single" w:sz="4" w:space="0" w:color="auto"/>
              <w:right w:val="nil"/>
            </w:tcBorders>
            <w:noWrap/>
            <w:vAlign w:val="center"/>
            <w:hideMark/>
          </w:tcPr>
          <w:p w14:paraId="659C4D59"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0.0</w:t>
            </w:r>
            <w:r w:rsidRPr="00D438EF">
              <w:rPr>
                <w:rFonts w:eastAsiaTheme="minorEastAsia" w:cs="Times New Roman"/>
                <w:sz w:val="20"/>
                <w:szCs w:val="20"/>
              </w:rPr>
              <w:t>089</w:t>
            </w:r>
            <w:r w:rsidRPr="00D438EF">
              <w:rPr>
                <w:rFonts w:cs="Times New Roman"/>
                <w:sz w:val="20"/>
                <w:szCs w:val="20"/>
              </w:rPr>
              <w:t xml:space="preserve">    (1.</w:t>
            </w:r>
            <w:r w:rsidRPr="00D438EF">
              <w:rPr>
                <w:rFonts w:eastAsiaTheme="minorEastAsia" w:cs="Times New Roman"/>
                <w:sz w:val="20"/>
                <w:szCs w:val="20"/>
              </w:rPr>
              <w:t>16</w:t>
            </w:r>
            <w:r w:rsidRPr="00D438EF">
              <w:rPr>
                <w:rFonts w:cs="Times New Roman"/>
                <w:sz w:val="20"/>
                <w:szCs w:val="20"/>
              </w:rPr>
              <w:t>)</w:t>
            </w:r>
          </w:p>
        </w:tc>
        <w:tc>
          <w:tcPr>
            <w:tcW w:w="1479" w:type="dxa"/>
            <w:tcBorders>
              <w:top w:val="single" w:sz="4" w:space="0" w:color="auto"/>
              <w:left w:val="nil"/>
              <w:bottom w:val="single" w:sz="4" w:space="0" w:color="auto"/>
              <w:right w:val="nil"/>
            </w:tcBorders>
            <w:noWrap/>
            <w:vAlign w:val="center"/>
            <w:hideMark/>
          </w:tcPr>
          <w:p w14:paraId="3850474B"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0.0</w:t>
            </w:r>
            <w:r w:rsidRPr="00D438EF">
              <w:rPr>
                <w:rFonts w:eastAsiaTheme="minorEastAsia" w:cs="Times New Roman"/>
                <w:sz w:val="20"/>
                <w:szCs w:val="20"/>
              </w:rPr>
              <w:t>053</w:t>
            </w:r>
            <w:r w:rsidRPr="00D438EF">
              <w:rPr>
                <w:rFonts w:eastAsiaTheme="minorEastAsia" w:cs="Times New Roman"/>
                <w:sz w:val="20"/>
                <w:szCs w:val="20"/>
                <w:vertAlign w:val="superscript"/>
              </w:rPr>
              <w:t>*</w:t>
            </w:r>
            <w:r w:rsidRPr="00D438EF">
              <w:rPr>
                <w:rFonts w:cs="Times New Roman"/>
                <w:sz w:val="20"/>
                <w:szCs w:val="20"/>
                <w:vertAlign w:val="superscript"/>
              </w:rPr>
              <w:t>*</w:t>
            </w:r>
            <w:r w:rsidRPr="00D438EF">
              <w:rPr>
                <w:rFonts w:cs="Times New Roman"/>
                <w:sz w:val="20"/>
                <w:szCs w:val="20"/>
              </w:rPr>
              <w:t xml:space="preserve">    (</w:t>
            </w:r>
            <w:r w:rsidRPr="00D438EF">
              <w:rPr>
                <w:rFonts w:eastAsiaTheme="minorEastAsia" w:cs="Times New Roman"/>
                <w:sz w:val="20"/>
                <w:szCs w:val="20"/>
              </w:rPr>
              <w:t>2.08</w:t>
            </w:r>
            <w:r w:rsidRPr="00D438EF">
              <w:rPr>
                <w:rFonts w:cs="Times New Roman"/>
                <w:sz w:val="20"/>
                <w:szCs w:val="20"/>
              </w:rPr>
              <w:t>)</w:t>
            </w:r>
          </w:p>
        </w:tc>
        <w:tc>
          <w:tcPr>
            <w:tcW w:w="1444" w:type="dxa"/>
            <w:tcBorders>
              <w:top w:val="single" w:sz="4" w:space="0" w:color="auto"/>
              <w:left w:val="nil"/>
              <w:bottom w:val="single" w:sz="4" w:space="0" w:color="auto"/>
              <w:right w:val="nil"/>
            </w:tcBorders>
            <w:noWrap/>
            <w:vAlign w:val="center"/>
            <w:hideMark/>
          </w:tcPr>
          <w:p w14:paraId="7ACBDAAA" w14:textId="77777777" w:rsidR="008576C8" w:rsidRPr="00D438EF" w:rsidRDefault="008576C8" w:rsidP="008576C8">
            <w:pPr>
              <w:spacing w:line="240" w:lineRule="auto"/>
              <w:ind w:firstLineChars="0" w:firstLine="0"/>
              <w:jc w:val="center"/>
              <w:rPr>
                <w:rFonts w:cs="Times New Roman"/>
                <w:sz w:val="20"/>
                <w:szCs w:val="20"/>
              </w:rPr>
            </w:pPr>
            <w:r w:rsidRPr="00D438EF">
              <w:rPr>
                <w:rFonts w:eastAsiaTheme="minorEastAsia" w:cs="Times New Roman"/>
                <w:sz w:val="20"/>
                <w:szCs w:val="20"/>
              </w:rPr>
              <w:t>-</w:t>
            </w:r>
            <w:r w:rsidRPr="00D438EF">
              <w:rPr>
                <w:rFonts w:cs="Times New Roman"/>
                <w:sz w:val="20"/>
                <w:szCs w:val="20"/>
              </w:rPr>
              <w:t>0.00</w:t>
            </w:r>
            <w:r w:rsidRPr="00D438EF">
              <w:rPr>
                <w:rFonts w:eastAsiaTheme="minorEastAsia" w:cs="Times New Roman"/>
                <w:sz w:val="20"/>
                <w:szCs w:val="20"/>
              </w:rPr>
              <w:t>91</w:t>
            </w:r>
            <w:r w:rsidRPr="00D438EF">
              <w:rPr>
                <w:rFonts w:cs="Times New Roman"/>
                <w:sz w:val="20"/>
                <w:szCs w:val="20"/>
              </w:rPr>
              <w:t xml:space="preserve">    </w:t>
            </w:r>
          </w:p>
          <w:p w14:paraId="7990A477"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 (</w:t>
            </w:r>
            <w:r w:rsidRPr="00D438EF">
              <w:rPr>
                <w:rFonts w:eastAsiaTheme="minorEastAsia" w:cs="Times New Roman"/>
                <w:sz w:val="20"/>
                <w:szCs w:val="20"/>
              </w:rPr>
              <w:t>-1.18</w:t>
            </w:r>
            <w:r w:rsidRPr="00D438EF">
              <w:rPr>
                <w:rFonts w:cs="Times New Roman"/>
                <w:sz w:val="20"/>
                <w:szCs w:val="20"/>
              </w:rPr>
              <w:t>)</w:t>
            </w:r>
          </w:p>
        </w:tc>
        <w:tc>
          <w:tcPr>
            <w:tcW w:w="1422" w:type="dxa"/>
            <w:tcBorders>
              <w:top w:val="single" w:sz="4" w:space="0" w:color="auto"/>
              <w:left w:val="nil"/>
              <w:bottom w:val="single" w:sz="4" w:space="0" w:color="auto"/>
            </w:tcBorders>
            <w:noWrap/>
            <w:vAlign w:val="center"/>
            <w:hideMark/>
          </w:tcPr>
          <w:p w14:paraId="3D025B0C"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0.0</w:t>
            </w:r>
            <w:r w:rsidRPr="00D438EF">
              <w:rPr>
                <w:rFonts w:eastAsiaTheme="minorEastAsia" w:cs="Times New Roman"/>
                <w:sz w:val="20"/>
                <w:szCs w:val="20"/>
              </w:rPr>
              <w:t>070</w:t>
            </w:r>
            <w:r w:rsidRPr="00D438EF">
              <w:rPr>
                <w:rFonts w:cs="Times New Roman"/>
                <w:sz w:val="20"/>
                <w:szCs w:val="20"/>
              </w:rPr>
              <w:t xml:space="preserve">    </w:t>
            </w:r>
          </w:p>
          <w:p w14:paraId="1E6BB1E7"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w:t>
            </w:r>
            <w:r w:rsidRPr="00D438EF">
              <w:rPr>
                <w:rFonts w:eastAsiaTheme="minorEastAsia" w:cs="Times New Roman"/>
                <w:sz w:val="20"/>
                <w:szCs w:val="20"/>
              </w:rPr>
              <w:t>0.66</w:t>
            </w:r>
            <w:r w:rsidRPr="00D438EF">
              <w:rPr>
                <w:rFonts w:cs="Times New Roman"/>
                <w:sz w:val="20"/>
                <w:szCs w:val="20"/>
              </w:rPr>
              <w:t>)</w:t>
            </w:r>
          </w:p>
        </w:tc>
      </w:tr>
      <w:tr w:rsidR="008576C8" w:rsidRPr="00D438EF" w14:paraId="3FC2D4AD" w14:textId="77777777" w:rsidTr="008576C8">
        <w:trPr>
          <w:trHeight w:val="300"/>
          <w:jc w:val="center"/>
        </w:trPr>
        <w:tc>
          <w:tcPr>
            <w:tcW w:w="9020" w:type="dxa"/>
            <w:gridSpan w:val="7"/>
            <w:tcBorders>
              <w:top w:val="single" w:sz="4" w:space="0" w:color="auto"/>
              <w:bottom w:val="single" w:sz="4" w:space="0" w:color="auto"/>
            </w:tcBorders>
            <w:noWrap/>
            <w:vAlign w:val="center"/>
            <w:hideMark/>
          </w:tcPr>
          <w:p w14:paraId="791F45B9" w14:textId="77777777" w:rsidR="008576C8" w:rsidRPr="00D438EF" w:rsidRDefault="008576C8" w:rsidP="008576C8">
            <w:pPr>
              <w:spacing w:line="240" w:lineRule="auto"/>
              <w:ind w:firstLineChars="0" w:firstLine="0"/>
              <w:jc w:val="left"/>
              <w:rPr>
                <w:rFonts w:cs="Times New Roman"/>
                <w:b/>
                <w:sz w:val="20"/>
                <w:szCs w:val="20"/>
              </w:rPr>
            </w:pPr>
            <w:r w:rsidRPr="00D438EF">
              <w:rPr>
                <w:rFonts w:cs="Times New Roman"/>
                <w:b/>
                <w:sz w:val="20"/>
                <w:szCs w:val="20"/>
              </w:rPr>
              <w:t>Three-factor Model (Fama-French)</w:t>
            </w:r>
          </w:p>
        </w:tc>
      </w:tr>
      <w:tr w:rsidR="008576C8" w:rsidRPr="00D438EF" w14:paraId="13A00E37" w14:textId="77777777" w:rsidTr="008576C8">
        <w:trPr>
          <w:trHeight w:val="300"/>
          <w:jc w:val="center"/>
        </w:trPr>
        <w:tc>
          <w:tcPr>
            <w:tcW w:w="840" w:type="dxa"/>
            <w:tcBorders>
              <w:top w:val="single" w:sz="4" w:space="0" w:color="auto"/>
              <w:bottom w:val="single" w:sz="4" w:space="0" w:color="auto"/>
              <w:right w:val="nil"/>
            </w:tcBorders>
            <w:noWrap/>
            <w:vAlign w:val="center"/>
            <w:hideMark/>
          </w:tcPr>
          <w:p w14:paraId="3065BE1A"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CAAR</w:t>
            </w:r>
          </w:p>
        </w:tc>
        <w:tc>
          <w:tcPr>
            <w:tcW w:w="1145" w:type="dxa"/>
            <w:tcBorders>
              <w:top w:val="single" w:sz="4" w:space="0" w:color="auto"/>
              <w:left w:val="nil"/>
              <w:bottom w:val="single" w:sz="4" w:space="0" w:color="auto"/>
              <w:right w:val="nil"/>
            </w:tcBorders>
            <w:noWrap/>
            <w:vAlign w:val="center"/>
            <w:hideMark/>
          </w:tcPr>
          <w:p w14:paraId="4A3AA956" w14:textId="77777777" w:rsidR="008576C8" w:rsidRPr="00D438EF" w:rsidRDefault="008576C8" w:rsidP="008576C8">
            <w:pPr>
              <w:spacing w:line="240" w:lineRule="auto"/>
              <w:ind w:firstLineChars="0" w:firstLine="0"/>
              <w:rPr>
                <w:rFonts w:cs="Times New Roman"/>
                <w:sz w:val="20"/>
                <w:szCs w:val="20"/>
                <w:vertAlign w:val="superscript"/>
              </w:rPr>
            </w:pPr>
            <w:r w:rsidRPr="00D438EF">
              <w:rPr>
                <w:rFonts w:cs="Times New Roman"/>
                <w:sz w:val="20"/>
                <w:szCs w:val="20"/>
              </w:rPr>
              <w:t>0.1</w:t>
            </w:r>
            <w:r w:rsidRPr="00D438EF">
              <w:rPr>
                <w:rFonts w:eastAsiaTheme="minorEastAsia" w:cs="Times New Roman"/>
                <w:sz w:val="20"/>
                <w:szCs w:val="20"/>
              </w:rPr>
              <w:t>070</w:t>
            </w:r>
            <w:r w:rsidRPr="00D438EF">
              <w:rPr>
                <w:rFonts w:cs="Times New Roman"/>
                <w:sz w:val="20"/>
                <w:szCs w:val="20"/>
                <w:vertAlign w:val="superscript"/>
              </w:rPr>
              <w:t>*</w:t>
            </w:r>
            <w:r w:rsidRPr="00D438EF">
              <w:rPr>
                <w:rFonts w:eastAsiaTheme="minorEastAsia" w:cs="Times New Roman"/>
                <w:sz w:val="20"/>
                <w:szCs w:val="20"/>
                <w:vertAlign w:val="superscript"/>
              </w:rPr>
              <w:t>**</w:t>
            </w:r>
          </w:p>
          <w:p w14:paraId="477F236E" w14:textId="77777777" w:rsidR="008576C8" w:rsidRPr="00D438EF" w:rsidRDefault="008576C8" w:rsidP="008576C8">
            <w:pPr>
              <w:spacing w:line="240" w:lineRule="auto"/>
              <w:ind w:firstLineChars="0" w:firstLine="0"/>
              <w:rPr>
                <w:rFonts w:cs="Times New Roman"/>
                <w:sz w:val="20"/>
                <w:szCs w:val="20"/>
                <w:vertAlign w:val="superscript"/>
              </w:rPr>
            </w:pPr>
            <w:r w:rsidRPr="00D438EF">
              <w:rPr>
                <w:rFonts w:cs="Times New Roman"/>
                <w:sz w:val="20"/>
                <w:szCs w:val="20"/>
              </w:rPr>
              <w:t>(</w:t>
            </w:r>
            <w:r w:rsidRPr="00D438EF">
              <w:rPr>
                <w:rFonts w:eastAsiaTheme="minorEastAsia" w:cs="Times New Roman"/>
                <w:sz w:val="20"/>
                <w:szCs w:val="20"/>
              </w:rPr>
              <w:t>5.93</w:t>
            </w:r>
            <w:r w:rsidRPr="00D438EF">
              <w:rPr>
                <w:rFonts w:eastAsia="MS Gothic" w:cs="Times New Roman"/>
                <w:sz w:val="20"/>
                <w:szCs w:val="20"/>
              </w:rPr>
              <w:t>)</w:t>
            </w:r>
          </w:p>
        </w:tc>
        <w:tc>
          <w:tcPr>
            <w:tcW w:w="1268" w:type="dxa"/>
            <w:tcBorders>
              <w:top w:val="single" w:sz="4" w:space="0" w:color="auto"/>
              <w:left w:val="nil"/>
              <w:bottom w:val="single" w:sz="4" w:space="0" w:color="auto"/>
              <w:right w:val="nil"/>
            </w:tcBorders>
            <w:noWrap/>
            <w:vAlign w:val="center"/>
            <w:hideMark/>
          </w:tcPr>
          <w:p w14:paraId="737F0EF8"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0.0</w:t>
            </w:r>
            <w:r w:rsidRPr="00D438EF">
              <w:rPr>
                <w:rFonts w:eastAsiaTheme="minorEastAsia" w:cs="Times New Roman"/>
                <w:sz w:val="20"/>
                <w:szCs w:val="20"/>
              </w:rPr>
              <w:t>611</w:t>
            </w:r>
            <w:r w:rsidRPr="00D438EF">
              <w:rPr>
                <w:rFonts w:eastAsiaTheme="minorEastAsia" w:cs="Times New Roman"/>
                <w:sz w:val="20"/>
                <w:szCs w:val="20"/>
                <w:vertAlign w:val="superscript"/>
              </w:rPr>
              <w:t>***</w:t>
            </w:r>
            <w:r w:rsidRPr="00D438EF">
              <w:rPr>
                <w:rFonts w:cs="Times New Roman"/>
                <w:sz w:val="20"/>
                <w:szCs w:val="20"/>
                <w:vertAlign w:val="superscript"/>
              </w:rPr>
              <w:t xml:space="preserve"> </w:t>
            </w:r>
            <w:r w:rsidRPr="00D438EF">
              <w:rPr>
                <w:rFonts w:cs="Times New Roman"/>
                <w:sz w:val="20"/>
                <w:szCs w:val="20"/>
              </w:rPr>
              <w:t xml:space="preserve">   (</w:t>
            </w:r>
            <w:r w:rsidRPr="00D438EF">
              <w:rPr>
                <w:rFonts w:eastAsiaTheme="minorEastAsia" w:cs="Times New Roman"/>
                <w:sz w:val="20"/>
                <w:szCs w:val="20"/>
              </w:rPr>
              <w:t>5.97</w:t>
            </w:r>
            <w:r w:rsidRPr="00D438EF">
              <w:rPr>
                <w:rFonts w:eastAsia="MS Gothic" w:cs="Times New Roman"/>
                <w:sz w:val="20"/>
                <w:szCs w:val="20"/>
              </w:rPr>
              <w:t>）</w:t>
            </w:r>
          </w:p>
        </w:tc>
        <w:tc>
          <w:tcPr>
            <w:tcW w:w="1422" w:type="dxa"/>
            <w:tcBorders>
              <w:top w:val="single" w:sz="4" w:space="0" w:color="auto"/>
              <w:left w:val="nil"/>
              <w:bottom w:val="single" w:sz="4" w:space="0" w:color="auto"/>
              <w:right w:val="nil"/>
            </w:tcBorders>
            <w:noWrap/>
            <w:vAlign w:val="center"/>
            <w:hideMark/>
          </w:tcPr>
          <w:p w14:paraId="6C6E4264" w14:textId="16F74719"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0.0</w:t>
            </w:r>
            <w:r w:rsidRPr="00D438EF">
              <w:rPr>
                <w:rFonts w:eastAsiaTheme="minorEastAsia" w:cs="Times New Roman"/>
                <w:sz w:val="20"/>
                <w:szCs w:val="20"/>
              </w:rPr>
              <w:t>369</w:t>
            </w:r>
            <w:r w:rsidRPr="00D438EF">
              <w:rPr>
                <w:rFonts w:cs="Times New Roman"/>
                <w:sz w:val="20"/>
                <w:szCs w:val="20"/>
                <w:vertAlign w:val="superscript"/>
              </w:rPr>
              <w:t>***</w:t>
            </w:r>
            <w:r w:rsidRPr="00D438EF">
              <w:rPr>
                <w:rFonts w:cs="Times New Roman"/>
                <w:sz w:val="20"/>
                <w:szCs w:val="20"/>
              </w:rPr>
              <w:t xml:space="preserve"> </w:t>
            </w:r>
            <w:r w:rsidR="00D438EF" w:rsidRPr="00D438EF">
              <w:rPr>
                <w:rFonts w:cs="Times New Roman"/>
                <w:sz w:val="20"/>
                <w:szCs w:val="20"/>
              </w:rPr>
              <w:t xml:space="preserve">  (</w:t>
            </w:r>
            <w:r w:rsidRPr="00D438EF">
              <w:rPr>
                <w:rFonts w:eastAsiaTheme="minorEastAsia" w:cs="Times New Roman"/>
                <w:sz w:val="20"/>
                <w:szCs w:val="20"/>
              </w:rPr>
              <w:t>4.96</w:t>
            </w:r>
            <w:r w:rsidRPr="00D438EF">
              <w:rPr>
                <w:rFonts w:eastAsia="MS Gothic" w:cs="Times New Roman"/>
                <w:sz w:val="20"/>
                <w:szCs w:val="20"/>
              </w:rPr>
              <w:t>)</w:t>
            </w:r>
          </w:p>
        </w:tc>
        <w:tc>
          <w:tcPr>
            <w:tcW w:w="1479" w:type="dxa"/>
            <w:tcBorders>
              <w:top w:val="single" w:sz="4" w:space="0" w:color="auto"/>
              <w:left w:val="nil"/>
              <w:bottom w:val="single" w:sz="4" w:space="0" w:color="auto"/>
              <w:right w:val="nil"/>
            </w:tcBorders>
            <w:noWrap/>
            <w:vAlign w:val="center"/>
            <w:hideMark/>
          </w:tcPr>
          <w:p w14:paraId="5CF5F1BC"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w:t>
            </w:r>
            <w:r w:rsidRPr="00D438EF">
              <w:rPr>
                <w:rFonts w:eastAsiaTheme="minorEastAsia" w:cs="Times New Roman"/>
                <w:sz w:val="20"/>
                <w:szCs w:val="20"/>
              </w:rPr>
              <w:t>0091</w:t>
            </w:r>
            <w:r w:rsidRPr="00D438EF">
              <w:rPr>
                <w:rFonts w:cs="Times New Roman"/>
                <w:sz w:val="20"/>
                <w:szCs w:val="20"/>
                <w:vertAlign w:val="superscript"/>
              </w:rPr>
              <w:t>**</w:t>
            </w:r>
            <w:r w:rsidRPr="00D438EF">
              <w:rPr>
                <w:rFonts w:eastAsiaTheme="minorEastAsia" w:cs="Times New Roman"/>
                <w:sz w:val="20"/>
                <w:szCs w:val="20"/>
                <w:vertAlign w:val="superscript"/>
              </w:rPr>
              <w:t>*</w:t>
            </w:r>
            <w:r w:rsidRPr="00D438EF">
              <w:rPr>
                <w:rFonts w:cs="Times New Roman"/>
                <w:sz w:val="20"/>
                <w:szCs w:val="20"/>
              </w:rPr>
              <w:t xml:space="preserve">    </w:t>
            </w:r>
            <w:r w:rsidRPr="00D438EF">
              <w:rPr>
                <w:rFonts w:eastAsia="MS Gothic" w:cs="Times New Roman"/>
                <w:sz w:val="20"/>
                <w:szCs w:val="20"/>
              </w:rPr>
              <w:t>(</w:t>
            </w:r>
            <w:r w:rsidRPr="00D438EF">
              <w:rPr>
                <w:rFonts w:eastAsiaTheme="minorEastAsia" w:cs="Times New Roman"/>
                <w:sz w:val="20"/>
                <w:szCs w:val="20"/>
              </w:rPr>
              <w:t>3.68</w:t>
            </w:r>
            <w:r w:rsidRPr="00D438EF">
              <w:rPr>
                <w:rFonts w:cs="Times New Roman"/>
                <w:sz w:val="20"/>
                <w:szCs w:val="20"/>
              </w:rPr>
              <w:t>)</w:t>
            </w:r>
          </w:p>
        </w:tc>
        <w:tc>
          <w:tcPr>
            <w:tcW w:w="1444" w:type="dxa"/>
            <w:tcBorders>
              <w:top w:val="single" w:sz="4" w:space="0" w:color="auto"/>
              <w:left w:val="nil"/>
              <w:bottom w:val="single" w:sz="4" w:space="0" w:color="auto"/>
              <w:right w:val="nil"/>
            </w:tcBorders>
            <w:noWrap/>
            <w:vAlign w:val="center"/>
            <w:hideMark/>
          </w:tcPr>
          <w:p w14:paraId="6247996E"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0.</w:t>
            </w:r>
            <w:r w:rsidRPr="00D438EF">
              <w:rPr>
                <w:rFonts w:eastAsiaTheme="minorEastAsia" w:cs="Times New Roman"/>
                <w:sz w:val="20"/>
                <w:szCs w:val="20"/>
              </w:rPr>
              <w:t>0005</w:t>
            </w:r>
          </w:p>
          <w:p w14:paraId="6FD5EC85"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   </w:t>
            </w:r>
            <w:r w:rsidRPr="00D438EF">
              <w:rPr>
                <w:rFonts w:eastAsia="MS Gothic" w:cs="Times New Roman"/>
                <w:sz w:val="20"/>
                <w:szCs w:val="20"/>
              </w:rPr>
              <w:t>(</w:t>
            </w:r>
            <w:r w:rsidRPr="00D438EF">
              <w:rPr>
                <w:rFonts w:eastAsiaTheme="minorEastAsia" w:cs="Times New Roman"/>
                <w:sz w:val="20"/>
                <w:szCs w:val="20"/>
              </w:rPr>
              <w:t>0.07</w:t>
            </w:r>
            <w:r w:rsidRPr="00D438EF">
              <w:rPr>
                <w:rFonts w:eastAsia="MS Gothic" w:cs="Times New Roman"/>
                <w:sz w:val="20"/>
                <w:szCs w:val="20"/>
              </w:rPr>
              <w:t>)</w:t>
            </w:r>
          </w:p>
        </w:tc>
        <w:tc>
          <w:tcPr>
            <w:tcW w:w="1422" w:type="dxa"/>
            <w:tcBorders>
              <w:top w:val="single" w:sz="4" w:space="0" w:color="auto"/>
              <w:left w:val="nil"/>
              <w:bottom w:val="single" w:sz="4" w:space="0" w:color="auto"/>
            </w:tcBorders>
            <w:noWrap/>
            <w:vAlign w:val="center"/>
            <w:hideMark/>
          </w:tcPr>
          <w:p w14:paraId="7CDFA92B" w14:textId="77777777" w:rsidR="008576C8" w:rsidRPr="00D438EF" w:rsidRDefault="008576C8" w:rsidP="008576C8">
            <w:pPr>
              <w:spacing w:line="240" w:lineRule="auto"/>
              <w:ind w:firstLineChars="0" w:firstLine="0"/>
              <w:jc w:val="center"/>
              <w:rPr>
                <w:rFonts w:cs="Times New Roman"/>
                <w:sz w:val="20"/>
                <w:szCs w:val="20"/>
              </w:rPr>
            </w:pPr>
            <w:r w:rsidRPr="00D438EF">
              <w:rPr>
                <w:rFonts w:eastAsiaTheme="minorEastAsia" w:cs="Times New Roman"/>
                <w:sz w:val="20"/>
                <w:szCs w:val="20"/>
              </w:rPr>
              <w:t>-</w:t>
            </w:r>
            <w:r w:rsidRPr="00D438EF">
              <w:rPr>
                <w:rFonts w:cs="Times New Roman"/>
                <w:sz w:val="20"/>
                <w:szCs w:val="20"/>
              </w:rPr>
              <w:t>0.0</w:t>
            </w:r>
            <w:r w:rsidRPr="00D438EF">
              <w:rPr>
                <w:rFonts w:eastAsiaTheme="minorEastAsia" w:cs="Times New Roman"/>
                <w:sz w:val="20"/>
                <w:szCs w:val="20"/>
              </w:rPr>
              <w:t>006</w:t>
            </w:r>
            <w:r w:rsidRPr="00D438EF">
              <w:rPr>
                <w:rFonts w:cs="Times New Roman"/>
                <w:sz w:val="20"/>
                <w:szCs w:val="20"/>
              </w:rPr>
              <w:t xml:space="preserve">    </w:t>
            </w:r>
          </w:p>
          <w:p w14:paraId="2B69C465" w14:textId="77777777" w:rsidR="008576C8" w:rsidRPr="00D438EF" w:rsidRDefault="008576C8" w:rsidP="008576C8">
            <w:pPr>
              <w:spacing w:line="240" w:lineRule="auto"/>
              <w:ind w:firstLineChars="0" w:firstLine="0"/>
              <w:jc w:val="center"/>
              <w:rPr>
                <w:rFonts w:cs="Times New Roman"/>
                <w:sz w:val="20"/>
                <w:szCs w:val="20"/>
              </w:rPr>
            </w:pPr>
            <w:r w:rsidRPr="00D438EF">
              <w:rPr>
                <w:rFonts w:cs="Times New Roman"/>
                <w:sz w:val="20"/>
                <w:szCs w:val="20"/>
              </w:rPr>
              <w:t xml:space="preserve"> </w:t>
            </w:r>
            <w:r w:rsidRPr="00D438EF">
              <w:rPr>
                <w:rFonts w:eastAsia="MS Gothic" w:cs="Times New Roman"/>
                <w:sz w:val="20"/>
                <w:szCs w:val="20"/>
              </w:rPr>
              <w:t>(</w:t>
            </w:r>
            <w:r w:rsidRPr="00D438EF">
              <w:rPr>
                <w:rFonts w:eastAsiaTheme="minorEastAsia" w:cs="Times New Roman"/>
                <w:sz w:val="20"/>
                <w:szCs w:val="20"/>
              </w:rPr>
              <w:t>-0.06</w:t>
            </w:r>
            <w:r w:rsidRPr="00D438EF">
              <w:rPr>
                <w:rFonts w:eastAsia="MS Gothic" w:cs="Times New Roman"/>
                <w:sz w:val="20"/>
                <w:szCs w:val="20"/>
              </w:rPr>
              <w:t>)</w:t>
            </w:r>
          </w:p>
        </w:tc>
      </w:tr>
    </w:tbl>
    <w:p w14:paraId="7CDEE7E3" w14:textId="3EECF531" w:rsidR="008576C8" w:rsidRPr="00852DB7" w:rsidRDefault="00D438EF" w:rsidP="008576C8">
      <w:pPr>
        <w:ind w:firstLineChars="0" w:firstLine="0"/>
        <w:rPr>
          <w:rFonts w:cs="Times New Roman"/>
          <w:sz w:val="20"/>
          <w:szCs w:val="20"/>
          <w:lang w:val="en-GB"/>
        </w:rPr>
      </w:pPr>
      <w:r w:rsidRPr="00852DB7">
        <w:rPr>
          <w:rFonts w:cs="Times New Roman"/>
          <w:sz w:val="20"/>
          <w:szCs w:val="20"/>
          <w:lang w:val="en-GB"/>
        </w:rPr>
        <w:t xml:space="preserve">Significance Level: </w:t>
      </w:r>
      <w:r w:rsidR="00852DB7" w:rsidRPr="00852DB7">
        <w:rPr>
          <w:rFonts w:cs="Times New Roman"/>
          <w:sz w:val="20"/>
          <w:szCs w:val="20"/>
          <w:lang w:val="en-GB"/>
        </w:rPr>
        <w:t>*p&lt;0.10, **p&lt;0.05, ***p&lt;0.010</w:t>
      </w:r>
    </w:p>
    <w:p w14:paraId="5DE16880" w14:textId="77777777" w:rsidR="008576C8" w:rsidRDefault="008576C8" w:rsidP="008576C8">
      <w:pPr>
        <w:ind w:firstLineChars="0" w:firstLine="0"/>
        <w:rPr>
          <w:rFonts w:cs="Times New Roman"/>
          <w:szCs w:val="24"/>
          <w:lang w:val="en-GB"/>
        </w:rPr>
      </w:pPr>
    </w:p>
    <w:p w14:paraId="2B72E6BF" w14:textId="77777777" w:rsidR="008576C8" w:rsidRDefault="008576C8" w:rsidP="008576C8">
      <w:pPr>
        <w:ind w:firstLineChars="0" w:firstLine="0"/>
        <w:rPr>
          <w:rFonts w:cs="Times New Roman"/>
          <w:szCs w:val="24"/>
          <w:lang w:val="en-GB"/>
        </w:rPr>
      </w:pPr>
    </w:p>
    <w:p w14:paraId="11AF11C8" w14:textId="77777777" w:rsidR="00852DB7" w:rsidRDefault="00852DB7" w:rsidP="008576C8">
      <w:pPr>
        <w:ind w:firstLineChars="0" w:firstLine="0"/>
        <w:rPr>
          <w:rFonts w:cs="Times New Roman"/>
          <w:szCs w:val="24"/>
          <w:lang w:val="en-GB"/>
        </w:rPr>
      </w:pPr>
    </w:p>
    <w:p w14:paraId="720AE49B" w14:textId="77777777" w:rsidR="008576C8" w:rsidRDefault="008576C8" w:rsidP="008576C8">
      <w:pPr>
        <w:ind w:firstLineChars="0" w:firstLine="0"/>
        <w:rPr>
          <w:rFonts w:cs="Times New Roman"/>
          <w:szCs w:val="24"/>
          <w:lang w:val="en-GB"/>
        </w:rPr>
      </w:pPr>
    </w:p>
    <w:p w14:paraId="26F1097E" w14:textId="77777777" w:rsidR="008576C8" w:rsidRDefault="008576C8" w:rsidP="008576C8">
      <w:pPr>
        <w:ind w:firstLineChars="0" w:firstLine="0"/>
        <w:rPr>
          <w:rFonts w:cs="Times New Roman"/>
          <w:szCs w:val="24"/>
          <w:lang w:val="en-GB"/>
        </w:rPr>
      </w:pPr>
    </w:p>
    <w:p w14:paraId="0805F1EE" w14:textId="77777777" w:rsidR="008576C8" w:rsidRDefault="008576C8" w:rsidP="008576C8">
      <w:pPr>
        <w:ind w:firstLineChars="0" w:firstLine="0"/>
        <w:rPr>
          <w:rFonts w:cs="Times New Roman"/>
          <w:szCs w:val="24"/>
          <w:lang w:val="en-GB"/>
        </w:rPr>
      </w:pPr>
    </w:p>
    <w:p w14:paraId="671EF20E" w14:textId="77777777" w:rsidR="008576C8" w:rsidRDefault="008576C8" w:rsidP="008576C8">
      <w:pPr>
        <w:ind w:firstLineChars="0" w:firstLine="0"/>
        <w:rPr>
          <w:rFonts w:cs="Times New Roman"/>
          <w:szCs w:val="24"/>
          <w:lang w:val="en-GB"/>
        </w:rPr>
      </w:pPr>
    </w:p>
    <w:p w14:paraId="05BF7EEE" w14:textId="77777777" w:rsidR="008576C8" w:rsidRPr="00D438EF" w:rsidRDefault="008576C8" w:rsidP="008576C8">
      <w:pPr>
        <w:pStyle w:val="a"/>
        <w:ind w:firstLineChars="0" w:firstLine="0"/>
        <w:jc w:val="left"/>
        <w:rPr>
          <w:sz w:val="20"/>
          <w:szCs w:val="20"/>
        </w:rPr>
      </w:pPr>
      <w:bookmarkStart w:id="40" w:name="_Toc491801687"/>
      <w:r w:rsidRPr="00D438EF">
        <w:rPr>
          <w:sz w:val="20"/>
          <w:szCs w:val="20"/>
        </w:rPr>
        <w:t>Table 5: Bid Characteristics, Firm Characteristics and Announcement Period Abnormal Returns</w:t>
      </w:r>
      <w:bookmarkEnd w:id="40"/>
    </w:p>
    <w:p w14:paraId="1E75158E" w14:textId="77777777" w:rsidR="008576C8" w:rsidRPr="00D438EF" w:rsidRDefault="008576C8" w:rsidP="008576C8">
      <w:pPr>
        <w:pStyle w:val="a"/>
        <w:ind w:firstLineChars="0" w:firstLine="0"/>
        <w:jc w:val="left"/>
      </w:pPr>
    </w:p>
    <w:p w14:paraId="0CC898B1" w14:textId="0AFBAA43" w:rsidR="008576C8" w:rsidRDefault="00B8251D" w:rsidP="004033AA">
      <w:pPr>
        <w:spacing w:line="240" w:lineRule="auto"/>
        <w:ind w:firstLineChars="0" w:firstLine="0"/>
        <w:rPr>
          <w:rFonts w:eastAsiaTheme="minorEastAsia"/>
        </w:rPr>
      </w:pPr>
      <w:r>
        <w:rPr>
          <w:rFonts w:cs="Times New Roman"/>
          <w:sz w:val="20"/>
          <w:szCs w:val="20"/>
        </w:rPr>
        <w:t>Table 5 includes the</w:t>
      </w:r>
      <w:r w:rsidR="008576C8" w:rsidRPr="00511FFA">
        <w:rPr>
          <w:rFonts w:cs="Times New Roman"/>
          <w:sz w:val="20"/>
          <w:szCs w:val="20"/>
        </w:rPr>
        <w:t xml:space="preserve"> abnormal return generated by the bidding company depends on some bid features and firm features. The</w:t>
      </w:r>
      <w:r w:rsidR="008576C8">
        <w:rPr>
          <w:rFonts w:cs="Times New Roman"/>
          <w:sz w:val="20"/>
          <w:szCs w:val="20"/>
        </w:rPr>
        <w:t xml:space="preserve">refore, </w:t>
      </w:r>
      <w:r w:rsidR="008576C8" w:rsidRPr="00511FFA">
        <w:rPr>
          <w:rFonts w:cs="Times New Roman"/>
          <w:sz w:val="20"/>
          <w:szCs w:val="20"/>
        </w:rPr>
        <w:t xml:space="preserve">sample acquiring companies are divided into two groups based on these variables, and cumulative average abnormal returns are estimated by three-factor </w:t>
      </w:r>
      <w:r w:rsidR="008576C8">
        <w:rPr>
          <w:rFonts w:cs="Times New Roman"/>
          <w:sz w:val="20"/>
          <w:szCs w:val="20"/>
        </w:rPr>
        <w:t>(Fama-French) model</w:t>
      </w:r>
      <w:r w:rsidR="008576C8" w:rsidRPr="00511FFA">
        <w:rPr>
          <w:rFonts w:cs="Times New Roman"/>
          <w:sz w:val="20"/>
          <w:szCs w:val="20"/>
        </w:rPr>
        <w:t xml:space="preserve"> for each group during the whole period. </w:t>
      </w:r>
    </w:p>
    <w:p w14:paraId="0696894F" w14:textId="77777777" w:rsidR="008576C8" w:rsidRPr="00052E20" w:rsidRDefault="008576C8" w:rsidP="008576C8">
      <w:pPr>
        <w:pStyle w:val="a"/>
        <w:ind w:firstLineChars="0" w:firstLine="0"/>
        <w:rPr>
          <w:rFonts w:eastAsiaTheme="minorEastAsia"/>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3384"/>
        <w:gridCol w:w="2596"/>
        <w:gridCol w:w="2596"/>
      </w:tblGrid>
      <w:tr w:rsidR="008576C8" w:rsidRPr="00D438EF" w14:paraId="6E966D06" w14:textId="77777777" w:rsidTr="008576C8">
        <w:trPr>
          <w:trHeight w:val="300"/>
          <w:jc w:val="center"/>
        </w:trPr>
        <w:tc>
          <w:tcPr>
            <w:tcW w:w="3384" w:type="dxa"/>
            <w:tcBorders>
              <w:top w:val="single" w:sz="4" w:space="0" w:color="auto"/>
              <w:bottom w:val="single" w:sz="4" w:space="0" w:color="auto"/>
              <w:right w:val="nil"/>
            </w:tcBorders>
            <w:noWrap/>
            <w:vAlign w:val="center"/>
            <w:hideMark/>
          </w:tcPr>
          <w:p w14:paraId="581E485B" w14:textId="77777777" w:rsidR="008576C8" w:rsidRPr="00D438EF" w:rsidRDefault="008576C8" w:rsidP="008576C8">
            <w:pPr>
              <w:spacing w:line="240" w:lineRule="auto"/>
              <w:ind w:firstLineChars="0" w:firstLine="0"/>
              <w:jc w:val="left"/>
              <w:rPr>
                <w:rFonts w:cs="Times New Roman"/>
                <w:b/>
                <w:sz w:val="20"/>
                <w:szCs w:val="20"/>
              </w:rPr>
            </w:pPr>
            <w:r w:rsidRPr="00D438EF">
              <w:rPr>
                <w:rFonts w:cs="Times New Roman"/>
                <w:b/>
                <w:sz w:val="20"/>
                <w:szCs w:val="20"/>
              </w:rPr>
              <w:t>Variable</w:t>
            </w:r>
          </w:p>
        </w:tc>
        <w:tc>
          <w:tcPr>
            <w:tcW w:w="2596" w:type="dxa"/>
            <w:tcBorders>
              <w:top w:val="single" w:sz="4" w:space="0" w:color="auto"/>
              <w:left w:val="nil"/>
              <w:bottom w:val="single" w:sz="4" w:space="0" w:color="auto"/>
              <w:right w:val="nil"/>
            </w:tcBorders>
            <w:noWrap/>
            <w:hideMark/>
          </w:tcPr>
          <w:p w14:paraId="1CCAAECA" w14:textId="77777777" w:rsidR="008576C8" w:rsidRPr="00D438EF" w:rsidRDefault="008576C8" w:rsidP="008576C8">
            <w:pPr>
              <w:spacing w:line="240" w:lineRule="auto"/>
              <w:ind w:firstLineChars="0" w:firstLine="0"/>
              <w:jc w:val="left"/>
              <w:rPr>
                <w:rFonts w:cs="Times New Roman"/>
                <w:b/>
                <w:sz w:val="20"/>
                <w:szCs w:val="20"/>
              </w:rPr>
            </w:pPr>
            <w:r w:rsidRPr="00D438EF">
              <w:rPr>
                <w:rFonts w:cs="Times New Roman"/>
                <w:b/>
                <w:sz w:val="20"/>
                <w:szCs w:val="20"/>
              </w:rPr>
              <w:t>Bidders’ of Hong Kong Target</w:t>
            </w:r>
          </w:p>
        </w:tc>
        <w:tc>
          <w:tcPr>
            <w:tcW w:w="2596" w:type="dxa"/>
            <w:tcBorders>
              <w:top w:val="single" w:sz="4" w:space="0" w:color="auto"/>
              <w:left w:val="nil"/>
              <w:bottom w:val="single" w:sz="4" w:space="0" w:color="auto"/>
            </w:tcBorders>
            <w:noWrap/>
            <w:hideMark/>
          </w:tcPr>
          <w:p w14:paraId="26A04C28" w14:textId="57879F8A" w:rsidR="008576C8" w:rsidRPr="00D438EF" w:rsidRDefault="008576C8" w:rsidP="004033AA">
            <w:pPr>
              <w:spacing w:line="240" w:lineRule="auto"/>
              <w:ind w:firstLineChars="0" w:firstLine="0"/>
              <w:jc w:val="left"/>
              <w:rPr>
                <w:rFonts w:cs="Times New Roman"/>
                <w:b/>
                <w:sz w:val="20"/>
                <w:szCs w:val="20"/>
              </w:rPr>
            </w:pPr>
            <w:r w:rsidRPr="00D438EF">
              <w:rPr>
                <w:rFonts w:cs="Times New Roman"/>
                <w:b/>
                <w:sz w:val="20"/>
                <w:szCs w:val="20"/>
              </w:rPr>
              <w:t>Bidders of Mainland</w:t>
            </w:r>
            <w:r w:rsidR="004033AA" w:rsidRPr="00D438EF">
              <w:rPr>
                <w:rFonts w:cs="Times New Roman"/>
                <w:b/>
                <w:sz w:val="20"/>
                <w:szCs w:val="20"/>
              </w:rPr>
              <w:t xml:space="preserve"> China</w:t>
            </w:r>
            <w:r w:rsidRPr="00D438EF">
              <w:rPr>
                <w:rFonts w:cs="Times New Roman"/>
                <w:b/>
                <w:sz w:val="20"/>
                <w:szCs w:val="20"/>
              </w:rPr>
              <w:t xml:space="preserve"> Target</w:t>
            </w:r>
          </w:p>
        </w:tc>
      </w:tr>
      <w:tr w:rsidR="008576C8" w:rsidRPr="00D438EF" w14:paraId="34CC852E" w14:textId="77777777" w:rsidTr="008576C8">
        <w:trPr>
          <w:trHeight w:val="300"/>
          <w:jc w:val="center"/>
        </w:trPr>
        <w:tc>
          <w:tcPr>
            <w:tcW w:w="8576" w:type="dxa"/>
            <w:gridSpan w:val="3"/>
            <w:tcBorders>
              <w:top w:val="single" w:sz="4" w:space="0" w:color="auto"/>
              <w:bottom w:val="single" w:sz="4" w:space="0" w:color="auto"/>
            </w:tcBorders>
            <w:noWrap/>
            <w:vAlign w:val="center"/>
            <w:hideMark/>
          </w:tcPr>
          <w:p w14:paraId="1BE17EDC" w14:textId="77777777" w:rsidR="008576C8" w:rsidRPr="00D438EF" w:rsidRDefault="008576C8" w:rsidP="008576C8">
            <w:pPr>
              <w:spacing w:line="240" w:lineRule="auto"/>
              <w:ind w:firstLineChars="0" w:firstLine="0"/>
              <w:jc w:val="left"/>
              <w:rPr>
                <w:rFonts w:cs="Times New Roman"/>
                <w:b/>
                <w:sz w:val="20"/>
                <w:szCs w:val="20"/>
              </w:rPr>
            </w:pPr>
            <w:r w:rsidRPr="00D438EF">
              <w:rPr>
                <w:rFonts w:cs="Times New Roman"/>
                <w:b/>
                <w:sz w:val="20"/>
                <w:szCs w:val="20"/>
              </w:rPr>
              <w:t>Payment Method</w:t>
            </w:r>
          </w:p>
        </w:tc>
      </w:tr>
      <w:tr w:rsidR="008576C8" w:rsidRPr="00D438EF" w14:paraId="427B0663" w14:textId="77777777" w:rsidTr="008576C8">
        <w:trPr>
          <w:trHeight w:val="300"/>
          <w:jc w:val="center"/>
        </w:trPr>
        <w:tc>
          <w:tcPr>
            <w:tcW w:w="3384" w:type="dxa"/>
            <w:tcBorders>
              <w:top w:val="single" w:sz="4" w:space="0" w:color="auto"/>
              <w:bottom w:val="nil"/>
              <w:right w:val="nil"/>
            </w:tcBorders>
            <w:noWrap/>
            <w:vAlign w:val="center"/>
            <w:hideMark/>
          </w:tcPr>
          <w:p w14:paraId="251E0596"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Cash-only (CAAR)</w:t>
            </w:r>
          </w:p>
        </w:tc>
        <w:tc>
          <w:tcPr>
            <w:tcW w:w="2596" w:type="dxa"/>
            <w:tcBorders>
              <w:top w:val="single" w:sz="4" w:space="0" w:color="auto"/>
              <w:left w:val="nil"/>
              <w:bottom w:val="nil"/>
              <w:right w:val="nil"/>
            </w:tcBorders>
            <w:noWrap/>
            <w:vAlign w:val="center"/>
            <w:hideMark/>
          </w:tcPr>
          <w:p w14:paraId="0BC91719"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0.0764</w:t>
            </w:r>
            <w:r w:rsidRPr="00D438EF">
              <w:rPr>
                <w:rFonts w:cs="Times New Roman"/>
                <w:sz w:val="20"/>
                <w:szCs w:val="20"/>
                <w:vertAlign w:val="superscript"/>
              </w:rPr>
              <w:t>***</w:t>
            </w:r>
            <w:r w:rsidRPr="00D438EF">
              <w:rPr>
                <w:rFonts w:cs="Times New Roman"/>
                <w:sz w:val="20"/>
                <w:szCs w:val="20"/>
              </w:rPr>
              <w:t>(3.72)</w:t>
            </w:r>
          </w:p>
        </w:tc>
        <w:tc>
          <w:tcPr>
            <w:tcW w:w="2596" w:type="dxa"/>
            <w:tcBorders>
              <w:top w:val="single" w:sz="4" w:space="0" w:color="auto"/>
              <w:left w:val="nil"/>
              <w:bottom w:val="nil"/>
            </w:tcBorders>
            <w:noWrap/>
            <w:vAlign w:val="center"/>
            <w:hideMark/>
          </w:tcPr>
          <w:p w14:paraId="3C87D820"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0.0559</w:t>
            </w:r>
            <w:r w:rsidRPr="00D438EF">
              <w:rPr>
                <w:rFonts w:cs="Times New Roman"/>
                <w:sz w:val="20"/>
                <w:szCs w:val="20"/>
                <w:vertAlign w:val="superscript"/>
              </w:rPr>
              <w:t>***</w:t>
            </w:r>
            <w:r w:rsidRPr="00D438EF">
              <w:rPr>
                <w:rFonts w:cs="Times New Roman"/>
                <w:sz w:val="20"/>
                <w:szCs w:val="20"/>
              </w:rPr>
              <w:t>(2.72)</w:t>
            </w:r>
          </w:p>
        </w:tc>
      </w:tr>
      <w:tr w:rsidR="008576C8" w:rsidRPr="00D438EF" w14:paraId="088F2034" w14:textId="77777777" w:rsidTr="008576C8">
        <w:trPr>
          <w:trHeight w:val="300"/>
          <w:jc w:val="center"/>
        </w:trPr>
        <w:tc>
          <w:tcPr>
            <w:tcW w:w="3384" w:type="dxa"/>
            <w:tcBorders>
              <w:top w:val="nil"/>
              <w:bottom w:val="single" w:sz="4" w:space="0" w:color="auto"/>
              <w:right w:val="nil"/>
            </w:tcBorders>
            <w:noWrap/>
            <w:vAlign w:val="center"/>
            <w:hideMark/>
          </w:tcPr>
          <w:p w14:paraId="04B0D7BD"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Stock-only (CAAR)</w:t>
            </w:r>
          </w:p>
        </w:tc>
        <w:tc>
          <w:tcPr>
            <w:tcW w:w="2596" w:type="dxa"/>
            <w:tcBorders>
              <w:top w:val="nil"/>
              <w:left w:val="nil"/>
              <w:bottom w:val="single" w:sz="4" w:space="0" w:color="auto"/>
              <w:right w:val="nil"/>
            </w:tcBorders>
            <w:noWrap/>
            <w:vAlign w:val="center"/>
            <w:hideMark/>
          </w:tcPr>
          <w:p w14:paraId="0F5123FD"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0.0289 (0.44)</w:t>
            </w:r>
          </w:p>
        </w:tc>
        <w:tc>
          <w:tcPr>
            <w:tcW w:w="2596" w:type="dxa"/>
            <w:tcBorders>
              <w:top w:val="nil"/>
              <w:left w:val="nil"/>
              <w:bottom w:val="single" w:sz="4" w:space="0" w:color="auto"/>
            </w:tcBorders>
            <w:noWrap/>
            <w:vAlign w:val="center"/>
            <w:hideMark/>
          </w:tcPr>
          <w:p w14:paraId="36DE4879" w14:textId="77777777" w:rsidR="008576C8" w:rsidRPr="00D438EF" w:rsidRDefault="008576C8" w:rsidP="008576C8">
            <w:pPr>
              <w:widowControl/>
              <w:spacing w:line="240" w:lineRule="auto"/>
              <w:ind w:firstLineChars="0" w:firstLine="0"/>
              <w:jc w:val="left"/>
              <w:rPr>
                <w:rFonts w:eastAsia="DengXian" w:cs="Times New Roman"/>
                <w:color w:val="000000"/>
                <w:kern w:val="0"/>
                <w:sz w:val="20"/>
                <w:szCs w:val="20"/>
              </w:rPr>
            </w:pPr>
            <w:r w:rsidRPr="00D438EF">
              <w:rPr>
                <w:rFonts w:eastAsia="DengXian" w:cs="Times New Roman"/>
                <w:color w:val="000000"/>
                <w:sz w:val="20"/>
                <w:szCs w:val="20"/>
              </w:rPr>
              <w:t>0.5123</w:t>
            </w:r>
            <w:r w:rsidRPr="00D438EF">
              <w:rPr>
                <w:rFonts w:eastAsia="DengXian" w:cs="Times New Roman"/>
                <w:color w:val="000000"/>
                <w:sz w:val="20"/>
                <w:szCs w:val="20"/>
                <w:vertAlign w:val="superscript"/>
              </w:rPr>
              <w:t>***</w:t>
            </w:r>
            <w:r w:rsidRPr="00D438EF">
              <w:rPr>
                <w:rFonts w:eastAsia="DengXian" w:cs="Times New Roman"/>
                <w:color w:val="000000"/>
                <w:sz w:val="20"/>
                <w:szCs w:val="20"/>
              </w:rPr>
              <w:t xml:space="preserve"> (5.93)</w:t>
            </w:r>
          </w:p>
        </w:tc>
      </w:tr>
      <w:tr w:rsidR="008576C8" w:rsidRPr="00D438EF" w14:paraId="3FA5694B" w14:textId="77777777" w:rsidTr="008576C8">
        <w:trPr>
          <w:trHeight w:val="300"/>
          <w:jc w:val="center"/>
        </w:trPr>
        <w:tc>
          <w:tcPr>
            <w:tcW w:w="8576" w:type="dxa"/>
            <w:gridSpan w:val="3"/>
            <w:tcBorders>
              <w:top w:val="single" w:sz="4" w:space="0" w:color="auto"/>
              <w:bottom w:val="single" w:sz="4" w:space="0" w:color="auto"/>
            </w:tcBorders>
            <w:noWrap/>
            <w:vAlign w:val="center"/>
            <w:hideMark/>
          </w:tcPr>
          <w:p w14:paraId="75D320FC" w14:textId="77777777" w:rsidR="008576C8" w:rsidRPr="00D438EF" w:rsidRDefault="008576C8" w:rsidP="008576C8">
            <w:pPr>
              <w:spacing w:line="240" w:lineRule="auto"/>
              <w:ind w:firstLineChars="0" w:firstLine="0"/>
              <w:jc w:val="left"/>
              <w:rPr>
                <w:rFonts w:cs="Times New Roman"/>
                <w:b/>
                <w:sz w:val="20"/>
                <w:szCs w:val="20"/>
              </w:rPr>
            </w:pPr>
            <w:r w:rsidRPr="00D438EF">
              <w:rPr>
                <w:rFonts w:cs="Times New Roman"/>
                <w:b/>
                <w:sz w:val="20"/>
                <w:szCs w:val="20"/>
              </w:rPr>
              <w:t>Relative Size</w:t>
            </w:r>
          </w:p>
        </w:tc>
      </w:tr>
      <w:tr w:rsidR="008576C8" w:rsidRPr="00D438EF" w14:paraId="67479007" w14:textId="77777777" w:rsidTr="008576C8">
        <w:trPr>
          <w:trHeight w:val="300"/>
          <w:jc w:val="center"/>
        </w:trPr>
        <w:tc>
          <w:tcPr>
            <w:tcW w:w="3384" w:type="dxa"/>
            <w:tcBorders>
              <w:top w:val="single" w:sz="4" w:space="0" w:color="auto"/>
              <w:bottom w:val="nil"/>
              <w:right w:val="nil"/>
            </w:tcBorders>
            <w:noWrap/>
            <w:vAlign w:val="center"/>
            <w:hideMark/>
          </w:tcPr>
          <w:p w14:paraId="47C544ED"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High 30% (CAAR)</w:t>
            </w:r>
          </w:p>
        </w:tc>
        <w:tc>
          <w:tcPr>
            <w:tcW w:w="2596" w:type="dxa"/>
            <w:tcBorders>
              <w:top w:val="single" w:sz="4" w:space="0" w:color="auto"/>
              <w:left w:val="nil"/>
              <w:bottom w:val="nil"/>
              <w:right w:val="nil"/>
            </w:tcBorders>
            <w:noWrap/>
            <w:vAlign w:val="center"/>
            <w:hideMark/>
          </w:tcPr>
          <w:p w14:paraId="75F21A67"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0.1964</w:t>
            </w:r>
            <w:r w:rsidRPr="00D438EF">
              <w:rPr>
                <w:rFonts w:cs="Times New Roman"/>
                <w:sz w:val="20"/>
                <w:szCs w:val="20"/>
                <w:vertAlign w:val="superscript"/>
              </w:rPr>
              <w:t>***</w:t>
            </w:r>
            <w:r w:rsidRPr="00D438EF">
              <w:rPr>
                <w:rFonts w:cs="Times New Roman"/>
                <w:sz w:val="20"/>
                <w:szCs w:val="20"/>
              </w:rPr>
              <w:t xml:space="preserve"> (6.06)</w:t>
            </w:r>
          </w:p>
        </w:tc>
        <w:tc>
          <w:tcPr>
            <w:tcW w:w="2596" w:type="dxa"/>
            <w:tcBorders>
              <w:top w:val="single" w:sz="4" w:space="0" w:color="auto"/>
              <w:left w:val="nil"/>
              <w:bottom w:val="nil"/>
            </w:tcBorders>
            <w:noWrap/>
            <w:vAlign w:val="center"/>
            <w:hideMark/>
          </w:tcPr>
          <w:p w14:paraId="63EBC73E"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0.6420***(20.16)</w:t>
            </w:r>
          </w:p>
        </w:tc>
      </w:tr>
      <w:tr w:rsidR="008576C8" w:rsidRPr="00D438EF" w14:paraId="4B837181" w14:textId="77777777" w:rsidTr="008576C8">
        <w:trPr>
          <w:trHeight w:val="300"/>
          <w:jc w:val="center"/>
        </w:trPr>
        <w:tc>
          <w:tcPr>
            <w:tcW w:w="3384" w:type="dxa"/>
            <w:tcBorders>
              <w:top w:val="nil"/>
              <w:bottom w:val="single" w:sz="4" w:space="0" w:color="auto"/>
              <w:right w:val="nil"/>
            </w:tcBorders>
            <w:noWrap/>
            <w:vAlign w:val="center"/>
            <w:hideMark/>
          </w:tcPr>
          <w:p w14:paraId="3F6D5C12"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Low 30% (CAAR)</w:t>
            </w:r>
          </w:p>
        </w:tc>
        <w:tc>
          <w:tcPr>
            <w:tcW w:w="2596" w:type="dxa"/>
            <w:tcBorders>
              <w:top w:val="nil"/>
              <w:left w:val="nil"/>
              <w:bottom w:val="single" w:sz="4" w:space="0" w:color="auto"/>
              <w:right w:val="nil"/>
            </w:tcBorders>
            <w:noWrap/>
            <w:vAlign w:val="center"/>
            <w:hideMark/>
          </w:tcPr>
          <w:p w14:paraId="6171FE39"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-0.1010</w:t>
            </w:r>
            <w:r w:rsidRPr="00D438EF">
              <w:rPr>
                <w:rFonts w:cs="Times New Roman"/>
                <w:sz w:val="20"/>
                <w:szCs w:val="20"/>
                <w:vertAlign w:val="superscript"/>
              </w:rPr>
              <w:t>***</w:t>
            </w:r>
            <w:r w:rsidRPr="00D438EF">
              <w:rPr>
                <w:rFonts w:cs="Times New Roman"/>
                <w:sz w:val="20"/>
                <w:szCs w:val="20"/>
              </w:rPr>
              <w:t>(-3.01)</w:t>
            </w:r>
          </w:p>
        </w:tc>
        <w:tc>
          <w:tcPr>
            <w:tcW w:w="2596" w:type="dxa"/>
            <w:tcBorders>
              <w:top w:val="nil"/>
              <w:left w:val="nil"/>
              <w:bottom w:val="single" w:sz="4" w:space="0" w:color="auto"/>
            </w:tcBorders>
            <w:noWrap/>
            <w:vAlign w:val="center"/>
            <w:hideMark/>
          </w:tcPr>
          <w:p w14:paraId="6D32A8D2"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-0.0834</w:t>
            </w:r>
            <w:r w:rsidRPr="00D438EF">
              <w:rPr>
                <w:rFonts w:cs="Times New Roman"/>
                <w:sz w:val="20"/>
                <w:szCs w:val="20"/>
                <w:vertAlign w:val="superscript"/>
              </w:rPr>
              <w:t>**</w:t>
            </w:r>
            <w:r w:rsidRPr="00D438EF">
              <w:rPr>
                <w:rFonts w:cs="Times New Roman"/>
                <w:sz w:val="20"/>
                <w:szCs w:val="20"/>
              </w:rPr>
              <w:t>(-2.33)</w:t>
            </w:r>
          </w:p>
        </w:tc>
      </w:tr>
      <w:tr w:rsidR="008576C8" w:rsidRPr="00D438EF" w14:paraId="62F39B8A" w14:textId="77777777" w:rsidTr="008576C8">
        <w:trPr>
          <w:trHeight w:val="300"/>
          <w:jc w:val="center"/>
        </w:trPr>
        <w:tc>
          <w:tcPr>
            <w:tcW w:w="8576" w:type="dxa"/>
            <w:gridSpan w:val="3"/>
            <w:tcBorders>
              <w:top w:val="single" w:sz="4" w:space="0" w:color="auto"/>
              <w:bottom w:val="single" w:sz="4" w:space="0" w:color="auto"/>
            </w:tcBorders>
            <w:noWrap/>
            <w:vAlign w:val="center"/>
          </w:tcPr>
          <w:p w14:paraId="0CA64D64" w14:textId="77777777" w:rsidR="008576C8" w:rsidRPr="00D438EF" w:rsidRDefault="008576C8" w:rsidP="008576C8">
            <w:pPr>
              <w:spacing w:line="240" w:lineRule="auto"/>
              <w:ind w:firstLineChars="0" w:firstLine="0"/>
              <w:jc w:val="left"/>
              <w:rPr>
                <w:rFonts w:cs="Times New Roman"/>
                <w:b/>
                <w:sz w:val="20"/>
                <w:szCs w:val="20"/>
              </w:rPr>
            </w:pPr>
            <w:r w:rsidRPr="00D438EF">
              <w:rPr>
                <w:rFonts w:eastAsiaTheme="minorEastAsia" w:cs="Times New Roman"/>
                <w:b/>
                <w:sz w:val="20"/>
                <w:szCs w:val="20"/>
              </w:rPr>
              <w:t>Bidder</w:t>
            </w:r>
            <w:r w:rsidRPr="00D438EF">
              <w:rPr>
                <w:rFonts w:cs="Times New Roman"/>
                <w:b/>
                <w:sz w:val="20"/>
                <w:szCs w:val="20"/>
              </w:rPr>
              <w:t xml:space="preserve"> status</w:t>
            </w:r>
          </w:p>
        </w:tc>
      </w:tr>
      <w:tr w:rsidR="008576C8" w:rsidRPr="00D438EF" w14:paraId="2DB71891" w14:textId="77777777" w:rsidTr="008576C8">
        <w:trPr>
          <w:trHeight w:val="300"/>
          <w:jc w:val="center"/>
        </w:trPr>
        <w:tc>
          <w:tcPr>
            <w:tcW w:w="3384" w:type="dxa"/>
            <w:tcBorders>
              <w:top w:val="single" w:sz="4" w:space="0" w:color="auto"/>
              <w:bottom w:val="nil"/>
              <w:right w:val="nil"/>
            </w:tcBorders>
            <w:noWrap/>
            <w:vAlign w:val="center"/>
          </w:tcPr>
          <w:p w14:paraId="36A2EF66" w14:textId="77777777" w:rsidR="008576C8" w:rsidRPr="00D438EF" w:rsidRDefault="008576C8" w:rsidP="008576C8">
            <w:pPr>
              <w:spacing w:line="240" w:lineRule="auto"/>
              <w:ind w:firstLineChars="0" w:firstLine="0"/>
              <w:jc w:val="left"/>
              <w:rPr>
                <w:rFonts w:eastAsiaTheme="minorEastAsia" w:cs="Times New Roman"/>
                <w:sz w:val="20"/>
                <w:szCs w:val="20"/>
              </w:rPr>
            </w:pPr>
            <w:r w:rsidRPr="00D438EF">
              <w:rPr>
                <w:rFonts w:eastAsiaTheme="minorEastAsia" w:cs="Times New Roman"/>
                <w:sz w:val="20"/>
                <w:szCs w:val="20"/>
              </w:rPr>
              <w:t>Single Bidder</w:t>
            </w:r>
          </w:p>
        </w:tc>
        <w:tc>
          <w:tcPr>
            <w:tcW w:w="2596" w:type="dxa"/>
            <w:tcBorders>
              <w:top w:val="single" w:sz="4" w:space="0" w:color="auto"/>
              <w:left w:val="nil"/>
              <w:bottom w:val="nil"/>
              <w:right w:val="nil"/>
            </w:tcBorders>
            <w:vAlign w:val="center"/>
          </w:tcPr>
          <w:p w14:paraId="23C6F5F8" w14:textId="77777777" w:rsidR="008576C8" w:rsidRPr="00D438EF" w:rsidRDefault="008576C8" w:rsidP="008576C8">
            <w:pPr>
              <w:spacing w:line="240" w:lineRule="auto"/>
              <w:ind w:firstLineChars="0" w:firstLine="0"/>
              <w:jc w:val="left"/>
              <w:rPr>
                <w:rFonts w:eastAsiaTheme="minorEastAsia" w:cs="Times New Roman"/>
                <w:sz w:val="20"/>
                <w:szCs w:val="20"/>
              </w:rPr>
            </w:pPr>
            <w:r w:rsidRPr="00D438EF">
              <w:rPr>
                <w:rFonts w:eastAsiaTheme="minorEastAsia" w:cs="Times New Roman"/>
                <w:sz w:val="20"/>
                <w:szCs w:val="20"/>
              </w:rPr>
              <w:t>0.0853</w:t>
            </w:r>
            <w:r w:rsidRPr="00D438EF">
              <w:rPr>
                <w:rFonts w:eastAsiaTheme="minorEastAsia" w:cs="Times New Roman"/>
                <w:sz w:val="20"/>
                <w:szCs w:val="20"/>
                <w:vertAlign w:val="superscript"/>
              </w:rPr>
              <w:t>***</w:t>
            </w:r>
            <w:r w:rsidRPr="00D438EF">
              <w:rPr>
                <w:rFonts w:eastAsiaTheme="minorEastAsia" w:cs="Times New Roman"/>
                <w:sz w:val="20"/>
                <w:szCs w:val="20"/>
              </w:rPr>
              <w:t>(3.79)</w:t>
            </w:r>
          </w:p>
        </w:tc>
        <w:tc>
          <w:tcPr>
            <w:tcW w:w="2596" w:type="dxa"/>
            <w:tcBorders>
              <w:top w:val="single" w:sz="4" w:space="0" w:color="auto"/>
              <w:left w:val="nil"/>
              <w:bottom w:val="nil"/>
            </w:tcBorders>
            <w:vAlign w:val="center"/>
          </w:tcPr>
          <w:p w14:paraId="22D703BC" w14:textId="77777777" w:rsidR="008576C8" w:rsidRPr="00D438EF" w:rsidRDefault="008576C8" w:rsidP="008576C8">
            <w:pPr>
              <w:spacing w:line="240" w:lineRule="auto"/>
              <w:ind w:firstLineChars="0" w:firstLine="0"/>
              <w:jc w:val="left"/>
              <w:rPr>
                <w:rFonts w:eastAsiaTheme="minorEastAsia" w:cs="Times New Roman"/>
                <w:sz w:val="20"/>
                <w:szCs w:val="20"/>
              </w:rPr>
            </w:pPr>
            <w:r w:rsidRPr="00D438EF">
              <w:rPr>
                <w:rFonts w:eastAsiaTheme="minorEastAsia" w:cs="Times New Roman"/>
                <w:sz w:val="20"/>
                <w:szCs w:val="20"/>
              </w:rPr>
              <w:t>0.0285(1.16)</w:t>
            </w:r>
          </w:p>
        </w:tc>
      </w:tr>
      <w:tr w:rsidR="008576C8" w:rsidRPr="00D438EF" w14:paraId="0918DBC4" w14:textId="77777777" w:rsidTr="008576C8">
        <w:trPr>
          <w:trHeight w:val="300"/>
          <w:jc w:val="center"/>
        </w:trPr>
        <w:tc>
          <w:tcPr>
            <w:tcW w:w="3384" w:type="dxa"/>
            <w:tcBorders>
              <w:top w:val="nil"/>
              <w:bottom w:val="single" w:sz="4" w:space="0" w:color="auto"/>
              <w:right w:val="nil"/>
            </w:tcBorders>
            <w:noWrap/>
            <w:vAlign w:val="center"/>
          </w:tcPr>
          <w:p w14:paraId="64364146" w14:textId="77777777" w:rsidR="008576C8" w:rsidRPr="00D438EF" w:rsidRDefault="008576C8" w:rsidP="008576C8">
            <w:pPr>
              <w:spacing w:line="240" w:lineRule="auto"/>
              <w:ind w:firstLineChars="0" w:firstLine="0"/>
              <w:jc w:val="left"/>
              <w:rPr>
                <w:rFonts w:eastAsiaTheme="minorEastAsia" w:cs="Times New Roman"/>
                <w:sz w:val="20"/>
                <w:szCs w:val="20"/>
              </w:rPr>
            </w:pPr>
            <w:r w:rsidRPr="00D438EF">
              <w:rPr>
                <w:rFonts w:eastAsiaTheme="minorEastAsia" w:cs="Times New Roman"/>
                <w:sz w:val="20"/>
                <w:szCs w:val="20"/>
              </w:rPr>
              <w:t>Multiple Bidder</w:t>
            </w:r>
          </w:p>
        </w:tc>
        <w:tc>
          <w:tcPr>
            <w:tcW w:w="2596" w:type="dxa"/>
            <w:tcBorders>
              <w:top w:val="nil"/>
              <w:left w:val="nil"/>
              <w:bottom w:val="single" w:sz="4" w:space="0" w:color="auto"/>
              <w:right w:val="nil"/>
            </w:tcBorders>
            <w:vAlign w:val="center"/>
          </w:tcPr>
          <w:p w14:paraId="10730907" w14:textId="77777777" w:rsidR="008576C8" w:rsidRPr="00D438EF" w:rsidRDefault="008576C8" w:rsidP="008576C8">
            <w:pPr>
              <w:spacing w:line="240" w:lineRule="auto"/>
              <w:ind w:firstLineChars="0" w:firstLine="0"/>
              <w:jc w:val="left"/>
              <w:rPr>
                <w:rFonts w:eastAsiaTheme="minorEastAsia" w:cs="Times New Roman"/>
                <w:sz w:val="20"/>
                <w:szCs w:val="20"/>
              </w:rPr>
            </w:pPr>
            <w:r w:rsidRPr="00D438EF">
              <w:rPr>
                <w:rFonts w:eastAsiaTheme="minorEastAsia" w:cs="Times New Roman"/>
                <w:sz w:val="20"/>
                <w:szCs w:val="20"/>
              </w:rPr>
              <w:t>-0.0084(-0.28)</w:t>
            </w:r>
          </w:p>
        </w:tc>
        <w:tc>
          <w:tcPr>
            <w:tcW w:w="2596" w:type="dxa"/>
            <w:tcBorders>
              <w:top w:val="nil"/>
              <w:left w:val="nil"/>
              <w:bottom w:val="single" w:sz="4" w:space="0" w:color="auto"/>
            </w:tcBorders>
            <w:vAlign w:val="center"/>
          </w:tcPr>
          <w:p w14:paraId="282E08EB" w14:textId="77777777" w:rsidR="008576C8" w:rsidRPr="00D438EF" w:rsidRDefault="008576C8" w:rsidP="008576C8">
            <w:pPr>
              <w:spacing w:line="240" w:lineRule="auto"/>
              <w:ind w:firstLineChars="0" w:firstLine="0"/>
              <w:jc w:val="left"/>
              <w:rPr>
                <w:rFonts w:eastAsiaTheme="minorEastAsia" w:cs="Times New Roman"/>
                <w:sz w:val="20"/>
                <w:szCs w:val="20"/>
              </w:rPr>
            </w:pPr>
            <w:r w:rsidRPr="00D438EF">
              <w:rPr>
                <w:rFonts w:eastAsiaTheme="minorEastAsia" w:cs="Times New Roman"/>
                <w:sz w:val="20"/>
                <w:szCs w:val="20"/>
              </w:rPr>
              <w:t>0.2055</w:t>
            </w:r>
            <w:r w:rsidRPr="00D438EF">
              <w:rPr>
                <w:rFonts w:eastAsiaTheme="minorEastAsia" w:cs="Times New Roman"/>
                <w:sz w:val="20"/>
                <w:szCs w:val="20"/>
                <w:vertAlign w:val="superscript"/>
              </w:rPr>
              <w:t>***</w:t>
            </w:r>
            <w:r w:rsidRPr="00D438EF">
              <w:rPr>
                <w:rFonts w:eastAsiaTheme="minorEastAsia" w:cs="Times New Roman"/>
                <w:sz w:val="20"/>
                <w:szCs w:val="20"/>
              </w:rPr>
              <w:t>(7.72)</w:t>
            </w:r>
          </w:p>
        </w:tc>
      </w:tr>
      <w:tr w:rsidR="008576C8" w:rsidRPr="00D438EF" w14:paraId="1D9E873E" w14:textId="77777777" w:rsidTr="008576C8">
        <w:trPr>
          <w:trHeight w:val="300"/>
          <w:jc w:val="center"/>
        </w:trPr>
        <w:tc>
          <w:tcPr>
            <w:tcW w:w="8576" w:type="dxa"/>
            <w:gridSpan w:val="3"/>
            <w:tcBorders>
              <w:top w:val="single" w:sz="4" w:space="0" w:color="auto"/>
              <w:bottom w:val="single" w:sz="4" w:space="0" w:color="auto"/>
            </w:tcBorders>
            <w:noWrap/>
            <w:vAlign w:val="center"/>
            <w:hideMark/>
          </w:tcPr>
          <w:p w14:paraId="19B3B11E" w14:textId="77777777" w:rsidR="008576C8" w:rsidRPr="00D438EF" w:rsidRDefault="008576C8" w:rsidP="008576C8">
            <w:pPr>
              <w:spacing w:line="240" w:lineRule="auto"/>
              <w:ind w:firstLineChars="0" w:firstLine="0"/>
              <w:jc w:val="left"/>
              <w:rPr>
                <w:rFonts w:cs="Times New Roman"/>
                <w:b/>
                <w:sz w:val="20"/>
                <w:szCs w:val="20"/>
              </w:rPr>
            </w:pPr>
            <w:r w:rsidRPr="00D438EF">
              <w:rPr>
                <w:rFonts w:cs="Times New Roman"/>
                <w:b/>
                <w:sz w:val="20"/>
                <w:szCs w:val="20"/>
              </w:rPr>
              <w:t>Industry Analysis</w:t>
            </w:r>
          </w:p>
        </w:tc>
      </w:tr>
      <w:tr w:rsidR="008576C8" w:rsidRPr="00D438EF" w14:paraId="67F241D1" w14:textId="77777777" w:rsidTr="008576C8">
        <w:trPr>
          <w:trHeight w:val="300"/>
          <w:jc w:val="center"/>
        </w:trPr>
        <w:tc>
          <w:tcPr>
            <w:tcW w:w="3384" w:type="dxa"/>
            <w:tcBorders>
              <w:top w:val="single" w:sz="4" w:space="0" w:color="auto"/>
              <w:bottom w:val="nil"/>
              <w:right w:val="nil"/>
            </w:tcBorders>
            <w:noWrap/>
            <w:vAlign w:val="center"/>
            <w:hideMark/>
          </w:tcPr>
          <w:p w14:paraId="65B729F7"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Related acquisition (CAAR)</w:t>
            </w:r>
          </w:p>
        </w:tc>
        <w:tc>
          <w:tcPr>
            <w:tcW w:w="2596" w:type="dxa"/>
            <w:tcBorders>
              <w:top w:val="single" w:sz="4" w:space="0" w:color="auto"/>
              <w:left w:val="nil"/>
              <w:bottom w:val="nil"/>
              <w:right w:val="nil"/>
            </w:tcBorders>
            <w:noWrap/>
            <w:vAlign w:val="center"/>
            <w:hideMark/>
          </w:tcPr>
          <w:p w14:paraId="3ED1DDC5"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0.0605</w:t>
            </w:r>
            <w:r w:rsidRPr="00D438EF">
              <w:rPr>
                <w:rFonts w:cs="Times New Roman"/>
                <w:sz w:val="20"/>
                <w:szCs w:val="20"/>
                <w:vertAlign w:val="superscript"/>
              </w:rPr>
              <w:t>**</w:t>
            </w:r>
            <w:r w:rsidRPr="00D438EF">
              <w:rPr>
                <w:rFonts w:cs="Times New Roman"/>
                <w:sz w:val="20"/>
                <w:szCs w:val="20"/>
              </w:rPr>
              <w:t>(2.12)</w:t>
            </w:r>
          </w:p>
        </w:tc>
        <w:tc>
          <w:tcPr>
            <w:tcW w:w="2596" w:type="dxa"/>
            <w:tcBorders>
              <w:top w:val="single" w:sz="4" w:space="0" w:color="auto"/>
              <w:left w:val="nil"/>
              <w:bottom w:val="nil"/>
            </w:tcBorders>
            <w:noWrap/>
            <w:vAlign w:val="center"/>
            <w:hideMark/>
          </w:tcPr>
          <w:p w14:paraId="14359DC5"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0.2029</w:t>
            </w:r>
            <w:r w:rsidRPr="00D438EF">
              <w:rPr>
                <w:rFonts w:cs="Times New Roman"/>
                <w:sz w:val="20"/>
                <w:szCs w:val="20"/>
                <w:vertAlign w:val="superscript"/>
              </w:rPr>
              <w:t>***</w:t>
            </w:r>
            <w:r w:rsidRPr="00D438EF">
              <w:rPr>
                <w:rFonts w:cs="Times New Roman"/>
                <w:sz w:val="20"/>
                <w:szCs w:val="20"/>
              </w:rPr>
              <w:t>(7.43)</w:t>
            </w:r>
          </w:p>
        </w:tc>
      </w:tr>
      <w:tr w:rsidR="008576C8" w:rsidRPr="00D438EF" w14:paraId="30AC2093" w14:textId="77777777" w:rsidTr="008576C8">
        <w:trPr>
          <w:trHeight w:val="300"/>
          <w:jc w:val="center"/>
        </w:trPr>
        <w:tc>
          <w:tcPr>
            <w:tcW w:w="3384" w:type="dxa"/>
            <w:tcBorders>
              <w:top w:val="nil"/>
              <w:bottom w:val="single" w:sz="4" w:space="0" w:color="auto"/>
              <w:right w:val="nil"/>
            </w:tcBorders>
            <w:noWrap/>
            <w:vAlign w:val="center"/>
            <w:hideMark/>
          </w:tcPr>
          <w:p w14:paraId="53D3D20E"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Unrelated acquisition (CAAR</w:t>
            </w:r>
            <w:r w:rsidRPr="00D438EF">
              <w:rPr>
                <w:rFonts w:eastAsia="MS Gothic" w:cs="Times New Roman"/>
                <w:sz w:val="20"/>
                <w:szCs w:val="20"/>
              </w:rPr>
              <w:t>）</w:t>
            </w:r>
          </w:p>
        </w:tc>
        <w:tc>
          <w:tcPr>
            <w:tcW w:w="2596" w:type="dxa"/>
            <w:tcBorders>
              <w:top w:val="nil"/>
              <w:left w:val="nil"/>
              <w:bottom w:val="single" w:sz="4" w:space="0" w:color="auto"/>
              <w:right w:val="nil"/>
            </w:tcBorders>
            <w:noWrap/>
            <w:vAlign w:val="center"/>
            <w:hideMark/>
          </w:tcPr>
          <w:p w14:paraId="002E48D8"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0.0378(1.63)</w:t>
            </w:r>
          </w:p>
        </w:tc>
        <w:tc>
          <w:tcPr>
            <w:tcW w:w="2596" w:type="dxa"/>
            <w:tcBorders>
              <w:top w:val="nil"/>
              <w:left w:val="nil"/>
              <w:bottom w:val="single" w:sz="4" w:space="0" w:color="auto"/>
            </w:tcBorders>
            <w:noWrap/>
            <w:vAlign w:val="center"/>
            <w:hideMark/>
          </w:tcPr>
          <w:p w14:paraId="0AAD2D36"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0.0431</w:t>
            </w:r>
            <w:r w:rsidRPr="00D438EF">
              <w:rPr>
                <w:rFonts w:cs="Times New Roman"/>
                <w:sz w:val="20"/>
                <w:szCs w:val="20"/>
                <w:vertAlign w:val="superscript"/>
              </w:rPr>
              <w:t>*</w:t>
            </w:r>
            <w:r w:rsidRPr="00D438EF">
              <w:rPr>
                <w:rFonts w:cs="Times New Roman"/>
                <w:sz w:val="20"/>
                <w:szCs w:val="20"/>
              </w:rPr>
              <w:t>(1.80)</w:t>
            </w:r>
          </w:p>
        </w:tc>
      </w:tr>
      <w:tr w:rsidR="008576C8" w:rsidRPr="00D438EF" w14:paraId="4CC4B60D" w14:textId="77777777" w:rsidTr="008576C8">
        <w:trPr>
          <w:trHeight w:val="300"/>
          <w:jc w:val="center"/>
        </w:trPr>
        <w:tc>
          <w:tcPr>
            <w:tcW w:w="8576" w:type="dxa"/>
            <w:gridSpan w:val="3"/>
            <w:tcBorders>
              <w:top w:val="single" w:sz="4" w:space="0" w:color="auto"/>
              <w:bottom w:val="single" w:sz="4" w:space="0" w:color="auto"/>
            </w:tcBorders>
            <w:noWrap/>
            <w:vAlign w:val="center"/>
            <w:hideMark/>
          </w:tcPr>
          <w:p w14:paraId="566A72D8" w14:textId="77777777" w:rsidR="008576C8" w:rsidRPr="00D438EF" w:rsidRDefault="008576C8" w:rsidP="008576C8">
            <w:pPr>
              <w:spacing w:line="240" w:lineRule="auto"/>
              <w:ind w:firstLineChars="0" w:firstLine="0"/>
              <w:jc w:val="left"/>
              <w:rPr>
                <w:rFonts w:cs="Times New Roman"/>
                <w:b/>
                <w:sz w:val="20"/>
                <w:szCs w:val="20"/>
              </w:rPr>
            </w:pPr>
            <w:r w:rsidRPr="00D438EF">
              <w:rPr>
                <w:rFonts w:cs="Times New Roman"/>
                <w:b/>
                <w:sz w:val="20"/>
                <w:szCs w:val="20"/>
              </w:rPr>
              <w:t>Market Value</w:t>
            </w:r>
          </w:p>
        </w:tc>
      </w:tr>
      <w:tr w:rsidR="008576C8" w:rsidRPr="00D438EF" w14:paraId="57BE702D" w14:textId="77777777" w:rsidTr="008576C8">
        <w:trPr>
          <w:trHeight w:val="300"/>
          <w:jc w:val="center"/>
        </w:trPr>
        <w:tc>
          <w:tcPr>
            <w:tcW w:w="3384" w:type="dxa"/>
            <w:tcBorders>
              <w:top w:val="single" w:sz="4" w:space="0" w:color="auto"/>
              <w:bottom w:val="nil"/>
              <w:right w:val="nil"/>
            </w:tcBorders>
            <w:noWrap/>
            <w:vAlign w:val="center"/>
            <w:hideMark/>
          </w:tcPr>
          <w:p w14:paraId="3188F055"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Large (Top 30% market value) (CAAR)</w:t>
            </w:r>
          </w:p>
        </w:tc>
        <w:tc>
          <w:tcPr>
            <w:tcW w:w="2596" w:type="dxa"/>
            <w:tcBorders>
              <w:top w:val="single" w:sz="4" w:space="0" w:color="auto"/>
              <w:left w:val="nil"/>
              <w:bottom w:val="nil"/>
              <w:right w:val="nil"/>
            </w:tcBorders>
            <w:noWrap/>
            <w:vAlign w:val="center"/>
            <w:hideMark/>
          </w:tcPr>
          <w:p w14:paraId="6D78BE06"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-0.0088 (-0.42)</w:t>
            </w:r>
          </w:p>
        </w:tc>
        <w:tc>
          <w:tcPr>
            <w:tcW w:w="2596" w:type="dxa"/>
            <w:tcBorders>
              <w:top w:val="single" w:sz="4" w:space="0" w:color="auto"/>
              <w:left w:val="nil"/>
              <w:bottom w:val="nil"/>
            </w:tcBorders>
            <w:noWrap/>
            <w:vAlign w:val="center"/>
            <w:hideMark/>
          </w:tcPr>
          <w:p w14:paraId="4C1EE184"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0.2210</w:t>
            </w:r>
            <w:r w:rsidRPr="00D438EF">
              <w:rPr>
                <w:rFonts w:cs="Times New Roman"/>
                <w:sz w:val="20"/>
                <w:szCs w:val="20"/>
                <w:vertAlign w:val="superscript"/>
              </w:rPr>
              <w:t>***</w:t>
            </w:r>
            <w:r w:rsidRPr="00D438EF">
              <w:rPr>
                <w:rFonts w:cs="Times New Roman"/>
                <w:sz w:val="20"/>
                <w:szCs w:val="20"/>
              </w:rPr>
              <w:t xml:space="preserve"> (8.81)</w:t>
            </w:r>
          </w:p>
        </w:tc>
      </w:tr>
      <w:tr w:rsidR="008576C8" w:rsidRPr="00D438EF" w14:paraId="23868D0A" w14:textId="77777777" w:rsidTr="008576C8">
        <w:trPr>
          <w:trHeight w:val="300"/>
          <w:jc w:val="center"/>
        </w:trPr>
        <w:tc>
          <w:tcPr>
            <w:tcW w:w="3384" w:type="dxa"/>
            <w:tcBorders>
              <w:top w:val="nil"/>
              <w:bottom w:val="single" w:sz="4" w:space="0" w:color="auto"/>
              <w:right w:val="nil"/>
            </w:tcBorders>
            <w:noWrap/>
            <w:vAlign w:val="center"/>
            <w:hideMark/>
          </w:tcPr>
          <w:p w14:paraId="3FE2456A"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Small (Bottom 30% market value) (CAAR)</w:t>
            </w:r>
          </w:p>
        </w:tc>
        <w:tc>
          <w:tcPr>
            <w:tcW w:w="2596" w:type="dxa"/>
            <w:tcBorders>
              <w:top w:val="nil"/>
              <w:left w:val="nil"/>
              <w:bottom w:val="single" w:sz="4" w:space="0" w:color="auto"/>
              <w:right w:val="nil"/>
            </w:tcBorders>
            <w:noWrap/>
            <w:vAlign w:val="center"/>
            <w:hideMark/>
          </w:tcPr>
          <w:p w14:paraId="668DCFE4"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0.0563 (1.42)</w:t>
            </w:r>
          </w:p>
        </w:tc>
        <w:tc>
          <w:tcPr>
            <w:tcW w:w="2596" w:type="dxa"/>
            <w:tcBorders>
              <w:top w:val="nil"/>
              <w:left w:val="nil"/>
              <w:bottom w:val="single" w:sz="4" w:space="0" w:color="auto"/>
            </w:tcBorders>
            <w:noWrap/>
            <w:vAlign w:val="center"/>
            <w:hideMark/>
          </w:tcPr>
          <w:p w14:paraId="696D5C9B"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0.2031</w:t>
            </w:r>
            <w:r w:rsidRPr="00D438EF">
              <w:rPr>
                <w:rFonts w:cs="Times New Roman"/>
                <w:sz w:val="20"/>
                <w:szCs w:val="20"/>
                <w:vertAlign w:val="superscript"/>
              </w:rPr>
              <w:t>***</w:t>
            </w:r>
            <w:r w:rsidRPr="00D438EF">
              <w:rPr>
                <w:rFonts w:cs="Times New Roman"/>
                <w:sz w:val="20"/>
                <w:szCs w:val="20"/>
              </w:rPr>
              <w:t xml:space="preserve"> (5.15)</w:t>
            </w:r>
          </w:p>
        </w:tc>
      </w:tr>
      <w:tr w:rsidR="008576C8" w:rsidRPr="00D438EF" w14:paraId="78B45DE7" w14:textId="77777777" w:rsidTr="008576C8">
        <w:trPr>
          <w:trHeight w:val="300"/>
          <w:jc w:val="center"/>
        </w:trPr>
        <w:tc>
          <w:tcPr>
            <w:tcW w:w="8576" w:type="dxa"/>
            <w:gridSpan w:val="3"/>
            <w:tcBorders>
              <w:top w:val="single" w:sz="4" w:space="0" w:color="auto"/>
              <w:bottom w:val="single" w:sz="4" w:space="0" w:color="auto"/>
            </w:tcBorders>
            <w:noWrap/>
            <w:vAlign w:val="center"/>
            <w:hideMark/>
          </w:tcPr>
          <w:p w14:paraId="7BDD6D3B" w14:textId="77777777" w:rsidR="008576C8" w:rsidRPr="00D438EF" w:rsidRDefault="008576C8" w:rsidP="008576C8">
            <w:pPr>
              <w:spacing w:line="240" w:lineRule="auto"/>
              <w:ind w:firstLineChars="0" w:firstLine="0"/>
              <w:jc w:val="left"/>
              <w:rPr>
                <w:rFonts w:cs="Times New Roman"/>
                <w:b/>
                <w:sz w:val="20"/>
                <w:szCs w:val="20"/>
              </w:rPr>
            </w:pPr>
            <w:r w:rsidRPr="00D438EF">
              <w:rPr>
                <w:rFonts w:cs="Times New Roman"/>
                <w:b/>
                <w:sz w:val="20"/>
                <w:szCs w:val="20"/>
              </w:rPr>
              <w:t>Free Cash Flow</w:t>
            </w:r>
          </w:p>
        </w:tc>
      </w:tr>
      <w:tr w:rsidR="008576C8" w:rsidRPr="00D438EF" w14:paraId="6B56409D" w14:textId="77777777" w:rsidTr="008576C8">
        <w:trPr>
          <w:trHeight w:val="300"/>
          <w:jc w:val="center"/>
        </w:trPr>
        <w:tc>
          <w:tcPr>
            <w:tcW w:w="3384" w:type="dxa"/>
            <w:tcBorders>
              <w:top w:val="single" w:sz="4" w:space="0" w:color="auto"/>
              <w:bottom w:val="nil"/>
              <w:right w:val="nil"/>
            </w:tcBorders>
            <w:noWrap/>
            <w:vAlign w:val="center"/>
            <w:hideMark/>
          </w:tcPr>
          <w:p w14:paraId="3A834F4B"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High (Top 30% free cash flow) (CAAR)</w:t>
            </w:r>
          </w:p>
        </w:tc>
        <w:tc>
          <w:tcPr>
            <w:tcW w:w="2596" w:type="dxa"/>
            <w:tcBorders>
              <w:top w:val="single" w:sz="4" w:space="0" w:color="auto"/>
              <w:left w:val="nil"/>
              <w:bottom w:val="nil"/>
              <w:right w:val="nil"/>
            </w:tcBorders>
            <w:noWrap/>
            <w:vAlign w:val="bottom"/>
            <w:hideMark/>
          </w:tcPr>
          <w:p w14:paraId="5A85CB22"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0.0582</w:t>
            </w:r>
            <w:r w:rsidRPr="00D438EF">
              <w:rPr>
                <w:rFonts w:cs="Times New Roman"/>
                <w:sz w:val="20"/>
                <w:szCs w:val="20"/>
                <w:vertAlign w:val="superscript"/>
              </w:rPr>
              <w:t>**</w:t>
            </w:r>
            <w:r w:rsidRPr="00D438EF">
              <w:rPr>
                <w:rFonts w:cs="Times New Roman"/>
                <w:sz w:val="20"/>
                <w:szCs w:val="20"/>
              </w:rPr>
              <w:t>(2.27)</w:t>
            </w:r>
          </w:p>
        </w:tc>
        <w:tc>
          <w:tcPr>
            <w:tcW w:w="2596" w:type="dxa"/>
            <w:tcBorders>
              <w:top w:val="single" w:sz="4" w:space="0" w:color="auto"/>
              <w:left w:val="nil"/>
              <w:bottom w:val="nil"/>
            </w:tcBorders>
            <w:noWrap/>
            <w:vAlign w:val="bottom"/>
            <w:hideMark/>
          </w:tcPr>
          <w:p w14:paraId="59CEBDDA"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0.2414</w:t>
            </w:r>
            <w:r w:rsidRPr="00D438EF">
              <w:rPr>
                <w:rFonts w:cs="Times New Roman"/>
                <w:sz w:val="20"/>
                <w:szCs w:val="20"/>
                <w:vertAlign w:val="superscript"/>
              </w:rPr>
              <w:t>***</w:t>
            </w:r>
            <w:r w:rsidRPr="00D438EF">
              <w:rPr>
                <w:rFonts w:cs="Times New Roman"/>
                <w:sz w:val="20"/>
                <w:szCs w:val="20"/>
              </w:rPr>
              <w:t>(7.82)</w:t>
            </w:r>
          </w:p>
        </w:tc>
      </w:tr>
      <w:tr w:rsidR="008576C8" w:rsidRPr="00D438EF" w14:paraId="5432FA56" w14:textId="77777777" w:rsidTr="008576C8">
        <w:trPr>
          <w:trHeight w:val="300"/>
          <w:jc w:val="center"/>
        </w:trPr>
        <w:tc>
          <w:tcPr>
            <w:tcW w:w="3384" w:type="dxa"/>
            <w:tcBorders>
              <w:top w:val="nil"/>
              <w:bottom w:val="single" w:sz="4" w:space="0" w:color="auto"/>
              <w:right w:val="nil"/>
            </w:tcBorders>
            <w:noWrap/>
            <w:vAlign w:val="center"/>
            <w:hideMark/>
          </w:tcPr>
          <w:p w14:paraId="66F9C0DE"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Low (Bottom 30% free cash flow) (CAAR)</w:t>
            </w:r>
          </w:p>
        </w:tc>
        <w:tc>
          <w:tcPr>
            <w:tcW w:w="2596" w:type="dxa"/>
            <w:tcBorders>
              <w:top w:val="nil"/>
              <w:left w:val="nil"/>
              <w:bottom w:val="single" w:sz="4" w:space="0" w:color="auto"/>
              <w:right w:val="nil"/>
            </w:tcBorders>
            <w:noWrap/>
            <w:vAlign w:val="bottom"/>
            <w:hideMark/>
          </w:tcPr>
          <w:p w14:paraId="1668EBFA"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0.0527(1.22)</w:t>
            </w:r>
          </w:p>
        </w:tc>
        <w:tc>
          <w:tcPr>
            <w:tcW w:w="2596" w:type="dxa"/>
            <w:tcBorders>
              <w:top w:val="nil"/>
              <w:left w:val="nil"/>
              <w:bottom w:val="single" w:sz="4" w:space="0" w:color="auto"/>
            </w:tcBorders>
            <w:noWrap/>
            <w:vAlign w:val="bottom"/>
            <w:hideMark/>
          </w:tcPr>
          <w:p w14:paraId="52319BCD"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0.2959</w:t>
            </w:r>
            <w:r w:rsidRPr="00D438EF">
              <w:rPr>
                <w:rFonts w:cs="Times New Roman"/>
                <w:sz w:val="20"/>
                <w:szCs w:val="20"/>
                <w:vertAlign w:val="superscript"/>
              </w:rPr>
              <w:t>***</w:t>
            </w:r>
            <w:r w:rsidRPr="00D438EF">
              <w:rPr>
                <w:rFonts w:cs="Times New Roman"/>
                <w:sz w:val="20"/>
                <w:szCs w:val="20"/>
              </w:rPr>
              <w:t>(8.03)</w:t>
            </w:r>
          </w:p>
        </w:tc>
      </w:tr>
      <w:tr w:rsidR="008576C8" w:rsidRPr="00D438EF" w14:paraId="0CADAC2C" w14:textId="77777777" w:rsidTr="008576C8">
        <w:trPr>
          <w:trHeight w:val="300"/>
          <w:jc w:val="center"/>
        </w:trPr>
        <w:tc>
          <w:tcPr>
            <w:tcW w:w="8576" w:type="dxa"/>
            <w:gridSpan w:val="3"/>
            <w:tcBorders>
              <w:top w:val="single" w:sz="4" w:space="0" w:color="auto"/>
              <w:bottom w:val="single" w:sz="4" w:space="0" w:color="auto"/>
            </w:tcBorders>
            <w:noWrap/>
            <w:vAlign w:val="center"/>
            <w:hideMark/>
          </w:tcPr>
          <w:p w14:paraId="42BAA08A" w14:textId="77777777" w:rsidR="008576C8" w:rsidRPr="00D438EF" w:rsidRDefault="008576C8" w:rsidP="008576C8">
            <w:pPr>
              <w:spacing w:line="240" w:lineRule="auto"/>
              <w:ind w:firstLineChars="0" w:firstLine="0"/>
              <w:jc w:val="left"/>
              <w:rPr>
                <w:rFonts w:cs="Times New Roman"/>
                <w:b/>
                <w:sz w:val="20"/>
                <w:szCs w:val="20"/>
              </w:rPr>
            </w:pPr>
            <w:r w:rsidRPr="00D438EF">
              <w:rPr>
                <w:rFonts w:cs="Times New Roman"/>
                <w:b/>
                <w:sz w:val="20"/>
                <w:szCs w:val="20"/>
              </w:rPr>
              <w:t>Net Debt</w:t>
            </w:r>
          </w:p>
        </w:tc>
      </w:tr>
      <w:tr w:rsidR="008576C8" w:rsidRPr="00D438EF" w14:paraId="1F819C85" w14:textId="77777777" w:rsidTr="008576C8">
        <w:trPr>
          <w:trHeight w:val="300"/>
          <w:jc w:val="center"/>
        </w:trPr>
        <w:tc>
          <w:tcPr>
            <w:tcW w:w="3384" w:type="dxa"/>
            <w:tcBorders>
              <w:top w:val="single" w:sz="4" w:space="0" w:color="auto"/>
              <w:bottom w:val="nil"/>
              <w:right w:val="nil"/>
            </w:tcBorders>
            <w:noWrap/>
            <w:vAlign w:val="center"/>
            <w:hideMark/>
          </w:tcPr>
          <w:p w14:paraId="7DB2C5E2"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High (Top 30% net debt) (CAAR)</w:t>
            </w:r>
          </w:p>
        </w:tc>
        <w:tc>
          <w:tcPr>
            <w:tcW w:w="2596" w:type="dxa"/>
            <w:tcBorders>
              <w:top w:val="single" w:sz="4" w:space="0" w:color="auto"/>
              <w:left w:val="nil"/>
              <w:bottom w:val="nil"/>
              <w:right w:val="nil"/>
            </w:tcBorders>
            <w:noWrap/>
            <w:vAlign w:val="bottom"/>
            <w:hideMark/>
          </w:tcPr>
          <w:p w14:paraId="4E5E6E41"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-0.0720</w:t>
            </w:r>
            <w:r w:rsidRPr="00D438EF">
              <w:rPr>
                <w:rFonts w:cs="Times New Roman"/>
                <w:sz w:val="20"/>
                <w:szCs w:val="20"/>
                <w:vertAlign w:val="superscript"/>
              </w:rPr>
              <w:t>**</w:t>
            </w:r>
            <w:r w:rsidRPr="00D438EF">
              <w:rPr>
                <w:rFonts w:cs="Times New Roman"/>
                <w:sz w:val="20"/>
                <w:szCs w:val="20"/>
              </w:rPr>
              <w:t>(-2.43)</w:t>
            </w:r>
          </w:p>
        </w:tc>
        <w:tc>
          <w:tcPr>
            <w:tcW w:w="2596" w:type="dxa"/>
            <w:tcBorders>
              <w:top w:val="single" w:sz="4" w:space="0" w:color="auto"/>
              <w:left w:val="nil"/>
              <w:bottom w:val="nil"/>
            </w:tcBorders>
            <w:noWrap/>
            <w:vAlign w:val="bottom"/>
            <w:hideMark/>
          </w:tcPr>
          <w:p w14:paraId="17B896E5"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0.4865</w:t>
            </w:r>
            <w:r w:rsidRPr="00D438EF">
              <w:rPr>
                <w:rFonts w:cs="Times New Roman"/>
                <w:sz w:val="20"/>
                <w:szCs w:val="20"/>
                <w:vertAlign w:val="superscript"/>
              </w:rPr>
              <w:t>***</w:t>
            </w:r>
            <w:r w:rsidRPr="00D438EF">
              <w:rPr>
                <w:rFonts w:cs="Times New Roman"/>
                <w:sz w:val="20"/>
                <w:szCs w:val="20"/>
              </w:rPr>
              <w:t>(14.87)</w:t>
            </w:r>
          </w:p>
        </w:tc>
      </w:tr>
      <w:tr w:rsidR="008576C8" w:rsidRPr="00D438EF" w14:paraId="1645079C" w14:textId="77777777" w:rsidTr="008576C8">
        <w:trPr>
          <w:trHeight w:val="300"/>
          <w:jc w:val="center"/>
        </w:trPr>
        <w:tc>
          <w:tcPr>
            <w:tcW w:w="3384" w:type="dxa"/>
            <w:tcBorders>
              <w:top w:val="nil"/>
              <w:bottom w:val="single" w:sz="4" w:space="0" w:color="auto"/>
              <w:right w:val="nil"/>
            </w:tcBorders>
            <w:noWrap/>
            <w:vAlign w:val="center"/>
            <w:hideMark/>
          </w:tcPr>
          <w:p w14:paraId="4A5E5F2D"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Low (Bottom 30% net debt) (CAAR)</w:t>
            </w:r>
          </w:p>
        </w:tc>
        <w:tc>
          <w:tcPr>
            <w:tcW w:w="2596" w:type="dxa"/>
            <w:tcBorders>
              <w:top w:val="nil"/>
              <w:left w:val="nil"/>
              <w:bottom w:val="single" w:sz="4" w:space="0" w:color="auto"/>
              <w:right w:val="nil"/>
            </w:tcBorders>
            <w:noWrap/>
            <w:vAlign w:val="bottom"/>
            <w:hideMark/>
          </w:tcPr>
          <w:p w14:paraId="2176186B"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0.2020</w:t>
            </w:r>
            <w:r w:rsidRPr="00D438EF">
              <w:rPr>
                <w:rFonts w:cs="Times New Roman"/>
                <w:sz w:val="20"/>
                <w:szCs w:val="20"/>
                <w:vertAlign w:val="superscript"/>
              </w:rPr>
              <w:t>***</w:t>
            </w:r>
            <w:r w:rsidRPr="00D438EF">
              <w:rPr>
                <w:rFonts w:cs="Times New Roman"/>
                <w:sz w:val="20"/>
                <w:szCs w:val="20"/>
              </w:rPr>
              <w:t>(5.92)</w:t>
            </w:r>
          </w:p>
        </w:tc>
        <w:tc>
          <w:tcPr>
            <w:tcW w:w="2596" w:type="dxa"/>
            <w:tcBorders>
              <w:top w:val="nil"/>
              <w:left w:val="nil"/>
              <w:bottom w:val="single" w:sz="4" w:space="0" w:color="auto"/>
            </w:tcBorders>
            <w:noWrap/>
            <w:vAlign w:val="bottom"/>
            <w:hideMark/>
          </w:tcPr>
          <w:p w14:paraId="4A9376E5"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-0.0729</w:t>
            </w:r>
            <w:r w:rsidRPr="00D438EF">
              <w:rPr>
                <w:rFonts w:cs="Times New Roman"/>
                <w:sz w:val="20"/>
                <w:szCs w:val="20"/>
                <w:vertAlign w:val="superscript"/>
              </w:rPr>
              <w:t>*</w:t>
            </w:r>
            <w:r w:rsidRPr="00D438EF">
              <w:rPr>
                <w:rFonts w:cs="Times New Roman"/>
                <w:sz w:val="20"/>
                <w:szCs w:val="20"/>
              </w:rPr>
              <w:t>(-1.89)</w:t>
            </w:r>
          </w:p>
        </w:tc>
      </w:tr>
      <w:tr w:rsidR="008576C8" w:rsidRPr="00D438EF" w14:paraId="7F71B03B" w14:textId="77777777" w:rsidTr="008576C8">
        <w:trPr>
          <w:trHeight w:val="486"/>
          <w:jc w:val="center"/>
        </w:trPr>
        <w:tc>
          <w:tcPr>
            <w:tcW w:w="8576" w:type="dxa"/>
            <w:gridSpan w:val="3"/>
            <w:tcBorders>
              <w:top w:val="single" w:sz="4" w:space="0" w:color="auto"/>
              <w:bottom w:val="single" w:sz="4" w:space="0" w:color="auto"/>
            </w:tcBorders>
            <w:noWrap/>
            <w:vAlign w:val="center"/>
            <w:hideMark/>
          </w:tcPr>
          <w:p w14:paraId="7141AC08" w14:textId="77777777" w:rsidR="008576C8" w:rsidRPr="00D438EF" w:rsidRDefault="008576C8" w:rsidP="008576C8">
            <w:pPr>
              <w:spacing w:line="240" w:lineRule="auto"/>
              <w:ind w:firstLineChars="0" w:firstLine="0"/>
              <w:jc w:val="left"/>
              <w:rPr>
                <w:rFonts w:cs="Times New Roman"/>
                <w:b/>
                <w:sz w:val="20"/>
                <w:szCs w:val="20"/>
              </w:rPr>
            </w:pPr>
            <w:r w:rsidRPr="00D438EF">
              <w:rPr>
                <w:rFonts w:cs="Times New Roman"/>
                <w:b/>
                <w:sz w:val="20"/>
                <w:szCs w:val="20"/>
              </w:rPr>
              <w:t>Profitability</w:t>
            </w:r>
          </w:p>
        </w:tc>
      </w:tr>
      <w:tr w:rsidR="008576C8" w:rsidRPr="00D438EF" w14:paraId="5364318A" w14:textId="77777777" w:rsidTr="008576C8">
        <w:trPr>
          <w:trHeight w:val="300"/>
          <w:jc w:val="center"/>
        </w:trPr>
        <w:tc>
          <w:tcPr>
            <w:tcW w:w="3384" w:type="dxa"/>
            <w:tcBorders>
              <w:top w:val="single" w:sz="4" w:space="0" w:color="auto"/>
              <w:bottom w:val="nil"/>
              <w:right w:val="nil"/>
            </w:tcBorders>
            <w:noWrap/>
            <w:vAlign w:val="center"/>
            <w:hideMark/>
          </w:tcPr>
          <w:p w14:paraId="4782B50E"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High (Top 30% ROA) (CAAR)</w:t>
            </w:r>
          </w:p>
        </w:tc>
        <w:tc>
          <w:tcPr>
            <w:tcW w:w="2596" w:type="dxa"/>
            <w:tcBorders>
              <w:top w:val="single" w:sz="4" w:space="0" w:color="auto"/>
              <w:left w:val="nil"/>
              <w:bottom w:val="nil"/>
              <w:right w:val="nil"/>
            </w:tcBorders>
            <w:noWrap/>
            <w:vAlign w:val="bottom"/>
            <w:hideMark/>
          </w:tcPr>
          <w:p w14:paraId="7C68AA08"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0.2970</w:t>
            </w:r>
            <w:r w:rsidRPr="00D438EF">
              <w:rPr>
                <w:rFonts w:cs="Times New Roman"/>
                <w:sz w:val="20"/>
                <w:szCs w:val="20"/>
                <w:vertAlign w:val="superscript"/>
              </w:rPr>
              <w:t>***</w:t>
            </w:r>
            <w:r w:rsidRPr="00D438EF">
              <w:rPr>
                <w:rFonts w:cs="Times New Roman"/>
                <w:sz w:val="20"/>
                <w:szCs w:val="20"/>
              </w:rPr>
              <w:t>(10.99)</w:t>
            </w:r>
          </w:p>
        </w:tc>
        <w:tc>
          <w:tcPr>
            <w:tcW w:w="2596" w:type="dxa"/>
            <w:tcBorders>
              <w:top w:val="single" w:sz="4" w:space="0" w:color="auto"/>
              <w:left w:val="nil"/>
              <w:bottom w:val="nil"/>
            </w:tcBorders>
            <w:noWrap/>
            <w:vAlign w:val="bottom"/>
            <w:hideMark/>
          </w:tcPr>
          <w:p w14:paraId="564FEDD7"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0.3256</w:t>
            </w:r>
            <w:r w:rsidRPr="00D438EF">
              <w:rPr>
                <w:rFonts w:cs="Times New Roman"/>
                <w:sz w:val="20"/>
                <w:szCs w:val="20"/>
                <w:vertAlign w:val="superscript"/>
              </w:rPr>
              <w:t>***</w:t>
            </w:r>
            <w:r w:rsidRPr="00D438EF">
              <w:rPr>
                <w:rFonts w:cs="Times New Roman"/>
                <w:sz w:val="20"/>
                <w:szCs w:val="20"/>
              </w:rPr>
              <w:t>(10.78)</w:t>
            </w:r>
          </w:p>
        </w:tc>
      </w:tr>
      <w:tr w:rsidR="008576C8" w:rsidRPr="00D438EF" w14:paraId="50ECC4BD" w14:textId="77777777" w:rsidTr="008576C8">
        <w:trPr>
          <w:trHeight w:val="300"/>
          <w:jc w:val="center"/>
        </w:trPr>
        <w:tc>
          <w:tcPr>
            <w:tcW w:w="3384" w:type="dxa"/>
            <w:tcBorders>
              <w:top w:val="nil"/>
              <w:bottom w:val="single" w:sz="4" w:space="0" w:color="auto"/>
              <w:right w:val="nil"/>
            </w:tcBorders>
            <w:noWrap/>
            <w:vAlign w:val="center"/>
            <w:hideMark/>
          </w:tcPr>
          <w:p w14:paraId="45CD4C35"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Low (Bottom 30% ROA) (CAAR)</w:t>
            </w:r>
          </w:p>
        </w:tc>
        <w:tc>
          <w:tcPr>
            <w:tcW w:w="2596" w:type="dxa"/>
            <w:tcBorders>
              <w:top w:val="nil"/>
              <w:left w:val="nil"/>
              <w:bottom w:val="single" w:sz="4" w:space="0" w:color="auto"/>
              <w:right w:val="nil"/>
            </w:tcBorders>
            <w:noWrap/>
            <w:vAlign w:val="bottom"/>
            <w:hideMark/>
          </w:tcPr>
          <w:p w14:paraId="6FF15542"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0.0055(0.13)</w:t>
            </w:r>
          </w:p>
        </w:tc>
        <w:tc>
          <w:tcPr>
            <w:tcW w:w="2596" w:type="dxa"/>
            <w:tcBorders>
              <w:top w:val="nil"/>
              <w:left w:val="nil"/>
              <w:bottom w:val="single" w:sz="4" w:space="0" w:color="auto"/>
            </w:tcBorders>
            <w:noWrap/>
            <w:vAlign w:val="bottom"/>
            <w:hideMark/>
          </w:tcPr>
          <w:p w14:paraId="1860B42C" w14:textId="77777777" w:rsidR="008576C8" w:rsidRPr="00D438EF" w:rsidRDefault="008576C8" w:rsidP="008576C8">
            <w:pPr>
              <w:spacing w:line="240" w:lineRule="auto"/>
              <w:ind w:firstLineChars="0" w:firstLine="0"/>
              <w:jc w:val="left"/>
              <w:rPr>
                <w:rFonts w:cs="Times New Roman"/>
                <w:sz w:val="20"/>
                <w:szCs w:val="20"/>
              </w:rPr>
            </w:pPr>
            <w:r w:rsidRPr="00D438EF">
              <w:rPr>
                <w:rFonts w:cs="Times New Roman"/>
                <w:sz w:val="20"/>
                <w:szCs w:val="20"/>
              </w:rPr>
              <w:t>0.0083(0.22)</w:t>
            </w:r>
          </w:p>
        </w:tc>
      </w:tr>
    </w:tbl>
    <w:p w14:paraId="0449F2D6" w14:textId="23F5B2AB" w:rsidR="00852DB7" w:rsidRPr="00852DB7" w:rsidRDefault="00852DB7" w:rsidP="00852DB7">
      <w:pPr>
        <w:ind w:firstLineChars="0" w:firstLine="0"/>
        <w:rPr>
          <w:rFonts w:cs="Times New Roman"/>
          <w:sz w:val="20"/>
          <w:szCs w:val="20"/>
          <w:lang w:val="en-GB"/>
        </w:rPr>
      </w:pPr>
      <w:r>
        <w:rPr>
          <w:rFonts w:cs="Times New Roman"/>
          <w:sz w:val="20"/>
          <w:szCs w:val="20"/>
          <w:lang w:val="en-GB"/>
        </w:rPr>
        <w:t xml:space="preserve">    </w:t>
      </w:r>
      <w:r w:rsidRPr="00852DB7">
        <w:rPr>
          <w:rFonts w:cs="Times New Roman"/>
          <w:sz w:val="20"/>
          <w:szCs w:val="20"/>
          <w:lang w:val="en-GB"/>
        </w:rPr>
        <w:t>Significance Level: *p&lt;0.10, **p&lt;0.05, ***p&lt;0.010</w:t>
      </w:r>
    </w:p>
    <w:p w14:paraId="2938DE93" w14:textId="77777777" w:rsidR="008576C8" w:rsidRPr="002B7B0F" w:rsidRDefault="008576C8" w:rsidP="008576C8">
      <w:pPr>
        <w:ind w:firstLineChars="0" w:firstLine="0"/>
        <w:rPr>
          <w:rFonts w:cs="Times New Roman"/>
          <w:szCs w:val="24"/>
          <w:lang w:val="en-GB"/>
        </w:rPr>
      </w:pPr>
    </w:p>
    <w:p w14:paraId="1DAB2530" w14:textId="77777777" w:rsidR="003D7B3F" w:rsidRDefault="003D7B3F" w:rsidP="00FC7768">
      <w:pPr>
        <w:ind w:firstLine="480"/>
        <w:rPr>
          <w:rFonts w:cs="Times New Roman"/>
          <w:szCs w:val="24"/>
          <w:lang w:val="en-GB"/>
        </w:rPr>
      </w:pPr>
    </w:p>
    <w:p w14:paraId="74731444" w14:textId="77777777" w:rsidR="008576C8" w:rsidRDefault="008576C8" w:rsidP="00FC7768">
      <w:pPr>
        <w:ind w:firstLine="480"/>
        <w:rPr>
          <w:rFonts w:cs="Times New Roman"/>
          <w:szCs w:val="24"/>
          <w:lang w:val="en-GB"/>
        </w:rPr>
      </w:pPr>
    </w:p>
    <w:p w14:paraId="7DDD5E33" w14:textId="77777777" w:rsidR="008576C8" w:rsidRDefault="008576C8" w:rsidP="00FC7768">
      <w:pPr>
        <w:ind w:firstLine="480"/>
        <w:rPr>
          <w:rFonts w:cs="Times New Roman"/>
          <w:szCs w:val="24"/>
          <w:lang w:val="en-GB"/>
        </w:rPr>
      </w:pPr>
    </w:p>
    <w:p w14:paraId="28571E8D" w14:textId="77777777" w:rsidR="00D438EF" w:rsidRDefault="00D438EF" w:rsidP="00FC7768">
      <w:pPr>
        <w:ind w:firstLine="480"/>
        <w:rPr>
          <w:rFonts w:cs="Times New Roman"/>
          <w:szCs w:val="24"/>
          <w:lang w:val="en-GB"/>
        </w:rPr>
      </w:pPr>
    </w:p>
    <w:p w14:paraId="702F2467" w14:textId="77777777" w:rsidR="004033AA" w:rsidRDefault="004033AA" w:rsidP="00FC7768">
      <w:pPr>
        <w:ind w:firstLine="480"/>
        <w:rPr>
          <w:rFonts w:cs="Times New Roman"/>
          <w:szCs w:val="24"/>
          <w:lang w:val="en-GB"/>
        </w:rPr>
      </w:pPr>
    </w:p>
    <w:p w14:paraId="5B947109" w14:textId="77777777" w:rsidR="004033AA" w:rsidRDefault="004033AA" w:rsidP="00FC7768">
      <w:pPr>
        <w:ind w:firstLine="480"/>
        <w:rPr>
          <w:rFonts w:cs="Times New Roman"/>
          <w:szCs w:val="24"/>
          <w:lang w:val="en-GB"/>
        </w:rPr>
      </w:pPr>
    </w:p>
    <w:p w14:paraId="7199F3A5" w14:textId="77777777" w:rsidR="00AE0DFE" w:rsidRDefault="00AE0DFE" w:rsidP="00AE0DFE">
      <w:pPr>
        <w:ind w:firstLineChars="83" w:firstLine="199"/>
        <w:rPr>
          <w:rFonts w:cs="Times New Roman"/>
          <w:szCs w:val="24"/>
          <w:lang w:val="en-GB"/>
        </w:rPr>
      </w:pPr>
      <w:r w:rsidRPr="002B7B0F">
        <w:rPr>
          <w:rFonts w:cs="Times New Roman"/>
          <w:szCs w:val="24"/>
          <w:lang w:val="en-GB"/>
        </w:rPr>
        <w:t>Figure 1</w:t>
      </w:r>
      <w:r>
        <w:rPr>
          <w:rFonts w:cs="Times New Roman"/>
          <w:szCs w:val="24"/>
          <w:lang w:val="en-GB"/>
        </w:rPr>
        <w:t>.</w:t>
      </w:r>
      <w:r w:rsidRPr="002B7B0F">
        <w:rPr>
          <w:rFonts w:cs="Times New Roman"/>
          <w:szCs w:val="24"/>
          <w:lang w:val="en-GB"/>
        </w:rPr>
        <w:t xml:space="preserve"> Cumulative Average Abnormal Returns (CAAR) for </w:t>
      </w:r>
      <w:r>
        <w:rPr>
          <w:rFonts w:cs="Times New Roman"/>
          <w:szCs w:val="24"/>
          <w:lang w:val="en-GB"/>
        </w:rPr>
        <w:t xml:space="preserve">the </w:t>
      </w:r>
      <w:r w:rsidRPr="002B7B0F">
        <w:rPr>
          <w:rFonts w:cs="Times New Roman"/>
          <w:szCs w:val="24"/>
          <w:lang w:val="en-GB"/>
        </w:rPr>
        <w:t>Two Sample Targets</w:t>
      </w:r>
    </w:p>
    <w:p w14:paraId="3A24EABE" w14:textId="77777777" w:rsidR="00AE0DFE" w:rsidRPr="002B7B0F" w:rsidRDefault="00AE0DFE" w:rsidP="00AE0DFE">
      <w:pPr>
        <w:ind w:firstLine="480"/>
        <w:rPr>
          <w:rFonts w:cs="Times New Roman"/>
          <w:szCs w:val="24"/>
          <w:lang w:val="en-GB"/>
        </w:rPr>
      </w:pPr>
    </w:p>
    <w:p w14:paraId="17EC8AF5" w14:textId="19A35BA3" w:rsidR="003D7B3F" w:rsidRPr="002B7B0F" w:rsidRDefault="00AE0DFE" w:rsidP="00AE0DFE">
      <w:pPr>
        <w:ind w:firstLineChars="0" w:firstLine="0"/>
        <w:jc w:val="center"/>
        <w:rPr>
          <w:rFonts w:cs="Times New Roman"/>
          <w:szCs w:val="24"/>
          <w:lang w:val="en-GB"/>
        </w:rPr>
      </w:pPr>
      <w:r w:rsidRPr="002B7B0F">
        <w:rPr>
          <w:noProof/>
          <w:lang w:val="en-GB" w:eastAsia="en-GB"/>
        </w:rPr>
        <w:drawing>
          <wp:inline distT="0" distB="0" distL="0" distR="0" wp14:anchorId="2AFF35B0" wp14:editId="1BBB60A1">
            <wp:extent cx="4572000" cy="3309937"/>
            <wp:effectExtent l="0" t="0" r="0" b="17780"/>
            <wp:docPr id="1" name="图表 1">
              <a:extLst xmlns:a="http://schemas.openxmlformats.org/drawingml/2006/main">
                <a:ext uri="{FF2B5EF4-FFF2-40B4-BE49-F238E27FC236}">
                  <a16:creationId xmlns:a16="http://schemas.microsoft.com/office/drawing/2014/main" id="{8087397B-5937-40D3-90D7-12D2BB12F7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sectPr w:rsidR="003D7B3F" w:rsidRPr="002B7B0F" w:rsidSect="008576C8">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09FD93" w16cid:durableId="1F003200"/>
  <w16cid:commentId w16cid:paraId="6CD43E87" w16cid:durableId="1F003201"/>
  <w16cid:commentId w16cid:paraId="64CC9AE8" w16cid:durableId="1F003202"/>
  <w16cid:commentId w16cid:paraId="277C41BE" w16cid:durableId="1F003203"/>
  <w16cid:commentId w16cid:paraId="3B81EFED" w16cid:durableId="1F003204"/>
  <w16cid:commentId w16cid:paraId="39812327" w16cid:durableId="1F003205"/>
  <w16cid:commentId w16cid:paraId="334A7A4B" w16cid:durableId="1F003206"/>
  <w16cid:commentId w16cid:paraId="11A3FFD0" w16cid:durableId="1F003207"/>
  <w16cid:commentId w16cid:paraId="25DAABC0" w16cid:durableId="1F003208"/>
  <w16cid:commentId w16cid:paraId="3DA1D083" w16cid:durableId="1F003209"/>
  <w16cid:commentId w16cid:paraId="01C6FB3C" w16cid:durableId="1F00320A"/>
  <w16cid:commentId w16cid:paraId="71A57226" w16cid:durableId="1F0032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0857" w14:textId="77777777" w:rsidR="008A773F" w:rsidRDefault="008A773F">
      <w:pPr>
        <w:spacing w:line="240" w:lineRule="auto"/>
        <w:ind w:firstLine="480"/>
      </w:pPr>
      <w:r>
        <w:separator/>
      </w:r>
    </w:p>
  </w:endnote>
  <w:endnote w:type="continuationSeparator" w:id="0">
    <w:p w14:paraId="6F1F9BA0" w14:textId="77777777" w:rsidR="008A773F" w:rsidRDefault="008A773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85911" w14:textId="77777777" w:rsidR="00FD7A82" w:rsidRDefault="00FD7A8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688663"/>
      <w:docPartObj>
        <w:docPartGallery w:val="Page Numbers (Bottom of Page)"/>
        <w:docPartUnique/>
      </w:docPartObj>
    </w:sdtPr>
    <w:sdtEndPr>
      <w:rPr>
        <w:noProof/>
        <w:sz w:val="24"/>
        <w:szCs w:val="24"/>
      </w:rPr>
    </w:sdtEndPr>
    <w:sdtContent>
      <w:p w14:paraId="1D1F2201" w14:textId="1FACDB9F" w:rsidR="00FD7A82" w:rsidRPr="0012603C" w:rsidRDefault="00FD7A82" w:rsidP="00CE2101">
        <w:pPr>
          <w:pStyle w:val="Footer"/>
          <w:ind w:firstLine="360"/>
          <w:jc w:val="center"/>
          <w:rPr>
            <w:sz w:val="24"/>
            <w:szCs w:val="24"/>
          </w:rPr>
        </w:pPr>
        <w:r w:rsidRPr="0012603C">
          <w:rPr>
            <w:sz w:val="24"/>
            <w:szCs w:val="24"/>
          </w:rPr>
          <w:fldChar w:fldCharType="begin"/>
        </w:r>
        <w:r w:rsidRPr="0012603C">
          <w:rPr>
            <w:sz w:val="24"/>
            <w:szCs w:val="24"/>
          </w:rPr>
          <w:instrText xml:space="preserve"> PAGE   \* MERGEFORMAT </w:instrText>
        </w:r>
        <w:r w:rsidRPr="0012603C">
          <w:rPr>
            <w:sz w:val="24"/>
            <w:szCs w:val="24"/>
          </w:rPr>
          <w:fldChar w:fldCharType="separate"/>
        </w:r>
        <w:r w:rsidR="00923871">
          <w:rPr>
            <w:noProof/>
            <w:sz w:val="24"/>
            <w:szCs w:val="24"/>
          </w:rPr>
          <w:t>1</w:t>
        </w:r>
        <w:r w:rsidRPr="0012603C">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41A11" w14:textId="77777777" w:rsidR="00FD7A82" w:rsidRDefault="00FD7A8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C55A8" w14:textId="77777777" w:rsidR="008A773F" w:rsidRDefault="008A773F">
      <w:pPr>
        <w:spacing w:line="240" w:lineRule="auto"/>
        <w:ind w:firstLine="480"/>
      </w:pPr>
      <w:r>
        <w:separator/>
      </w:r>
    </w:p>
  </w:footnote>
  <w:footnote w:type="continuationSeparator" w:id="0">
    <w:p w14:paraId="2B5CF0A0" w14:textId="77777777" w:rsidR="008A773F" w:rsidRDefault="008A773F">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81808" w14:textId="77777777" w:rsidR="00FD7A82" w:rsidRDefault="00FD7A82">
    <w:pPr>
      <w:pStyle w:val="Header"/>
      <w:ind w:firstLine="48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8DAEB" w14:textId="77777777" w:rsidR="00FD7A82" w:rsidRDefault="00FD7A82">
    <w:pPr>
      <w:pStyle w:val="Header"/>
      <w:ind w:firstLine="48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32A4" w14:textId="77777777" w:rsidR="00FD7A82" w:rsidRDefault="00FD7A82">
    <w:pPr>
      <w:pStyle w:val="Heade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62D"/>
    <w:multiLevelType w:val="hybridMultilevel"/>
    <w:tmpl w:val="76923902"/>
    <w:lvl w:ilvl="0" w:tplc="04090001">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AA5D71"/>
    <w:multiLevelType w:val="multilevel"/>
    <w:tmpl w:val="5E346DA6"/>
    <w:lvl w:ilvl="0">
      <w:start w:val="1"/>
      <w:numFmt w:val="decimal"/>
      <w:pStyle w:val="Heading1"/>
      <w:suff w:val="space"/>
      <w:lvlText w:val="CHAPTER%1"/>
      <w:lvlJc w:val="left"/>
      <w:pPr>
        <w:ind w:left="0" w:firstLine="0"/>
      </w:pPr>
      <w:rPr>
        <w:rFonts w:ascii="Times New Roman" w:hAnsi="Times New Roman" w:hint="default"/>
        <w:b/>
        <w:i w:val="0"/>
        <w:sz w:val="52"/>
      </w:rPr>
    </w:lvl>
    <w:lvl w:ilvl="1">
      <w:start w:val="1"/>
      <w:numFmt w:val="decimal"/>
      <w:pStyle w:val="Heading2"/>
      <w:lvlText w:val="%1.%2"/>
      <w:lvlJc w:val="left"/>
      <w:pPr>
        <w:ind w:left="0" w:firstLine="0"/>
      </w:pPr>
      <w:rPr>
        <w:rFonts w:hint="eastAsia"/>
      </w:rPr>
    </w:lvl>
    <w:lvl w:ilvl="2">
      <w:start w:val="1"/>
      <w:numFmt w:val="decimal"/>
      <w:pStyle w:val="Heading3"/>
      <w:suff w:val="space"/>
      <w:lvlText w:val="%1.%2.%3"/>
      <w:lvlJc w:val="left"/>
      <w:pPr>
        <w:ind w:left="0" w:firstLine="0"/>
      </w:pPr>
      <w:rPr>
        <w:rFonts w:ascii="Times New Roman" w:hAnsi="Times New Roman" w:hint="default"/>
        <w:b/>
        <w:i/>
        <w:sz w:val="24"/>
      </w:rPr>
    </w:lvl>
    <w:lvl w:ilvl="3">
      <w:start w:val="1"/>
      <w:numFmt w:val="decimal"/>
      <w:pStyle w:val="Heading4"/>
      <w:suff w:val="nothing"/>
      <w:lvlText w:val="%4.%1.%2.%3"/>
      <w:lvlJc w:val="left"/>
      <w:pPr>
        <w:ind w:left="0" w:firstLine="0"/>
      </w:pPr>
      <w:rPr>
        <w:rFonts w:hint="eastAsia"/>
      </w:rPr>
    </w:lvl>
    <w:lvl w:ilvl="4">
      <w:start w:val="1"/>
      <w:numFmt w:val="none"/>
      <w:pStyle w:val="Heading5"/>
      <w:suff w:val="nothing"/>
      <w:lvlText w:val=""/>
      <w:lvlJc w:val="left"/>
      <w:pPr>
        <w:ind w:left="0" w:firstLine="0"/>
      </w:pPr>
      <w:rPr>
        <w:rFonts w:hint="eastAsia"/>
      </w:rPr>
    </w:lvl>
    <w:lvl w:ilvl="5">
      <w:start w:val="1"/>
      <w:numFmt w:val="none"/>
      <w:pStyle w:val="Heading6"/>
      <w:suff w:val="nothing"/>
      <w:lvlText w:val=""/>
      <w:lvlJc w:val="left"/>
      <w:pPr>
        <w:ind w:left="0" w:firstLine="0"/>
      </w:pPr>
      <w:rPr>
        <w:rFonts w:hint="eastAsia"/>
      </w:rPr>
    </w:lvl>
    <w:lvl w:ilvl="6">
      <w:start w:val="1"/>
      <w:numFmt w:val="none"/>
      <w:pStyle w:val="Heading7"/>
      <w:suff w:val="nothing"/>
      <w:lvlText w:val=""/>
      <w:lvlJc w:val="left"/>
      <w:pPr>
        <w:ind w:left="0" w:firstLine="0"/>
      </w:pPr>
      <w:rPr>
        <w:rFonts w:hint="eastAsia"/>
      </w:rPr>
    </w:lvl>
    <w:lvl w:ilvl="7">
      <w:start w:val="1"/>
      <w:numFmt w:val="none"/>
      <w:pStyle w:val="Heading8"/>
      <w:suff w:val="nothing"/>
      <w:lvlText w:val=""/>
      <w:lvlJc w:val="left"/>
      <w:pPr>
        <w:ind w:left="0" w:firstLine="0"/>
      </w:pPr>
      <w:rPr>
        <w:rFonts w:hint="eastAsia"/>
      </w:rPr>
    </w:lvl>
    <w:lvl w:ilvl="8">
      <w:start w:val="1"/>
      <w:numFmt w:val="none"/>
      <w:pStyle w:val="Heading9"/>
      <w:suff w:val="nothing"/>
      <w:lvlText w:val=""/>
      <w:lvlJc w:val="left"/>
      <w:pPr>
        <w:ind w:left="0" w:firstLine="0"/>
      </w:pPr>
      <w:rPr>
        <w:rFonts w:hint="eastAsia"/>
      </w:rPr>
    </w:lvl>
  </w:abstractNum>
  <w:abstractNum w:abstractNumId="2" w15:restartNumberingAfterBreak="0">
    <w:nsid w:val="7F5523D4"/>
    <w:multiLevelType w:val="multilevel"/>
    <w:tmpl w:val="5A9EC538"/>
    <w:lvl w:ilvl="0">
      <w:numFmt w:val="bullet"/>
      <w:lvlText w:val="□"/>
      <w:lvlJc w:val="left"/>
      <w:pPr>
        <w:ind w:left="1140" w:hanging="360"/>
      </w:pPr>
      <w:rPr>
        <w:rFonts w:ascii="Times New Roman" w:eastAsia="Times New Roman" w:hAnsi="Times New Roman" w:cs="Times New Roman" w:hint="default"/>
        <w:sz w:val="56"/>
        <w:szCs w:val="56"/>
        <w:lang w:val="en-GB"/>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A3"/>
    <w:rsid w:val="00016393"/>
    <w:rsid w:val="000438BB"/>
    <w:rsid w:val="00061B67"/>
    <w:rsid w:val="00063DAB"/>
    <w:rsid w:val="00065204"/>
    <w:rsid w:val="0008582B"/>
    <w:rsid w:val="00085DB2"/>
    <w:rsid w:val="00095F4B"/>
    <w:rsid w:val="000A0CA7"/>
    <w:rsid w:val="000A3EF4"/>
    <w:rsid w:val="000A4CCC"/>
    <w:rsid w:val="000C42E0"/>
    <w:rsid w:val="000E1C28"/>
    <w:rsid w:val="001014EF"/>
    <w:rsid w:val="00103BB4"/>
    <w:rsid w:val="001076A9"/>
    <w:rsid w:val="00107BE5"/>
    <w:rsid w:val="00107E75"/>
    <w:rsid w:val="00113A5B"/>
    <w:rsid w:val="001231BE"/>
    <w:rsid w:val="00134FED"/>
    <w:rsid w:val="00135CF2"/>
    <w:rsid w:val="00142620"/>
    <w:rsid w:val="00151A9D"/>
    <w:rsid w:val="00153908"/>
    <w:rsid w:val="001625F6"/>
    <w:rsid w:val="00166AF9"/>
    <w:rsid w:val="00176803"/>
    <w:rsid w:val="00185CE4"/>
    <w:rsid w:val="001B5048"/>
    <w:rsid w:val="001D7830"/>
    <w:rsid w:val="001E2DCE"/>
    <w:rsid w:val="001E736E"/>
    <w:rsid w:val="001E79D1"/>
    <w:rsid w:val="001F6E93"/>
    <w:rsid w:val="00205825"/>
    <w:rsid w:val="00214B6C"/>
    <w:rsid w:val="00215FC3"/>
    <w:rsid w:val="0022406C"/>
    <w:rsid w:val="002306CB"/>
    <w:rsid w:val="00247FDF"/>
    <w:rsid w:val="002553AD"/>
    <w:rsid w:val="00282F57"/>
    <w:rsid w:val="00284EDF"/>
    <w:rsid w:val="0028778C"/>
    <w:rsid w:val="00290FBD"/>
    <w:rsid w:val="0029617C"/>
    <w:rsid w:val="002A435D"/>
    <w:rsid w:val="002B0E34"/>
    <w:rsid w:val="002B0F49"/>
    <w:rsid w:val="002B7B0F"/>
    <w:rsid w:val="002C418C"/>
    <w:rsid w:val="002E317A"/>
    <w:rsid w:val="002E7ECF"/>
    <w:rsid w:val="002F1D33"/>
    <w:rsid w:val="002F28D7"/>
    <w:rsid w:val="00325258"/>
    <w:rsid w:val="00330925"/>
    <w:rsid w:val="00365286"/>
    <w:rsid w:val="00367077"/>
    <w:rsid w:val="0036766F"/>
    <w:rsid w:val="00382AA6"/>
    <w:rsid w:val="00392FA6"/>
    <w:rsid w:val="00396A79"/>
    <w:rsid w:val="003B1EBE"/>
    <w:rsid w:val="003B4321"/>
    <w:rsid w:val="003B4695"/>
    <w:rsid w:val="003B72DF"/>
    <w:rsid w:val="003B736B"/>
    <w:rsid w:val="003D7B3F"/>
    <w:rsid w:val="003E1144"/>
    <w:rsid w:val="003F0BDF"/>
    <w:rsid w:val="003F0CF2"/>
    <w:rsid w:val="003F1D77"/>
    <w:rsid w:val="003F53D4"/>
    <w:rsid w:val="003F5C1F"/>
    <w:rsid w:val="004033AA"/>
    <w:rsid w:val="00403BBC"/>
    <w:rsid w:val="00413571"/>
    <w:rsid w:val="00413890"/>
    <w:rsid w:val="00422FAF"/>
    <w:rsid w:val="00423026"/>
    <w:rsid w:val="00442E7C"/>
    <w:rsid w:val="00444315"/>
    <w:rsid w:val="00467A25"/>
    <w:rsid w:val="0047039E"/>
    <w:rsid w:val="004873F6"/>
    <w:rsid w:val="004A0D81"/>
    <w:rsid w:val="004B10CA"/>
    <w:rsid w:val="004B2116"/>
    <w:rsid w:val="004C53AF"/>
    <w:rsid w:val="004C7987"/>
    <w:rsid w:val="004E4D99"/>
    <w:rsid w:val="004E6937"/>
    <w:rsid w:val="004F510F"/>
    <w:rsid w:val="004F5575"/>
    <w:rsid w:val="00500D62"/>
    <w:rsid w:val="00506977"/>
    <w:rsid w:val="00511FFA"/>
    <w:rsid w:val="0051302A"/>
    <w:rsid w:val="00517001"/>
    <w:rsid w:val="005205BD"/>
    <w:rsid w:val="0052226B"/>
    <w:rsid w:val="00531FD3"/>
    <w:rsid w:val="00533D08"/>
    <w:rsid w:val="00544EF0"/>
    <w:rsid w:val="00565D66"/>
    <w:rsid w:val="005664A8"/>
    <w:rsid w:val="00576A45"/>
    <w:rsid w:val="005824F0"/>
    <w:rsid w:val="005831F0"/>
    <w:rsid w:val="00583D7B"/>
    <w:rsid w:val="00593D21"/>
    <w:rsid w:val="00595694"/>
    <w:rsid w:val="0059649E"/>
    <w:rsid w:val="005B0890"/>
    <w:rsid w:val="005E0AD1"/>
    <w:rsid w:val="005E11E3"/>
    <w:rsid w:val="005E1425"/>
    <w:rsid w:val="005E3C7E"/>
    <w:rsid w:val="005E4595"/>
    <w:rsid w:val="005E6D13"/>
    <w:rsid w:val="005F041B"/>
    <w:rsid w:val="0060564E"/>
    <w:rsid w:val="00605D52"/>
    <w:rsid w:val="00611E14"/>
    <w:rsid w:val="00613DF3"/>
    <w:rsid w:val="00614AEF"/>
    <w:rsid w:val="00617A3E"/>
    <w:rsid w:val="00621724"/>
    <w:rsid w:val="006232DF"/>
    <w:rsid w:val="006318EA"/>
    <w:rsid w:val="006365B2"/>
    <w:rsid w:val="0064410C"/>
    <w:rsid w:val="00653AFF"/>
    <w:rsid w:val="006763C7"/>
    <w:rsid w:val="006839AC"/>
    <w:rsid w:val="006845C5"/>
    <w:rsid w:val="0068753F"/>
    <w:rsid w:val="00690F0E"/>
    <w:rsid w:val="006950BB"/>
    <w:rsid w:val="006A5211"/>
    <w:rsid w:val="006A7591"/>
    <w:rsid w:val="006A7B37"/>
    <w:rsid w:val="006B43AF"/>
    <w:rsid w:val="006C116B"/>
    <w:rsid w:val="006C3DD6"/>
    <w:rsid w:val="006C7B4E"/>
    <w:rsid w:val="006C7D32"/>
    <w:rsid w:val="006D4FC4"/>
    <w:rsid w:val="006D71CD"/>
    <w:rsid w:val="006E0B5E"/>
    <w:rsid w:val="006F3218"/>
    <w:rsid w:val="00702C60"/>
    <w:rsid w:val="00707719"/>
    <w:rsid w:val="00714E5C"/>
    <w:rsid w:val="00715FDD"/>
    <w:rsid w:val="007206E9"/>
    <w:rsid w:val="00724271"/>
    <w:rsid w:val="00732234"/>
    <w:rsid w:val="0073348C"/>
    <w:rsid w:val="00746483"/>
    <w:rsid w:val="0075158E"/>
    <w:rsid w:val="0077781F"/>
    <w:rsid w:val="00782D90"/>
    <w:rsid w:val="00784B35"/>
    <w:rsid w:val="007A5371"/>
    <w:rsid w:val="007B108E"/>
    <w:rsid w:val="007C2EB6"/>
    <w:rsid w:val="007C3554"/>
    <w:rsid w:val="007C4CC7"/>
    <w:rsid w:val="007D4981"/>
    <w:rsid w:val="008003E3"/>
    <w:rsid w:val="00800507"/>
    <w:rsid w:val="00806FD6"/>
    <w:rsid w:val="008105A3"/>
    <w:rsid w:val="00813F61"/>
    <w:rsid w:val="008215EC"/>
    <w:rsid w:val="00823F6C"/>
    <w:rsid w:val="00830A6D"/>
    <w:rsid w:val="00852DB7"/>
    <w:rsid w:val="008576C8"/>
    <w:rsid w:val="00860192"/>
    <w:rsid w:val="00883545"/>
    <w:rsid w:val="008858BB"/>
    <w:rsid w:val="00885929"/>
    <w:rsid w:val="00886F68"/>
    <w:rsid w:val="00886FA9"/>
    <w:rsid w:val="00890910"/>
    <w:rsid w:val="00897E23"/>
    <w:rsid w:val="008A30D5"/>
    <w:rsid w:val="008A5763"/>
    <w:rsid w:val="008A6CE2"/>
    <w:rsid w:val="008A773F"/>
    <w:rsid w:val="008B1519"/>
    <w:rsid w:val="008C23AA"/>
    <w:rsid w:val="008C2CCA"/>
    <w:rsid w:val="008F52D6"/>
    <w:rsid w:val="00903C99"/>
    <w:rsid w:val="00907F95"/>
    <w:rsid w:val="00923871"/>
    <w:rsid w:val="00930DDC"/>
    <w:rsid w:val="00937398"/>
    <w:rsid w:val="00940706"/>
    <w:rsid w:val="0094518E"/>
    <w:rsid w:val="009472B6"/>
    <w:rsid w:val="009519B8"/>
    <w:rsid w:val="00955E6D"/>
    <w:rsid w:val="00956F1F"/>
    <w:rsid w:val="0096256E"/>
    <w:rsid w:val="0097019C"/>
    <w:rsid w:val="009729E6"/>
    <w:rsid w:val="009802C0"/>
    <w:rsid w:val="00985B93"/>
    <w:rsid w:val="00993C69"/>
    <w:rsid w:val="009961FA"/>
    <w:rsid w:val="009B7019"/>
    <w:rsid w:val="009C0922"/>
    <w:rsid w:val="009E7A6A"/>
    <w:rsid w:val="009F47B7"/>
    <w:rsid w:val="00A22E27"/>
    <w:rsid w:val="00A25096"/>
    <w:rsid w:val="00A2593C"/>
    <w:rsid w:val="00A25ADD"/>
    <w:rsid w:val="00A50A46"/>
    <w:rsid w:val="00A54CC5"/>
    <w:rsid w:val="00A62286"/>
    <w:rsid w:val="00A733BB"/>
    <w:rsid w:val="00A811CB"/>
    <w:rsid w:val="00A82999"/>
    <w:rsid w:val="00A83ECB"/>
    <w:rsid w:val="00A85290"/>
    <w:rsid w:val="00A9064E"/>
    <w:rsid w:val="00AC2BAB"/>
    <w:rsid w:val="00AE02A9"/>
    <w:rsid w:val="00AE0DFE"/>
    <w:rsid w:val="00AE5BCC"/>
    <w:rsid w:val="00AE7870"/>
    <w:rsid w:val="00AF0CB4"/>
    <w:rsid w:val="00AF2C97"/>
    <w:rsid w:val="00AF45B6"/>
    <w:rsid w:val="00B131F0"/>
    <w:rsid w:val="00B17B5D"/>
    <w:rsid w:val="00B224B8"/>
    <w:rsid w:val="00B26806"/>
    <w:rsid w:val="00B3326F"/>
    <w:rsid w:val="00B51567"/>
    <w:rsid w:val="00B55342"/>
    <w:rsid w:val="00B555F8"/>
    <w:rsid w:val="00B60241"/>
    <w:rsid w:val="00B70682"/>
    <w:rsid w:val="00B755E6"/>
    <w:rsid w:val="00B8251D"/>
    <w:rsid w:val="00B85700"/>
    <w:rsid w:val="00B9414C"/>
    <w:rsid w:val="00BA74BF"/>
    <w:rsid w:val="00BC028C"/>
    <w:rsid w:val="00BC5321"/>
    <w:rsid w:val="00BD0DE9"/>
    <w:rsid w:val="00BD2F03"/>
    <w:rsid w:val="00BE242D"/>
    <w:rsid w:val="00BF117B"/>
    <w:rsid w:val="00BF730E"/>
    <w:rsid w:val="00C10BA9"/>
    <w:rsid w:val="00C11D61"/>
    <w:rsid w:val="00C16326"/>
    <w:rsid w:val="00C163BF"/>
    <w:rsid w:val="00C215E8"/>
    <w:rsid w:val="00C242BC"/>
    <w:rsid w:val="00C26CF5"/>
    <w:rsid w:val="00C370F8"/>
    <w:rsid w:val="00C4761C"/>
    <w:rsid w:val="00C6401B"/>
    <w:rsid w:val="00C7321B"/>
    <w:rsid w:val="00C74329"/>
    <w:rsid w:val="00C75FFB"/>
    <w:rsid w:val="00C9628E"/>
    <w:rsid w:val="00C96CD5"/>
    <w:rsid w:val="00CA15BE"/>
    <w:rsid w:val="00CB521D"/>
    <w:rsid w:val="00CC08E5"/>
    <w:rsid w:val="00CC222D"/>
    <w:rsid w:val="00CD5D76"/>
    <w:rsid w:val="00CE07A3"/>
    <w:rsid w:val="00CE2101"/>
    <w:rsid w:val="00CF21C8"/>
    <w:rsid w:val="00CF72E9"/>
    <w:rsid w:val="00D07034"/>
    <w:rsid w:val="00D12622"/>
    <w:rsid w:val="00D12D18"/>
    <w:rsid w:val="00D13710"/>
    <w:rsid w:val="00D17C67"/>
    <w:rsid w:val="00D21AB3"/>
    <w:rsid w:val="00D3059A"/>
    <w:rsid w:val="00D364A9"/>
    <w:rsid w:val="00D438EF"/>
    <w:rsid w:val="00D4667A"/>
    <w:rsid w:val="00D57F3F"/>
    <w:rsid w:val="00D63FF6"/>
    <w:rsid w:val="00D82A24"/>
    <w:rsid w:val="00DA63C4"/>
    <w:rsid w:val="00DB37AD"/>
    <w:rsid w:val="00DB6812"/>
    <w:rsid w:val="00DD313A"/>
    <w:rsid w:val="00DD5FDD"/>
    <w:rsid w:val="00E016D0"/>
    <w:rsid w:val="00E1213E"/>
    <w:rsid w:val="00E24AC4"/>
    <w:rsid w:val="00E31135"/>
    <w:rsid w:val="00E56764"/>
    <w:rsid w:val="00E63E41"/>
    <w:rsid w:val="00E65FF5"/>
    <w:rsid w:val="00E74FF2"/>
    <w:rsid w:val="00E8283D"/>
    <w:rsid w:val="00E82D3A"/>
    <w:rsid w:val="00E874C4"/>
    <w:rsid w:val="00E90693"/>
    <w:rsid w:val="00E9329B"/>
    <w:rsid w:val="00EA2F64"/>
    <w:rsid w:val="00EA5973"/>
    <w:rsid w:val="00EB32C9"/>
    <w:rsid w:val="00EB747F"/>
    <w:rsid w:val="00EC07DF"/>
    <w:rsid w:val="00ED02AB"/>
    <w:rsid w:val="00ED15A9"/>
    <w:rsid w:val="00EE3B29"/>
    <w:rsid w:val="00EE4877"/>
    <w:rsid w:val="00EF06E7"/>
    <w:rsid w:val="00EF14B0"/>
    <w:rsid w:val="00F053D7"/>
    <w:rsid w:val="00F06223"/>
    <w:rsid w:val="00F1069B"/>
    <w:rsid w:val="00F238DD"/>
    <w:rsid w:val="00F2549F"/>
    <w:rsid w:val="00F32DBC"/>
    <w:rsid w:val="00F34168"/>
    <w:rsid w:val="00F4333D"/>
    <w:rsid w:val="00F446ED"/>
    <w:rsid w:val="00F44F82"/>
    <w:rsid w:val="00F509D2"/>
    <w:rsid w:val="00F66FE7"/>
    <w:rsid w:val="00F676A9"/>
    <w:rsid w:val="00F71E05"/>
    <w:rsid w:val="00F82ABE"/>
    <w:rsid w:val="00F84526"/>
    <w:rsid w:val="00F90288"/>
    <w:rsid w:val="00F908F2"/>
    <w:rsid w:val="00FA0C2B"/>
    <w:rsid w:val="00FA3658"/>
    <w:rsid w:val="00FB0301"/>
    <w:rsid w:val="00FC7768"/>
    <w:rsid w:val="00FD4128"/>
    <w:rsid w:val="00FD67E3"/>
    <w:rsid w:val="00FD7A82"/>
    <w:rsid w:val="00FE5D48"/>
    <w:rsid w:val="00FF38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1B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26B"/>
    <w:pPr>
      <w:widowControl w:val="0"/>
      <w:spacing w:line="480" w:lineRule="auto"/>
      <w:ind w:firstLineChars="200" w:firstLine="200"/>
      <w:jc w:val="both"/>
    </w:pPr>
    <w:rPr>
      <w:rFonts w:ascii="Times New Roman" w:eastAsia="Times New Roman" w:hAnsi="Times New Roman"/>
      <w:kern w:val="2"/>
      <w:szCs w:val="22"/>
      <w:lang w:val="en-US" w:eastAsia="zh-CN"/>
    </w:rPr>
  </w:style>
  <w:style w:type="paragraph" w:styleId="Heading1">
    <w:name w:val="heading 1"/>
    <w:basedOn w:val="Normal"/>
    <w:next w:val="Normal"/>
    <w:link w:val="Heading1Char"/>
    <w:uiPriority w:val="9"/>
    <w:qFormat/>
    <w:rsid w:val="005E3C7E"/>
    <w:pPr>
      <w:keepNext/>
      <w:keepLines/>
      <w:numPr>
        <w:numId w:val="1"/>
      </w:numPr>
      <w:spacing w:beforeLines="150" w:before="150" w:afterLines="150" w:after="150"/>
      <w:ind w:firstLineChars="0"/>
      <w:jc w:val="center"/>
      <w:outlineLvl w:val="0"/>
    </w:pPr>
    <w:rPr>
      <w:rFonts w:cstheme="majorBidi"/>
      <w:b/>
      <w:sz w:val="32"/>
      <w:szCs w:val="32"/>
    </w:rPr>
  </w:style>
  <w:style w:type="paragraph" w:styleId="Heading2">
    <w:name w:val="heading 2"/>
    <w:basedOn w:val="Normal"/>
    <w:next w:val="Normal"/>
    <w:link w:val="Heading2Char"/>
    <w:uiPriority w:val="9"/>
    <w:unhideWhenUsed/>
    <w:qFormat/>
    <w:rsid w:val="005E3C7E"/>
    <w:pPr>
      <w:keepNext/>
      <w:keepLines/>
      <w:numPr>
        <w:ilvl w:val="1"/>
        <w:numId w:val="1"/>
      </w:numPr>
      <w:spacing w:beforeLines="100" w:before="100" w:afterLines="100" w:after="100"/>
      <w:ind w:firstLineChars="0"/>
      <w:jc w:val="left"/>
      <w:outlineLvl w:val="1"/>
    </w:pPr>
    <w:rPr>
      <w:rFonts w:cstheme="majorBidi"/>
      <w:b/>
      <w:sz w:val="30"/>
      <w:szCs w:val="26"/>
    </w:rPr>
  </w:style>
  <w:style w:type="paragraph" w:styleId="Heading3">
    <w:name w:val="heading 3"/>
    <w:basedOn w:val="Normal"/>
    <w:next w:val="Normal"/>
    <w:link w:val="Heading3Char"/>
    <w:uiPriority w:val="9"/>
    <w:unhideWhenUsed/>
    <w:qFormat/>
    <w:rsid w:val="005E3C7E"/>
    <w:pPr>
      <w:keepNext/>
      <w:keepLines/>
      <w:numPr>
        <w:ilvl w:val="2"/>
        <w:numId w:val="1"/>
      </w:numPr>
      <w:spacing w:beforeLines="50" w:before="50" w:afterLines="50" w:after="50"/>
      <w:ind w:firstLineChars="0"/>
      <w:jc w:val="left"/>
      <w:outlineLvl w:val="2"/>
    </w:pPr>
    <w:rPr>
      <w:rFonts w:cstheme="majorBidi"/>
      <w:b/>
      <w:i/>
      <w:szCs w:val="24"/>
    </w:rPr>
  </w:style>
  <w:style w:type="paragraph" w:styleId="Heading4">
    <w:name w:val="heading 4"/>
    <w:basedOn w:val="Normal"/>
    <w:next w:val="Normal"/>
    <w:link w:val="Heading4Char"/>
    <w:uiPriority w:val="9"/>
    <w:unhideWhenUsed/>
    <w:qFormat/>
    <w:rsid w:val="005E3C7E"/>
    <w:pPr>
      <w:keepNext/>
      <w:keepLines/>
      <w:numPr>
        <w:ilvl w:val="3"/>
        <w:numId w:val="1"/>
      </w:numPr>
      <w:spacing w:before="40"/>
      <w:ind w:firstLineChars="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3C7E"/>
    <w:pPr>
      <w:keepNext/>
      <w:keepLines/>
      <w:numPr>
        <w:ilvl w:val="4"/>
        <w:numId w:val="1"/>
      </w:numPr>
      <w:spacing w:before="40"/>
      <w:ind w:firstLineChars="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E3C7E"/>
    <w:pPr>
      <w:keepNext/>
      <w:keepLines/>
      <w:numPr>
        <w:ilvl w:val="5"/>
        <w:numId w:val="1"/>
      </w:numPr>
      <w:spacing w:before="40"/>
      <w:ind w:firstLineChars="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E3C7E"/>
    <w:pPr>
      <w:keepNext/>
      <w:keepLines/>
      <w:numPr>
        <w:ilvl w:val="6"/>
        <w:numId w:val="1"/>
      </w:numPr>
      <w:spacing w:before="40"/>
      <w:ind w:firstLineChars="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E3C7E"/>
    <w:pPr>
      <w:keepNext/>
      <w:keepLines/>
      <w:numPr>
        <w:ilvl w:val="7"/>
        <w:numId w:val="1"/>
      </w:numPr>
      <w:spacing w:before="40"/>
      <w:ind w:firstLineChars="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E3C7E"/>
    <w:pPr>
      <w:keepNext/>
      <w:keepLines/>
      <w:numPr>
        <w:ilvl w:val="8"/>
        <w:numId w:val="1"/>
      </w:numPr>
      <w:spacing w:before="40"/>
      <w:ind w:firstLineChars="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96CD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96CD5"/>
    <w:rPr>
      <w:rFonts w:ascii="Times New Roman" w:eastAsia="Times New Roman" w:hAnsi="Times New Roman"/>
      <w:kern w:val="2"/>
      <w:sz w:val="18"/>
      <w:szCs w:val="18"/>
      <w:lang w:val="en-US" w:eastAsia="zh-CN"/>
    </w:rPr>
  </w:style>
  <w:style w:type="character" w:customStyle="1" w:styleId="Heading1Char">
    <w:name w:val="Heading 1 Char"/>
    <w:basedOn w:val="DefaultParagraphFont"/>
    <w:link w:val="Heading1"/>
    <w:uiPriority w:val="9"/>
    <w:rsid w:val="005E3C7E"/>
    <w:rPr>
      <w:rFonts w:ascii="Times New Roman" w:eastAsia="Times New Roman" w:hAnsi="Times New Roman" w:cstheme="majorBidi"/>
      <w:b/>
      <w:kern w:val="2"/>
      <w:sz w:val="32"/>
      <w:szCs w:val="32"/>
      <w:lang w:val="en-US" w:eastAsia="zh-CN"/>
    </w:rPr>
  </w:style>
  <w:style w:type="character" w:customStyle="1" w:styleId="Heading2Char">
    <w:name w:val="Heading 2 Char"/>
    <w:basedOn w:val="DefaultParagraphFont"/>
    <w:link w:val="Heading2"/>
    <w:uiPriority w:val="9"/>
    <w:rsid w:val="005E3C7E"/>
    <w:rPr>
      <w:rFonts w:ascii="Times New Roman" w:eastAsia="Times New Roman" w:hAnsi="Times New Roman" w:cstheme="majorBidi"/>
      <w:b/>
      <w:kern w:val="2"/>
      <w:sz w:val="30"/>
      <w:szCs w:val="26"/>
      <w:lang w:val="en-US" w:eastAsia="zh-CN"/>
    </w:rPr>
  </w:style>
  <w:style w:type="character" w:customStyle="1" w:styleId="Heading3Char">
    <w:name w:val="Heading 3 Char"/>
    <w:basedOn w:val="DefaultParagraphFont"/>
    <w:link w:val="Heading3"/>
    <w:uiPriority w:val="9"/>
    <w:rsid w:val="005E3C7E"/>
    <w:rPr>
      <w:rFonts w:ascii="Times New Roman" w:eastAsia="Times New Roman" w:hAnsi="Times New Roman" w:cstheme="majorBidi"/>
      <w:b/>
      <w:i/>
      <w:kern w:val="2"/>
      <w:lang w:val="en-US" w:eastAsia="zh-CN"/>
    </w:rPr>
  </w:style>
  <w:style w:type="character" w:customStyle="1" w:styleId="Heading4Char">
    <w:name w:val="Heading 4 Char"/>
    <w:basedOn w:val="DefaultParagraphFont"/>
    <w:link w:val="Heading4"/>
    <w:uiPriority w:val="9"/>
    <w:rsid w:val="005E3C7E"/>
    <w:rPr>
      <w:rFonts w:asciiTheme="majorHAnsi" w:eastAsiaTheme="majorEastAsia" w:hAnsiTheme="majorHAnsi" w:cstheme="majorBidi"/>
      <w:i/>
      <w:iCs/>
      <w:color w:val="2F5496" w:themeColor="accent1" w:themeShade="BF"/>
      <w:kern w:val="2"/>
      <w:szCs w:val="22"/>
      <w:lang w:val="en-US" w:eastAsia="zh-CN"/>
    </w:rPr>
  </w:style>
  <w:style w:type="character" w:customStyle="1" w:styleId="Heading5Char">
    <w:name w:val="Heading 5 Char"/>
    <w:basedOn w:val="DefaultParagraphFont"/>
    <w:link w:val="Heading5"/>
    <w:uiPriority w:val="9"/>
    <w:semiHidden/>
    <w:rsid w:val="005E3C7E"/>
    <w:rPr>
      <w:rFonts w:asciiTheme="majorHAnsi" w:eastAsiaTheme="majorEastAsia" w:hAnsiTheme="majorHAnsi" w:cstheme="majorBidi"/>
      <w:color w:val="2F5496" w:themeColor="accent1" w:themeShade="BF"/>
      <w:kern w:val="2"/>
      <w:szCs w:val="22"/>
      <w:lang w:val="en-US" w:eastAsia="zh-CN"/>
    </w:rPr>
  </w:style>
  <w:style w:type="character" w:customStyle="1" w:styleId="Heading6Char">
    <w:name w:val="Heading 6 Char"/>
    <w:basedOn w:val="DefaultParagraphFont"/>
    <w:link w:val="Heading6"/>
    <w:uiPriority w:val="9"/>
    <w:semiHidden/>
    <w:rsid w:val="005E3C7E"/>
    <w:rPr>
      <w:rFonts w:asciiTheme="majorHAnsi" w:eastAsiaTheme="majorEastAsia" w:hAnsiTheme="majorHAnsi" w:cstheme="majorBidi"/>
      <w:color w:val="1F3763" w:themeColor="accent1" w:themeShade="7F"/>
      <w:kern w:val="2"/>
      <w:szCs w:val="22"/>
      <w:lang w:val="en-US" w:eastAsia="zh-CN"/>
    </w:rPr>
  </w:style>
  <w:style w:type="character" w:customStyle="1" w:styleId="Heading7Char">
    <w:name w:val="Heading 7 Char"/>
    <w:basedOn w:val="DefaultParagraphFont"/>
    <w:link w:val="Heading7"/>
    <w:uiPriority w:val="9"/>
    <w:semiHidden/>
    <w:rsid w:val="005E3C7E"/>
    <w:rPr>
      <w:rFonts w:asciiTheme="majorHAnsi" w:eastAsiaTheme="majorEastAsia" w:hAnsiTheme="majorHAnsi" w:cstheme="majorBidi"/>
      <w:i/>
      <w:iCs/>
      <w:color w:val="1F3763" w:themeColor="accent1" w:themeShade="7F"/>
      <w:kern w:val="2"/>
      <w:szCs w:val="22"/>
      <w:lang w:val="en-US" w:eastAsia="zh-CN"/>
    </w:rPr>
  </w:style>
  <w:style w:type="character" w:customStyle="1" w:styleId="Heading8Char">
    <w:name w:val="Heading 8 Char"/>
    <w:basedOn w:val="DefaultParagraphFont"/>
    <w:link w:val="Heading8"/>
    <w:uiPriority w:val="9"/>
    <w:semiHidden/>
    <w:rsid w:val="005E3C7E"/>
    <w:rPr>
      <w:rFonts w:asciiTheme="majorHAnsi" w:eastAsiaTheme="majorEastAsia" w:hAnsiTheme="majorHAnsi" w:cstheme="majorBidi"/>
      <w:color w:val="272727" w:themeColor="text1" w:themeTint="D8"/>
      <w:kern w:val="2"/>
      <w:szCs w:val="21"/>
      <w:lang w:val="en-US" w:eastAsia="zh-CN"/>
    </w:rPr>
  </w:style>
  <w:style w:type="character" w:customStyle="1" w:styleId="Heading9Char">
    <w:name w:val="Heading 9 Char"/>
    <w:basedOn w:val="DefaultParagraphFont"/>
    <w:link w:val="Heading9"/>
    <w:uiPriority w:val="9"/>
    <w:semiHidden/>
    <w:rsid w:val="005E3C7E"/>
    <w:rPr>
      <w:rFonts w:asciiTheme="majorHAnsi" w:eastAsiaTheme="majorEastAsia" w:hAnsiTheme="majorHAnsi" w:cstheme="majorBidi"/>
      <w:i/>
      <w:iCs/>
      <w:color w:val="272727" w:themeColor="text1" w:themeTint="D8"/>
      <w:kern w:val="2"/>
      <w:szCs w:val="21"/>
      <w:lang w:val="en-US" w:eastAsia="zh-CN"/>
    </w:rPr>
  </w:style>
  <w:style w:type="paragraph" w:styleId="ListParagraph">
    <w:name w:val="List Paragraph"/>
    <w:basedOn w:val="Normal"/>
    <w:link w:val="ListParagraphChar"/>
    <w:uiPriority w:val="34"/>
    <w:qFormat/>
    <w:rsid w:val="00897E23"/>
    <w:pPr>
      <w:widowControl/>
      <w:ind w:left="720"/>
      <w:contextualSpacing/>
      <w:jc w:val="left"/>
    </w:pPr>
    <w:rPr>
      <w:kern w:val="0"/>
      <w:szCs w:val="24"/>
      <w:lang w:val="en-GB"/>
    </w:rPr>
  </w:style>
  <w:style w:type="character" w:customStyle="1" w:styleId="ListParagraphChar">
    <w:name w:val="List Paragraph Char"/>
    <w:basedOn w:val="DefaultParagraphFont"/>
    <w:link w:val="ListParagraph"/>
    <w:uiPriority w:val="34"/>
    <w:rsid w:val="00897E23"/>
    <w:rPr>
      <w:rFonts w:ascii="Times New Roman" w:eastAsia="Times New Roman" w:hAnsi="Times New Roman"/>
      <w:lang w:eastAsia="zh-CN"/>
    </w:rPr>
  </w:style>
  <w:style w:type="table" w:styleId="TableGrid">
    <w:name w:val="Table Grid"/>
    <w:basedOn w:val="TableNormal"/>
    <w:uiPriority w:val="59"/>
    <w:rsid w:val="006845C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表题"/>
    <w:basedOn w:val="Normal"/>
    <w:qFormat/>
    <w:rsid w:val="006845C5"/>
    <w:pPr>
      <w:spacing w:line="240" w:lineRule="auto"/>
      <w:jc w:val="center"/>
    </w:pPr>
    <w:rPr>
      <w:rFonts w:cs="Times New Roman"/>
      <w:b/>
      <w:szCs w:val="24"/>
      <w:u w:val="single"/>
    </w:rPr>
  </w:style>
  <w:style w:type="paragraph" w:styleId="Header">
    <w:name w:val="header"/>
    <w:basedOn w:val="Normal"/>
    <w:link w:val="HeaderChar"/>
    <w:uiPriority w:val="99"/>
    <w:unhideWhenUsed/>
    <w:rsid w:val="006C7D32"/>
    <w:pPr>
      <w:tabs>
        <w:tab w:val="center" w:pos="4513"/>
        <w:tab w:val="right" w:pos="9026"/>
      </w:tabs>
      <w:spacing w:line="240" w:lineRule="auto"/>
    </w:pPr>
  </w:style>
  <w:style w:type="character" w:customStyle="1" w:styleId="HeaderChar">
    <w:name w:val="Header Char"/>
    <w:basedOn w:val="DefaultParagraphFont"/>
    <w:link w:val="Header"/>
    <w:uiPriority w:val="99"/>
    <w:rsid w:val="006C7D32"/>
    <w:rPr>
      <w:rFonts w:ascii="Times New Roman" w:eastAsia="Times New Roman" w:hAnsi="Times New Roman"/>
      <w:kern w:val="2"/>
      <w:szCs w:val="22"/>
      <w:lang w:val="en-US" w:eastAsia="zh-CN"/>
    </w:rPr>
  </w:style>
  <w:style w:type="character" w:styleId="CommentReference">
    <w:name w:val="annotation reference"/>
    <w:basedOn w:val="DefaultParagraphFont"/>
    <w:uiPriority w:val="99"/>
    <w:semiHidden/>
    <w:unhideWhenUsed/>
    <w:rsid w:val="00A9064E"/>
    <w:rPr>
      <w:sz w:val="16"/>
      <w:szCs w:val="16"/>
    </w:rPr>
  </w:style>
  <w:style w:type="paragraph" w:styleId="CommentText">
    <w:name w:val="annotation text"/>
    <w:basedOn w:val="Normal"/>
    <w:link w:val="CommentTextChar"/>
    <w:uiPriority w:val="99"/>
    <w:semiHidden/>
    <w:unhideWhenUsed/>
    <w:rsid w:val="00A9064E"/>
    <w:pPr>
      <w:spacing w:line="240" w:lineRule="auto"/>
    </w:pPr>
    <w:rPr>
      <w:sz w:val="20"/>
      <w:szCs w:val="20"/>
    </w:rPr>
  </w:style>
  <w:style w:type="character" w:customStyle="1" w:styleId="CommentTextChar">
    <w:name w:val="Comment Text Char"/>
    <w:basedOn w:val="DefaultParagraphFont"/>
    <w:link w:val="CommentText"/>
    <w:uiPriority w:val="99"/>
    <w:semiHidden/>
    <w:rsid w:val="00A9064E"/>
    <w:rPr>
      <w:rFonts w:ascii="Times New Roman" w:eastAsia="Times New Roman" w:hAnsi="Times New Roman"/>
      <w:kern w:val="2"/>
      <w:sz w:val="20"/>
      <w:szCs w:val="20"/>
      <w:lang w:val="en-US" w:eastAsia="zh-CN"/>
    </w:rPr>
  </w:style>
  <w:style w:type="paragraph" w:styleId="CommentSubject">
    <w:name w:val="annotation subject"/>
    <w:basedOn w:val="CommentText"/>
    <w:next w:val="CommentText"/>
    <w:link w:val="CommentSubjectChar"/>
    <w:uiPriority w:val="99"/>
    <w:semiHidden/>
    <w:unhideWhenUsed/>
    <w:rsid w:val="00A9064E"/>
    <w:rPr>
      <w:b/>
      <w:bCs/>
    </w:rPr>
  </w:style>
  <w:style w:type="character" w:customStyle="1" w:styleId="CommentSubjectChar">
    <w:name w:val="Comment Subject Char"/>
    <w:basedOn w:val="CommentTextChar"/>
    <w:link w:val="CommentSubject"/>
    <w:uiPriority w:val="99"/>
    <w:semiHidden/>
    <w:rsid w:val="00A9064E"/>
    <w:rPr>
      <w:rFonts w:ascii="Times New Roman" w:eastAsia="Times New Roman" w:hAnsi="Times New Roman"/>
      <w:b/>
      <w:bCs/>
      <w:kern w:val="2"/>
      <w:sz w:val="20"/>
      <w:szCs w:val="20"/>
      <w:lang w:val="en-US" w:eastAsia="zh-CN"/>
    </w:rPr>
  </w:style>
  <w:style w:type="paragraph" w:styleId="BalloonText">
    <w:name w:val="Balloon Text"/>
    <w:basedOn w:val="Normal"/>
    <w:link w:val="BalloonTextChar"/>
    <w:uiPriority w:val="99"/>
    <w:semiHidden/>
    <w:unhideWhenUsed/>
    <w:rsid w:val="00A906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64E"/>
    <w:rPr>
      <w:rFonts w:ascii="Segoe UI" w:eastAsia="Times New Roman" w:hAnsi="Segoe UI" w:cs="Segoe UI"/>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538636">
      <w:bodyDiv w:val="1"/>
      <w:marLeft w:val="0"/>
      <w:marRight w:val="0"/>
      <w:marTop w:val="0"/>
      <w:marBottom w:val="0"/>
      <w:divBdr>
        <w:top w:val="none" w:sz="0" w:space="0" w:color="auto"/>
        <w:left w:val="none" w:sz="0" w:space="0" w:color="auto"/>
        <w:bottom w:val="none" w:sz="0" w:space="0" w:color="auto"/>
        <w:right w:val="none" w:sz="0" w:space="0" w:color="auto"/>
      </w:divBdr>
      <w:divsChild>
        <w:div w:id="1450318874">
          <w:marLeft w:val="240"/>
          <w:marRight w:val="24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24037;&#20316;&#31807;3"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solidFill>
                    <a:schemeClr val="tx1">
                      <a:lumMod val="15000"/>
                      <a:lumOff val="85000"/>
                    </a:schemeClr>
                  </a:solidFill>
                  <a:prstDash val="solid"/>
                </a:ln>
                <a:solidFill>
                  <a:schemeClr val="tx1">
                    <a:lumMod val="65000"/>
                    <a:lumOff val="35000"/>
                  </a:schemeClr>
                </a:solidFill>
                <a:latin typeface="+mn-lt"/>
                <a:ea typeface="+mn-ea"/>
                <a:cs typeface="+mn-cs"/>
              </a:defRPr>
            </a:pPr>
            <a:r>
              <a:rPr lang="en-US"/>
              <a:t>Announcement Period Cumulative Average Returns for </a:t>
            </a:r>
          </a:p>
          <a:p>
            <a:pPr>
              <a:defRPr/>
            </a:pPr>
            <a:r>
              <a:rPr lang="en-US"/>
              <a:t>Entire Estimation Window (day -26 to day +26)</a:t>
            </a:r>
          </a:p>
        </c:rich>
      </c:tx>
      <c:layout/>
      <c:overlay val="0"/>
      <c:spPr>
        <a:noFill/>
        <a:ln>
          <a:noFill/>
        </a:ln>
        <a:effectLst/>
      </c:spPr>
      <c:txPr>
        <a:bodyPr rot="0" spcFirstLastPara="1" vertOverflow="ellipsis" vert="horz" wrap="square" anchor="ctr" anchorCtr="1"/>
        <a:lstStyle/>
        <a:p>
          <a:pPr>
            <a:defRPr sz="1400" b="0" i="0" u="none" strike="noStrike" kern="1200" spc="0" baseline="0">
              <a:ln>
                <a:solidFill>
                  <a:schemeClr val="tx1">
                    <a:lumMod val="15000"/>
                    <a:lumOff val="85000"/>
                  </a:schemeClr>
                </a:solidFill>
                <a:prstDash val="solid"/>
              </a:ln>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Sheet1!$B$1</c:f>
              <c:strCache>
                <c:ptCount val="1"/>
                <c:pt idx="0">
                  <c:v>HK</c:v>
                </c:pt>
              </c:strCache>
            </c:strRef>
          </c:tx>
          <c:spPr>
            <a:ln w="28575" cap="rnd">
              <a:solidFill>
                <a:schemeClr val="accent2"/>
              </a:solidFill>
              <a:round/>
            </a:ln>
            <a:effectLst/>
          </c:spPr>
          <c:marker>
            <c:symbol val="none"/>
          </c:marker>
          <c:cat>
            <c:numRef>
              <c:f>Sheet1!$A$2:$A$54</c:f>
              <c:numCache>
                <c:formatCode>General</c:formatCode>
                <c:ptCount val="53"/>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numCache>
            </c:numRef>
          </c:cat>
          <c:val>
            <c:numRef>
              <c:f>Sheet1!$B$2:$B$54</c:f>
              <c:numCache>
                <c:formatCode>General</c:formatCode>
                <c:ptCount val="53"/>
                <c:pt idx="0">
                  <c:v>-2.3627273779057499E-3</c:v>
                </c:pt>
                <c:pt idx="1">
                  <c:v>-3.4146603489529498E-3</c:v>
                </c:pt>
                <c:pt idx="2">
                  <c:v>-5.97306387859924E-3</c:v>
                </c:pt>
                <c:pt idx="3">
                  <c:v>-5.4969280408780196E-3</c:v>
                </c:pt>
                <c:pt idx="4">
                  <c:v>-2.3025810151626001E-3</c:v>
                </c:pt>
                <c:pt idx="5">
                  <c:v>2.4507937993408701E-3</c:v>
                </c:pt>
                <c:pt idx="6">
                  <c:v>6.2609095942613999E-3</c:v>
                </c:pt>
                <c:pt idx="7">
                  <c:v>8.2192682654956793E-3</c:v>
                </c:pt>
                <c:pt idx="8">
                  <c:v>1.00458348484377E-2</c:v>
                </c:pt>
                <c:pt idx="9">
                  <c:v>1.132088129556E-2</c:v>
                </c:pt>
                <c:pt idx="10">
                  <c:v>1.49457960461328E-2</c:v>
                </c:pt>
                <c:pt idx="11">
                  <c:v>1.8048666971306599E-2</c:v>
                </c:pt>
                <c:pt idx="12">
                  <c:v>1.85970703369992E-2</c:v>
                </c:pt>
                <c:pt idx="13">
                  <c:v>2.2789287434378899E-2</c:v>
                </c:pt>
                <c:pt idx="14">
                  <c:v>2.8766823963147999E-2</c:v>
                </c:pt>
                <c:pt idx="15">
                  <c:v>3.51431850425259E-2</c:v>
                </c:pt>
                <c:pt idx="16">
                  <c:v>3.7029541290693503E-2</c:v>
                </c:pt>
                <c:pt idx="17">
                  <c:v>3.8931205730581703E-2</c:v>
                </c:pt>
                <c:pt idx="18">
                  <c:v>4.09206224922763E-2</c:v>
                </c:pt>
                <c:pt idx="19">
                  <c:v>3.9768662534011498E-2</c:v>
                </c:pt>
                <c:pt idx="20">
                  <c:v>4.39013394346272E-2</c:v>
                </c:pt>
                <c:pt idx="21">
                  <c:v>4.8514186612847003E-2</c:v>
                </c:pt>
                <c:pt idx="22">
                  <c:v>4.9023353365195803E-2</c:v>
                </c:pt>
                <c:pt idx="23">
                  <c:v>5.3763950576926497E-2</c:v>
                </c:pt>
                <c:pt idx="24">
                  <c:v>5.6499437365849503E-2</c:v>
                </c:pt>
                <c:pt idx="25">
                  <c:v>5.7312495238338902E-2</c:v>
                </c:pt>
                <c:pt idx="26">
                  <c:v>6.1431011596499899E-2</c:v>
                </c:pt>
                <c:pt idx="27">
                  <c:v>7.0560519251475606E-2</c:v>
                </c:pt>
                <c:pt idx="28">
                  <c:v>6.5401689954109304E-2</c:v>
                </c:pt>
                <c:pt idx="29">
                  <c:v>6.1818607266799601E-2</c:v>
                </c:pt>
                <c:pt idx="30">
                  <c:v>6.0400356341681102E-2</c:v>
                </c:pt>
                <c:pt idx="31">
                  <c:v>6.08816339123779E-2</c:v>
                </c:pt>
                <c:pt idx="32">
                  <c:v>5.8151210260903197E-2</c:v>
                </c:pt>
                <c:pt idx="33">
                  <c:v>5.2509841827492298E-2</c:v>
                </c:pt>
                <c:pt idx="34">
                  <c:v>5.2043743137613598E-2</c:v>
                </c:pt>
                <c:pt idx="35">
                  <c:v>5.1667855211906498E-2</c:v>
                </c:pt>
                <c:pt idx="36">
                  <c:v>5.2655022172145197E-2</c:v>
                </c:pt>
                <c:pt idx="37">
                  <c:v>5.0963754899551399E-2</c:v>
                </c:pt>
                <c:pt idx="38">
                  <c:v>4.8730214973127198E-2</c:v>
                </c:pt>
                <c:pt idx="39">
                  <c:v>4.7317344496909101E-2</c:v>
                </c:pt>
                <c:pt idx="40">
                  <c:v>4.8860425896971101E-2</c:v>
                </c:pt>
                <c:pt idx="41">
                  <c:v>4.9318179646633403E-2</c:v>
                </c:pt>
                <c:pt idx="42">
                  <c:v>4.9171873148273801E-2</c:v>
                </c:pt>
                <c:pt idx="43">
                  <c:v>4.6935136133627903E-2</c:v>
                </c:pt>
                <c:pt idx="44">
                  <c:v>4.7436522256720799E-2</c:v>
                </c:pt>
                <c:pt idx="45">
                  <c:v>4.9448243144547599E-2</c:v>
                </c:pt>
                <c:pt idx="46">
                  <c:v>5.08604963227339E-2</c:v>
                </c:pt>
                <c:pt idx="47">
                  <c:v>5.1414955317441897E-2</c:v>
                </c:pt>
                <c:pt idx="48">
                  <c:v>4.9884479846491699E-2</c:v>
                </c:pt>
                <c:pt idx="49">
                  <c:v>5.3126788987158599E-2</c:v>
                </c:pt>
                <c:pt idx="50">
                  <c:v>4.8878419676830397E-2</c:v>
                </c:pt>
                <c:pt idx="51">
                  <c:v>4.6155202923362601E-2</c:v>
                </c:pt>
                <c:pt idx="52">
                  <c:v>4.5269911716185399E-2</c:v>
                </c:pt>
              </c:numCache>
            </c:numRef>
          </c:val>
          <c:smooth val="0"/>
          <c:extLst>
            <c:ext xmlns:c16="http://schemas.microsoft.com/office/drawing/2014/chart" uri="{C3380CC4-5D6E-409C-BE32-E72D297353CC}">
              <c16:uniqueId val="{00000000-4355-4C97-B7D9-27E7B2997F04}"/>
            </c:ext>
          </c:extLst>
        </c:ser>
        <c:ser>
          <c:idx val="2"/>
          <c:order val="2"/>
          <c:tx>
            <c:strRef>
              <c:f>Sheet1!$C$1</c:f>
              <c:strCache>
                <c:ptCount val="1"/>
                <c:pt idx="0">
                  <c:v>CM</c:v>
                </c:pt>
              </c:strCache>
            </c:strRef>
          </c:tx>
          <c:spPr>
            <a:ln w="28575" cap="rnd">
              <a:solidFill>
                <a:schemeClr val="accent1"/>
              </a:solidFill>
              <a:round/>
            </a:ln>
            <a:effectLst/>
          </c:spPr>
          <c:marker>
            <c:symbol val="none"/>
          </c:marker>
          <c:cat>
            <c:numRef>
              <c:f>Sheet1!$A$2:$A$54</c:f>
              <c:numCache>
                <c:formatCode>General</c:formatCode>
                <c:ptCount val="53"/>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numCache>
            </c:numRef>
          </c:cat>
          <c:val>
            <c:numRef>
              <c:f>Sheet1!$C$2:$C$54</c:f>
              <c:numCache>
                <c:formatCode>General</c:formatCode>
                <c:ptCount val="53"/>
                <c:pt idx="0">
                  <c:v>1.46800515011645E-3</c:v>
                </c:pt>
                <c:pt idx="1">
                  <c:v>7.7412675710281497E-3</c:v>
                </c:pt>
                <c:pt idx="2">
                  <c:v>1.1184414579142699E-2</c:v>
                </c:pt>
                <c:pt idx="3">
                  <c:v>1.56209761404036E-2</c:v>
                </c:pt>
                <c:pt idx="4">
                  <c:v>1.7309143075506499E-2</c:v>
                </c:pt>
                <c:pt idx="5">
                  <c:v>2.03119197290559E-2</c:v>
                </c:pt>
                <c:pt idx="6">
                  <c:v>2.14904169067088E-2</c:v>
                </c:pt>
                <c:pt idx="7">
                  <c:v>2.3230863324548399E-2</c:v>
                </c:pt>
                <c:pt idx="8">
                  <c:v>2.7101461107050601E-2</c:v>
                </c:pt>
                <c:pt idx="9">
                  <c:v>3.2669559351188898E-2</c:v>
                </c:pt>
                <c:pt idx="10">
                  <c:v>3.5837840326537702E-2</c:v>
                </c:pt>
                <c:pt idx="11">
                  <c:v>4.4774089137644503E-2</c:v>
                </c:pt>
                <c:pt idx="12">
                  <c:v>4.8150319493550899E-2</c:v>
                </c:pt>
                <c:pt idx="13">
                  <c:v>4.89977383526689E-2</c:v>
                </c:pt>
                <c:pt idx="14">
                  <c:v>5.4545314304547003E-2</c:v>
                </c:pt>
                <c:pt idx="15">
                  <c:v>5.5184017598369203E-2</c:v>
                </c:pt>
                <c:pt idx="16">
                  <c:v>6.1095058402254897E-2</c:v>
                </c:pt>
                <c:pt idx="17">
                  <c:v>6.9359394314901304E-2</c:v>
                </c:pt>
                <c:pt idx="18">
                  <c:v>7.27872561557147E-2</c:v>
                </c:pt>
                <c:pt idx="19">
                  <c:v>7.3345217360846898E-2</c:v>
                </c:pt>
                <c:pt idx="20">
                  <c:v>7.9817870146935394E-2</c:v>
                </c:pt>
                <c:pt idx="21">
                  <c:v>8.2358710545231001E-2</c:v>
                </c:pt>
                <c:pt idx="22">
                  <c:v>9.0758413832597001E-2</c:v>
                </c:pt>
                <c:pt idx="23">
                  <c:v>9.3488329208427506E-2</c:v>
                </c:pt>
                <c:pt idx="24">
                  <c:v>9.8159412702913298E-2</c:v>
                </c:pt>
                <c:pt idx="25">
                  <c:v>9.8027752298972398E-2</c:v>
                </c:pt>
                <c:pt idx="26">
                  <c:v>0.107143057151963</c:v>
                </c:pt>
                <c:pt idx="27">
                  <c:v>0.12486729528898501</c:v>
                </c:pt>
                <c:pt idx="28">
                  <c:v>0.124116879575583</c:v>
                </c:pt>
                <c:pt idx="29">
                  <c:v>0.12203789660048001</c:v>
                </c:pt>
                <c:pt idx="30">
                  <c:v>0.12007336169308901</c:v>
                </c:pt>
                <c:pt idx="31">
                  <c:v>0.11978709399163801</c:v>
                </c:pt>
                <c:pt idx="32">
                  <c:v>0.11582365536103501</c:v>
                </c:pt>
                <c:pt idx="33">
                  <c:v>0.113096249907193</c:v>
                </c:pt>
                <c:pt idx="34">
                  <c:v>0.113134929485657</c:v>
                </c:pt>
                <c:pt idx="35">
                  <c:v>0.107640366997628</c:v>
                </c:pt>
                <c:pt idx="36">
                  <c:v>0.105613913068642</c:v>
                </c:pt>
                <c:pt idx="37">
                  <c:v>0.104599617639888</c:v>
                </c:pt>
                <c:pt idx="38">
                  <c:v>0.10847804463345</c:v>
                </c:pt>
                <c:pt idx="39">
                  <c:v>0.10632206238757</c:v>
                </c:pt>
                <c:pt idx="40">
                  <c:v>0.11270246081172899</c:v>
                </c:pt>
                <c:pt idx="41">
                  <c:v>0.108349132092333</c:v>
                </c:pt>
                <c:pt idx="42">
                  <c:v>0.107429928149436</c:v>
                </c:pt>
                <c:pt idx="43">
                  <c:v>0.110886082700935</c:v>
                </c:pt>
                <c:pt idx="44">
                  <c:v>0.109747079503659</c:v>
                </c:pt>
                <c:pt idx="45">
                  <c:v>0.110342289405769</c:v>
                </c:pt>
                <c:pt idx="46">
                  <c:v>0.111422774182469</c:v>
                </c:pt>
                <c:pt idx="47">
                  <c:v>0.109795685991024</c:v>
                </c:pt>
                <c:pt idx="48">
                  <c:v>0.108859096945879</c:v>
                </c:pt>
                <c:pt idx="49">
                  <c:v>0.109133438796951</c:v>
                </c:pt>
                <c:pt idx="50">
                  <c:v>0.108732075745683</c:v>
                </c:pt>
                <c:pt idx="51">
                  <c:v>0.107997901271136</c:v>
                </c:pt>
                <c:pt idx="52">
                  <c:v>0.107031747655361</c:v>
                </c:pt>
              </c:numCache>
            </c:numRef>
          </c:val>
          <c:smooth val="0"/>
          <c:extLst>
            <c:ext xmlns:c16="http://schemas.microsoft.com/office/drawing/2014/chart" uri="{C3380CC4-5D6E-409C-BE32-E72D297353CC}">
              <c16:uniqueId val="{00000001-4355-4C97-B7D9-27E7B2997F04}"/>
            </c:ext>
          </c:extLst>
        </c:ser>
        <c:dLbls>
          <c:showLegendKey val="0"/>
          <c:showVal val="0"/>
          <c:showCatName val="0"/>
          <c:showSerName val="0"/>
          <c:showPercent val="0"/>
          <c:showBubbleSize val="0"/>
        </c:dLbls>
        <c:smooth val="0"/>
        <c:axId val="-2108911616"/>
        <c:axId val="-2109590576"/>
        <c:extLst>
          <c:ext xmlns:c15="http://schemas.microsoft.com/office/drawing/2012/chart" uri="{02D57815-91ED-43cb-92C2-25804820EDAC}">
            <c15:filteredLineSeries>
              <c15:ser>
                <c:idx val="0"/>
                <c:order val="0"/>
                <c:tx>
                  <c:strRef>
                    <c:extLst>
                      <c:ext uri="{02D57815-91ED-43cb-92C2-25804820EDAC}">
                        <c15:formulaRef>
                          <c15:sqref>Sheet1!$A$1</c15:sqref>
                        </c15:formulaRef>
                      </c:ext>
                    </c:extLst>
                    <c:strCache>
                      <c:ptCount val="1"/>
                      <c:pt idx="0">
                        <c:v>Date</c:v>
                      </c:pt>
                    </c:strCache>
                  </c:strRef>
                </c:tx>
                <c:spPr>
                  <a:ln w="28575" cap="rnd">
                    <a:solidFill>
                      <a:schemeClr val="accent1"/>
                    </a:solidFill>
                    <a:round/>
                  </a:ln>
                  <a:effectLst/>
                </c:spPr>
                <c:marker>
                  <c:symbol val="none"/>
                </c:marker>
                <c:cat>
                  <c:numRef>
                    <c:extLst>
                      <c:ext uri="{02D57815-91ED-43cb-92C2-25804820EDAC}">
                        <c15:formulaRef>
                          <c15:sqref>Sheet1!$A$2:$A$54</c15:sqref>
                        </c15:formulaRef>
                      </c:ext>
                    </c:extLst>
                    <c:numCache>
                      <c:formatCode>General</c:formatCode>
                      <c:ptCount val="53"/>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numCache>
                  </c:numRef>
                </c:cat>
                <c:val>
                  <c:numRef>
                    <c:extLst>
                      <c:ext uri="{02D57815-91ED-43cb-92C2-25804820EDAC}">
                        <c15:formulaRef>
                          <c15:sqref>Sheet1!$A$2:$A$54</c15:sqref>
                        </c15:formulaRef>
                      </c:ext>
                    </c:extLst>
                    <c:numCache>
                      <c:formatCode>General</c:formatCode>
                      <c:ptCount val="53"/>
                      <c:pt idx="0">
                        <c:v>-26</c:v>
                      </c:pt>
                      <c:pt idx="1">
                        <c:v>-25</c:v>
                      </c:pt>
                      <c:pt idx="2">
                        <c:v>-24</c:v>
                      </c:pt>
                      <c:pt idx="3">
                        <c:v>-23</c:v>
                      </c:pt>
                      <c:pt idx="4">
                        <c:v>-22</c:v>
                      </c:pt>
                      <c:pt idx="5">
                        <c:v>-21</c:v>
                      </c:pt>
                      <c:pt idx="6">
                        <c:v>-20</c:v>
                      </c:pt>
                      <c:pt idx="7">
                        <c:v>-19</c:v>
                      </c:pt>
                      <c:pt idx="8">
                        <c:v>-18</c:v>
                      </c:pt>
                      <c:pt idx="9">
                        <c:v>-17</c:v>
                      </c:pt>
                      <c:pt idx="10">
                        <c:v>-16</c:v>
                      </c:pt>
                      <c:pt idx="11">
                        <c:v>-15</c:v>
                      </c:pt>
                      <c:pt idx="12">
                        <c:v>-14</c:v>
                      </c:pt>
                      <c:pt idx="13">
                        <c:v>-13</c:v>
                      </c:pt>
                      <c:pt idx="14">
                        <c:v>-12</c:v>
                      </c:pt>
                      <c:pt idx="15">
                        <c:v>-11</c:v>
                      </c:pt>
                      <c:pt idx="16">
                        <c:v>-10</c:v>
                      </c:pt>
                      <c:pt idx="17">
                        <c:v>-9</c:v>
                      </c:pt>
                      <c:pt idx="18">
                        <c:v>-8</c:v>
                      </c:pt>
                      <c:pt idx="19">
                        <c:v>-7</c:v>
                      </c:pt>
                      <c:pt idx="20">
                        <c:v>-6</c:v>
                      </c:pt>
                      <c:pt idx="21">
                        <c:v>-5</c:v>
                      </c:pt>
                      <c:pt idx="22">
                        <c:v>-4</c:v>
                      </c:pt>
                      <c:pt idx="23">
                        <c:v>-3</c:v>
                      </c:pt>
                      <c:pt idx="24">
                        <c:v>-2</c:v>
                      </c:pt>
                      <c:pt idx="25">
                        <c:v>-1</c:v>
                      </c:pt>
                      <c:pt idx="26">
                        <c:v>0</c:v>
                      </c:pt>
                      <c:pt idx="27">
                        <c:v>1</c:v>
                      </c:pt>
                      <c:pt idx="28">
                        <c:v>2</c:v>
                      </c:pt>
                      <c:pt idx="29">
                        <c:v>3</c:v>
                      </c:pt>
                      <c:pt idx="30">
                        <c:v>4</c:v>
                      </c:pt>
                      <c:pt idx="31">
                        <c:v>5</c:v>
                      </c:pt>
                      <c:pt idx="32">
                        <c:v>6</c:v>
                      </c:pt>
                      <c:pt idx="33">
                        <c:v>7</c:v>
                      </c:pt>
                      <c:pt idx="34">
                        <c:v>8</c:v>
                      </c:pt>
                      <c:pt idx="35">
                        <c:v>9</c:v>
                      </c:pt>
                      <c:pt idx="36">
                        <c:v>10</c:v>
                      </c:pt>
                      <c:pt idx="37">
                        <c:v>11</c:v>
                      </c:pt>
                      <c:pt idx="38">
                        <c:v>12</c:v>
                      </c:pt>
                      <c:pt idx="39">
                        <c:v>13</c:v>
                      </c:pt>
                      <c:pt idx="40">
                        <c:v>14</c:v>
                      </c:pt>
                      <c:pt idx="41">
                        <c:v>15</c:v>
                      </c:pt>
                      <c:pt idx="42">
                        <c:v>16</c:v>
                      </c:pt>
                      <c:pt idx="43">
                        <c:v>17</c:v>
                      </c:pt>
                      <c:pt idx="44">
                        <c:v>18</c:v>
                      </c:pt>
                      <c:pt idx="45">
                        <c:v>19</c:v>
                      </c:pt>
                      <c:pt idx="46">
                        <c:v>20</c:v>
                      </c:pt>
                      <c:pt idx="47">
                        <c:v>21</c:v>
                      </c:pt>
                      <c:pt idx="48">
                        <c:v>22</c:v>
                      </c:pt>
                      <c:pt idx="49">
                        <c:v>23</c:v>
                      </c:pt>
                      <c:pt idx="50">
                        <c:v>24</c:v>
                      </c:pt>
                      <c:pt idx="51">
                        <c:v>25</c:v>
                      </c:pt>
                      <c:pt idx="52">
                        <c:v>26</c:v>
                      </c:pt>
                    </c:numCache>
                  </c:numRef>
                </c:val>
                <c:smooth val="0"/>
                <c:extLst>
                  <c:ext xmlns:c16="http://schemas.microsoft.com/office/drawing/2014/chart" uri="{C3380CC4-5D6E-409C-BE32-E72D297353CC}">
                    <c16:uniqueId val="{00000002-4355-4C97-B7D9-27E7B2997F04}"/>
                  </c:ext>
                </c:extLst>
              </c15:ser>
            </c15:filteredLineSeries>
          </c:ext>
        </c:extLst>
      </c:lineChart>
      <c:catAx>
        <c:axId val="-210891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chemeClr val="tx1">
                      <a:lumMod val="15000"/>
                      <a:lumOff val="85000"/>
                    </a:schemeClr>
                  </a:solidFill>
                  <a:prstDash val="solid"/>
                </a:ln>
                <a:solidFill>
                  <a:schemeClr val="tx1">
                    <a:lumMod val="65000"/>
                    <a:lumOff val="35000"/>
                  </a:schemeClr>
                </a:solidFill>
                <a:latin typeface="+mn-lt"/>
                <a:ea typeface="+mn-ea"/>
                <a:cs typeface="+mn-cs"/>
              </a:defRPr>
            </a:pPr>
            <a:endParaRPr lang="en-US"/>
          </a:p>
        </c:txPr>
        <c:crossAx val="-2109590576"/>
        <c:crosses val="autoZero"/>
        <c:auto val="1"/>
        <c:lblAlgn val="ctr"/>
        <c:lblOffset val="100"/>
        <c:noMultiLvlLbl val="0"/>
      </c:catAx>
      <c:valAx>
        <c:axId val="-2109590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lumMod val="15000"/>
                      <a:lumOff val="85000"/>
                    </a:schemeClr>
                  </a:solidFill>
                  <a:prstDash val="solid"/>
                </a:ln>
                <a:solidFill>
                  <a:schemeClr val="tx1">
                    <a:lumMod val="65000"/>
                    <a:lumOff val="35000"/>
                  </a:schemeClr>
                </a:solidFill>
                <a:latin typeface="+mn-lt"/>
                <a:ea typeface="+mn-ea"/>
                <a:cs typeface="+mn-cs"/>
              </a:defRPr>
            </a:pPr>
            <a:endParaRPr lang="en-US"/>
          </a:p>
        </c:txPr>
        <c:crossAx val="-21089116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solidFill>
                  <a:schemeClr val="tx1">
                    <a:lumMod val="15000"/>
                    <a:lumOff val="85000"/>
                  </a:schemeClr>
                </a:solidFill>
                <a:prstDash val="solid"/>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ln>
            <a:solidFill>
              <a:schemeClr val="tx1">
                <a:lumMod val="15000"/>
                <a:lumOff val="85000"/>
              </a:schemeClr>
            </a:solidFill>
            <a:prstDash val="solid"/>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EFB32-7AB2-4930-BE3D-1F00E31D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E7DEAC04</Template>
  <TotalTime>0</TotalTime>
  <Pages>35</Pages>
  <Words>10140</Words>
  <Characters>57801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67806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Yawen Chen</dc:creator>
  <cp:keywords/>
  <dc:description/>
  <cp:lastModifiedBy>Rizwan Ahmed (Birmingham Business School)</cp:lastModifiedBy>
  <cp:revision>2</cp:revision>
  <cp:lastPrinted>2018-07-10T12:01:00Z</cp:lastPrinted>
  <dcterms:created xsi:type="dcterms:W3CDTF">2020-03-08T23:13:00Z</dcterms:created>
  <dcterms:modified xsi:type="dcterms:W3CDTF">2020-03-08T23:13:00Z</dcterms:modified>
</cp:coreProperties>
</file>