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E17EA" w:rsidRDefault="008E3AE6" w:rsidP="008E3AE6">
      <w:pPr>
        <w:pStyle w:val="ParaAttribute3"/>
        <w:wordWrap/>
        <w:spacing w:line="480" w:lineRule="auto"/>
        <w:rPr>
          <w:b/>
          <w:sz w:val="24"/>
          <w:szCs w:val="24"/>
        </w:rPr>
      </w:pPr>
      <w:r>
        <w:rPr>
          <w:rStyle w:val="CharAttribute1"/>
          <w:rFonts w:eastAsia="Batang"/>
          <w:szCs w:val="24"/>
          <w:u w:val="none"/>
        </w:rPr>
        <w:t>AGAMBEN AND THE POLITICAL POSSIBILITIES OF TRADITION</w:t>
      </w:r>
    </w:p>
    <w:p w:rsidR="005E17EA" w:rsidRDefault="005E17EA" w:rsidP="008E3AE6">
      <w:pPr>
        <w:pStyle w:val="ParaAttribute4"/>
        <w:wordWrap/>
        <w:spacing w:line="480" w:lineRule="auto"/>
        <w:rPr>
          <w:sz w:val="24"/>
          <w:szCs w:val="24"/>
        </w:rPr>
      </w:pPr>
    </w:p>
    <w:p w:rsidR="008E3AE6" w:rsidRDefault="008E3AE6" w:rsidP="008E3AE6">
      <w:pPr>
        <w:pStyle w:val="ParaAttribute4"/>
        <w:wordWrap/>
        <w:spacing w:line="480" w:lineRule="auto"/>
        <w:jc w:val="center"/>
        <w:rPr>
          <w:sz w:val="24"/>
          <w:szCs w:val="24"/>
        </w:rPr>
      </w:pPr>
      <w:r>
        <w:rPr>
          <w:sz w:val="24"/>
          <w:szCs w:val="24"/>
        </w:rPr>
        <w:t>Tom Frost, Newcastle Law School, Newcastle University</w:t>
      </w:r>
    </w:p>
    <w:p w:rsidR="00EC2097" w:rsidRDefault="00EC2097" w:rsidP="008E3AE6">
      <w:pPr>
        <w:pStyle w:val="ParaAttribute4"/>
        <w:wordWrap/>
        <w:spacing w:line="480" w:lineRule="auto"/>
        <w:rPr>
          <w:sz w:val="24"/>
          <w:szCs w:val="24"/>
        </w:rPr>
      </w:pPr>
    </w:p>
    <w:p w:rsidR="005E17EA" w:rsidRDefault="00164E1C" w:rsidP="008E3AE6">
      <w:pPr>
        <w:pStyle w:val="ParaAttribute4"/>
        <w:wordWrap/>
        <w:spacing w:line="480" w:lineRule="auto"/>
        <w:rPr>
          <w:rStyle w:val="CharAttribute0"/>
          <w:rFonts w:eastAsia="Batang"/>
          <w:szCs w:val="24"/>
        </w:rPr>
      </w:pPr>
      <w:r>
        <w:rPr>
          <w:sz w:val="24"/>
          <w:szCs w:val="24"/>
        </w:rPr>
        <w:t>This chapter focuses upon a specific question – namely, what could politics be today? As Agamben himself has written, politics exists because human beings cannot be defined through vocation or identity.</w:t>
      </w:r>
      <w:r>
        <w:rPr>
          <w:rStyle w:val="EndnoteReference"/>
          <w:sz w:val="24"/>
          <w:szCs w:val="24"/>
        </w:rPr>
        <w:endnoteReference w:id="1"/>
      </w:r>
      <w:r w:rsidR="00B8078B">
        <w:rPr>
          <w:sz w:val="24"/>
          <w:szCs w:val="24"/>
        </w:rPr>
        <w:t xml:space="preserve"> </w:t>
      </w:r>
      <w:r w:rsidR="005E17EA">
        <w:rPr>
          <w:rStyle w:val="CharAttribute0"/>
          <w:rFonts w:eastAsia="Batang"/>
          <w:szCs w:val="24"/>
        </w:rPr>
        <w:t xml:space="preserve">In approaching this </w:t>
      </w:r>
      <w:r w:rsidR="00B8078B">
        <w:rPr>
          <w:rStyle w:val="CharAttribute0"/>
          <w:rFonts w:eastAsia="Batang"/>
          <w:szCs w:val="24"/>
        </w:rPr>
        <w:t>question</w:t>
      </w:r>
      <w:r w:rsidR="005E17EA">
        <w:rPr>
          <w:rStyle w:val="CharAttribute0"/>
          <w:rFonts w:eastAsia="Batang"/>
          <w:szCs w:val="24"/>
        </w:rPr>
        <w:t xml:space="preserve">, </w:t>
      </w:r>
      <w:r w:rsidR="001C615A">
        <w:rPr>
          <w:rStyle w:val="CharAttribute0"/>
          <w:rFonts w:eastAsia="Batang"/>
          <w:szCs w:val="24"/>
        </w:rPr>
        <w:t>attention is focused</w:t>
      </w:r>
      <w:r w:rsidR="005E17EA">
        <w:rPr>
          <w:rStyle w:val="CharAttribute0"/>
          <w:rFonts w:eastAsia="Batang"/>
          <w:szCs w:val="24"/>
        </w:rPr>
        <w:t xml:space="preserve"> upon the interplay between politics and law. This focus is quite deliberate. Here, law, and specifically the role of precedent</w:t>
      </w:r>
      <w:r w:rsidR="008D10DE">
        <w:rPr>
          <w:rStyle w:val="CharAttribute0"/>
          <w:rFonts w:eastAsia="Batang"/>
          <w:szCs w:val="24"/>
        </w:rPr>
        <w:t xml:space="preserve"> and tradition</w:t>
      </w:r>
      <w:r w:rsidR="005E17EA">
        <w:rPr>
          <w:rStyle w:val="CharAttribute0"/>
          <w:rFonts w:eastAsia="Batang"/>
          <w:szCs w:val="24"/>
        </w:rPr>
        <w:t xml:space="preserve"> in the common law of England and Wales, can be used as a foil to consider what this belonging could look like. Crucial to this task is to challenge the mythic foundation of politics, and th</w:t>
      </w:r>
      <w:r w:rsidR="00DC6422">
        <w:rPr>
          <w:rStyle w:val="CharAttribute0"/>
          <w:rFonts w:eastAsia="Batang"/>
          <w:szCs w:val="24"/>
        </w:rPr>
        <w:t>e mythic nature of ‘progression’</w:t>
      </w:r>
      <w:r w:rsidR="005E17EA">
        <w:rPr>
          <w:rStyle w:val="CharAttribute0"/>
          <w:rFonts w:eastAsia="Batang"/>
          <w:szCs w:val="24"/>
        </w:rPr>
        <w:t xml:space="preserve">, and place them in opposition to a messianic idea of </w:t>
      </w:r>
      <w:r w:rsidR="00E33F42">
        <w:rPr>
          <w:rStyle w:val="CharAttribute0"/>
          <w:rFonts w:eastAsia="Batang"/>
          <w:szCs w:val="24"/>
        </w:rPr>
        <w:t>politics</w:t>
      </w:r>
      <w:r w:rsidR="005E17EA">
        <w:rPr>
          <w:rStyle w:val="CharAttribute0"/>
          <w:rFonts w:eastAsia="Batang"/>
          <w:szCs w:val="24"/>
        </w:rPr>
        <w:t>.</w:t>
      </w:r>
    </w:p>
    <w:p w:rsidR="00183B9E" w:rsidRDefault="00183B9E" w:rsidP="008E3AE6">
      <w:pPr>
        <w:pStyle w:val="ParaAttribute4"/>
        <w:wordWrap/>
        <w:spacing w:line="480" w:lineRule="auto"/>
        <w:rPr>
          <w:rStyle w:val="CharAttribute0"/>
          <w:rFonts w:eastAsia="Batang"/>
          <w:szCs w:val="24"/>
        </w:rPr>
      </w:pPr>
    </w:p>
    <w:p w:rsidR="00183B9E" w:rsidRPr="00183B9E" w:rsidRDefault="00183B9E" w:rsidP="008E3AE6">
      <w:pPr>
        <w:pStyle w:val="ParaAttribute4"/>
        <w:wordWrap/>
        <w:spacing w:line="480" w:lineRule="auto"/>
        <w:rPr>
          <w:rStyle w:val="CharAttribute0"/>
          <w:rFonts w:eastAsia="Batang"/>
          <w:b/>
          <w:szCs w:val="24"/>
        </w:rPr>
      </w:pPr>
      <w:r>
        <w:rPr>
          <w:rStyle w:val="CharAttribute0"/>
          <w:rFonts w:eastAsia="Batang"/>
          <w:b/>
          <w:szCs w:val="24"/>
        </w:rPr>
        <w:t>A POTENTIAL BEGINNING</w:t>
      </w:r>
    </w:p>
    <w:p w:rsidR="00183B9E" w:rsidRDefault="00183B9E" w:rsidP="008E3AE6">
      <w:pPr>
        <w:pStyle w:val="ParaAttribute4"/>
        <w:wordWrap/>
        <w:spacing w:line="480" w:lineRule="auto"/>
        <w:rPr>
          <w:sz w:val="24"/>
          <w:szCs w:val="24"/>
        </w:rPr>
      </w:pPr>
    </w:p>
    <w:p w:rsidR="005E17EA" w:rsidRDefault="00BD005A" w:rsidP="008E3AE6">
      <w:pPr>
        <w:pStyle w:val="ParaAttribute4"/>
        <w:wordWrap/>
        <w:spacing w:line="480" w:lineRule="auto"/>
        <w:rPr>
          <w:sz w:val="24"/>
          <w:szCs w:val="24"/>
        </w:rPr>
      </w:pPr>
      <w:r>
        <w:rPr>
          <w:rStyle w:val="CharAttribute0"/>
          <w:rFonts w:eastAsia="Batang"/>
          <w:szCs w:val="24"/>
        </w:rPr>
        <w:t>To quote Peter Fitzpatrick, ‘beginnings are always desperate’</w:t>
      </w:r>
      <w:r w:rsidR="005E17EA">
        <w:rPr>
          <w:rStyle w:val="CharAttribute0"/>
          <w:rFonts w:eastAsia="Batang"/>
          <w:szCs w:val="24"/>
        </w:rPr>
        <w:t>.</w:t>
      </w:r>
      <w:r w:rsidR="00164E1C">
        <w:rPr>
          <w:rStyle w:val="EndnoteReference"/>
          <w:sz w:val="24"/>
          <w:szCs w:val="24"/>
        </w:rPr>
        <w:endnoteReference w:id="2"/>
      </w:r>
      <w:r w:rsidR="005E17EA">
        <w:rPr>
          <w:rStyle w:val="CharAttribute0"/>
          <w:rFonts w:eastAsia="Batang"/>
          <w:szCs w:val="24"/>
        </w:rPr>
        <w:t xml:space="preserve"> </w:t>
      </w:r>
      <w:r w:rsidR="005E17EA">
        <w:rPr>
          <w:rStyle w:val="CharAttribute6"/>
          <w:rFonts w:eastAsia="Batang"/>
          <w:szCs w:val="24"/>
        </w:rPr>
        <w:t xml:space="preserve">This is even more apposite when considering the potential of Agamben’s thought – where should such an investigation start? </w:t>
      </w:r>
      <w:r w:rsidR="001C615A">
        <w:rPr>
          <w:rStyle w:val="CharAttribute6"/>
          <w:rFonts w:eastAsia="Batang"/>
          <w:szCs w:val="24"/>
        </w:rPr>
        <w:t>I</w:t>
      </w:r>
      <w:r w:rsidR="005E17EA">
        <w:rPr>
          <w:rStyle w:val="CharAttribute6"/>
          <w:rFonts w:eastAsia="Batang"/>
          <w:szCs w:val="24"/>
        </w:rPr>
        <w:t xml:space="preserve">n order to see the potential in Agamben’s thought, it is necessary to see that Agamben’s thought is about </w:t>
      </w:r>
      <w:r w:rsidR="005E17EA">
        <w:rPr>
          <w:rStyle w:val="CharAttribute7"/>
          <w:rFonts w:eastAsia="Batang"/>
          <w:szCs w:val="24"/>
        </w:rPr>
        <w:t>potential</w:t>
      </w:r>
      <w:r w:rsidR="005E17EA">
        <w:rPr>
          <w:rStyle w:val="CharAttribute6"/>
          <w:rFonts w:eastAsia="Batang"/>
          <w:szCs w:val="24"/>
        </w:rPr>
        <w:t xml:space="preserve">. Potentiality: this is how to view Agamben’s engagements with politics. In so investigating this potentiality, </w:t>
      </w:r>
      <w:r w:rsidR="008D10DE">
        <w:rPr>
          <w:rStyle w:val="CharAttribute6"/>
          <w:rFonts w:eastAsia="Batang"/>
          <w:szCs w:val="24"/>
        </w:rPr>
        <w:t>we are</w:t>
      </w:r>
      <w:r w:rsidR="005E17EA">
        <w:rPr>
          <w:rStyle w:val="CharAttribute6"/>
          <w:rFonts w:eastAsia="Batang"/>
          <w:szCs w:val="24"/>
        </w:rPr>
        <w:t xml:space="preserve"> led to a debate with a history as long as Western philosophy: how do we conceive of potentiality?</w:t>
      </w:r>
    </w:p>
    <w:p w:rsidR="00D532C9" w:rsidRDefault="005E17EA" w:rsidP="008E3AE6">
      <w:pPr>
        <w:pStyle w:val="ParaAttribute4"/>
        <w:wordWrap/>
        <w:spacing w:line="480" w:lineRule="auto"/>
        <w:rPr>
          <w:rStyle w:val="CharAttribute6"/>
          <w:rFonts w:eastAsia="Batang"/>
          <w:szCs w:val="24"/>
        </w:rPr>
      </w:pPr>
      <w:r>
        <w:lastRenderedPageBreak/>
        <w:tab/>
      </w:r>
      <w:r>
        <w:rPr>
          <w:rStyle w:val="CharAttribute6"/>
          <w:rFonts w:eastAsia="Batang"/>
          <w:szCs w:val="24"/>
        </w:rPr>
        <w:t xml:space="preserve">How we re-approach potentiality is heavily influenced by the </w:t>
      </w:r>
      <w:r>
        <w:rPr>
          <w:rStyle w:val="CharAttribute6"/>
          <w:rFonts w:eastAsia="Batang"/>
          <w:i/>
          <w:iCs/>
          <w:szCs w:val="24"/>
        </w:rPr>
        <w:t xml:space="preserve">avoidance </w:t>
      </w:r>
      <w:r>
        <w:rPr>
          <w:rStyle w:val="CharAttribute6"/>
          <w:rFonts w:eastAsia="Batang"/>
          <w:szCs w:val="24"/>
        </w:rPr>
        <w:t>of questing for origins, or foundations, found throughout Agamben’s writings. Potentiality, and its consequences, needs to be thought apart from foundation</w:t>
      </w:r>
      <w:r w:rsidR="00B23B94">
        <w:rPr>
          <w:rStyle w:val="CharAttribute6"/>
          <w:rFonts w:eastAsia="Batang"/>
          <w:szCs w:val="24"/>
        </w:rPr>
        <w:t>s</w:t>
      </w:r>
      <w:r>
        <w:rPr>
          <w:rStyle w:val="CharAttribute6"/>
          <w:rFonts w:eastAsia="Batang"/>
          <w:szCs w:val="24"/>
        </w:rPr>
        <w:t>. A focus upon origins, or a fo</w:t>
      </w:r>
      <w:r w:rsidR="00BD005A">
        <w:rPr>
          <w:rStyle w:val="CharAttribute6"/>
          <w:rFonts w:eastAsia="Batang"/>
          <w:szCs w:val="24"/>
        </w:rPr>
        <w:t>undation, implies a before</w:t>
      </w:r>
      <w:r>
        <w:rPr>
          <w:rStyle w:val="CharAttribute6"/>
          <w:rFonts w:eastAsia="Batang"/>
          <w:szCs w:val="24"/>
        </w:rPr>
        <w:t>, an original condition that existed, yet has become fractured and lost. Just as Michel Foucault’s genealogy eschewed searching for origins, so Agamben’s writings avoids such quests.</w:t>
      </w:r>
      <w:r w:rsidR="001C615A">
        <w:rPr>
          <w:rStyle w:val="EndnoteReference"/>
          <w:sz w:val="24"/>
          <w:szCs w:val="24"/>
        </w:rPr>
        <w:endnoteReference w:id="3"/>
      </w:r>
      <w:r>
        <w:rPr>
          <w:rStyle w:val="CharAttribute6"/>
          <w:rFonts w:eastAsia="Batang"/>
          <w:szCs w:val="24"/>
        </w:rPr>
        <w:t xml:space="preserve"> There is no golden age waiting to be discovered and returned to. Moreover, the idea of a foundation, or origin, is bound up in myth. Jean-Luc Nancy saw stories of origins, of beginnings, and of the beginnings of narratives, as myths.</w:t>
      </w:r>
      <w:r w:rsidR="00B907E9">
        <w:rPr>
          <w:rStyle w:val="EndnoteReference"/>
          <w:sz w:val="24"/>
          <w:szCs w:val="24"/>
        </w:rPr>
        <w:endnoteReference w:id="4"/>
      </w:r>
      <w:r>
        <w:rPr>
          <w:rStyle w:val="CharAttribute6"/>
          <w:rFonts w:eastAsia="Batang"/>
          <w:szCs w:val="24"/>
        </w:rPr>
        <w:t xml:space="preserve"> </w:t>
      </w:r>
    </w:p>
    <w:p w:rsidR="001C615A" w:rsidRDefault="00D532C9" w:rsidP="00D532C9">
      <w:pPr>
        <w:pStyle w:val="ParaAttribute4"/>
        <w:wordWrap/>
        <w:spacing w:line="480" w:lineRule="auto"/>
        <w:rPr>
          <w:rStyle w:val="CharAttribute11"/>
          <w:rFonts w:eastAsia="Batang"/>
          <w:szCs w:val="24"/>
        </w:rPr>
      </w:pPr>
      <w:r>
        <w:rPr>
          <w:rStyle w:val="CharAttribute6"/>
          <w:rFonts w:eastAsia="Batang"/>
          <w:szCs w:val="24"/>
        </w:rPr>
        <w:tab/>
      </w:r>
      <w:r w:rsidR="005E17EA">
        <w:rPr>
          <w:rStyle w:val="CharAttribute8"/>
          <w:rFonts w:eastAsia="Batang"/>
          <w:szCs w:val="24"/>
        </w:rPr>
        <w:t>These origins are located in a special way, made sacred by being set apart, made t</w:t>
      </w:r>
      <w:r w:rsidR="00BD005A">
        <w:rPr>
          <w:rStyle w:val="CharAttribute8"/>
          <w:rFonts w:eastAsia="Batang"/>
          <w:szCs w:val="24"/>
        </w:rPr>
        <w:t>ranscendent and beyond profane</w:t>
      </w:r>
      <w:r w:rsidR="005E17EA">
        <w:rPr>
          <w:rStyle w:val="CharAttribute8"/>
          <w:rFonts w:eastAsia="Batang"/>
          <w:szCs w:val="24"/>
        </w:rPr>
        <w:t xml:space="preserve"> experience. </w:t>
      </w:r>
      <w:r w:rsidR="005E17EA">
        <w:rPr>
          <w:rStyle w:val="CharAttribute9"/>
          <w:rFonts w:eastAsia="Batang"/>
          <w:szCs w:val="24"/>
        </w:rPr>
        <w:t xml:space="preserve">Through locating the profane world in a sacred sphere, reality becomes perceived and lived by, and through, mythic origins. </w:t>
      </w:r>
      <w:r w:rsidR="005E17EA">
        <w:rPr>
          <w:rStyle w:val="CharAttribute10"/>
          <w:rFonts w:eastAsia="Batang"/>
          <w:szCs w:val="24"/>
        </w:rPr>
        <w:t>These myths connect to both ultimate origins and ultimate identity; the myth becomes the source and foundational force of all that is.</w:t>
      </w:r>
      <w:r w:rsidR="00B907E9">
        <w:rPr>
          <w:rStyle w:val="EndnoteReference"/>
          <w:sz w:val="24"/>
          <w:szCs w:val="24"/>
        </w:rPr>
        <w:endnoteReference w:id="5"/>
      </w:r>
      <w:r w:rsidR="005E17EA">
        <w:rPr>
          <w:rStyle w:val="CharAttribute10"/>
          <w:rFonts w:eastAsia="Batang"/>
          <w:szCs w:val="24"/>
        </w:rPr>
        <w:t xml:space="preserve"> </w:t>
      </w:r>
      <w:r w:rsidR="005E17EA">
        <w:rPr>
          <w:rStyle w:val="CharAttribute11"/>
          <w:rFonts w:eastAsia="Batang"/>
          <w:szCs w:val="24"/>
        </w:rPr>
        <w:t>Origins provide a foundation and ultimate reference. Fitzpatrick notes that Christian mythology places the idea of the sovereign creator (the King of Kings) who rules over and maintains the universe in accordance with his laws.</w:t>
      </w:r>
      <w:r w:rsidR="00B907E9">
        <w:rPr>
          <w:rStyle w:val="EndnoteReference"/>
          <w:sz w:val="24"/>
          <w:szCs w:val="24"/>
        </w:rPr>
        <w:endnoteReference w:id="6"/>
      </w:r>
      <w:r w:rsidR="005E17EA">
        <w:rPr>
          <w:rStyle w:val="CharAttribute11"/>
          <w:rFonts w:eastAsia="Batang"/>
          <w:szCs w:val="24"/>
        </w:rPr>
        <w:t xml:space="preserve"> The creative force, itself a myth, acts upon a formless and limitless chaos, bringing order into the world. As such, myths describe the </w:t>
      </w:r>
      <w:r w:rsidR="005E17EA">
        <w:rPr>
          <w:rStyle w:val="CharAttribute11"/>
          <w:rFonts w:eastAsia="Batang"/>
          <w:i/>
          <w:iCs/>
          <w:szCs w:val="24"/>
        </w:rPr>
        <w:t xml:space="preserve">breakthrough </w:t>
      </w:r>
      <w:r w:rsidR="005E17EA">
        <w:rPr>
          <w:rStyle w:val="CharAttribute11"/>
          <w:rFonts w:eastAsia="Batang"/>
          <w:szCs w:val="24"/>
        </w:rPr>
        <w:t>of the sacred into the world.</w:t>
      </w:r>
      <w:r w:rsidR="00B907E9">
        <w:rPr>
          <w:rStyle w:val="EndnoteReference"/>
          <w:sz w:val="24"/>
          <w:szCs w:val="24"/>
        </w:rPr>
        <w:endnoteReference w:id="7"/>
      </w:r>
      <w:r w:rsidR="005E17EA">
        <w:rPr>
          <w:rStyle w:val="CharAttribute11"/>
          <w:rFonts w:eastAsia="Batang"/>
          <w:szCs w:val="24"/>
        </w:rPr>
        <w:t xml:space="preserve"> The sacred structures and renders possible human existence. It is through partaking in the sacred that persons and things are made real.</w:t>
      </w:r>
      <w:r w:rsidR="00B907E9">
        <w:rPr>
          <w:rStyle w:val="EndnoteReference"/>
          <w:sz w:val="24"/>
          <w:szCs w:val="24"/>
        </w:rPr>
        <w:endnoteReference w:id="8"/>
      </w:r>
    </w:p>
    <w:p w:rsidR="005E17EA" w:rsidRDefault="005E17EA" w:rsidP="008E3AE6">
      <w:pPr>
        <w:pStyle w:val="ParaAttribute5"/>
        <w:wordWrap/>
        <w:spacing w:line="480" w:lineRule="auto"/>
        <w:jc w:val="both"/>
        <w:rPr>
          <w:rStyle w:val="CharAttribute11"/>
          <w:rFonts w:eastAsia="Batang"/>
          <w:szCs w:val="24"/>
        </w:rPr>
      </w:pPr>
      <w:r>
        <w:tab/>
      </w:r>
      <w:r>
        <w:rPr>
          <w:rStyle w:val="CharAttribute11"/>
          <w:rFonts w:eastAsia="Batang"/>
          <w:szCs w:val="24"/>
        </w:rPr>
        <w:t>Connected to the</w:t>
      </w:r>
      <w:r w:rsidR="00BD005A">
        <w:rPr>
          <w:rStyle w:val="CharAttribute11"/>
          <w:rFonts w:eastAsia="Batang"/>
          <w:szCs w:val="24"/>
        </w:rPr>
        <w:t xml:space="preserve"> myth of origin is the idea of </w:t>
      </w:r>
      <w:r>
        <w:rPr>
          <w:rStyle w:val="CharAttribute11"/>
          <w:rFonts w:eastAsia="Batang"/>
          <w:szCs w:val="24"/>
        </w:rPr>
        <w:t xml:space="preserve">progression; the idea that we are always-already ‘on the way’ from the origin to a better place, an improved </w:t>
      </w:r>
      <w:r>
        <w:rPr>
          <w:rStyle w:val="CharAttribute11"/>
          <w:rFonts w:eastAsia="Batang"/>
          <w:szCs w:val="24"/>
        </w:rPr>
        <w:lastRenderedPageBreak/>
        <w:t>way of living. The profane world uses the sacred, mythic origin</w:t>
      </w:r>
      <w:r w:rsidR="00BD005A">
        <w:rPr>
          <w:rStyle w:val="CharAttribute11"/>
          <w:rFonts w:eastAsia="Batang"/>
          <w:szCs w:val="24"/>
        </w:rPr>
        <w:t xml:space="preserve"> as a yardstick to measure its </w:t>
      </w:r>
      <w:r>
        <w:rPr>
          <w:rStyle w:val="CharAttribute11"/>
          <w:rFonts w:eastAsia="Batang"/>
          <w:szCs w:val="24"/>
        </w:rPr>
        <w:t>p</w:t>
      </w:r>
      <w:r w:rsidR="00BD005A">
        <w:rPr>
          <w:rStyle w:val="CharAttribute11"/>
          <w:rFonts w:eastAsia="Batang"/>
          <w:szCs w:val="24"/>
        </w:rPr>
        <w:t xml:space="preserve">rogress. </w:t>
      </w:r>
      <w:r>
        <w:rPr>
          <w:rStyle w:val="CharAttribute11"/>
          <w:rFonts w:eastAsia="Batang"/>
          <w:szCs w:val="24"/>
        </w:rPr>
        <w:t xml:space="preserve">As Foucault wrote in </w:t>
      </w:r>
      <w:r>
        <w:rPr>
          <w:rStyle w:val="CharAttribute7"/>
          <w:rFonts w:eastAsia="Batang"/>
          <w:szCs w:val="24"/>
        </w:rPr>
        <w:t>The Order of Things</w:t>
      </w:r>
      <w:r>
        <w:rPr>
          <w:rStyle w:val="CharAttribute11"/>
          <w:rFonts w:eastAsia="Batang"/>
          <w:szCs w:val="24"/>
        </w:rPr>
        <w:t>, with reference to man being a finite creature of limits:</w:t>
      </w:r>
    </w:p>
    <w:p w:rsidR="001C615A" w:rsidRDefault="001C615A" w:rsidP="008E3AE6">
      <w:pPr>
        <w:pStyle w:val="ParaAttribute5"/>
        <w:wordWrap/>
        <w:spacing w:line="480" w:lineRule="auto"/>
        <w:jc w:val="both"/>
        <w:rPr>
          <w:sz w:val="24"/>
          <w:szCs w:val="24"/>
        </w:rPr>
      </w:pPr>
    </w:p>
    <w:p w:rsidR="005E17EA" w:rsidRDefault="005E17EA" w:rsidP="00183B9E">
      <w:pPr>
        <w:pStyle w:val="ParaAttribute0"/>
        <w:wordWrap/>
        <w:spacing w:line="480" w:lineRule="auto"/>
        <w:ind w:left="567"/>
        <w:jc w:val="both"/>
        <w:rPr>
          <w:rStyle w:val="CharAttribute11"/>
          <w:rFonts w:eastAsia="Batang"/>
          <w:szCs w:val="24"/>
        </w:rPr>
      </w:pPr>
      <w:r>
        <w:rPr>
          <w:rStyle w:val="CharAttribute11"/>
          <w:rFonts w:eastAsia="Batang"/>
          <w:szCs w:val="24"/>
        </w:rPr>
        <w:t>[M]</w:t>
      </w:r>
      <w:proofErr w:type="spellStart"/>
      <w:proofErr w:type="gramStart"/>
      <w:r>
        <w:rPr>
          <w:rStyle w:val="CharAttribute11"/>
          <w:rFonts w:eastAsia="Batang"/>
          <w:szCs w:val="24"/>
        </w:rPr>
        <w:t>an’s</w:t>
      </w:r>
      <w:proofErr w:type="spellEnd"/>
      <w:proofErr w:type="gramEnd"/>
      <w:r>
        <w:rPr>
          <w:rStyle w:val="CharAttribute11"/>
          <w:rFonts w:eastAsia="Batang"/>
          <w:szCs w:val="24"/>
        </w:rPr>
        <w:t xml:space="preserve"> finitude is outlined in the paradoxical form of the endless; rather than a limitation, it indicates the monotony of a journey which, though it probably has no end, is nevertheless perhaps not without hope.</w:t>
      </w:r>
      <w:r w:rsidR="001D0A03">
        <w:rPr>
          <w:rStyle w:val="EndnoteReference"/>
          <w:sz w:val="24"/>
          <w:szCs w:val="24"/>
        </w:rPr>
        <w:endnoteReference w:id="9"/>
      </w:r>
    </w:p>
    <w:p w:rsidR="00450400" w:rsidRDefault="00450400" w:rsidP="008E3AE6">
      <w:pPr>
        <w:pStyle w:val="ParaAttribute0"/>
        <w:wordWrap/>
        <w:spacing w:line="480" w:lineRule="auto"/>
        <w:rPr>
          <w:sz w:val="24"/>
          <w:szCs w:val="24"/>
        </w:rPr>
      </w:pPr>
    </w:p>
    <w:p w:rsidR="005E17EA" w:rsidRDefault="005E17EA" w:rsidP="008E3AE6">
      <w:pPr>
        <w:pStyle w:val="ParaAttribute4"/>
        <w:wordWrap/>
        <w:spacing w:line="480" w:lineRule="auto"/>
        <w:rPr>
          <w:rStyle w:val="CharAttribute11"/>
          <w:rFonts w:eastAsia="Batang"/>
          <w:szCs w:val="24"/>
        </w:rPr>
      </w:pPr>
      <w:r>
        <w:rPr>
          <w:rStyle w:val="CharAttribute11"/>
          <w:rFonts w:eastAsia="Batang"/>
          <w:szCs w:val="24"/>
        </w:rPr>
        <w:t>Agamben’s thought follows Foucault in eschewing origins</w:t>
      </w:r>
      <w:r w:rsidR="0035176F">
        <w:rPr>
          <w:rStyle w:val="CharAttribute11"/>
          <w:rFonts w:eastAsia="Batang"/>
          <w:szCs w:val="24"/>
        </w:rPr>
        <w:t xml:space="preserve"> and</w:t>
      </w:r>
      <w:r>
        <w:rPr>
          <w:rStyle w:val="CharAttribute11"/>
          <w:rFonts w:eastAsia="Batang"/>
          <w:szCs w:val="24"/>
        </w:rPr>
        <w:t xml:space="preserve"> the idea of a </w:t>
      </w:r>
      <w:proofErr w:type="spellStart"/>
      <w:r>
        <w:rPr>
          <w:rStyle w:val="CharAttribute7"/>
          <w:rFonts w:eastAsia="Batang"/>
          <w:szCs w:val="24"/>
        </w:rPr>
        <w:t>telos</w:t>
      </w:r>
      <w:proofErr w:type="spellEnd"/>
      <w:r w:rsidR="0035176F">
        <w:rPr>
          <w:rStyle w:val="CharAttribute11"/>
          <w:rFonts w:eastAsia="Batang"/>
          <w:szCs w:val="24"/>
        </w:rPr>
        <w:t xml:space="preserve">, and </w:t>
      </w:r>
      <w:r>
        <w:rPr>
          <w:rStyle w:val="CharAttribute11"/>
          <w:rFonts w:eastAsia="Batang"/>
          <w:szCs w:val="24"/>
        </w:rPr>
        <w:t xml:space="preserve">question both sacred origins and mythic progressions, turning a focus onto the profane world in which we dwell. Nevertheless, this presents a challenge: to shun the idea of both a beginning and an end as mythic calls into question exactly how to approach the idea of ‘potentiality’. </w:t>
      </w:r>
    </w:p>
    <w:p w:rsidR="005E17EA" w:rsidRDefault="005E17EA" w:rsidP="008E3AE6">
      <w:pPr>
        <w:pStyle w:val="ParaAttribute4"/>
        <w:wordWrap/>
        <w:spacing w:line="480" w:lineRule="auto"/>
        <w:rPr>
          <w:sz w:val="24"/>
          <w:szCs w:val="24"/>
        </w:rPr>
      </w:pPr>
      <w:r w:rsidRPr="00D532C9">
        <w:rPr>
          <w:sz w:val="24"/>
        </w:rPr>
        <w:tab/>
      </w:r>
      <w:r w:rsidR="00D54B89">
        <w:rPr>
          <w:sz w:val="24"/>
        </w:rPr>
        <w:t>I</w:t>
      </w:r>
      <w:r>
        <w:rPr>
          <w:rStyle w:val="CharAttribute11"/>
          <w:rFonts w:eastAsia="Batang"/>
          <w:szCs w:val="24"/>
        </w:rPr>
        <w:t>t is a particular understanding of potentiality which has acted as just such a mythic foundation, and it is Aristotle who bequeathed this myth to Occidental philosophy. Agamben</w:t>
      </w:r>
      <w:r w:rsidR="00D532C9">
        <w:rPr>
          <w:rStyle w:val="CharAttribute11"/>
          <w:rFonts w:eastAsia="Batang"/>
          <w:szCs w:val="24"/>
        </w:rPr>
        <w:t>, in his engagement with</w:t>
      </w:r>
      <w:r>
        <w:rPr>
          <w:rStyle w:val="CharAttribute11"/>
          <w:rFonts w:eastAsia="Batang"/>
          <w:szCs w:val="24"/>
        </w:rPr>
        <w:t xml:space="preserve"> Aristotle’s writings on potentiality</w:t>
      </w:r>
      <w:r w:rsidR="00D532C9">
        <w:rPr>
          <w:rStyle w:val="CharAttribute11"/>
          <w:rFonts w:eastAsia="Batang"/>
          <w:szCs w:val="24"/>
        </w:rPr>
        <w:t xml:space="preserve">, </w:t>
      </w:r>
      <w:r>
        <w:rPr>
          <w:rStyle w:val="CharAttribute11"/>
          <w:rFonts w:eastAsia="Batang"/>
          <w:szCs w:val="24"/>
        </w:rPr>
        <w:t>s</w:t>
      </w:r>
      <w:r w:rsidR="00BD005A">
        <w:rPr>
          <w:rStyle w:val="CharAttribute11"/>
          <w:rFonts w:eastAsia="Batang"/>
          <w:szCs w:val="24"/>
        </w:rPr>
        <w:t>tates that the utterance ‘I can’</w:t>
      </w:r>
      <w:r>
        <w:rPr>
          <w:rStyle w:val="CharAttribute11"/>
          <w:rFonts w:eastAsia="Batang"/>
          <w:szCs w:val="24"/>
        </w:rPr>
        <w:t xml:space="preserve"> marks the hardest experience possible: the </w:t>
      </w:r>
      <w:r>
        <w:rPr>
          <w:rStyle w:val="CharAttribute7"/>
          <w:rFonts w:eastAsia="Batang"/>
          <w:szCs w:val="24"/>
        </w:rPr>
        <w:t>experience</w:t>
      </w:r>
      <w:r>
        <w:rPr>
          <w:rStyle w:val="CharAttribute11"/>
          <w:rFonts w:eastAsia="Batang"/>
          <w:szCs w:val="24"/>
        </w:rPr>
        <w:t xml:space="preserve"> of potentiality.</w:t>
      </w:r>
      <w:r w:rsidR="001D0A03">
        <w:rPr>
          <w:rStyle w:val="EndnoteReference"/>
          <w:sz w:val="24"/>
          <w:szCs w:val="24"/>
        </w:rPr>
        <w:endnoteReference w:id="10"/>
      </w:r>
      <w:r>
        <w:rPr>
          <w:rStyle w:val="CharAttribute11"/>
          <w:rFonts w:eastAsia="Batang"/>
          <w:szCs w:val="24"/>
        </w:rPr>
        <w:t xml:space="preserve"> What is this experience of potentiality, </w:t>
      </w:r>
      <w:r w:rsidR="00BD005A">
        <w:rPr>
          <w:rStyle w:val="CharAttribute11"/>
          <w:rFonts w:eastAsia="Batang"/>
          <w:szCs w:val="24"/>
        </w:rPr>
        <w:t>the experience of saying ‘I can’</w:t>
      </w:r>
      <w:r>
        <w:rPr>
          <w:rStyle w:val="CharAttribute11"/>
          <w:rFonts w:eastAsia="Batang"/>
          <w:szCs w:val="24"/>
        </w:rPr>
        <w:t>? To appreciate the importance of this question, we need to accept that Aristotle’s conceptions of potentiality and actuality inform our most basic assumptions about biological life.</w:t>
      </w:r>
      <w:r w:rsidR="001D0A03">
        <w:rPr>
          <w:rStyle w:val="EndnoteReference"/>
          <w:sz w:val="24"/>
          <w:szCs w:val="24"/>
        </w:rPr>
        <w:endnoteReference w:id="11"/>
      </w:r>
      <w:r>
        <w:rPr>
          <w:rStyle w:val="CharAttribute11"/>
          <w:rFonts w:eastAsia="Batang"/>
          <w:szCs w:val="24"/>
        </w:rPr>
        <w:t xml:space="preserve"> </w:t>
      </w:r>
      <w:r w:rsidR="00B23B94">
        <w:rPr>
          <w:rStyle w:val="CharAttribute11"/>
          <w:rFonts w:eastAsia="Batang"/>
          <w:szCs w:val="24"/>
        </w:rPr>
        <w:t>W</w:t>
      </w:r>
      <w:r w:rsidR="00BD005A">
        <w:rPr>
          <w:rStyle w:val="CharAttribute11"/>
          <w:rFonts w:eastAsia="Batang"/>
          <w:szCs w:val="24"/>
        </w:rPr>
        <w:t>e conceive of life</w:t>
      </w:r>
      <w:r>
        <w:rPr>
          <w:rStyle w:val="CharAttribute11"/>
          <w:rFonts w:eastAsia="Batang"/>
          <w:szCs w:val="24"/>
        </w:rPr>
        <w:t xml:space="preserve">, and its political consequences, in terms of a </w:t>
      </w:r>
      <w:r w:rsidR="00D54B89">
        <w:rPr>
          <w:rStyle w:val="CharAttribute11"/>
          <w:rFonts w:eastAsia="Batang"/>
          <w:szCs w:val="24"/>
        </w:rPr>
        <w:t xml:space="preserve">mythic </w:t>
      </w:r>
      <w:r>
        <w:rPr>
          <w:rStyle w:val="CharAttribute11"/>
          <w:rFonts w:eastAsia="Batang"/>
          <w:szCs w:val="24"/>
        </w:rPr>
        <w:t xml:space="preserve">narrative of progression from potentiality to actuality. </w:t>
      </w:r>
    </w:p>
    <w:p w:rsidR="005E17EA" w:rsidRDefault="005E17EA" w:rsidP="008E3AE6">
      <w:pPr>
        <w:pStyle w:val="ParaAttribute4"/>
        <w:wordWrap/>
        <w:spacing w:line="480" w:lineRule="auto"/>
        <w:rPr>
          <w:sz w:val="24"/>
          <w:szCs w:val="24"/>
        </w:rPr>
      </w:pPr>
      <w:r>
        <w:lastRenderedPageBreak/>
        <w:tab/>
      </w:r>
      <w:r w:rsidR="00B23B94">
        <w:rPr>
          <w:rStyle w:val="CharAttribute11"/>
          <w:rFonts w:eastAsia="Batang"/>
          <w:szCs w:val="24"/>
        </w:rPr>
        <w:t>Aristotle provides us with</w:t>
      </w:r>
      <w:r>
        <w:rPr>
          <w:rStyle w:val="CharAttribute11"/>
          <w:rFonts w:eastAsia="Batang"/>
          <w:szCs w:val="24"/>
        </w:rPr>
        <w:t xml:space="preserve"> an intimate relation between potentiality and actuality</w:t>
      </w:r>
      <w:r w:rsidR="00D54B89">
        <w:rPr>
          <w:rStyle w:val="CharAttribute11"/>
          <w:rFonts w:eastAsia="Batang"/>
          <w:szCs w:val="24"/>
        </w:rPr>
        <w:t>.</w:t>
      </w:r>
      <w:r w:rsidR="001B4442">
        <w:rPr>
          <w:rStyle w:val="EndnoteReference"/>
          <w:sz w:val="24"/>
          <w:szCs w:val="24"/>
        </w:rPr>
        <w:endnoteReference w:id="12"/>
      </w:r>
      <w:r>
        <w:rPr>
          <w:rStyle w:val="CharAttribute12"/>
          <w:rFonts w:eastAsia="Batang"/>
          <w:szCs w:val="24"/>
        </w:rPr>
        <w:t xml:space="preserve"> </w:t>
      </w:r>
      <w:r>
        <w:rPr>
          <w:rStyle w:val="CharAttribute13"/>
          <w:rFonts w:eastAsia="Batang"/>
          <w:szCs w:val="24"/>
        </w:rPr>
        <w:t xml:space="preserve">In the </w:t>
      </w:r>
      <w:r>
        <w:rPr>
          <w:rStyle w:val="CharAttribute7"/>
          <w:rFonts w:eastAsia="Batang"/>
          <w:szCs w:val="24"/>
        </w:rPr>
        <w:t>Metaphysics</w:t>
      </w:r>
      <w:r>
        <w:rPr>
          <w:rStyle w:val="CharAttribute13"/>
          <w:rFonts w:eastAsia="Batang"/>
          <w:szCs w:val="24"/>
        </w:rPr>
        <w:t>, Aristotle distinguished between two types of potentiality. The first is a generic potentiality, the potentiality of</w:t>
      </w:r>
      <w:r w:rsidR="0035176F">
        <w:rPr>
          <w:rStyle w:val="CharAttribute13"/>
          <w:rFonts w:eastAsia="Batang"/>
          <w:szCs w:val="24"/>
        </w:rPr>
        <w:t xml:space="preserve"> acting and of being acted upon,</w:t>
      </w:r>
      <w:r w:rsidR="001B4442">
        <w:rPr>
          <w:rStyle w:val="EndnoteReference"/>
          <w:sz w:val="24"/>
          <w:szCs w:val="24"/>
        </w:rPr>
        <w:endnoteReference w:id="13"/>
      </w:r>
      <w:r>
        <w:rPr>
          <w:rStyle w:val="CharAttribute13"/>
          <w:rFonts w:eastAsia="Batang"/>
          <w:szCs w:val="24"/>
        </w:rPr>
        <w:t xml:space="preserve"> what is meant when we say that a child has the potential to become the head of State.</w:t>
      </w:r>
      <w:r w:rsidR="001B4442">
        <w:rPr>
          <w:rStyle w:val="EndnoteReference"/>
          <w:sz w:val="24"/>
          <w:szCs w:val="24"/>
        </w:rPr>
        <w:endnoteReference w:id="14"/>
      </w:r>
      <w:r>
        <w:rPr>
          <w:rStyle w:val="CharAttribute13"/>
          <w:rFonts w:eastAsia="Batang"/>
          <w:szCs w:val="24"/>
        </w:rPr>
        <w:t xml:space="preserve"> The second form of potentiality is ‘in the agent’ and already existing.</w:t>
      </w:r>
      <w:r w:rsidR="001B4442">
        <w:rPr>
          <w:rStyle w:val="EndnoteReference"/>
          <w:sz w:val="24"/>
          <w:szCs w:val="24"/>
        </w:rPr>
        <w:endnoteReference w:id="15"/>
      </w:r>
      <w:r>
        <w:rPr>
          <w:rStyle w:val="CharAttribute13"/>
          <w:rFonts w:eastAsia="Batang"/>
          <w:szCs w:val="24"/>
        </w:rPr>
        <w:t xml:space="preserve"> </w:t>
      </w:r>
      <w:r>
        <w:rPr>
          <w:rStyle w:val="CharAttribute14"/>
          <w:rFonts w:eastAsia="Batang"/>
          <w:szCs w:val="24"/>
        </w:rPr>
        <w:t>Agamben writes that this form of potentiality was of interest to Aristotle, namely the potentiality that belongs to someone who has knowledge or ability.</w:t>
      </w:r>
      <w:r w:rsidR="001B4442">
        <w:rPr>
          <w:rStyle w:val="EndnoteReference"/>
          <w:sz w:val="24"/>
          <w:szCs w:val="24"/>
        </w:rPr>
        <w:endnoteReference w:id="16"/>
      </w:r>
      <w:r>
        <w:rPr>
          <w:rStyle w:val="CharAttribute14"/>
          <w:rFonts w:eastAsia="Batang"/>
          <w:szCs w:val="24"/>
        </w:rPr>
        <w:t xml:space="preserve"> </w:t>
      </w:r>
      <w:r>
        <w:rPr>
          <w:rStyle w:val="CharAttribute15"/>
          <w:rFonts w:eastAsia="Batang"/>
          <w:szCs w:val="24"/>
        </w:rPr>
        <w:t xml:space="preserve">For example, the poet has the potential to write poems. This existing potentiality is contrasted to the generic potentiality of the child. Whoever already possesses knowledge, like the poet, does not need to suffer an alteration, as they are already potential thanks to a ‘having’ on the basis of which they can also </w:t>
      </w:r>
      <w:r>
        <w:rPr>
          <w:rStyle w:val="CharAttribute7"/>
          <w:rFonts w:eastAsia="Batang"/>
          <w:szCs w:val="24"/>
        </w:rPr>
        <w:t xml:space="preserve">not </w:t>
      </w:r>
      <w:r>
        <w:rPr>
          <w:rStyle w:val="CharAttribute15"/>
          <w:rFonts w:eastAsia="Batang"/>
          <w:szCs w:val="24"/>
        </w:rPr>
        <w:t>bring their knowledge into actuality.</w:t>
      </w:r>
      <w:r w:rsidR="001B4442">
        <w:rPr>
          <w:rStyle w:val="EndnoteReference"/>
          <w:sz w:val="24"/>
          <w:szCs w:val="24"/>
        </w:rPr>
        <w:endnoteReference w:id="17"/>
      </w:r>
      <w:r>
        <w:rPr>
          <w:rStyle w:val="CharAttribute15"/>
          <w:rFonts w:eastAsia="Batang"/>
          <w:szCs w:val="24"/>
        </w:rPr>
        <w:t xml:space="preserve"> </w:t>
      </w:r>
    </w:p>
    <w:p w:rsidR="00DD7870" w:rsidRDefault="005E17EA" w:rsidP="008E3AE6">
      <w:pPr>
        <w:pStyle w:val="ParaAttribute5"/>
        <w:wordWrap/>
        <w:spacing w:line="480" w:lineRule="auto"/>
        <w:jc w:val="both"/>
        <w:rPr>
          <w:rStyle w:val="CharAttribute19"/>
          <w:rFonts w:eastAsia="Batang"/>
          <w:szCs w:val="24"/>
        </w:rPr>
      </w:pPr>
      <w:r>
        <w:tab/>
      </w:r>
      <w:r w:rsidR="0035176F">
        <w:rPr>
          <w:rStyle w:val="CharAttribute16"/>
          <w:rFonts w:eastAsia="Batang"/>
          <w:szCs w:val="24"/>
        </w:rPr>
        <w:t>Aristotle bequeathed</w:t>
      </w:r>
      <w:r>
        <w:rPr>
          <w:rStyle w:val="CharAttribute16"/>
          <w:rFonts w:eastAsia="Batang"/>
          <w:szCs w:val="24"/>
        </w:rPr>
        <w:t xml:space="preserve"> to Western philosophy this opposition, and interconnectivity, of actuality and potentiality. Unlike the </w:t>
      </w:r>
      <w:proofErr w:type="spellStart"/>
      <w:r>
        <w:rPr>
          <w:rStyle w:val="CharAttribute16"/>
          <w:rFonts w:eastAsia="Batang"/>
          <w:szCs w:val="24"/>
        </w:rPr>
        <w:t>Megarians</w:t>
      </w:r>
      <w:proofErr w:type="spellEnd"/>
      <w:r>
        <w:rPr>
          <w:rStyle w:val="CharAttribute16"/>
          <w:rFonts w:eastAsia="Batang"/>
          <w:szCs w:val="24"/>
        </w:rPr>
        <w:t>, who only recognised becoming in act, Aristotle gave a positive existence to potentiality; potentiality can never be absorbed into a determinate actualisation.</w:t>
      </w:r>
      <w:r w:rsidR="001B4442">
        <w:rPr>
          <w:rStyle w:val="EndnoteReference"/>
          <w:sz w:val="24"/>
          <w:szCs w:val="24"/>
        </w:rPr>
        <w:endnoteReference w:id="18"/>
      </w:r>
      <w:r>
        <w:rPr>
          <w:rStyle w:val="CharAttribute16"/>
          <w:rFonts w:eastAsia="Batang"/>
          <w:szCs w:val="24"/>
        </w:rPr>
        <w:t xml:space="preserve"> </w:t>
      </w:r>
      <w:r>
        <w:rPr>
          <w:rStyle w:val="CharAttribute17"/>
          <w:rFonts w:eastAsia="Batang"/>
          <w:szCs w:val="24"/>
        </w:rPr>
        <w:t xml:space="preserve">Crucially however, Aristotle </w:t>
      </w:r>
      <w:r w:rsidR="00BD005A">
        <w:rPr>
          <w:rStyle w:val="CharAttribute17"/>
          <w:rFonts w:eastAsia="Batang"/>
          <w:szCs w:val="24"/>
        </w:rPr>
        <w:t>places primacy upon actuality: ‘</w:t>
      </w:r>
      <w:r>
        <w:rPr>
          <w:rStyle w:val="CharAttribute17"/>
          <w:rFonts w:eastAsia="Batang"/>
          <w:szCs w:val="24"/>
        </w:rPr>
        <w:t>the good actuality is better and more valu</w:t>
      </w:r>
      <w:r w:rsidR="00BD005A">
        <w:rPr>
          <w:rStyle w:val="CharAttribute17"/>
          <w:rFonts w:eastAsia="Batang"/>
          <w:szCs w:val="24"/>
        </w:rPr>
        <w:t>able than the good potentiality’</w:t>
      </w:r>
      <w:r>
        <w:rPr>
          <w:rStyle w:val="CharAttribute17"/>
          <w:rFonts w:eastAsia="Batang"/>
          <w:szCs w:val="24"/>
        </w:rPr>
        <w:t>.</w:t>
      </w:r>
      <w:r w:rsidR="001B4442">
        <w:rPr>
          <w:rStyle w:val="EndnoteReference"/>
          <w:sz w:val="24"/>
          <w:szCs w:val="24"/>
        </w:rPr>
        <w:endnoteReference w:id="19"/>
      </w:r>
      <w:r>
        <w:rPr>
          <w:rStyle w:val="CharAttribute17"/>
          <w:rFonts w:eastAsia="Batang"/>
          <w:szCs w:val="24"/>
        </w:rPr>
        <w:t xml:space="preserve"> </w:t>
      </w:r>
      <w:r>
        <w:rPr>
          <w:rStyle w:val="CharAttribute18"/>
          <w:rFonts w:eastAsia="Batang"/>
          <w:szCs w:val="24"/>
        </w:rPr>
        <w:t>What is more, potentiality can only be discovered and understood through its being brought into actuality.</w:t>
      </w:r>
      <w:r w:rsidR="001B4442">
        <w:rPr>
          <w:rStyle w:val="EndnoteReference"/>
          <w:sz w:val="24"/>
          <w:szCs w:val="24"/>
        </w:rPr>
        <w:endnoteReference w:id="20"/>
      </w:r>
      <w:r>
        <w:rPr>
          <w:rStyle w:val="CharAttribute18"/>
          <w:rFonts w:eastAsia="Batang"/>
          <w:szCs w:val="24"/>
        </w:rPr>
        <w:t xml:space="preserve"> </w:t>
      </w:r>
      <w:r>
        <w:rPr>
          <w:rStyle w:val="CharAttribute19"/>
          <w:rFonts w:eastAsia="Batang"/>
          <w:szCs w:val="24"/>
        </w:rPr>
        <w:t>Thus potentia</w:t>
      </w:r>
      <w:r w:rsidR="00BD005A">
        <w:rPr>
          <w:rStyle w:val="CharAttribute19"/>
          <w:rFonts w:eastAsia="Batang"/>
          <w:szCs w:val="24"/>
        </w:rPr>
        <w:t>lity becomes actuality unborn</w:t>
      </w:r>
      <w:r w:rsidR="00B23B94">
        <w:rPr>
          <w:rStyle w:val="CharAttribute19"/>
          <w:rFonts w:eastAsia="Batang"/>
          <w:szCs w:val="24"/>
        </w:rPr>
        <w:t xml:space="preserve">, </w:t>
      </w:r>
      <w:r>
        <w:rPr>
          <w:rStyle w:val="CharAttribute19"/>
          <w:rFonts w:eastAsia="Batang"/>
          <w:szCs w:val="24"/>
        </w:rPr>
        <w:t xml:space="preserve">something which must be completed and can be improved upon, made better through actualisation. Potentiality forms the beginning which is connected to the ultimate identity of the individual. </w:t>
      </w:r>
    </w:p>
    <w:p w:rsidR="007703E9" w:rsidRDefault="005E17EA" w:rsidP="008E3AE6">
      <w:pPr>
        <w:pStyle w:val="ParaAttribute0"/>
        <w:wordWrap/>
        <w:spacing w:line="480" w:lineRule="auto"/>
        <w:jc w:val="both"/>
        <w:rPr>
          <w:rStyle w:val="CharAttribute21"/>
          <w:rFonts w:eastAsia="Batang"/>
          <w:szCs w:val="24"/>
        </w:rPr>
      </w:pPr>
      <w:r>
        <w:tab/>
      </w:r>
      <w:r>
        <w:rPr>
          <w:rStyle w:val="CharAttribute19"/>
          <w:rFonts w:eastAsia="Batang"/>
          <w:szCs w:val="24"/>
        </w:rPr>
        <w:t xml:space="preserve">The drawing upon of opposing philosophical terms in Aristotle’s writings </w:t>
      </w:r>
      <w:r>
        <w:rPr>
          <w:rStyle w:val="CharAttribute19"/>
          <w:rFonts w:eastAsia="Batang"/>
          <w:szCs w:val="24"/>
        </w:rPr>
        <w:lastRenderedPageBreak/>
        <w:t>is a familiar part of Agamben’s methodology. Most famously, Agamben’s completion of Foucault’s hypothesis of biopower</w:t>
      </w:r>
      <w:r w:rsidR="0035176F">
        <w:rPr>
          <w:rStyle w:val="CharAttribute19"/>
          <w:rFonts w:eastAsia="Batang"/>
          <w:szCs w:val="24"/>
        </w:rPr>
        <w:t xml:space="preserve"> </w:t>
      </w:r>
      <w:r>
        <w:rPr>
          <w:rStyle w:val="CharAttribute19"/>
          <w:rFonts w:eastAsia="Batang"/>
          <w:szCs w:val="24"/>
        </w:rPr>
        <w:t>relies upon an interrogation of the fact that the ancient Gr</w:t>
      </w:r>
      <w:r w:rsidR="00BD005A">
        <w:rPr>
          <w:rStyle w:val="CharAttribute19"/>
          <w:rFonts w:eastAsia="Batang"/>
          <w:szCs w:val="24"/>
        </w:rPr>
        <w:t xml:space="preserve">eeks did not have one word for </w:t>
      </w:r>
      <w:r>
        <w:rPr>
          <w:rStyle w:val="CharAttribute19"/>
          <w:rFonts w:eastAsia="Batang"/>
          <w:szCs w:val="24"/>
        </w:rPr>
        <w:t xml:space="preserve">life. In the classical world, </w:t>
      </w:r>
      <w:r w:rsidR="00B23B94" w:rsidRPr="00B23B94">
        <w:rPr>
          <w:rStyle w:val="CharAttribute19"/>
          <w:rFonts w:eastAsia="Batang"/>
          <w:i/>
          <w:szCs w:val="24"/>
        </w:rPr>
        <w:t>b</w:t>
      </w:r>
      <w:r>
        <w:rPr>
          <w:rStyle w:val="CharAttribute7"/>
          <w:rFonts w:eastAsia="Batang"/>
          <w:szCs w:val="24"/>
        </w:rPr>
        <w:t xml:space="preserve">ios </w:t>
      </w:r>
      <w:r>
        <w:rPr>
          <w:rStyle w:val="CharAttribute20"/>
          <w:rFonts w:eastAsia="Batang"/>
          <w:szCs w:val="24"/>
        </w:rPr>
        <w:t xml:space="preserve">refers to qualified life, be it political life, or the life of the philosopher. It is </w:t>
      </w:r>
      <w:r>
        <w:rPr>
          <w:rStyle w:val="CharAttribute7"/>
          <w:rFonts w:eastAsia="Batang"/>
          <w:szCs w:val="24"/>
        </w:rPr>
        <w:t>bios</w:t>
      </w:r>
      <w:r>
        <w:rPr>
          <w:rStyle w:val="CharAttribute20"/>
          <w:rFonts w:eastAsia="Batang"/>
          <w:szCs w:val="24"/>
        </w:rPr>
        <w:t xml:space="preserve"> </w:t>
      </w:r>
      <w:r>
        <w:rPr>
          <w:rStyle w:val="CharAttribute21"/>
          <w:rFonts w:eastAsia="Batang"/>
          <w:szCs w:val="24"/>
        </w:rPr>
        <w:t xml:space="preserve">which determines the bare substance of </w:t>
      </w:r>
      <w:proofErr w:type="spellStart"/>
      <w:proofErr w:type="gramStart"/>
      <w:r>
        <w:rPr>
          <w:rStyle w:val="CharAttribute7"/>
          <w:rFonts w:eastAsia="Batang"/>
          <w:szCs w:val="24"/>
        </w:rPr>
        <w:t>zoē</w:t>
      </w:r>
      <w:proofErr w:type="spellEnd"/>
      <w:proofErr w:type="gramEnd"/>
      <w:r>
        <w:rPr>
          <w:rStyle w:val="CharAttribute21"/>
          <w:rFonts w:eastAsia="Batang"/>
          <w:szCs w:val="24"/>
        </w:rPr>
        <w:t>.</w:t>
      </w:r>
      <w:r w:rsidR="0027285B">
        <w:rPr>
          <w:rStyle w:val="EndnoteReference"/>
          <w:sz w:val="24"/>
          <w:szCs w:val="24"/>
        </w:rPr>
        <w:endnoteReference w:id="21"/>
      </w:r>
      <w:r>
        <w:rPr>
          <w:rStyle w:val="CharAttribute21"/>
          <w:rFonts w:eastAsia="Batang"/>
          <w:szCs w:val="24"/>
        </w:rPr>
        <w:t xml:space="preserve"> </w:t>
      </w:r>
    </w:p>
    <w:p w:rsidR="005E17EA" w:rsidRDefault="005E17EA" w:rsidP="0035176F">
      <w:pPr>
        <w:pStyle w:val="ParaAttribute0"/>
        <w:wordWrap/>
        <w:spacing w:line="480" w:lineRule="auto"/>
        <w:jc w:val="both"/>
        <w:rPr>
          <w:sz w:val="24"/>
          <w:szCs w:val="24"/>
        </w:rPr>
      </w:pPr>
      <w:r>
        <w:tab/>
      </w:r>
      <w:r>
        <w:rPr>
          <w:rStyle w:val="CharAttribute22"/>
          <w:rFonts w:eastAsia="Batang"/>
          <w:szCs w:val="24"/>
        </w:rPr>
        <w:t xml:space="preserve">What I argue here is that the opposition Agamben draws between potentiality and actuality is connected to the opposition he draws between </w:t>
      </w:r>
      <w:r>
        <w:rPr>
          <w:rStyle w:val="CharAttribute7"/>
          <w:rFonts w:eastAsia="Batang"/>
          <w:szCs w:val="24"/>
        </w:rPr>
        <w:t>bios</w:t>
      </w:r>
      <w:r>
        <w:rPr>
          <w:rStyle w:val="CharAttribute22"/>
          <w:rFonts w:eastAsia="Batang"/>
          <w:szCs w:val="24"/>
        </w:rPr>
        <w:t xml:space="preserve"> and </w:t>
      </w:r>
      <w:proofErr w:type="spellStart"/>
      <w:proofErr w:type="gramStart"/>
      <w:r>
        <w:rPr>
          <w:rStyle w:val="CharAttribute7"/>
          <w:rFonts w:eastAsia="Batang"/>
          <w:szCs w:val="24"/>
        </w:rPr>
        <w:t>zoē</w:t>
      </w:r>
      <w:proofErr w:type="spellEnd"/>
      <w:proofErr w:type="gramEnd"/>
      <w:r w:rsidR="00AB3518">
        <w:rPr>
          <w:rStyle w:val="CharAttribute22"/>
          <w:rFonts w:eastAsia="Batang"/>
          <w:szCs w:val="24"/>
        </w:rPr>
        <w:t xml:space="preserve">. </w:t>
      </w:r>
      <w:r>
        <w:rPr>
          <w:rStyle w:val="CharAttribute22"/>
          <w:rFonts w:eastAsia="Batang"/>
          <w:szCs w:val="24"/>
        </w:rPr>
        <w:t>To summarise Agamben’s argument</w:t>
      </w:r>
      <w:r w:rsidR="00AB3518">
        <w:rPr>
          <w:rStyle w:val="CharAttribute22"/>
          <w:rFonts w:eastAsia="Batang"/>
          <w:szCs w:val="24"/>
        </w:rPr>
        <w:t>:</w:t>
      </w:r>
      <w:r>
        <w:rPr>
          <w:rStyle w:val="CharAttribute22"/>
          <w:rFonts w:eastAsia="Batang"/>
          <w:szCs w:val="24"/>
        </w:rPr>
        <w:t xml:space="preserve"> </w:t>
      </w:r>
      <w:proofErr w:type="spellStart"/>
      <w:proofErr w:type="gramStart"/>
      <w:r>
        <w:rPr>
          <w:rStyle w:val="CharAttribute7"/>
          <w:rFonts w:eastAsia="Batang"/>
          <w:szCs w:val="24"/>
        </w:rPr>
        <w:t>zoē</w:t>
      </w:r>
      <w:proofErr w:type="spellEnd"/>
      <w:proofErr w:type="gramEnd"/>
      <w:r>
        <w:rPr>
          <w:rStyle w:val="CharAttribute22"/>
          <w:rFonts w:eastAsia="Batang"/>
          <w:szCs w:val="24"/>
        </w:rPr>
        <w:t xml:space="preserve"> </w:t>
      </w:r>
      <w:r>
        <w:rPr>
          <w:rStyle w:val="CharAttribute23"/>
          <w:rFonts w:eastAsia="Batang"/>
          <w:szCs w:val="24"/>
        </w:rPr>
        <w:t>denotes the basic fact of living common to all living beings, be they animals, men or gods. This unqualified existence is contrasted to living qualified in terms of an end.</w:t>
      </w:r>
      <w:r w:rsidR="0027285B">
        <w:rPr>
          <w:rStyle w:val="EndnoteReference"/>
          <w:sz w:val="24"/>
          <w:szCs w:val="24"/>
        </w:rPr>
        <w:endnoteReference w:id="22"/>
      </w:r>
      <w:r>
        <w:rPr>
          <w:rStyle w:val="CharAttribute23"/>
          <w:rFonts w:eastAsia="Batang"/>
          <w:szCs w:val="24"/>
        </w:rPr>
        <w:t xml:space="preserve"> This qualified life, </w:t>
      </w:r>
      <w:r>
        <w:rPr>
          <w:rStyle w:val="CharAttribute7"/>
          <w:rFonts w:eastAsia="Batang"/>
          <w:szCs w:val="24"/>
        </w:rPr>
        <w:t>bios</w:t>
      </w:r>
      <w:r>
        <w:rPr>
          <w:rStyle w:val="CharAttribute23"/>
          <w:rFonts w:eastAsia="Batang"/>
          <w:szCs w:val="24"/>
        </w:rPr>
        <w:t>, is the form or way of living proper to an i</w:t>
      </w:r>
      <w:r w:rsidR="0035176F">
        <w:rPr>
          <w:rStyle w:val="CharAttribute23"/>
          <w:rFonts w:eastAsia="Batang"/>
          <w:szCs w:val="24"/>
        </w:rPr>
        <w:t>ndividual or group.</w:t>
      </w:r>
      <w:r w:rsidR="0027285B">
        <w:rPr>
          <w:rStyle w:val="EndnoteReference"/>
          <w:sz w:val="24"/>
          <w:szCs w:val="24"/>
        </w:rPr>
        <w:endnoteReference w:id="23"/>
      </w:r>
    </w:p>
    <w:p w:rsidR="005E17EA" w:rsidRDefault="0035176F" w:rsidP="008E3AE6">
      <w:pPr>
        <w:pStyle w:val="ParaAttribute4"/>
        <w:wordWrap/>
        <w:spacing w:line="480" w:lineRule="auto"/>
        <w:rPr>
          <w:sz w:val="24"/>
          <w:szCs w:val="24"/>
        </w:rPr>
      </w:pPr>
      <w:r>
        <w:rPr>
          <w:sz w:val="24"/>
          <w:szCs w:val="24"/>
        </w:rPr>
        <w:tab/>
      </w:r>
      <w:r w:rsidR="005E17EA">
        <w:rPr>
          <w:rStyle w:val="CharAttribute23"/>
          <w:rFonts w:eastAsia="Batang"/>
          <w:szCs w:val="24"/>
        </w:rPr>
        <w:t xml:space="preserve">This relation between </w:t>
      </w:r>
      <w:proofErr w:type="spellStart"/>
      <w:proofErr w:type="gramStart"/>
      <w:r w:rsidR="005E17EA">
        <w:rPr>
          <w:rStyle w:val="CharAttribute7"/>
          <w:rFonts w:eastAsia="Batang"/>
          <w:szCs w:val="24"/>
        </w:rPr>
        <w:t>zoē</w:t>
      </w:r>
      <w:proofErr w:type="spellEnd"/>
      <w:proofErr w:type="gramEnd"/>
      <w:r w:rsidR="005E17EA">
        <w:rPr>
          <w:rStyle w:val="CharAttribute23"/>
          <w:rFonts w:eastAsia="Batang"/>
          <w:szCs w:val="24"/>
        </w:rPr>
        <w:t xml:space="preserve"> and </w:t>
      </w:r>
      <w:r w:rsidR="005E17EA">
        <w:rPr>
          <w:rStyle w:val="CharAttribute7"/>
          <w:rFonts w:eastAsia="Batang"/>
          <w:szCs w:val="24"/>
        </w:rPr>
        <w:t xml:space="preserve">bios </w:t>
      </w:r>
      <w:r w:rsidR="005E17EA">
        <w:rPr>
          <w:rStyle w:val="CharAttribute23"/>
          <w:rFonts w:eastAsia="Batang"/>
          <w:szCs w:val="24"/>
        </w:rPr>
        <w:t xml:space="preserve">is not an opposition. Every </w:t>
      </w:r>
      <w:proofErr w:type="gramStart"/>
      <w:r w:rsidR="005E17EA">
        <w:rPr>
          <w:rStyle w:val="CharAttribute7"/>
          <w:rFonts w:eastAsia="Batang"/>
          <w:szCs w:val="24"/>
        </w:rPr>
        <w:t>bios</w:t>
      </w:r>
      <w:proofErr w:type="gramEnd"/>
      <w:r w:rsidR="005E17EA">
        <w:rPr>
          <w:rStyle w:val="CharAttribute23"/>
          <w:rFonts w:eastAsia="Batang"/>
          <w:szCs w:val="24"/>
        </w:rPr>
        <w:t>, the proper end of man, is built upon and held i</w:t>
      </w:r>
      <w:bookmarkStart w:id="0" w:name="_GoBack"/>
      <w:bookmarkEnd w:id="0"/>
      <w:r w:rsidR="005E17EA">
        <w:rPr>
          <w:rStyle w:val="CharAttribute23"/>
          <w:rFonts w:eastAsia="Batang"/>
          <w:szCs w:val="24"/>
        </w:rPr>
        <w:t xml:space="preserve">n relation to </w:t>
      </w:r>
      <w:proofErr w:type="spellStart"/>
      <w:r w:rsidR="005E17EA">
        <w:rPr>
          <w:rStyle w:val="CharAttribute7"/>
          <w:rFonts w:eastAsia="Batang"/>
          <w:szCs w:val="24"/>
        </w:rPr>
        <w:t>zoē</w:t>
      </w:r>
      <w:proofErr w:type="spellEnd"/>
      <w:r w:rsidR="005E17EA">
        <w:rPr>
          <w:rStyle w:val="CharAttribute23"/>
          <w:rFonts w:eastAsia="Batang"/>
          <w:szCs w:val="24"/>
        </w:rPr>
        <w:t xml:space="preserve">, simple existence. Agamben sees Aristotle as excluding natural life from the political sphere, confining natural life to the </w:t>
      </w:r>
      <w:proofErr w:type="spellStart"/>
      <w:r w:rsidR="005E17EA">
        <w:rPr>
          <w:rStyle w:val="CharAttribute7"/>
          <w:rFonts w:eastAsia="Batang"/>
          <w:szCs w:val="24"/>
        </w:rPr>
        <w:t>oikos</w:t>
      </w:r>
      <w:proofErr w:type="spellEnd"/>
      <w:r w:rsidR="005E17EA">
        <w:rPr>
          <w:rStyle w:val="CharAttribute23"/>
          <w:rFonts w:eastAsia="Batang"/>
          <w:szCs w:val="24"/>
        </w:rPr>
        <w:t>, the domestic sphere.</w:t>
      </w:r>
      <w:r w:rsidR="0027285B">
        <w:rPr>
          <w:rStyle w:val="EndnoteReference"/>
          <w:sz w:val="24"/>
          <w:szCs w:val="24"/>
        </w:rPr>
        <w:endnoteReference w:id="24"/>
      </w:r>
      <w:r w:rsidR="005E17EA">
        <w:rPr>
          <w:rStyle w:val="CharAttribute23"/>
          <w:rFonts w:eastAsia="Batang"/>
          <w:szCs w:val="24"/>
        </w:rPr>
        <w:t xml:space="preserve"> </w:t>
      </w:r>
      <w:r w:rsidR="005E17EA">
        <w:rPr>
          <w:rStyle w:val="CharAttribute24"/>
          <w:rFonts w:eastAsia="Batang"/>
          <w:szCs w:val="24"/>
        </w:rPr>
        <w:t xml:space="preserve">It is this exclusion of </w:t>
      </w:r>
      <w:proofErr w:type="spellStart"/>
      <w:proofErr w:type="gramStart"/>
      <w:r w:rsidR="005E17EA">
        <w:rPr>
          <w:rStyle w:val="CharAttribute7"/>
          <w:rFonts w:eastAsia="Batang"/>
          <w:szCs w:val="24"/>
        </w:rPr>
        <w:t>zoē</w:t>
      </w:r>
      <w:proofErr w:type="spellEnd"/>
      <w:proofErr w:type="gramEnd"/>
      <w:r w:rsidR="005E17EA">
        <w:rPr>
          <w:rStyle w:val="CharAttribute24"/>
          <w:rFonts w:eastAsia="Batang"/>
          <w:szCs w:val="24"/>
        </w:rPr>
        <w:t xml:space="preserve"> from the political sphere that is at the same time an implication of natural life in the political sphere; politics is the place where natural life has to transform itself into politically qualified life.</w:t>
      </w:r>
      <w:r w:rsidR="0027285B">
        <w:rPr>
          <w:rStyle w:val="EndnoteReference"/>
          <w:sz w:val="24"/>
          <w:szCs w:val="24"/>
        </w:rPr>
        <w:endnoteReference w:id="25"/>
      </w:r>
    </w:p>
    <w:p w:rsidR="005E17EA" w:rsidRDefault="005E17EA" w:rsidP="008E3AE6">
      <w:pPr>
        <w:pStyle w:val="ParaAttribute4"/>
        <w:wordWrap/>
        <w:spacing w:line="480" w:lineRule="auto"/>
        <w:rPr>
          <w:sz w:val="24"/>
          <w:szCs w:val="24"/>
        </w:rPr>
      </w:pPr>
      <w:r>
        <w:tab/>
      </w:r>
      <w:r>
        <w:rPr>
          <w:rStyle w:val="CharAttribute25"/>
          <w:rFonts w:eastAsia="Batang"/>
          <w:szCs w:val="24"/>
        </w:rPr>
        <w:t>It is this gesture of inclusive exclusion which Agamben sees as characteristic of the Western political tradition.</w:t>
      </w:r>
      <w:r w:rsidR="0027285B">
        <w:rPr>
          <w:rStyle w:val="EndnoteReference"/>
          <w:sz w:val="24"/>
          <w:szCs w:val="24"/>
        </w:rPr>
        <w:endnoteReference w:id="26"/>
      </w:r>
      <w:r>
        <w:rPr>
          <w:rStyle w:val="CharAttribute25"/>
          <w:rFonts w:eastAsia="Batang"/>
          <w:szCs w:val="24"/>
        </w:rPr>
        <w:t xml:space="preserve"> </w:t>
      </w:r>
      <w:r>
        <w:rPr>
          <w:rStyle w:val="CharAttribute26"/>
          <w:rFonts w:eastAsia="Batang"/>
          <w:szCs w:val="24"/>
        </w:rPr>
        <w:t xml:space="preserve">The relation of </w:t>
      </w:r>
      <w:r>
        <w:rPr>
          <w:rStyle w:val="CharAttribute7"/>
          <w:rFonts w:eastAsia="Batang"/>
          <w:szCs w:val="24"/>
        </w:rPr>
        <w:t xml:space="preserve">bios </w:t>
      </w:r>
      <w:r>
        <w:rPr>
          <w:rStyle w:val="CharAttribute26"/>
          <w:rFonts w:eastAsia="Batang"/>
          <w:szCs w:val="24"/>
        </w:rPr>
        <w:t xml:space="preserve">and </w:t>
      </w:r>
      <w:proofErr w:type="spellStart"/>
      <w:proofErr w:type="gramStart"/>
      <w:r>
        <w:rPr>
          <w:rStyle w:val="CharAttribute7"/>
          <w:rFonts w:eastAsia="Batang"/>
          <w:szCs w:val="24"/>
        </w:rPr>
        <w:t>zoē</w:t>
      </w:r>
      <w:proofErr w:type="spellEnd"/>
      <w:proofErr w:type="gramEnd"/>
      <w:r>
        <w:rPr>
          <w:rStyle w:val="CharAttribute26"/>
          <w:rFonts w:eastAsia="Batang"/>
          <w:szCs w:val="24"/>
        </w:rPr>
        <w:t xml:space="preserve"> and actuality and potentiality are relations of inclusive exclusion. This limit relation implies that one term is included in the other by virtue of its exclusion. </w:t>
      </w:r>
      <w:r>
        <w:rPr>
          <w:rStyle w:val="CharAttribute7"/>
          <w:rFonts w:eastAsia="Batang"/>
          <w:szCs w:val="24"/>
        </w:rPr>
        <w:t>Bios</w:t>
      </w:r>
      <w:r>
        <w:rPr>
          <w:rStyle w:val="CharAttribute26"/>
          <w:rFonts w:eastAsia="Batang"/>
          <w:szCs w:val="24"/>
        </w:rPr>
        <w:t xml:space="preserve"> cannot exist without </w:t>
      </w:r>
      <w:proofErr w:type="spellStart"/>
      <w:proofErr w:type="gramStart"/>
      <w:r>
        <w:rPr>
          <w:rStyle w:val="CharAttribute7"/>
          <w:rFonts w:eastAsia="Batang"/>
          <w:szCs w:val="24"/>
        </w:rPr>
        <w:t>zoē</w:t>
      </w:r>
      <w:proofErr w:type="spellEnd"/>
      <w:proofErr w:type="gramEnd"/>
      <w:r>
        <w:rPr>
          <w:rStyle w:val="CharAttribute7"/>
          <w:rFonts w:eastAsia="Batang"/>
          <w:szCs w:val="24"/>
        </w:rPr>
        <w:t xml:space="preserve"> </w:t>
      </w:r>
      <w:r>
        <w:rPr>
          <w:rStyle w:val="CharAttribute26"/>
          <w:rFonts w:eastAsia="Batang"/>
          <w:szCs w:val="24"/>
        </w:rPr>
        <w:t xml:space="preserve">but it is excluded from the sphere of natural life. </w:t>
      </w:r>
      <w:r>
        <w:rPr>
          <w:rStyle w:val="CharAttribute26"/>
          <w:rFonts w:eastAsia="Batang"/>
          <w:szCs w:val="24"/>
        </w:rPr>
        <w:lastRenderedPageBreak/>
        <w:t xml:space="preserve">Actuality cannot exist without potentiality but it in no way remains as potentiality. </w:t>
      </w:r>
    </w:p>
    <w:p w:rsidR="005E17EA" w:rsidRDefault="005E17EA" w:rsidP="008E3AE6">
      <w:pPr>
        <w:pStyle w:val="ParaAttribute4"/>
        <w:wordWrap/>
        <w:spacing w:line="480" w:lineRule="auto"/>
        <w:rPr>
          <w:rStyle w:val="CharAttribute26"/>
          <w:rFonts w:eastAsia="Batang"/>
          <w:szCs w:val="24"/>
        </w:rPr>
      </w:pPr>
      <w:r>
        <w:tab/>
      </w:r>
      <w:r>
        <w:rPr>
          <w:rStyle w:val="CharAttribute26"/>
          <w:rFonts w:eastAsia="Batang"/>
          <w:szCs w:val="24"/>
        </w:rPr>
        <w:t>Where Agamben takes up these paradoxes within his writings, he contends that these relations</w:t>
      </w:r>
      <w:r w:rsidR="00BD005A">
        <w:rPr>
          <w:rStyle w:val="CharAttribute26"/>
          <w:rFonts w:eastAsia="Batang"/>
          <w:szCs w:val="24"/>
        </w:rPr>
        <w:t xml:space="preserve"> of inclusive exclusion create zones of indistinction</w:t>
      </w:r>
      <w:r>
        <w:rPr>
          <w:rStyle w:val="CharAttribute26"/>
          <w:rFonts w:eastAsia="Batang"/>
          <w:szCs w:val="24"/>
        </w:rPr>
        <w:t xml:space="preserve"> or </w:t>
      </w:r>
      <w:r w:rsidR="00BD005A">
        <w:rPr>
          <w:rStyle w:val="CharAttribute26"/>
          <w:rFonts w:eastAsia="Batang"/>
          <w:szCs w:val="24"/>
        </w:rPr>
        <w:t>zones of undecidability</w:t>
      </w:r>
      <w:r>
        <w:rPr>
          <w:rStyle w:val="CharAttribute26"/>
          <w:rFonts w:eastAsia="Batang"/>
          <w:szCs w:val="24"/>
        </w:rPr>
        <w:t xml:space="preserve">. It is to these zones that we must turn our focus. Agamben’s methodology openly embraces the finding of such zones in oppositional distinctions which seem to allow for no such indistinction: </w:t>
      </w:r>
    </w:p>
    <w:p w:rsidR="001B4442" w:rsidRDefault="001B4442" w:rsidP="008E3AE6">
      <w:pPr>
        <w:pStyle w:val="ParaAttribute4"/>
        <w:wordWrap/>
        <w:spacing w:line="480" w:lineRule="auto"/>
        <w:rPr>
          <w:sz w:val="24"/>
          <w:szCs w:val="24"/>
        </w:rPr>
      </w:pPr>
    </w:p>
    <w:p w:rsidR="005E17EA" w:rsidRDefault="005E17EA" w:rsidP="001B4442">
      <w:pPr>
        <w:pStyle w:val="ParaAttribute5"/>
        <w:wordWrap/>
        <w:spacing w:line="480" w:lineRule="auto"/>
        <w:ind w:left="567"/>
        <w:jc w:val="both"/>
        <w:rPr>
          <w:sz w:val="24"/>
          <w:szCs w:val="24"/>
        </w:rPr>
      </w:pPr>
      <w:r>
        <w:rPr>
          <w:rStyle w:val="CharAttribute26"/>
          <w:rFonts w:eastAsia="Batang"/>
          <w:szCs w:val="24"/>
        </w:rPr>
        <w:t>When you take a classical distinction of the political-philosophical tradition such as public/private, then I find it much less interesting to insist on the distinction and to bemoan the diminution of one of the terms, than to question the interweaving. I want to understand how the system operates. And the system is always double; it works by means of opposition. Not only as public/private, but also the house and the city, the exception and the rule, to reign and to govern, etc. but in order to understand what is really at stake here, we must learn to see these oppositions not as “di-</w:t>
      </w:r>
      <w:proofErr w:type="spellStart"/>
      <w:r>
        <w:rPr>
          <w:rStyle w:val="CharAttribute26"/>
          <w:rFonts w:eastAsia="Batang"/>
          <w:szCs w:val="24"/>
        </w:rPr>
        <w:t>chotomies</w:t>
      </w:r>
      <w:proofErr w:type="spellEnd"/>
      <w:r>
        <w:rPr>
          <w:rStyle w:val="CharAttribute26"/>
          <w:rFonts w:eastAsia="Batang"/>
          <w:szCs w:val="24"/>
        </w:rPr>
        <w:t xml:space="preserve">” but as “di-polarities”, not substantial, but tensional. I mean that we need </w:t>
      </w:r>
      <w:proofErr w:type="gramStart"/>
      <w:r>
        <w:rPr>
          <w:rStyle w:val="CharAttribute26"/>
          <w:rFonts w:eastAsia="Batang"/>
          <w:szCs w:val="24"/>
        </w:rPr>
        <w:t>a logic</w:t>
      </w:r>
      <w:proofErr w:type="gramEnd"/>
      <w:r>
        <w:rPr>
          <w:rStyle w:val="CharAttribute26"/>
          <w:rFonts w:eastAsia="Batang"/>
          <w:szCs w:val="24"/>
        </w:rPr>
        <w:t xml:space="preserve"> of the field, as in physics, where it is impossible to draw a line clearly and separate to different substances. The polarity is present and acts at each point of the field. Then you may suddenly have zones of </w:t>
      </w:r>
      <w:proofErr w:type="spellStart"/>
      <w:r>
        <w:rPr>
          <w:rStyle w:val="CharAttribute26"/>
          <w:rFonts w:eastAsia="Batang"/>
          <w:szCs w:val="24"/>
        </w:rPr>
        <w:t>indecideability</w:t>
      </w:r>
      <w:proofErr w:type="spellEnd"/>
      <w:r>
        <w:rPr>
          <w:rStyle w:val="CharAttribute26"/>
          <w:rFonts w:eastAsia="Batang"/>
          <w:szCs w:val="24"/>
        </w:rPr>
        <w:t xml:space="preserve"> or indifference.</w:t>
      </w:r>
      <w:r w:rsidR="0027285B">
        <w:rPr>
          <w:rStyle w:val="EndnoteReference"/>
          <w:sz w:val="24"/>
          <w:szCs w:val="24"/>
        </w:rPr>
        <w:endnoteReference w:id="27"/>
      </w:r>
    </w:p>
    <w:p w:rsidR="00DD7870" w:rsidRDefault="00DD7870" w:rsidP="008E3AE6">
      <w:pPr>
        <w:pStyle w:val="ParaAttribute4"/>
        <w:wordWrap/>
        <w:spacing w:line="480" w:lineRule="auto"/>
        <w:rPr>
          <w:rStyle w:val="CharAttribute26"/>
          <w:rFonts w:eastAsia="Batang"/>
          <w:szCs w:val="24"/>
        </w:rPr>
      </w:pPr>
    </w:p>
    <w:p w:rsidR="005E17EA" w:rsidRDefault="005E17EA" w:rsidP="008E3AE6">
      <w:pPr>
        <w:pStyle w:val="ParaAttribute4"/>
        <w:wordWrap/>
        <w:spacing w:line="480" w:lineRule="auto"/>
        <w:rPr>
          <w:sz w:val="24"/>
          <w:szCs w:val="24"/>
        </w:rPr>
      </w:pPr>
      <w:r>
        <w:rPr>
          <w:rStyle w:val="CharAttribute26"/>
          <w:rFonts w:eastAsia="Batang"/>
          <w:szCs w:val="24"/>
        </w:rPr>
        <w:t xml:space="preserve">A zone of indistinction is a point where two opposing terms interweave and become completely indistinct. Being able to situate this zone allows not just for a </w:t>
      </w:r>
      <w:r>
        <w:rPr>
          <w:rStyle w:val="CharAttribute26"/>
          <w:rFonts w:eastAsia="Batang"/>
          <w:szCs w:val="24"/>
        </w:rPr>
        <w:lastRenderedPageBreak/>
        <w:t xml:space="preserve">questioning of the opposition itself, but it also allows for the consequences of the opposition to be called into question. </w:t>
      </w:r>
    </w:p>
    <w:p w:rsidR="00B76844" w:rsidRDefault="005E17EA" w:rsidP="008E3AE6">
      <w:pPr>
        <w:pStyle w:val="ParaAttribute0"/>
        <w:wordWrap/>
        <w:spacing w:line="480" w:lineRule="auto"/>
        <w:jc w:val="both"/>
        <w:rPr>
          <w:rStyle w:val="CharAttribute26"/>
          <w:rFonts w:eastAsia="Batang"/>
          <w:szCs w:val="24"/>
        </w:rPr>
      </w:pPr>
      <w:r>
        <w:tab/>
      </w:r>
      <w:r>
        <w:rPr>
          <w:rStyle w:val="CharAttribute26"/>
          <w:rFonts w:eastAsia="Batang"/>
          <w:szCs w:val="24"/>
        </w:rPr>
        <w:t xml:space="preserve">More importantly, this zone of undecidability is explicitly connected to the anti-foundational thought reflected in Agamben’s writings. Agamben views these oppositions as foundational to Western politics; in questioning the foundation, Agamben’s thought questions the mythical narratives which underpin Western conceptions of political belonging. </w:t>
      </w:r>
    </w:p>
    <w:p w:rsidR="005E17EA" w:rsidRDefault="005E17EA" w:rsidP="008E3AE6">
      <w:pPr>
        <w:pStyle w:val="ParaAttribute0"/>
        <w:wordWrap/>
        <w:spacing w:line="480" w:lineRule="auto"/>
        <w:jc w:val="both"/>
        <w:rPr>
          <w:rStyle w:val="CharAttribute26"/>
          <w:rFonts w:eastAsia="Batang"/>
          <w:szCs w:val="24"/>
        </w:rPr>
      </w:pPr>
      <w:r>
        <w:tab/>
      </w:r>
      <w:r>
        <w:rPr>
          <w:rStyle w:val="CharAttribute26"/>
          <w:rFonts w:eastAsia="Batang"/>
          <w:szCs w:val="24"/>
        </w:rPr>
        <w:t>This questioning is not a search for an alternative origin, n</w:t>
      </w:r>
      <w:r w:rsidR="00BD005A">
        <w:rPr>
          <w:rStyle w:val="CharAttribute26"/>
          <w:rFonts w:eastAsia="Batang"/>
          <w:szCs w:val="24"/>
        </w:rPr>
        <w:t>or is it a search for a better</w:t>
      </w:r>
      <w:r>
        <w:rPr>
          <w:rStyle w:val="CharAttribute26"/>
          <w:rFonts w:eastAsia="Batang"/>
          <w:szCs w:val="24"/>
        </w:rPr>
        <w:t xml:space="preserve"> answer (for to do so would admit of an ineffable </w:t>
      </w:r>
      <w:proofErr w:type="spellStart"/>
      <w:r>
        <w:rPr>
          <w:rStyle w:val="CharAttribute7"/>
          <w:rFonts w:eastAsia="Batang"/>
          <w:szCs w:val="24"/>
        </w:rPr>
        <w:t>telos</w:t>
      </w:r>
      <w:proofErr w:type="spellEnd"/>
      <w:r>
        <w:rPr>
          <w:rStyle w:val="CharAttribute26"/>
          <w:rFonts w:eastAsia="Batang"/>
          <w:szCs w:val="24"/>
        </w:rPr>
        <w:t>). Rather, this questioning focuses in upon the ‘point of emergence’ of any given phenomenon. This exercise in ‘philosophical archaeology’, as Agamben refers to it, allows for a non-foundational grasping of a phenomenon, such as life, or potentiality</w:t>
      </w:r>
      <w:r w:rsidR="007703E9">
        <w:rPr>
          <w:rStyle w:val="CharAttribute26"/>
          <w:rFonts w:eastAsia="Batang"/>
          <w:szCs w:val="24"/>
        </w:rPr>
        <w:t>.</w:t>
      </w:r>
      <w:r w:rsidR="0027285B">
        <w:rPr>
          <w:rStyle w:val="EndnoteReference"/>
          <w:sz w:val="24"/>
          <w:szCs w:val="24"/>
        </w:rPr>
        <w:endnoteReference w:id="28"/>
      </w:r>
      <w:r w:rsidR="007703E9">
        <w:rPr>
          <w:rStyle w:val="CharAttribute26"/>
          <w:rFonts w:eastAsia="Batang"/>
          <w:szCs w:val="24"/>
        </w:rPr>
        <w:t xml:space="preserve"> </w:t>
      </w:r>
      <w:r>
        <w:rPr>
          <w:rStyle w:val="CharAttribute26"/>
          <w:rFonts w:eastAsia="Batang"/>
          <w:szCs w:val="24"/>
        </w:rPr>
        <w:t xml:space="preserve">The point of emergence allows the phenomenon to ‘confront itself anew’. It is this process of ‘confronting anew’ which can properly be described as </w:t>
      </w:r>
      <w:r>
        <w:rPr>
          <w:rStyle w:val="CharAttribute7"/>
          <w:rFonts w:eastAsia="Batang"/>
          <w:szCs w:val="24"/>
        </w:rPr>
        <w:t xml:space="preserve">messianic </w:t>
      </w:r>
      <w:r>
        <w:rPr>
          <w:rStyle w:val="CharAttribute26"/>
          <w:rFonts w:eastAsia="Batang"/>
          <w:szCs w:val="24"/>
        </w:rPr>
        <w:t xml:space="preserve">in nature. </w:t>
      </w:r>
    </w:p>
    <w:p w:rsidR="00B76844" w:rsidRDefault="00B76844" w:rsidP="008E3AE6">
      <w:pPr>
        <w:pStyle w:val="ParaAttribute0"/>
        <w:wordWrap/>
        <w:spacing w:line="480" w:lineRule="auto"/>
        <w:jc w:val="both"/>
        <w:rPr>
          <w:rStyle w:val="CharAttribute26"/>
          <w:rFonts w:eastAsia="Batang"/>
          <w:szCs w:val="24"/>
        </w:rPr>
      </w:pPr>
    </w:p>
    <w:p w:rsidR="00B76844" w:rsidRPr="00B76844" w:rsidRDefault="00B76844" w:rsidP="008E3AE6">
      <w:pPr>
        <w:pStyle w:val="ParaAttribute0"/>
        <w:wordWrap/>
        <w:spacing w:line="480" w:lineRule="auto"/>
        <w:jc w:val="both"/>
        <w:rPr>
          <w:rStyle w:val="CharAttribute26"/>
          <w:rFonts w:eastAsia="Batang"/>
          <w:b/>
          <w:szCs w:val="24"/>
        </w:rPr>
      </w:pPr>
      <w:r>
        <w:rPr>
          <w:rStyle w:val="CharAttribute26"/>
          <w:rFonts w:eastAsia="Batang"/>
          <w:b/>
          <w:szCs w:val="24"/>
        </w:rPr>
        <w:t>A MESSIANIC POLITICS</w:t>
      </w:r>
    </w:p>
    <w:p w:rsidR="00B76844" w:rsidRDefault="00B76844" w:rsidP="008E3AE6">
      <w:pPr>
        <w:pStyle w:val="ParaAttribute0"/>
        <w:wordWrap/>
        <w:spacing w:line="480" w:lineRule="auto"/>
        <w:jc w:val="both"/>
        <w:rPr>
          <w:sz w:val="24"/>
          <w:szCs w:val="24"/>
        </w:rPr>
      </w:pPr>
    </w:p>
    <w:p w:rsidR="005E17EA" w:rsidRDefault="005E17EA" w:rsidP="008E3AE6">
      <w:pPr>
        <w:pStyle w:val="ParaAttribute4"/>
        <w:wordWrap/>
        <w:spacing w:line="480" w:lineRule="auto"/>
        <w:rPr>
          <w:sz w:val="24"/>
          <w:szCs w:val="24"/>
        </w:rPr>
      </w:pPr>
      <w:r>
        <w:rPr>
          <w:rStyle w:val="CharAttribute27"/>
          <w:rFonts w:eastAsia="Batang"/>
          <w:szCs w:val="24"/>
        </w:rPr>
        <w:t>The messianic signifies the move from bondage to liberation, from sin to salvation, divine intervention to save a flawed world.</w:t>
      </w:r>
      <w:r w:rsidR="00EE4DC1">
        <w:rPr>
          <w:rStyle w:val="EndnoteReference"/>
          <w:sz w:val="24"/>
          <w:szCs w:val="24"/>
        </w:rPr>
        <w:endnoteReference w:id="29"/>
      </w:r>
      <w:r>
        <w:rPr>
          <w:rStyle w:val="CharAttribute27"/>
          <w:rFonts w:eastAsia="Batang"/>
          <w:szCs w:val="24"/>
        </w:rPr>
        <w:t xml:space="preserve"> </w:t>
      </w:r>
      <w:r>
        <w:rPr>
          <w:rStyle w:val="CharAttribute28"/>
          <w:rFonts w:eastAsia="Batang"/>
          <w:szCs w:val="24"/>
        </w:rPr>
        <w:t>Messianism exists in both Christian and Jewish theological traditions, and in both religions this messianism is closely connected to redemption. However, Christian messianism conceives of redemption as an event in the spiritual, unseen realm, reflected in the soul.</w:t>
      </w:r>
      <w:r w:rsidR="00EE4DC1">
        <w:rPr>
          <w:rStyle w:val="EndnoteReference"/>
          <w:sz w:val="24"/>
          <w:szCs w:val="24"/>
        </w:rPr>
        <w:endnoteReference w:id="30"/>
      </w:r>
      <w:r>
        <w:rPr>
          <w:rStyle w:val="CharAttribute28"/>
          <w:rFonts w:eastAsia="Batang"/>
          <w:szCs w:val="24"/>
        </w:rPr>
        <w:t xml:space="preserve"> </w:t>
      </w:r>
      <w:proofErr w:type="spellStart"/>
      <w:r>
        <w:rPr>
          <w:rStyle w:val="CharAttribute28"/>
          <w:rFonts w:eastAsia="Batang"/>
          <w:szCs w:val="24"/>
        </w:rPr>
        <w:lastRenderedPageBreak/>
        <w:t>Gershom</w:t>
      </w:r>
      <w:proofErr w:type="spellEnd"/>
      <w:r>
        <w:rPr>
          <w:rStyle w:val="CharAttribute28"/>
          <w:rFonts w:eastAsia="Batang"/>
          <w:szCs w:val="24"/>
        </w:rPr>
        <w:t xml:space="preserve"> </w:t>
      </w:r>
      <w:proofErr w:type="spellStart"/>
      <w:r>
        <w:rPr>
          <w:rStyle w:val="CharAttribute28"/>
          <w:rFonts w:eastAsia="Batang"/>
          <w:szCs w:val="24"/>
        </w:rPr>
        <w:t>Scholem</w:t>
      </w:r>
      <w:proofErr w:type="spellEnd"/>
      <w:r>
        <w:rPr>
          <w:rStyle w:val="CharAttribute28"/>
          <w:rFonts w:eastAsia="Batang"/>
          <w:szCs w:val="24"/>
        </w:rPr>
        <w:t xml:space="preserve"> makes the point that Augustine’s </w:t>
      </w:r>
      <w:r>
        <w:rPr>
          <w:rStyle w:val="CharAttribute7"/>
          <w:rFonts w:eastAsia="Batang"/>
          <w:szCs w:val="24"/>
        </w:rPr>
        <w:t xml:space="preserve">City of God </w:t>
      </w:r>
      <w:r>
        <w:rPr>
          <w:rStyle w:val="CharAttribute28"/>
          <w:rFonts w:eastAsia="Batang"/>
          <w:szCs w:val="24"/>
        </w:rPr>
        <w:t xml:space="preserve">reflects this; it is a community of the mysteriously redeemed within the unredeemed world. Judaism views messianism as a concept of redemption which takes place publicly, </w:t>
      </w:r>
      <w:r w:rsidR="00BD005A">
        <w:rPr>
          <w:rStyle w:val="CharAttribute28"/>
          <w:rFonts w:eastAsia="Batang"/>
          <w:szCs w:val="24"/>
        </w:rPr>
        <w:t>‘</w:t>
      </w:r>
      <w:r>
        <w:rPr>
          <w:rStyle w:val="CharAttribute28"/>
          <w:rFonts w:eastAsia="Batang"/>
          <w:szCs w:val="24"/>
        </w:rPr>
        <w:t>on the stage of h</w:t>
      </w:r>
      <w:r w:rsidR="00BD005A">
        <w:rPr>
          <w:rStyle w:val="CharAttribute28"/>
          <w:rFonts w:eastAsia="Batang"/>
          <w:szCs w:val="24"/>
        </w:rPr>
        <w:t>istory and within the community’</w:t>
      </w:r>
      <w:r>
        <w:rPr>
          <w:rStyle w:val="CharAttribute28"/>
          <w:rFonts w:eastAsia="Batang"/>
          <w:szCs w:val="24"/>
        </w:rPr>
        <w:t>.</w:t>
      </w:r>
      <w:r w:rsidR="00EE4DC1">
        <w:rPr>
          <w:rStyle w:val="EndnoteReference"/>
          <w:sz w:val="24"/>
          <w:szCs w:val="24"/>
        </w:rPr>
        <w:endnoteReference w:id="31"/>
      </w:r>
      <w:r>
        <w:rPr>
          <w:rStyle w:val="CharAttribute28"/>
          <w:rFonts w:eastAsia="Batang"/>
          <w:szCs w:val="24"/>
        </w:rPr>
        <w:t xml:space="preserve"> Messianism occurs in the world and cannot be thought apart from its visible appearance. </w:t>
      </w:r>
    </w:p>
    <w:p w:rsidR="005E17EA" w:rsidRDefault="005E17EA" w:rsidP="008E3AE6">
      <w:pPr>
        <w:pStyle w:val="ParaAttribute4"/>
        <w:wordWrap/>
        <w:spacing w:line="480" w:lineRule="auto"/>
        <w:rPr>
          <w:sz w:val="24"/>
          <w:szCs w:val="24"/>
        </w:rPr>
      </w:pPr>
      <w:r>
        <w:tab/>
      </w:r>
      <w:proofErr w:type="spellStart"/>
      <w:r>
        <w:rPr>
          <w:rStyle w:val="CharAttribute28"/>
          <w:rFonts w:eastAsia="Batang"/>
          <w:szCs w:val="24"/>
        </w:rPr>
        <w:t>Scholem</w:t>
      </w:r>
      <w:proofErr w:type="spellEnd"/>
      <w:r>
        <w:rPr>
          <w:rStyle w:val="CharAttribute28"/>
          <w:rFonts w:eastAsia="Batang"/>
          <w:szCs w:val="24"/>
        </w:rPr>
        <w:t xml:space="preserve"> considered that Jewish messianism has had two intertwined tendencies which have developed its content: the restorative and the utopian. </w:t>
      </w:r>
      <w:r w:rsidR="00BD005A">
        <w:rPr>
          <w:rStyle w:val="CharAttribute28"/>
          <w:rFonts w:eastAsia="Batang"/>
          <w:szCs w:val="24"/>
        </w:rPr>
        <w:t>The restorative is directed to ‘</w:t>
      </w:r>
      <w:r>
        <w:rPr>
          <w:rStyle w:val="CharAttribute28"/>
          <w:rFonts w:eastAsia="Batang"/>
          <w:szCs w:val="24"/>
        </w:rPr>
        <w:t>the return and recreation of a past condition which comes to be thought of as ideal … Here hope is turned backwards to the re-establishment of an original state of things and</w:t>
      </w:r>
      <w:r w:rsidR="00BD005A">
        <w:rPr>
          <w:rStyle w:val="CharAttribute28"/>
          <w:rFonts w:eastAsia="Batang"/>
          <w:szCs w:val="24"/>
        </w:rPr>
        <w:t xml:space="preserve"> to a “life with the ancestors”’</w:t>
      </w:r>
      <w:r>
        <w:rPr>
          <w:rStyle w:val="CharAttribute28"/>
          <w:rFonts w:eastAsia="Batang"/>
          <w:szCs w:val="24"/>
        </w:rPr>
        <w:t>.</w:t>
      </w:r>
      <w:r w:rsidR="00EE4DC1">
        <w:rPr>
          <w:rStyle w:val="EndnoteReference"/>
          <w:sz w:val="24"/>
          <w:szCs w:val="24"/>
        </w:rPr>
        <w:endnoteReference w:id="32"/>
      </w:r>
      <w:r>
        <w:rPr>
          <w:rStyle w:val="CharAttribute28"/>
          <w:rFonts w:eastAsia="Batang"/>
          <w:szCs w:val="24"/>
        </w:rPr>
        <w:t xml:space="preserve"> </w:t>
      </w:r>
      <w:proofErr w:type="gramStart"/>
      <w:r>
        <w:rPr>
          <w:rStyle w:val="CharAttribute28"/>
          <w:rFonts w:eastAsia="Batang"/>
          <w:szCs w:val="24"/>
        </w:rPr>
        <w:t>Contrarily, the utopian aims at a state of things which has never yet existed.</w:t>
      </w:r>
      <w:proofErr w:type="gramEnd"/>
      <w:r>
        <w:rPr>
          <w:rStyle w:val="CharAttribute28"/>
          <w:rFonts w:eastAsia="Batang"/>
          <w:szCs w:val="24"/>
        </w:rPr>
        <w:t xml:space="preserve"> The two tendencies are intertwined and cannot be separ</w:t>
      </w:r>
      <w:r w:rsidR="00BD005A">
        <w:rPr>
          <w:rStyle w:val="CharAttribute28"/>
          <w:rFonts w:eastAsia="Batang"/>
          <w:szCs w:val="24"/>
        </w:rPr>
        <w:t>ated as ‘</w:t>
      </w:r>
      <w:r>
        <w:rPr>
          <w:rStyle w:val="CharAttribute28"/>
          <w:rFonts w:eastAsia="Batang"/>
          <w:szCs w:val="24"/>
        </w:rPr>
        <w:t xml:space="preserve">even the restorative force has a utopian factor, and in utopianism </w:t>
      </w:r>
      <w:r w:rsidR="00BD005A">
        <w:rPr>
          <w:rStyle w:val="CharAttribute28"/>
          <w:rFonts w:eastAsia="Batang"/>
          <w:szCs w:val="24"/>
        </w:rPr>
        <w:t>restorative factors are at work’</w:t>
      </w:r>
      <w:r>
        <w:rPr>
          <w:rStyle w:val="CharAttribute28"/>
          <w:rFonts w:eastAsia="Batang"/>
          <w:szCs w:val="24"/>
        </w:rPr>
        <w:t>.</w:t>
      </w:r>
      <w:r w:rsidR="00EE4DC1">
        <w:rPr>
          <w:rStyle w:val="EndnoteReference"/>
          <w:sz w:val="24"/>
          <w:szCs w:val="24"/>
        </w:rPr>
        <w:endnoteReference w:id="33"/>
      </w:r>
      <w:r>
        <w:rPr>
          <w:rStyle w:val="CharAttribute28"/>
          <w:rFonts w:eastAsia="Batang"/>
          <w:szCs w:val="24"/>
        </w:rPr>
        <w:t xml:space="preserve"> The restorative tendency has a utopian impulse projected upon the past, rather than the future. However, despite this focus upon restoration and utopianism, </w:t>
      </w:r>
      <w:proofErr w:type="spellStart"/>
      <w:r>
        <w:rPr>
          <w:rStyle w:val="CharAttribute28"/>
          <w:rFonts w:eastAsia="Batang"/>
          <w:szCs w:val="24"/>
        </w:rPr>
        <w:t>Scholem</w:t>
      </w:r>
      <w:proofErr w:type="spellEnd"/>
      <w:r>
        <w:rPr>
          <w:rStyle w:val="CharAttribute28"/>
          <w:rFonts w:eastAsia="Batang"/>
          <w:szCs w:val="24"/>
        </w:rPr>
        <w:t xml:space="preserve"> is clear that elements creep into a restoratively oriented utopianism which are not restorative and which derive from a new state of the Messianic world.</w:t>
      </w:r>
      <w:r w:rsidR="00533F54">
        <w:rPr>
          <w:rStyle w:val="EndnoteReference"/>
          <w:sz w:val="24"/>
          <w:szCs w:val="24"/>
        </w:rPr>
        <w:endnoteReference w:id="34"/>
      </w:r>
      <w:r>
        <w:rPr>
          <w:rStyle w:val="CharAttribute28"/>
          <w:rFonts w:eastAsia="Batang"/>
          <w:szCs w:val="24"/>
        </w:rPr>
        <w:t xml:space="preserve"> </w:t>
      </w:r>
      <w:r>
        <w:rPr>
          <w:rStyle w:val="CharAttribute29"/>
          <w:rFonts w:eastAsia="Batang"/>
          <w:szCs w:val="24"/>
        </w:rPr>
        <w:t xml:space="preserve">This new order has elements of the old order which are transformed and transfigured. </w:t>
      </w:r>
    </w:p>
    <w:p w:rsidR="00DD7870" w:rsidRDefault="005E17EA" w:rsidP="008E3AE6">
      <w:pPr>
        <w:pStyle w:val="ParaAttribute0"/>
        <w:wordWrap/>
        <w:spacing w:line="480" w:lineRule="auto"/>
        <w:jc w:val="both"/>
        <w:rPr>
          <w:rStyle w:val="CharAttribute32"/>
          <w:rFonts w:eastAsia="Batang"/>
          <w:szCs w:val="24"/>
        </w:rPr>
      </w:pPr>
      <w:r>
        <w:tab/>
      </w:r>
      <w:r>
        <w:rPr>
          <w:rStyle w:val="CharAttribute29"/>
          <w:rFonts w:eastAsia="Batang"/>
          <w:szCs w:val="24"/>
        </w:rPr>
        <w:t>It is the attempt to bring the restorative and utopian traditions of messianism together which characterise Agamben’s messianism.</w:t>
      </w:r>
      <w:r w:rsidR="00533F54">
        <w:rPr>
          <w:rStyle w:val="EndnoteReference"/>
          <w:sz w:val="24"/>
          <w:szCs w:val="24"/>
        </w:rPr>
        <w:endnoteReference w:id="35"/>
      </w:r>
      <w:r>
        <w:rPr>
          <w:rStyle w:val="CharAttribute29"/>
          <w:rFonts w:eastAsia="Batang"/>
          <w:szCs w:val="24"/>
        </w:rPr>
        <w:t xml:space="preserve"> </w:t>
      </w:r>
      <w:r>
        <w:rPr>
          <w:rStyle w:val="CharAttribute30"/>
          <w:rFonts w:eastAsia="Batang"/>
          <w:szCs w:val="24"/>
        </w:rPr>
        <w:t xml:space="preserve">Agamben notes that in the Jewish tradition the figure of the Messiah is double. The Messiah ben Joseph is a Messiah who dies, vanquished in the battle against the forces of </w:t>
      </w:r>
      <w:r>
        <w:rPr>
          <w:rStyle w:val="CharAttribute30"/>
          <w:rFonts w:eastAsia="Batang"/>
          <w:szCs w:val="24"/>
        </w:rPr>
        <w:lastRenderedPageBreak/>
        <w:t>evil; the Messiah ben David is the triumphant Messiah who restores the kingdom.</w:t>
      </w:r>
      <w:r w:rsidR="00197A72">
        <w:rPr>
          <w:rStyle w:val="EndnoteReference"/>
          <w:sz w:val="24"/>
          <w:szCs w:val="24"/>
        </w:rPr>
        <w:endnoteReference w:id="36"/>
      </w:r>
      <w:r>
        <w:rPr>
          <w:rStyle w:val="CharAttribute30"/>
          <w:rFonts w:eastAsia="Batang"/>
          <w:szCs w:val="24"/>
        </w:rPr>
        <w:t xml:space="preserve"> Messianism belongs to historical time, but also puts an end to it; it comes not to destroy, but to fulfil.</w:t>
      </w:r>
      <w:r w:rsidR="00197A72">
        <w:rPr>
          <w:rStyle w:val="EndnoteReference"/>
          <w:sz w:val="24"/>
          <w:szCs w:val="24"/>
        </w:rPr>
        <w:endnoteReference w:id="37"/>
      </w:r>
      <w:r>
        <w:rPr>
          <w:rStyle w:val="CharAttribute30"/>
          <w:rFonts w:eastAsia="Batang"/>
          <w:szCs w:val="24"/>
        </w:rPr>
        <w:t xml:space="preserve"> </w:t>
      </w:r>
      <w:r>
        <w:rPr>
          <w:rStyle w:val="CharAttribute31"/>
          <w:rFonts w:eastAsia="Batang"/>
          <w:szCs w:val="24"/>
        </w:rPr>
        <w:t>This is why the figure of the Messiah is double.</w:t>
      </w:r>
      <w:r w:rsidR="00197A72">
        <w:rPr>
          <w:rStyle w:val="EndnoteReference"/>
          <w:sz w:val="24"/>
          <w:szCs w:val="24"/>
        </w:rPr>
        <w:endnoteReference w:id="38"/>
      </w:r>
      <w:r>
        <w:rPr>
          <w:rStyle w:val="CharAttribute31"/>
          <w:rFonts w:eastAsia="Batang"/>
          <w:szCs w:val="24"/>
        </w:rPr>
        <w:t xml:space="preserve"> </w:t>
      </w:r>
      <w:r>
        <w:rPr>
          <w:rStyle w:val="CharAttribute32"/>
          <w:rFonts w:eastAsia="Batang"/>
          <w:szCs w:val="24"/>
        </w:rPr>
        <w:t xml:space="preserve">However, this fulfilment restores the world to a point it never knew. In </w:t>
      </w:r>
      <w:r>
        <w:rPr>
          <w:rStyle w:val="CharAttribute7"/>
          <w:rFonts w:eastAsia="Batang"/>
          <w:szCs w:val="24"/>
        </w:rPr>
        <w:t xml:space="preserve">Language and Death </w:t>
      </w:r>
      <w:r>
        <w:rPr>
          <w:rStyle w:val="CharAttribute32"/>
          <w:rFonts w:eastAsia="Batang"/>
          <w:szCs w:val="24"/>
        </w:rPr>
        <w:t xml:space="preserve">Agamben quotes a poem by Giorgio </w:t>
      </w:r>
      <w:proofErr w:type="spellStart"/>
      <w:r>
        <w:rPr>
          <w:rStyle w:val="CharAttribute32"/>
          <w:rFonts w:eastAsia="Batang"/>
          <w:szCs w:val="24"/>
        </w:rPr>
        <w:t>Caproni</w:t>
      </w:r>
      <w:proofErr w:type="spellEnd"/>
      <w:r>
        <w:rPr>
          <w:rStyle w:val="CharAttribute32"/>
          <w:rFonts w:eastAsia="Batang"/>
          <w:szCs w:val="24"/>
        </w:rPr>
        <w:t xml:space="preserve"> which talks of a return to such a place:</w:t>
      </w:r>
    </w:p>
    <w:p w:rsidR="008160BB" w:rsidRDefault="008160BB" w:rsidP="008E3AE6">
      <w:pPr>
        <w:pStyle w:val="ParaAttribute0"/>
        <w:wordWrap/>
        <w:spacing w:line="480" w:lineRule="auto"/>
        <w:jc w:val="both"/>
        <w:rPr>
          <w:rStyle w:val="CharAttribute32"/>
          <w:rFonts w:eastAsia="Batang"/>
          <w:szCs w:val="24"/>
        </w:rPr>
      </w:pPr>
    </w:p>
    <w:p w:rsidR="00DD7870" w:rsidRDefault="005E17EA" w:rsidP="008160BB">
      <w:pPr>
        <w:pStyle w:val="ParaAttribute0"/>
        <w:wordWrap/>
        <w:spacing w:line="480" w:lineRule="auto"/>
        <w:ind w:left="567"/>
        <w:jc w:val="both"/>
        <w:rPr>
          <w:rStyle w:val="CharAttribute32"/>
          <w:rFonts w:eastAsia="Batang"/>
          <w:szCs w:val="24"/>
        </w:rPr>
      </w:pPr>
      <w:r>
        <w:rPr>
          <w:rStyle w:val="CharAttribute32"/>
          <w:rFonts w:eastAsia="Batang"/>
          <w:szCs w:val="24"/>
        </w:rPr>
        <w:t>I returned there</w:t>
      </w:r>
    </w:p>
    <w:p w:rsidR="005E17EA" w:rsidRDefault="005E17EA" w:rsidP="008160BB">
      <w:pPr>
        <w:pStyle w:val="ParaAttribute0"/>
        <w:wordWrap/>
        <w:spacing w:line="480" w:lineRule="auto"/>
        <w:ind w:left="567"/>
        <w:jc w:val="both"/>
        <w:rPr>
          <w:sz w:val="24"/>
          <w:szCs w:val="24"/>
        </w:rPr>
      </w:pPr>
      <w:proofErr w:type="gramStart"/>
      <w:r>
        <w:rPr>
          <w:rStyle w:val="CharAttribute32"/>
          <w:rFonts w:eastAsia="Batang"/>
          <w:szCs w:val="24"/>
        </w:rPr>
        <w:t>where</w:t>
      </w:r>
      <w:proofErr w:type="gramEnd"/>
      <w:r>
        <w:rPr>
          <w:rStyle w:val="CharAttribute32"/>
          <w:rFonts w:eastAsia="Batang"/>
          <w:szCs w:val="24"/>
        </w:rPr>
        <w:t xml:space="preserve"> I never had been</w:t>
      </w:r>
    </w:p>
    <w:p w:rsidR="005E17EA" w:rsidRDefault="005E17EA" w:rsidP="008160BB">
      <w:pPr>
        <w:pStyle w:val="ParaAttribute6"/>
        <w:wordWrap/>
        <w:spacing w:line="480" w:lineRule="auto"/>
        <w:ind w:left="567" w:right="0"/>
        <w:rPr>
          <w:sz w:val="24"/>
          <w:szCs w:val="24"/>
        </w:rPr>
      </w:pPr>
      <w:r>
        <w:rPr>
          <w:rStyle w:val="CharAttribute32"/>
          <w:rFonts w:eastAsia="Batang"/>
          <w:szCs w:val="24"/>
        </w:rPr>
        <w:t>Nothing had changed from how it was not.</w:t>
      </w:r>
    </w:p>
    <w:p w:rsidR="005E17EA" w:rsidRDefault="005E17EA" w:rsidP="008160BB">
      <w:pPr>
        <w:pStyle w:val="ParaAttribute6"/>
        <w:wordWrap/>
        <w:spacing w:line="480" w:lineRule="auto"/>
        <w:ind w:left="567" w:right="0"/>
        <w:rPr>
          <w:sz w:val="24"/>
          <w:szCs w:val="24"/>
        </w:rPr>
      </w:pPr>
      <w:r>
        <w:rPr>
          <w:rStyle w:val="CharAttribute32"/>
          <w:rFonts w:eastAsia="Batang"/>
          <w:szCs w:val="24"/>
        </w:rPr>
        <w:t xml:space="preserve">On the table (on the </w:t>
      </w:r>
      <w:proofErr w:type="spellStart"/>
      <w:r>
        <w:rPr>
          <w:rStyle w:val="CharAttribute32"/>
          <w:rFonts w:eastAsia="Batang"/>
          <w:szCs w:val="24"/>
        </w:rPr>
        <w:t>checkered</w:t>
      </w:r>
      <w:proofErr w:type="spellEnd"/>
    </w:p>
    <w:p w:rsidR="005E17EA" w:rsidRDefault="005E17EA" w:rsidP="008160BB">
      <w:pPr>
        <w:pStyle w:val="ParaAttribute6"/>
        <w:wordWrap/>
        <w:spacing w:line="480" w:lineRule="auto"/>
        <w:ind w:left="567" w:right="0"/>
        <w:rPr>
          <w:sz w:val="24"/>
          <w:szCs w:val="24"/>
        </w:rPr>
      </w:pPr>
      <w:proofErr w:type="gramStart"/>
      <w:r>
        <w:rPr>
          <w:rStyle w:val="CharAttribute32"/>
          <w:rFonts w:eastAsia="Batang"/>
          <w:szCs w:val="24"/>
        </w:rPr>
        <w:t>tablecloth</w:t>
      </w:r>
      <w:proofErr w:type="gramEnd"/>
      <w:r>
        <w:rPr>
          <w:rStyle w:val="CharAttribute32"/>
          <w:rFonts w:eastAsia="Batang"/>
          <w:szCs w:val="24"/>
        </w:rPr>
        <w:t>) half-full</w:t>
      </w:r>
    </w:p>
    <w:p w:rsidR="005E17EA" w:rsidRDefault="005E17EA" w:rsidP="008160BB">
      <w:pPr>
        <w:pStyle w:val="ParaAttribute6"/>
        <w:wordWrap/>
        <w:spacing w:line="480" w:lineRule="auto"/>
        <w:ind w:left="567" w:right="0"/>
        <w:rPr>
          <w:sz w:val="24"/>
          <w:szCs w:val="24"/>
        </w:rPr>
      </w:pPr>
      <w:r>
        <w:rPr>
          <w:rStyle w:val="CharAttribute32"/>
          <w:rFonts w:eastAsia="Batang"/>
          <w:szCs w:val="24"/>
        </w:rPr>
        <w:t>I found the glass</w:t>
      </w:r>
    </w:p>
    <w:p w:rsidR="005E17EA" w:rsidRDefault="005E17EA" w:rsidP="008160BB">
      <w:pPr>
        <w:pStyle w:val="ParaAttribute6"/>
        <w:wordWrap/>
        <w:spacing w:line="480" w:lineRule="auto"/>
        <w:ind w:left="567" w:right="0"/>
        <w:rPr>
          <w:sz w:val="24"/>
          <w:szCs w:val="24"/>
        </w:rPr>
      </w:pPr>
      <w:proofErr w:type="gramStart"/>
      <w:r>
        <w:rPr>
          <w:rStyle w:val="CharAttribute32"/>
          <w:rFonts w:eastAsia="Batang"/>
          <w:szCs w:val="24"/>
        </w:rPr>
        <w:t>which</w:t>
      </w:r>
      <w:proofErr w:type="gramEnd"/>
      <w:r>
        <w:rPr>
          <w:rStyle w:val="CharAttribute32"/>
          <w:rFonts w:eastAsia="Batang"/>
          <w:szCs w:val="24"/>
        </w:rPr>
        <w:t xml:space="preserve"> was never filled. All </w:t>
      </w:r>
    </w:p>
    <w:p w:rsidR="005E17EA" w:rsidRDefault="005E17EA" w:rsidP="008160BB">
      <w:pPr>
        <w:pStyle w:val="ParaAttribute6"/>
        <w:wordWrap/>
        <w:spacing w:line="480" w:lineRule="auto"/>
        <w:ind w:left="567" w:right="0"/>
        <w:rPr>
          <w:sz w:val="24"/>
          <w:szCs w:val="24"/>
        </w:rPr>
      </w:pPr>
      <w:proofErr w:type="gramStart"/>
      <w:r>
        <w:rPr>
          <w:rStyle w:val="CharAttribute32"/>
          <w:rFonts w:eastAsia="Batang"/>
          <w:szCs w:val="24"/>
        </w:rPr>
        <w:t>had</w:t>
      </w:r>
      <w:proofErr w:type="gramEnd"/>
      <w:r>
        <w:rPr>
          <w:rStyle w:val="CharAttribute32"/>
          <w:rFonts w:eastAsia="Batang"/>
          <w:szCs w:val="24"/>
        </w:rPr>
        <w:t xml:space="preserve"> remained just as I never left it.</w:t>
      </w:r>
      <w:r w:rsidR="00197A72">
        <w:rPr>
          <w:rStyle w:val="EndnoteReference"/>
          <w:sz w:val="24"/>
          <w:szCs w:val="24"/>
        </w:rPr>
        <w:endnoteReference w:id="39"/>
      </w:r>
    </w:p>
    <w:p w:rsidR="005E17EA" w:rsidRDefault="005E17EA" w:rsidP="008E3AE6">
      <w:pPr>
        <w:pStyle w:val="ParaAttribute4"/>
        <w:wordWrap/>
        <w:spacing w:line="480" w:lineRule="auto"/>
        <w:rPr>
          <w:sz w:val="24"/>
          <w:szCs w:val="24"/>
        </w:rPr>
      </w:pPr>
    </w:p>
    <w:p w:rsidR="005E17EA" w:rsidRDefault="005E17EA" w:rsidP="008E3AE6">
      <w:pPr>
        <w:pStyle w:val="ParaAttribute4"/>
        <w:wordWrap/>
        <w:spacing w:line="480" w:lineRule="auto"/>
        <w:rPr>
          <w:rStyle w:val="CharAttribute32"/>
          <w:rFonts w:eastAsia="Batang"/>
          <w:szCs w:val="24"/>
        </w:rPr>
      </w:pPr>
      <w:r>
        <w:rPr>
          <w:rStyle w:val="CharAttribute32"/>
          <w:rFonts w:eastAsia="Batang"/>
          <w:szCs w:val="24"/>
        </w:rPr>
        <w:t xml:space="preserve">This restoration is more modest than revolutionary. Agamben’s messianism does not seek a revolution, or a profound change in the way we think. The </w:t>
      </w:r>
      <w:r>
        <w:rPr>
          <w:rStyle w:val="CharAttribute7"/>
          <w:rFonts w:eastAsia="Batang"/>
          <w:szCs w:val="24"/>
        </w:rPr>
        <w:t>modest</w:t>
      </w:r>
      <w:r>
        <w:rPr>
          <w:rStyle w:val="CharAttribute32"/>
          <w:rFonts w:eastAsia="Batang"/>
          <w:szCs w:val="24"/>
        </w:rPr>
        <w:t xml:space="preserve"> restorative utopian nature of messianism is clear from a passage Agamben cites from Ernst Bloch. Here, the messianic kingdom is very similar to the current world, and requires only a slight shift in thinking:</w:t>
      </w:r>
    </w:p>
    <w:p w:rsidR="008160BB" w:rsidRDefault="008160BB" w:rsidP="008E3AE6">
      <w:pPr>
        <w:pStyle w:val="ParaAttribute4"/>
        <w:wordWrap/>
        <w:spacing w:line="480" w:lineRule="auto"/>
        <w:rPr>
          <w:sz w:val="24"/>
          <w:szCs w:val="24"/>
        </w:rPr>
      </w:pPr>
    </w:p>
    <w:p w:rsidR="005E17EA" w:rsidRDefault="005E17EA" w:rsidP="008160BB">
      <w:pPr>
        <w:pStyle w:val="ParaAttribute6"/>
        <w:wordWrap/>
        <w:spacing w:line="480" w:lineRule="auto"/>
        <w:ind w:left="567" w:right="0"/>
        <w:rPr>
          <w:sz w:val="24"/>
          <w:szCs w:val="24"/>
        </w:rPr>
      </w:pPr>
      <w:r>
        <w:rPr>
          <w:rStyle w:val="CharAttribute32"/>
          <w:rFonts w:eastAsia="Batang"/>
          <w:szCs w:val="24"/>
        </w:rPr>
        <w:t xml:space="preserve">The Hassidim tell a story about the world to come that says everything there </w:t>
      </w:r>
      <w:r>
        <w:rPr>
          <w:rStyle w:val="CharAttribute32"/>
          <w:rFonts w:eastAsia="Batang"/>
          <w:szCs w:val="24"/>
        </w:rPr>
        <w:lastRenderedPageBreak/>
        <w:t>will be just as it is here. Just as our room is now, so it will be in the world to come; where our baby sleeps now, there too it will sleep in the other world. And the clothes we wear in this world, those too we will wear there. Everything will be as it is now, just a little different.</w:t>
      </w:r>
      <w:r w:rsidR="00197A72">
        <w:rPr>
          <w:rStyle w:val="EndnoteReference"/>
          <w:sz w:val="24"/>
          <w:szCs w:val="24"/>
        </w:rPr>
        <w:endnoteReference w:id="40"/>
      </w:r>
    </w:p>
    <w:p w:rsidR="005E17EA" w:rsidRDefault="005E17EA" w:rsidP="008E3AE6">
      <w:pPr>
        <w:pStyle w:val="ParaAttribute4"/>
        <w:wordWrap/>
        <w:spacing w:line="480" w:lineRule="auto"/>
        <w:rPr>
          <w:sz w:val="24"/>
          <w:szCs w:val="24"/>
        </w:rPr>
      </w:pPr>
    </w:p>
    <w:p w:rsidR="005E17EA" w:rsidRDefault="005E17EA" w:rsidP="008E3AE6">
      <w:pPr>
        <w:pStyle w:val="ParaAttribute4"/>
        <w:wordWrap/>
        <w:spacing w:line="480" w:lineRule="auto"/>
        <w:rPr>
          <w:rStyle w:val="CharAttribute32"/>
          <w:rFonts w:eastAsia="Batang"/>
          <w:szCs w:val="24"/>
        </w:rPr>
      </w:pPr>
      <w:r>
        <w:rPr>
          <w:rStyle w:val="CharAttribute32"/>
          <w:rFonts w:eastAsia="Batang"/>
          <w:szCs w:val="24"/>
        </w:rPr>
        <w:t xml:space="preserve">What is this ‘slight difference’? </w:t>
      </w:r>
      <w:r w:rsidR="00BD005A">
        <w:rPr>
          <w:rStyle w:val="CharAttribute32"/>
          <w:rFonts w:eastAsia="Batang"/>
          <w:szCs w:val="24"/>
        </w:rPr>
        <w:t>This messianism is a partial</w:t>
      </w:r>
      <w:r w:rsidR="00F95ECB">
        <w:rPr>
          <w:rStyle w:val="CharAttribute32"/>
          <w:rFonts w:eastAsia="Batang"/>
          <w:szCs w:val="24"/>
        </w:rPr>
        <w:t xml:space="preserve"> gesture. It is both incomplete and one-sided.</w:t>
      </w:r>
      <w:r w:rsidR="00F95ECB">
        <w:rPr>
          <w:rStyle w:val="EndnoteReference"/>
          <w:sz w:val="24"/>
          <w:szCs w:val="24"/>
        </w:rPr>
        <w:endnoteReference w:id="41"/>
      </w:r>
      <w:r w:rsidR="00307D02">
        <w:rPr>
          <w:rStyle w:val="CharAttribute32"/>
          <w:rFonts w:eastAsia="Batang"/>
          <w:szCs w:val="24"/>
        </w:rPr>
        <w:t xml:space="preserve"> This move involves thinking beyond the logic of means and ends. We can see a parallel in Georges </w:t>
      </w:r>
      <w:proofErr w:type="spellStart"/>
      <w:r w:rsidR="00307D02">
        <w:rPr>
          <w:rStyle w:val="CharAttribute32"/>
          <w:rFonts w:eastAsia="Batang"/>
          <w:szCs w:val="24"/>
        </w:rPr>
        <w:t>Bataille</w:t>
      </w:r>
      <w:r w:rsidR="00937617">
        <w:rPr>
          <w:rStyle w:val="CharAttribute32"/>
          <w:rFonts w:eastAsia="Batang"/>
          <w:szCs w:val="24"/>
        </w:rPr>
        <w:t>’s</w:t>
      </w:r>
      <w:proofErr w:type="spellEnd"/>
      <w:r w:rsidR="00937617">
        <w:rPr>
          <w:rStyle w:val="CharAttribute32"/>
          <w:rFonts w:eastAsia="Batang"/>
          <w:szCs w:val="24"/>
        </w:rPr>
        <w:t xml:space="preserve"> idea of ‘inoperativity’, </w:t>
      </w:r>
      <w:r w:rsidR="00F85297">
        <w:rPr>
          <w:rStyle w:val="CharAttribute32"/>
          <w:rFonts w:eastAsia="Batang"/>
          <w:szCs w:val="24"/>
        </w:rPr>
        <w:t xml:space="preserve">which he saw as expenditure, </w:t>
      </w:r>
      <w:r w:rsidR="00937617">
        <w:rPr>
          <w:rStyle w:val="CharAttribute32"/>
          <w:rFonts w:eastAsia="Batang"/>
          <w:szCs w:val="24"/>
        </w:rPr>
        <w:t>coined as a response to capitalist logics of exchange and production.</w:t>
      </w:r>
      <w:r w:rsidR="00937617">
        <w:rPr>
          <w:rStyle w:val="EndnoteReference"/>
          <w:sz w:val="24"/>
          <w:szCs w:val="24"/>
        </w:rPr>
        <w:endnoteReference w:id="42"/>
      </w:r>
      <w:r w:rsidR="00937617">
        <w:rPr>
          <w:rStyle w:val="CharAttribute32"/>
          <w:rFonts w:eastAsia="Batang"/>
          <w:szCs w:val="24"/>
        </w:rPr>
        <w:t xml:space="preserve"> Inoperativity deactivates the ends of politics</w:t>
      </w:r>
      <w:r w:rsidR="00F85297">
        <w:rPr>
          <w:rStyle w:val="CharAttribute32"/>
          <w:rFonts w:eastAsia="Batang"/>
          <w:szCs w:val="24"/>
        </w:rPr>
        <w:t>; expenditure is inoperative as</w:t>
      </w:r>
      <w:r w:rsidR="00937617">
        <w:rPr>
          <w:rStyle w:val="CharAttribute32"/>
          <w:rFonts w:eastAsia="Batang"/>
          <w:szCs w:val="24"/>
        </w:rPr>
        <w:t xml:space="preserve"> </w:t>
      </w:r>
      <w:r w:rsidR="00F85297">
        <w:rPr>
          <w:rStyle w:val="CharAttribute32"/>
          <w:rFonts w:eastAsia="Batang"/>
          <w:szCs w:val="24"/>
        </w:rPr>
        <w:t>it withdraws from the reciprocation of exchange.</w:t>
      </w:r>
      <w:r w:rsidR="00F85297">
        <w:rPr>
          <w:rStyle w:val="EndnoteReference"/>
          <w:sz w:val="24"/>
          <w:szCs w:val="24"/>
        </w:rPr>
        <w:endnoteReference w:id="43"/>
      </w:r>
      <w:r w:rsidR="0065078C">
        <w:rPr>
          <w:rStyle w:val="CharAttribute32"/>
          <w:rFonts w:eastAsia="Batang"/>
          <w:szCs w:val="24"/>
        </w:rPr>
        <w:t xml:space="preserve"> However, the fact of expenditure’s incompleteness does not imply the necessity of its completeness.</w:t>
      </w:r>
      <w:r w:rsidR="0065078C">
        <w:rPr>
          <w:rStyle w:val="EndnoteReference"/>
          <w:sz w:val="24"/>
          <w:szCs w:val="24"/>
        </w:rPr>
        <w:endnoteReference w:id="44"/>
      </w:r>
      <w:r w:rsidR="0065078C">
        <w:rPr>
          <w:rStyle w:val="CharAttribute32"/>
          <w:rFonts w:eastAsia="Batang"/>
          <w:szCs w:val="24"/>
        </w:rPr>
        <w:t xml:space="preserve"> Like </w:t>
      </w:r>
      <w:proofErr w:type="spellStart"/>
      <w:r w:rsidR="0065078C">
        <w:rPr>
          <w:rStyle w:val="CharAttribute32"/>
          <w:rFonts w:eastAsia="Batang"/>
          <w:szCs w:val="24"/>
        </w:rPr>
        <w:t>Bataille</w:t>
      </w:r>
      <w:proofErr w:type="spellEnd"/>
      <w:r w:rsidR="0065078C">
        <w:rPr>
          <w:rStyle w:val="CharAttribute32"/>
          <w:rFonts w:eastAsia="Batang"/>
          <w:szCs w:val="24"/>
        </w:rPr>
        <w:t xml:space="preserve">, this messianism insists upon an incomplete nature. That is to say, it is seeking no perfect, complete world to come. </w:t>
      </w:r>
      <w:r w:rsidR="00A47C1C">
        <w:rPr>
          <w:rStyle w:val="CharAttribute32"/>
          <w:rFonts w:eastAsia="Batang"/>
          <w:szCs w:val="24"/>
        </w:rPr>
        <w:t>T</w:t>
      </w:r>
      <w:r>
        <w:rPr>
          <w:rStyle w:val="CharAttribute32"/>
          <w:rFonts w:eastAsia="Batang"/>
          <w:szCs w:val="24"/>
        </w:rPr>
        <w:t xml:space="preserve">his slight difference can be found in thinking of phenomena, </w:t>
      </w:r>
      <w:r>
        <w:rPr>
          <w:rStyle w:val="CharAttribute7"/>
          <w:rFonts w:eastAsia="Batang"/>
          <w:szCs w:val="24"/>
        </w:rPr>
        <w:t>including the experience of living</w:t>
      </w:r>
      <w:r>
        <w:rPr>
          <w:rStyle w:val="CharAttribute32"/>
          <w:rFonts w:eastAsia="Batang"/>
          <w:szCs w:val="24"/>
        </w:rPr>
        <w:t xml:space="preserve">, without recourse to foundations or origins. </w:t>
      </w:r>
    </w:p>
    <w:p w:rsidR="005E17EA" w:rsidRDefault="005E17EA" w:rsidP="008E3AE6">
      <w:pPr>
        <w:pStyle w:val="ParaAttribute4"/>
        <w:wordWrap/>
        <w:spacing w:line="480" w:lineRule="auto"/>
        <w:rPr>
          <w:sz w:val="24"/>
          <w:szCs w:val="24"/>
        </w:rPr>
      </w:pPr>
      <w:r>
        <w:tab/>
      </w:r>
      <w:r>
        <w:rPr>
          <w:rStyle w:val="CharAttribute32"/>
          <w:rFonts w:eastAsia="Batang"/>
          <w:szCs w:val="24"/>
        </w:rPr>
        <w:t xml:space="preserve">Thus potentiality can be thought of without recourse to an origin and as something other than </w:t>
      </w:r>
      <w:proofErr w:type="spellStart"/>
      <w:r>
        <w:rPr>
          <w:rStyle w:val="CharAttribute32"/>
          <w:rFonts w:eastAsia="Batang"/>
          <w:szCs w:val="24"/>
        </w:rPr>
        <w:t>unactualised</w:t>
      </w:r>
      <w:proofErr w:type="spellEnd"/>
      <w:r>
        <w:rPr>
          <w:rStyle w:val="CharAttribute32"/>
          <w:rFonts w:eastAsia="Batang"/>
          <w:szCs w:val="24"/>
        </w:rPr>
        <w:t xml:space="preserve"> actuality. Political existence can be thought of without recourse to its foundation in the </w:t>
      </w:r>
      <w:proofErr w:type="spellStart"/>
      <w:r>
        <w:rPr>
          <w:rStyle w:val="CharAttribute32"/>
          <w:rFonts w:eastAsia="Batang"/>
          <w:szCs w:val="24"/>
        </w:rPr>
        <w:t>unactualised</w:t>
      </w:r>
      <w:proofErr w:type="spellEnd"/>
      <w:r>
        <w:rPr>
          <w:rStyle w:val="CharAttribute32"/>
          <w:rFonts w:eastAsia="Batang"/>
          <w:szCs w:val="24"/>
        </w:rPr>
        <w:t xml:space="preserve"> political potential of natural life. Agamben’s crucial move in his writings focuses upon this idea that existence can be thought of without being defined by its foundation, its origin, or its </w:t>
      </w:r>
      <w:proofErr w:type="spellStart"/>
      <w:r>
        <w:rPr>
          <w:rStyle w:val="CharAttribute7"/>
          <w:rFonts w:eastAsia="Batang"/>
          <w:szCs w:val="24"/>
        </w:rPr>
        <w:t>telos</w:t>
      </w:r>
      <w:proofErr w:type="spellEnd"/>
      <w:r>
        <w:rPr>
          <w:rStyle w:val="CharAttribute32"/>
          <w:rFonts w:eastAsia="Batang"/>
          <w:szCs w:val="24"/>
        </w:rPr>
        <w:t xml:space="preserve">. This leads to a focus upon the idea of ‘singularity’. </w:t>
      </w:r>
    </w:p>
    <w:p w:rsidR="00F54B4E" w:rsidRDefault="005E17EA" w:rsidP="00F54B4E">
      <w:pPr>
        <w:pStyle w:val="ParaAttribute4"/>
        <w:wordWrap/>
        <w:spacing w:line="480" w:lineRule="auto"/>
        <w:rPr>
          <w:sz w:val="24"/>
          <w:szCs w:val="24"/>
        </w:rPr>
      </w:pPr>
      <w:r>
        <w:tab/>
      </w:r>
      <w:r>
        <w:rPr>
          <w:rStyle w:val="CharAttribute32"/>
          <w:rFonts w:eastAsia="Batang"/>
          <w:szCs w:val="24"/>
        </w:rPr>
        <w:t xml:space="preserve">To develop this idea of singularity, we can turn back to Agamben’s </w:t>
      </w:r>
      <w:r>
        <w:rPr>
          <w:rStyle w:val="CharAttribute32"/>
          <w:rFonts w:eastAsia="Batang"/>
          <w:szCs w:val="24"/>
        </w:rPr>
        <w:lastRenderedPageBreak/>
        <w:t xml:space="preserve">distinction, drawn from Aristotle, between generic and existing potentiality. </w:t>
      </w:r>
      <w:r w:rsidR="00F54B4E">
        <w:rPr>
          <w:rStyle w:val="CharAttribute33"/>
          <w:rFonts w:eastAsia="Batang"/>
          <w:szCs w:val="24"/>
        </w:rPr>
        <w:t xml:space="preserve">Aristotle’s two conceptions of potentiality – generic and existing – both view potentiality as a ‘faculty’. Agamben asks what it means ‘to have a </w:t>
      </w:r>
      <w:proofErr w:type="gramStart"/>
      <w:r w:rsidR="00F54B4E">
        <w:rPr>
          <w:rStyle w:val="CharAttribute33"/>
          <w:rFonts w:eastAsia="Batang"/>
          <w:szCs w:val="24"/>
        </w:rPr>
        <w:t>faculty’?</w:t>
      </w:r>
      <w:proofErr w:type="gramEnd"/>
      <w:r w:rsidR="00F54B4E">
        <w:rPr>
          <w:rStyle w:val="EndnoteReference"/>
          <w:sz w:val="24"/>
          <w:szCs w:val="24"/>
        </w:rPr>
        <w:endnoteReference w:id="45"/>
      </w:r>
      <w:r w:rsidR="00F54B4E">
        <w:rPr>
          <w:rStyle w:val="CharAttribute33"/>
          <w:rFonts w:eastAsia="Batang"/>
          <w:szCs w:val="24"/>
        </w:rPr>
        <w:t xml:space="preserve"> </w:t>
      </w:r>
    </w:p>
    <w:p w:rsidR="005E17EA" w:rsidRDefault="005E17EA" w:rsidP="008E3AE6">
      <w:pPr>
        <w:pStyle w:val="ParaAttribute4"/>
        <w:wordWrap/>
        <w:spacing w:line="480" w:lineRule="auto"/>
        <w:rPr>
          <w:sz w:val="24"/>
          <w:szCs w:val="24"/>
        </w:rPr>
      </w:pPr>
      <w:r>
        <w:tab/>
      </w:r>
      <w:r>
        <w:rPr>
          <w:rStyle w:val="CharAttribute34"/>
          <w:rFonts w:eastAsia="Batang"/>
          <w:szCs w:val="24"/>
        </w:rPr>
        <w:t>Potentiality must be m</w:t>
      </w:r>
      <w:r w:rsidR="002B7927">
        <w:rPr>
          <w:rStyle w:val="CharAttribute34"/>
          <w:rFonts w:eastAsia="Batang"/>
          <w:szCs w:val="24"/>
        </w:rPr>
        <w:t xml:space="preserve">ore than </w:t>
      </w:r>
      <w:proofErr w:type="spellStart"/>
      <w:r w:rsidR="002B7927">
        <w:rPr>
          <w:rStyle w:val="CharAttribute34"/>
          <w:rFonts w:eastAsia="Batang"/>
          <w:szCs w:val="24"/>
        </w:rPr>
        <w:t>unactualised</w:t>
      </w:r>
      <w:proofErr w:type="spellEnd"/>
      <w:r w:rsidR="002B7927">
        <w:rPr>
          <w:rStyle w:val="CharAttribute34"/>
          <w:rFonts w:eastAsia="Batang"/>
          <w:szCs w:val="24"/>
        </w:rPr>
        <w:t xml:space="preserve"> actuality. A faculty must mean more than the potential to bring something into existence – </w:t>
      </w:r>
      <w:r>
        <w:rPr>
          <w:rStyle w:val="CharAttribute34"/>
          <w:rFonts w:eastAsia="Batang"/>
          <w:szCs w:val="24"/>
        </w:rPr>
        <w:t>if the potentiality for vision could only exist in the actuality of the light, we would never see darkness.</w:t>
      </w:r>
      <w:r w:rsidR="00197A72">
        <w:rPr>
          <w:rStyle w:val="EndnoteReference"/>
          <w:sz w:val="24"/>
          <w:szCs w:val="24"/>
        </w:rPr>
        <w:endnoteReference w:id="46"/>
      </w:r>
      <w:r>
        <w:rPr>
          <w:rStyle w:val="CharAttribute34"/>
          <w:rFonts w:eastAsia="Batang"/>
          <w:szCs w:val="24"/>
        </w:rPr>
        <w:t xml:space="preserve"> </w:t>
      </w:r>
      <w:r>
        <w:rPr>
          <w:rStyle w:val="CharAttribute35"/>
          <w:rFonts w:eastAsia="Batang"/>
          <w:szCs w:val="24"/>
        </w:rPr>
        <w:t>The existence of potentiality is primarily the existence of non-Being, the presence of an absence.</w:t>
      </w:r>
      <w:r w:rsidR="00197A72">
        <w:rPr>
          <w:rStyle w:val="EndnoteReference"/>
          <w:sz w:val="24"/>
          <w:szCs w:val="24"/>
        </w:rPr>
        <w:endnoteReference w:id="47"/>
      </w:r>
      <w:r>
        <w:rPr>
          <w:rStyle w:val="CharAttribute35"/>
          <w:rFonts w:eastAsia="Batang"/>
          <w:szCs w:val="24"/>
        </w:rPr>
        <w:t xml:space="preserve"> </w:t>
      </w:r>
      <w:r>
        <w:rPr>
          <w:rStyle w:val="CharAttribute37"/>
          <w:rFonts w:eastAsia="Batang"/>
          <w:szCs w:val="24"/>
        </w:rPr>
        <w:t>Humans have no essence or destiny which they must enact.</w:t>
      </w:r>
      <w:r w:rsidR="00197A72">
        <w:rPr>
          <w:rStyle w:val="EndnoteReference"/>
          <w:sz w:val="24"/>
          <w:szCs w:val="24"/>
        </w:rPr>
        <w:endnoteReference w:id="48"/>
      </w:r>
      <w:r>
        <w:rPr>
          <w:rStyle w:val="CharAttribute37"/>
          <w:rFonts w:eastAsia="Batang"/>
          <w:szCs w:val="24"/>
        </w:rPr>
        <w:t xml:space="preserve"> </w:t>
      </w:r>
    </w:p>
    <w:p w:rsidR="00AC3CDE" w:rsidRDefault="005E17EA" w:rsidP="008E3AE6">
      <w:pPr>
        <w:pStyle w:val="ParaAttribute0"/>
        <w:wordWrap/>
        <w:spacing w:line="480" w:lineRule="auto"/>
        <w:jc w:val="both"/>
        <w:rPr>
          <w:rStyle w:val="CharAttribute39"/>
          <w:rFonts w:eastAsia="Batang"/>
          <w:szCs w:val="24"/>
        </w:rPr>
      </w:pPr>
      <w:r>
        <w:tab/>
      </w:r>
      <w:r>
        <w:rPr>
          <w:rStyle w:val="CharAttribute39"/>
          <w:rFonts w:eastAsia="Batang"/>
          <w:szCs w:val="24"/>
        </w:rPr>
        <w:t>It is this which Agamben translates from Aristotle as ‘impotentiality’, and can be understood as pot</w:t>
      </w:r>
      <w:r w:rsidR="00BD005A">
        <w:rPr>
          <w:rStyle w:val="CharAttribute39"/>
          <w:rFonts w:eastAsia="Batang"/>
          <w:szCs w:val="24"/>
        </w:rPr>
        <w:t>entiality’s point of emergence</w:t>
      </w:r>
      <w:r>
        <w:rPr>
          <w:rStyle w:val="CharAttribute39"/>
          <w:rFonts w:eastAsia="Batang"/>
          <w:szCs w:val="24"/>
        </w:rPr>
        <w:t>. To be potential is to be capable of impotentiality.</w:t>
      </w:r>
      <w:r w:rsidR="00197A72">
        <w:rPr>
          <w:rStyle w:val="EndnoteReference"/>
          <w:sz w:val="24"/>
          <w:szCs w:val="24"/>
        </w:rPr>
        <w:endnoteReference w:id="49"/>
      </w:r>
      <w:r>
        <w:rPr>
          <w:rStyle w:val="CharAttribute39"/>
          <w:rFonts w:eastAsia="Batang"/>
          <w:szCs w:val="24"/>
        </w:rPr>
        <w:t xml:space="preserve"> An existence</w:t>
      </w:r>
      <w:r>
        <w:rPr>
          <w:rStyle w:val="CharAttribute7"/>
          <w:rFonts w:eastAsia="Batang"/>
          <w:szCs w:val="24"/>
        </w:rPr>
        <w:t xml:space="preserve"> as </w:t>
      </w:r>
      <w:r>
        <w:rPr>
          <w:rStyle w:val="CharAttribute39"/>
          <w:rFonts w:eastAsia="Batang"/>
          <w:szCs w:val="24"/>
        </w:rPr>
        <w:t>potentiality is not the potential to do something but the potential to</w:t>
      </w:r>
      <w:r>
        <w:rPr>
          <w:rStyle w:val="CharAttribute7"/>
          <w:rFonts w:eastAsia="Batang"/>
          <w:szCs w:val="24"/>
        </w:rPr>
        <w:t xml:space="preserve"> not-do</w:t>
      </w:r>
      <w:r>
        <w:rPr>
          <w:rStyle w:val="CharAttribute39"/>
          <w:rFonts w:eastAsia="Batang"/>
          <w:szCs w:val="24"/>
        </w:rPr>
        <w:t>, the potential not to pass into actuality.</w:t>
      </w:r>
      <w:r w:rsidR="00AC3CDE">
        <w:rPr>
          <w:rStyle w:val="EndnoteReference"/>
          <w:sz w:val="24"/>
          <w:szCs w:val="24"/>
        </w:rPr>
        <w:endnoteReference w:id="50"/>
      </w:r>
      <w:r>
        <w:rPr>
          <w:rStyle w:val="CharAttribute39"/>
          <w:rFonts w:eastAsia="Batang"/>
          <w:szCs w:val="24"/>
        </w:rPr>
        <w:t xml:space="preserve"> This potential not to be is capable of being and not being:</w:t>
      </w:r>
    </w:p>
    <w:p w:rsidR="00AC3CDE" w:rsidRDefault="00AC3CDE" w:rsidP="008E3AE6">
      <w:pPr>
        <w:pStyle w:val="ParaAttribute0"/>
        <w:wordWrap/>
        <w:spacing w:line="480" w:lineRule="auto"/>
        <w:jc w:val="both"/>
        <w:rPr>
          <w:rStyle w:val="CharAttribute39"/>
          <w:rFonts w:eastAsia="Batang"/>
          <w:szCs w:val="24"/>
        </w:rPr>
      </w:pPr>
    </w:p>
    <w:p w:rsidR="00AC3CDE" w:rsidRDefault="005E17EA" w:rsidP="00AC3CDE">
      <w:pPr>
        <w:pStyle w:val="ParaAttribute0"/>
        <w:wordWrap/>
        <w:spacing w:line="480" w:lineRule="auto"/>
        <w:ind w:left="567"/>
        <w:jc w:val="both"/>
        <w:rPr>
          <w:rStyle w:val="CharAttribute39"/>
          <w:rFonts w:eastAsia="Batang"/>
          <w:szCs w:val="24"/>
        </w:rPr>
      </w:pPr>
      <w:r>
        <w:rPr>
          <w:rStyle w:val="CharAttribute39"/>
          <w:rFonts w:eastAsia="Batang"/>
          <w:szCs w:val="24"/>
        </w:rPr>
        <w:t xml:space="preserve">Every potentiality is at one and the same time a potentiality for the opposite; for, while that which is not capable of being present in a subject cannot be present, everything that is capable of being may possibly not be </w:t>
      </w:r>
      <w:proofErr w:type="gramStart"/>
      <w:r>
        <w:rPr>
          <w:rStyle w:val="CharAttribute39"/>
          <w:rFonts w:eastAsia="Batang"/>
          <w:szCs w:val="24"/>
        </w:rPr>
        <w:t>actual</w:t>
      </w:r>
      <w:proofErr w:type="gramEnd"/>
      <w:r>
        <w:rPr>
          <w:rStyle w:val="CharAttribute39"/>
          <w:rFonts w:eastAsia="Batang"/>
          <w:szCs w:val="24"/>
        </w:rPr>
        <w:t>. That, then, which is capable of being may either be or not be; the same thing, then, is capable of being and of not being.</w:t>
      </w:r>
      <w:r w:rsidR="00AC3CDE">
        <w:rPr>
          <w:rStyle w:val="EndnoteReference"/>
          <w:sz w:val="24"/>
          <w:szCs w:val="24"/>
        </w:rPr>
        <w:endnoteReference w:id="51"/>
      </w:r>
    </w:p>
    <w:p w:rsidR="00AC3CDE" w:rsidRDefault="00AC3CDE" w:rsidP="008E3AE6">
      <w:pPr>
        <w:pStyle w:val="ParaAttribute0"/>
        <w:wordWrap/>
        <w:spacing w:line="480" w:lineRule="auto"/>
        <w:jc w:val="both"/>
        <w:rPr>
          <w:rStyle w:val="CharAttribute39"/>
          <w:rFonts w:eastAsia="Batang"/>
          <w:szCs w:val="24"/>
        </w:rPr>
      </w:pPr>
    </w:p>
    <w:p w:rsidR="005E17EA" w:rsidRDefault="005E17EA" w:rsidP="004C6F79">
      <w:pPr>
        <w:pStyle w:val="ParaAttribute0"/>
        <w:wordWrap/>
        <w:spacing w:line="480" w:lineRule="auto"/>
        <w:jc w:val="both"/>
        <w:rPr>
          <w:rStyle w:val="CharAttribute41"/>
          <w:rFonts w:eastAsia="Batang"/>
          <w:szCs w:val="24"/>
        </w:rPr>
      </w:pPr>
      <w:r>
        <w:rPr>
          <w:rStyle w:val="CharAttribute40"/>
          <w:rFonts w:eastAsia="Batang"/>
          <w:szCs w:val="24"/>
        </w:rPr>
        <w:t xml:space="preserve">It is this move which marks impotentiality as messianic. </w:t>
      </w:r>
      <w:r>
        <w:rPr>
          <w:rStyle w:val="CharAttribute41"/>
          <w:rFonts w:eastAsia="Batang"/>
          <w:szCs w:val="24"/>
        </w:rPr>
        <w:t xml:space="preserve">This is why this passive, messianic potentiality is always-already held in relation to its own privation. This </w:t>
      </w:r>
      <w:r>
        <w:rPr>
          <w:rStyle w:val="CharAttribute41"/>
          <w:rFonts w:eastAsia="Batang"/>
          <w:szCs w:val="24"/>
        </w:rPr>
        <w:lastRenderedPageBreak/>
        <w:t>is both the origin of human power, good and bad, and the root of human freedom:</w:t>
      </w:r>
    </w:p>
    <w:p w:rsidR="008160BB" w:rsidRDefault="008160BB" w:rsidP="008E3AE6">
      <w:pPr>
        <w:pStyle w:val="ParaAttribute4"/>
        <w:wordWrap/>
        <w:spacing w:line="480" w:lineRule="auto"/>
        <w:rPr>
          <w:sz w:val="24"/>
          <w:szCs w:val="24"/>
        </w:rPr>
      </w:pPr>
    </w:p>
    <w:p w:rsidR="005E17EA" w:rsidRDefault="005E17EA" w:rsidP="008160BB">
      <w:pPr>
        <w:pStyle w:val="ParaAttribute6"/>
        <w:wordWrap/>
        <w:spacing w:line="480" w:lineRule="auto"/>
        <w:ind w:left="567" w:right="0"/>
        <w:rPr>
          <w:sz w:val="24"/>
          <w:szCs w:val="24"/>
        </w:rPr>
      </w:pPr>
      <w:r>
        <w:rPr>
          <w:rStyle w:val="CharAttribute41"/>
          <w:rFonts w:eastAsia="Batang"/>
          <w:szCs w:val="24"/>
        </w:rPr>
        <w:t>Other living beings are capable only of their specific potentiality; they can only do this or that. But human beings are the animals who are capable of their own impotentiality. The greatness of human potentiality is measured by the abyss of human impotentiality.</w:t>
      </w:r>
      <w:r w:rsidR="00AC3CDE">
        <w:rPr>
          <w:rStyle w:val="EndnoteReference"/>
          <w:sz w:val="24"/>
          <w:szCs w:val="24"/>
        </w:rPr>
        <w:endnoteReference w:id="52"/>
      </w:r>
    </w:p>
    <w:p w:rsidR="005E17EA" w:rsidRDefault="005E17EA" w:rsidP="008E3AE6">
      <w:pPr>
        <w:pStyle w:val="ParaAttribute4"/>
        <w:wordWrap/>
        <w:spacing w:line="480" w:lineRule="auto"/>
        <w:rPr>
          <w:sz w:val="24"/>
          <w:szCs w:val="24"/>
        </w:rPr>
      </w:pPr>
    </w:p>
    <w:p w:rsidR="005E17EA" w:rsidRDefault="005E17EA" w:rsidP="008E3AE6">
      <w:pPr>
        <w:pStyle w:val="ParaAttribute4"/>
        <w:wordWrap/>
        <w:spacing w:line="480" w:lineRule="auto"/>
        <w:rPr>
          <w:sz w:val="24"/>
          <w:szCs w:val="24"/>
        </w:rPr>
      </w:pPr>
      <w:r>
        <w:rPr>
          <w:rStyle w:val="CharAttribute41"/>
          <w:rFonts w:eastAsia="Batang"/>
          <w:szCs w:val="24"/>
        </w:rPr>
        <w:t>‘Freedom’ is properly understood neither as the power to do an act, nor the power to refuse to do an act, but to be free is to be capable of one’s own impotentiality, to be free for both good and evil.</w:t>
      </w:r>
      <w:r w:rsidR="00AC3CDE">
        <w:rPr>
          <w:rStyle w:val="EndnoteReference"/>
          <w:sz w:val="24"/>
          <w:szCs w:val="24"/>
        </w:rPr>
        <w:endnoteReference w:id="53"/>
      </w:r>
    </w:p>
    <w:p w:rsidR="005E17EA" w:rsidRDefault="005E17EA" w:rsidP="008E3AE6">
      <w:pPr>
        <w:pStyle w:val="ParaAttribute4"/>
        <w:wordWrap/>
        <w:spacing w:line="480" w:lineRule="auto"/>
        <w:rPr>
          <w:sz w:val="24"/>
          <w:szCs w:val="24"/>
        </w:rPr>
      </w:pPr>
      <w:r>
        <w:tab/>
      </w:r>
      <w:r w:rsidR="00BD005A">
        <w:rPr>
          <w:rStyle w:val="CharAttribute42"/>
          <w:rFonts w:eastAsia="Batang"/>
          <w:szCs w:val="24"/>
        </w:rPr>
        <w:t>It is this impotentiality</w:t>
      </w:r>
      <w:r>
        <w:rPr>
          <w:rStyle w:val="CharAttribute42"/>
          <w:rFonts w:eastAsia="Batang"/>
          <w:szCs w:val="24"/>
        </w:rPr>
        <w:t xml:space="preserve"> which underpins the existence of any singularity. To deny a </w:t>
      </w:r>
      <w:proofErr w:type="spellStart"/>
      <w:r>
        <w:rPr>
          <w:rStyle w:val="CharAttribute7"/>
          <w:rFonts w:eastAsia="Batang"/>
          <w:szCs w:val="24"/>
        </w:rPr>
        <w:t>telos</w:t>
      </w:r>
      <w:proofErr w:type="spellEnd"/>
      <w:r>
        <w:rPr>
          <w:rStyle w:val="CharAttribute42"/>
          <w:rFonts w:eastAsia="Batang"/>
          <w:szCs w:val="24"/>
        </w:rPr>
        <w:t xml:space="preserve"> for humanity does not imply that humans can</w:t>
      </w:r>
      <w:r w:rsidR="004C6F79">
        <w:rPr>
          <w:rStyle w:val="CharAttribute42"/>
          <w:rFonts w:eastAsia="Batang"/>
          <w:szCs w:val="24"/>
        </w:rPr>
        <w:t>not</w:t>
      </w:r>
      <w:r>
        <w:rPr>
          <w:rStyle w:val="CharAttribute42"/>
          <w:rFonts w:eastAsia="Batang"/>
          <w:szCs w:val="24"/>
        </w:rPr>
        <w:t xml:space="preserve"> choose whether to be or not to be, or to pick and choose their own destinies. </w:t>
      </w:r>
      <w:r>
        <w:rPr>
          <w:rStyle w:val="CharAttribute43"/>
          <w:rFonts w:eastAsia="Batang"/>
          <w:szCs w:val="24"/>
        </w:rPr>
        <w:t xml:space="preserve">Humans do have to be something, but this something is the fact of one’s own existence as possibility or potentiality; one’s own existence as </w:t>
      </w:r>
      <w:r>
        <w:rPr>
          <w:rStyle w:val="CharAttribute7"/>
          <w:rFonts w:eastAsia="Batang"/>
          <w:szCs w:val="24"/>
        </w:rPr>
        <w:t>impotentiality</w:t>
      </w:r>
      <w:r>
        <w:rPr>
          <w:rStyle w:val="CharAttribute43"/>
          <w:rFonts w:eastAsia="Batang"/>
          <w:szCs w:val="24"/>
        </w:rPr>
        <w:t>.</w:t>
      </w:r>
      <w:r w:rsidR="00DD56F4">
        <w:rPr>
          <w:rStyle w:val="EndnoteReference"/>
          <w:sz w:val="24"/>
          <w:szCs w:val="24"/>
        </w:rPr>
        <w:endnoteReference w:id="54"/>
      </w:r>
      <w:r>
        <w:rPr>
          <w:rStyle w:val="CharAttribute43"/>
          <w:rFonts w:eastAsia="Batang"/>
          <w:szCs w:val="24"/>
        </w:rPr>
        <w:t xml:space="preserve"> </w:t>
      </w:r>
      <w:r>
        <w:rPr>
          <w:rStyle w:val="CharAttribute44"/>
          <w:rFonts w:eastAsia="Batang"/>
          <w:szCs w:val="24"/>
        </w:rPr>
        <w:t xml:space="preserve">Impotentiality is therefore not simply an originary potential waiting to be actualised. Impotentiality is a </w:t>
      </w:r>
      <w:r w:rsidRPr="004C6F79">
        <w:rPr>
          <w:rStyle w:val="CharAttribute44"/>
          <w:rFonts w:eastAsia="Batang"/>
          <w:i/>
          <w:szCs w:val="24"/>
        </w:rPr>
        <w:t>freedom</w:t>
      </w:r>
      <w:r>
        <w:rPr>
          <w:rStyle w:val="CharAttribute44"/>
          <w:rFonts w:eastAsia="Batang"/>
          <w:szCs w:val="24"/>
        </w:rPr>
        <w:t xml:space="preserve">, properly understood as a freedom to be, and a freedom not to be. </w:t>
      </w:r>
    </w:p>
    <w:p w:rsidR="005E17EA" w:rsidRDefault="005E17EA" w:rsidP="008E3AE6">
      <w:pPr>
        <w:pStyle w:val="ParaAttribute4"/>
        <w:wordWrap/>
        <w:spacing w:line="480" w:lineRule="auto"/>
        <w:rPr>
          <w:rStyle w:val="CharAttribute0"/>
          <w:rFonts w:eastAsia="Batang"/>
          <w:szCs w:val="24"/>
        </w:rPr>
      </w:pPr>
      <w:r>
        <w:tab/>
      </w:r>
      <w:r>
        <w:rPr>
          <w:rStyle w:val="CharAttribute44"/>
          <w:rFonts w:eastAsia="Batang"/>
          <w:szCs w:val="24"/>
        </w:rPr>
        <w:t>It is this grasping of impotentiality as singularity which connects to messianic political belongi</w:t>
      </w:r>
      <w:r>
        <w:rPr>
          <w:rStyle w:val="CharAttribute0"/>
          <w:rFonts w:eastAsia="Batang"/>
          <w:szCs w:val="24"/>
        </w:rPr>
        <w:t>ng.</w:t>
      </w:r>
      <w:r w:rsidR="004C6F79">
        <w:rPr>
          <w:rStyle w:val="CharAttribute0"/>
          <w:rFonts w:eastAsia="Batang"/>
          <w:szCs w:val="24"/>
        </w:rPr>
        <w:t xml:space="preserve"> This impotentiality is not a withdrawal from politics</w:t>
      </w:r>
      <w:r w:rsidR="00942FB9">
        <w:rPr>
          <w:rStyle w:val="CharAttribute0"/>
          <w:rFonts w:eastAsia="Batang"/>
          <w:szCs w:val="24"/>
        </w:rPr>
        <w:t xml:space="preserve">, or from </w:t>
      </w:r>
      <w:r w:rsidR="000966E3">
        <w:rPr>
          <w:rStyle w:val="CharAttribute0"/>
          <w:rFonts w:eastAsia="Batang"/>
          <w:szCs w:val="24"/>
        </w:rPr>
        <w:t xml:space="preserve">political struggles. Rather, like </w:t>
      </w:r>
      <w:proofErr w:type="spellStart"/>
      <w:r w:rsidR="000966E3">
        <w:rPr>
          <w:rStyle w:val="CharAttribute0"/>
          <w:rFonts w:eastAsia="Batang"/>
          <w:szCs w:val="24"/>
        </w:rPr>
        <w:t>Bataille’s</w:t>
      </w:r>
      <w:proofErr w:type="spellEnd"/>
      <w:r w:rsidR="000966E3">
        <w:rPr>
          <w:rStyle w:val="CharAttribute0"/>
          <w:rFonts w:eastAsia="Batang"/>
          <w:szCs w:val="24"/>
        </w:rPr>
        <w:t xml:space="preserve"> expenditure, impotentiality subtracts from that which helped unite a prior system of meaning.</w:t>
      </w:r>
      <w:r w:rsidR="000966E3">
        <w:rPr>
          <w:rStyle w:val="EndnoteReference"/>
          <w:sz w:val="24"/>
          <w:szCs w:val="24"/>
        </w:rPr>
        <w:endnoteReference w:id="55"/>
      </w:r>
    </w:p>
    <w:p w:rsidR="00942FB9" w:rsidRDefault="00942FB9" w:rsidP="008E3AE6">
      <w:pPr>
        <w:pStyle w:val="ParaAttribute4"/>
        <w:wordWrap/>
        <w:spacing w:line="480" w:lineRule="auto"/>
        <w:rPr>
          <w:sz w:val="24"/>
          <w:szCs w:val="24"/>
        </w:rPr>
      </w:pPr>
    </w:p>
    <w:p w:rsidR="00942FB9" w:rsidRPr="000966E3" w:rsidRDefault="000966E3" w:rsidP="008E3AE6">
      <w:pPr>
        <w:pStyle w:val="ParaAttribute4"/>
        <w:wordWrap/>
        <w:spacing w:line="480" w:lineRule="auto"/>
        <w:rPr>
          <w:b/>
          <w:sz w:val="24"/>
          <w:szCs w:val="24"/>
        </w:rPr>
      </w:pPr>
      <w:r>
        <w:rPr>
          <w:b/>
          <w:sz w:val="24"/>
          <w:szCs w:val="24"/>
        </w:rPr>
        <w:t>THE MESSIANIC FORM-OF-LIFE</w:t>
      </w:r>
    </w:p>
    <w:p w:rsidR="00942FB9" w:rsidRDefault="00942FB9" w:rsidP="008E3AE6">
      <w:pPr>
        <w:pStyle w:val="ParaAttribute4"/>
        <w:wordWrap/>
        <w:spacing w:line="480" w:lineRule="auto"/>
        <w:rPr>
          <w:sz w:val="24"/>
          <w:szCs w:val="24"/>
        </w:rPr>
      </w:pPr>
    </w:p>
    <w:p w:rsidR="005E17EA" w:rsidRDefault="00BD005A" w:rsidP="008E3AE6">
      <w:pPr>
        <w:pStyle w:val="ParaAttribute4"/>
        <w:wordWrap/>
        <w:spacing w:line="480" w:lineRule="auto"/>
        <w:rPr>
          <w:sz w:val="24"/>
          <w:szCs w:val="24"/>
        </w:rPr>
      </w:pPr>
      <w:r>
        <w:rPr>
          <w:rStyle w:val="CharAttribute44"/>
          <w:rFonts w:eastAsia="Batang"/>
          <w:szCs w:val="24"/>
        </w:rPr>
        <w:t>‘</w:t>
      </w:r>
      <w:r w:rsidR="005E17EA">
        <w:rPr>
          <w:rStyle w:val="CharAttribute44"/>
          <w:rFonts w:eastAsia="Batang"/>
          <w:szCs w:val="24"/>
        </w:rPr>
        <w:t xml:space="preserve">The coming </w:t>
      </w:r>
      <w:r>
        <w:rPr>
          <w:rStyle w:val="CharAttribute44"/>
          <w:rFonts w:eastAsia="Batang"/>
          <w:szCs w:val="24"/>
        </w:rPr>
        <w:t>being is whatever being.’</w:t>
      </w:r>
      <w:r w:rsidR="00DD56F4">
        <w:rPr>
          <w:rStyle w:val="EndnoteReference"/>
          <w:sz w:val="24"/>
          <w:szCs w:val="24"/>
        </w:rPr>
        <w:endnoteReference w:id="56"/>
      </w:r>
      <w:r w:rsidR="005E17EA">
        <w:rPr>
          <w:rStyle w:val="CharAttribute44"/>
          <w:rFonts w:eastAsia="Batang"/>
          <w:szCs w:val="24"/>
        </w:rPr>
        <w:t xml:space="preserve"> Whatever-being is a singularity, and its singular existence is messianic. Whatever-being </w:t>
      </w:r>
      <w:r w:rsidR="005E17EA">
        <w:rPr>
          <w:rStyle w:val="CharAttribute45"/>
          <w:rFonts w:eastAsia="Batang"/>
          <w:szCs w:val="24"/>
        </w:rPr>
        <w:t xml:space="preserve">is a singularity that is exposed </w:t>
      </w:r>
      <w:r w:rsidR="005E17EA">
        <w:rPr>
          <w:rStyle w:val="CharAttribute7"/>
          <w:rFonts w:eastAsia="Batang"/>
          <w:szCs w:val="24"/>
        </w:rPr>
        <w:t>as impotentiality</w:t>
      </w:r>
      <w:r w:rsidR="005E17EA">
        <w:rPr>
          <w:rStyle w:val="CharAttribute45"/>
          <w:rFonts w:eastAsia="Batang"/>
          <w:szCs w:val="24"/>
        </w:rPr>
        <w:t>. The key question for Agamben relates to what form of political existence can be conceived that wou</w:t>
      </w:r>
      <w:r>
        <w:rPr>
          <w:rStyle w:val="CharAttribute45"/>
          <w:rFonts w:eastAsia="Batang"/>
          <w:szCs w:val="24"/>
        </w:rPr>
        <w:t>ld provide for whatever-being: ‘</w:t>
      </w:r>
      <w:r w:rsidR="005E17EA">
        <w:rPr>
          <w:rStyle w:val="CharAttribute45"/>
          <w:rFonts w:eastAsia="Batang"/>
          <w:szCs w:val="24"/>
        </w:rPr>
        <w:t>what could be the po</w:t>
      </w:r>
      <w:r>
        <w:rPr>
          <w:rStyle w:val="CharAttribute45"/>
          <w:rFonts w:eastAsia="Batang"/>
          <w:szCs w:val="24"/>
        </w:rPr>
        <w:t>litics of whatever singularity?’</w:t>
      </w:r>
      <w:r w:rsidR="00DD56F4">
        <w:rPr>
          <w:rStyle w:val="EndnoteReference"/>
          <w:sz w:val="24"/>
          <w:szCs w:val="24"/>
        </w:rPr>
        <w:endnoteReference w:id="57"/>
      </w:r>
    </w:p>
    <w:p w:rsidR="00E73C40" w:rsidRDefault="005E17EA" w:rsidP="008E3AE6">
      <w:pPr>
        <w:pStyle w:val="ParaAttribute5"/>
        <w:wordWrap/>
        <w:spacing w:line="480" w:lineRule="auto"/>
        <w:jc w:val="both"/>
        <w:rPr>
          <w:rStyle w:val="CharAttribute45"/>
          <w:rFonts w:eastAsia="Batang"/>
          <w:szCs w:val="24"/>
        </w:rPr>
      </w:pPr>
      <w:r>
        <w:tab/>
      </w:r>
      <w:r>
        <w:rPr>
          <w:rStyle w:val="CharAttribute45"/>
          <w:rFonts w:eastAsia="Batang"/>
          <w:szCs w:val="24"/>
        </w:rPr>
        <w:t xml:space="preserve">This politics of whatever singularity cannot focus on a particular property. The idea of identity politics falls back into the Aristotelian schema of potentiality as actuality unborn. In this scenario, belonging is defined through defined characteristics, or faculties, which an individual either possesses or does not. If an individual possesses said characteristic, then in order to belong to the set the individual would have to actualise the characteristic’s potential. We would once again fall into the realm of origins. </w:t>
      </w:r>
    </w:p>
    <w:p w:rsidR="005E17EA" w:rsidRDefault="005E17EA" w:rsidP="008E3AE6">
      <w:pPr>
        <w:pStyle w:val="ParaAttribute5"/>
        <w:wordWrap/>
        <w:spacing w:line="480" w:lineRule="auto"/>
        <w:jc w:val="both"/>
        <w:rPr>
          <w:rStyle w:val="CharAttribute45"/>
          <w:rFonts w:eastAsia="Batang"/>
          <w:szCs w:val="24"/>
        </w:rPr>
      </w:pPr>
      <w:r>
        <w:tab/>
      </w:r>
      <w:r>
        <w:rPr>
          <w:rStyle w:val="CharAttribute45"/>
          <w:rFonts w:eastAsia="Batang"/>
          <w:szCs w:val="24"/>
        </w:rPr>
        <w:t xml:space="preserve">Instead, the belonging of whatever singularity reflects an inessential commonality, or </w:t>
      </w:r>
      <w:r w:rsidR="0027062E">
        <w:rPr>
          <w:rStyle w:val="CharAttribute45"/>
          <w:rFonts w:eastAsia="Batang"/>
          <w:szCs w:val="24"/>
        </w:rPr>
        <w:t>solidarity</w:t>
      </w:r>
      <w:r>
        <w:rPr>
          <w:rStyle w:val="CharAttribute45"/>
          <w:rFonts w:eastAsia="Batang"/>
          <w:szCs w:val="24"/>
        </w:rPr>
        <w:t xml:space="preserve"> without an essence. As Agamben writes: </w:t>
      </w:r>
    </w:p>
    <w:p w:rsidR="008160BB" w:rsidRDefault="008160BB" w:rsidP="008E3AE6">
      <w:pPr>
        <w:pStyle w:val="ParaAttribute5"/>
        <w:wordWrap/>
        <w:spacing w:line="480" w:lineRule="auto"/>
        <w:jc w:val="both"/>
        <w:rPr>
          <w:sz w:val="24"/>
          <w:szCs w:val="24"/>
        </w:rPr>
      </w:pPr>
    </w:p>
    <w:p w:rsidR="005E17EA" w:rsidRDefault="005E17EA" w:rsidP="008160BB">
      <w:pPr>
        <w:pStyle w:val="ParaAttribute0"/>
        <w:wordWrap/>
        <w:spacing w:line="480" w:lineRule="auto"/>
        <w:ind w:left="567"/>
        <w:jc w:val="both"/>
        <w:rPr>
          <w:sz w:val="24"/>
          <w:szCs w:val="24"/>
        </w:rPr>
      </w:pPr>
      <w:r>
        <w:rPr>
          <w:rStyle w:val="CharAttribute45"/>
          <w:rFonts w:eastAsia="Batang"/>
          <w:szCs w:val="24"/>
        </w:rPr>
        <w:t>Taking place, the communication of singularities in the attribute of extension, does not unite them in essence, but scatters them in existence.</w:t>
      </w:r>
      <w:r w:rsidR="00DD56F4">
        <w:rPr>
          <w:rStyle w:val="EndnoteReference"/>
          <w:sz w:val="24"/>
          <w:szCs w:val="24"/>
        </w:rPr>
        <w:endnoteReference w:id="58"/>
      </w:r>
    </w:p>
    <w:p w:rsidR="00E73C40" w:rsidRDefault="00E73C40" w:rsidP="008E3AE6">
      <w:pPr>
        <w:pStyle w:val="ParaAttribute4"/>
        <w:wordWrap/>
        <w:spacing w:line="480" w:lineRule="auto"/>
        <w:rPr>
          <w:rStyle w:val="CharAttribute45"/>
          <w:rFonts w:eastAsia="Batang"/>
          <w:szCs w:val="24"/>
        </w:rPr>
      </w:pPr>
    </w:p>
    <w:p w:rsidR="005E17EA" w:rsidRDefault="005E17EA" w:rsidP="008E3AE6">
      <w:pPr>
        <w:pStyle w:val="ParaAttribute4"/>
        <w:wordWrap/>
        <w:spacing w:line="480" w:lineRule="auto"/>
        <w:rPr>
          <w:rStyle w:val="CharAttribute46"/>
          <w:rFonts w:eastAsia="Batang"/>
          <w:szCs w:val="24"/>
        </w:rPr>
      </w:pPr>
      <w:r>
        <w:rPr>
          <w:rStyle w:val="CharAttribute45"/>
          <w:rFonts w:eastAsia="Batang"/>
          <w:szCs w:val="24"/>
        </w:rPr>
        <w:t xml:space="preserve">In thinking of an inessential commonality we cannot consider one property above all others. This commonality cannot be represented as it works against the very idea of representation, the idea that a body is collectivised and foundational modes of representing that community are produced. It is ‘in-difference’ to </w:t>
      </w:r>
      <w:r>
        <w:rPr>
          <w:rStyle w:val="CharAttribute45"/>
          <w:rFonts w:eastAsia="Batang"/>
          <w:szCs w:val="24"/>
        </w:rPr>
        <w:lastRenderedPageBreak/>
        <w:t>properties which individuates singularities.</w:t>
      </w:r>
      <w:r w:rsidR="00DD56F4">
        <w:rPr>
          <w:rStyle w:val="EndnoteReference"/>
          <w:sz w:val="24"/>
          <w:szCs w:val="24"/>
        </w:rPr>
        <w:endnoteReference w:id="59"/>
      </w:r>
      <w:r>
        <w:rPr>
          <w:rStyle w:val="CharAttribute45"/>
          <w:rFonts w:eastAsia="Batang"/>
          <w:szCs w:val="24"/>
        </w:rPr>
        <w:t xml:space="preserve"> </w:t>
      </w:r>
      <w:r>
        <w:rPr>
          <w:rStyle w:val="CharAttribute46"/>
          <w:rFonts w:eastAsia="Batang"/>
          <w:szCs w:val="24"/>
        </w:rPr>
        <w:t>Nor can this com</w:t>
      </w:r>
      <w:r w:rsidR="00BD005A">
        <w:rPr>
          <w:rStyle w:val="CharAttribute46"/>
          <w:rFonts w:eastAsia="Batang"/>
          <w:szCs w:val="24"/>
        </w:rPr>
        <w:t>munity but thought of as final</w:t>
      </w:r>
      <w:r>
        <w:rPr>
          <w:rStyle w:val="CharAttribute46"/>
          <w:rFonts w:eastAsia="Batang"/>
          <w:szCs w:val="24"/>
        </w:rPr>
        <w:t xml:space="preserve"> in any sense. The ‘small shift’ Ernst Bloch invoked in recalling the stories of the Hassidim opens up whatever-being to its possibilities, but it is these very possibilities which mean an inessential commonality can never be reduced to a series of components or features. As Agamben writes in </w:t>
      </w:r>
      <w:r>
        <w:rPr>
          <w:rStyle w:val="CharAttribute7"/>
          <w:rFonts w:eastAsia="Batang"/>
          <w:szCs w:val="24"/>
        </w:rPr>
        <w:t>The Coming Community</w:t>
      </w:r>
      <w:r>
        <w:rPr>
          <w:rStyle w:val="CharAttribute46"/>
          <w:rFonts w:eastAsia="Batang"/>
          <w:szCs w:val="24"/>
        </w:rPr>
        <w:t>:</w:t>
      </w:r>
    </w:p>
    <w:p w:rsidR="008160BB" w:rsidRDefault="008160BB" w:rsidP="008E3AE6">
      <w:pPr>
        <w:pStyle w:val="ParaAttribute4"/>
        <w:wordWrap/>
        <w:spacing w:line="480" w:lineRule="auto"/>
        <w:rPr>
          <w:sz w:val="24"/>
          <w:szCs w:val="24"/>
        </w:rPr>
      </w:pPr>
    </w:p>
    <w:p w:rsidR="005E17EA" w:rsidRDefault="005E17EA" w:rsidP="008160BB">
      <w:pPr>
        <w:pStyle w:val="ParaAttribute6"/>
        <w:wordWrap/>
        <w:spacing w:line="480" w:lineRule="auto"/>
        <w:ind w:left="567" w:right="0"/>
        <w:rPr>
          <w:sz w:val="24"/>
          <w:szCs w:val="24"/>
        </w:rPr>
      </w:pPr>
      <w:r>
        <w:rPr>
          <w:rStyle w:val="CharAttribute46"/>
          <w:rFonts w:eastAsia="Batang"/>
          <w:szCs w:val="24"/>
        </w:rPr>
        <w:t xml:space="preserve">[T]he passage … from common form to singularity, is not an event accomplished once and for all, but an infinite series of modal oscillations. The individuation of a singular existence is not a punctual fact, but a </w:t>
      </w:r>
      <w:proofErr w:type="spellStart"/>
      <w:r>
        <w:rPr>
          <w:rStyle w:val="CharAttribute7"/>
          <w:rFonts w:eastAsia="Batang"/>
          <w:szCs w:val="24"/>
        </w:rPr>
        <w:t>linea</w:t>
      </w:r>
      <w:proofErr w:type="spellEnd"/>
      <w:r>
        <w:rPr>
          <w:rStyle w:val="CharAttribute7"/>
          <w:rFonts w:eastAsia="Batang"/>
          <w:szCs w:val="24"/>
        </w:rPr>
        <w:t xml:space="preserve"> </w:t>
      </w:r>
      <w:proofErr w:type="spellStart"/>
      <w:r>
        <w:rPr>
          <w:rStyle w:val="CharAttribute7"/>
          <w:rFonts w:eastAsia="Batang"/>
          <w:szCs w:val="24"/>
        </w:rPr>
        <w:t>generationis</w:t>
      </w:r>
      <w:proofErr w:type="spellEnd"/>
      <w:r>
        <w:rPr>
          <w:rStyle w:val="CharAttribute7"/>
          <w:rFonts w:eastAsia="Batang"/>
          <w:szCs w:val="24"/>
        </w:rPr>
        <w:t xml:space="preserve"> </w:t>
      </w:r>
      <w:proofErr w:type="spellStart"/>
      <w:r>
        <w:rPr>
          <w:rStyle w:val="CharAttribute7"/>
          <w:rFonts w:eastAsia="Batang"/>
          <w:szCs w:val="24"/>
        </w:rPr>
        <w:t>substantiae</w:t>
      </w:r>
      <w:proofErr w:type="spellEnd"/>
      <w:r>
        <w:rPr>
          <w:rStyle w:val="CharAttribute46"/>
          <w:rFonts w:eastAsia="Batang"/>
          <w:szCs w:val="24"/>
        </w:rPr>
        <w:t xml:space="preserve"> that varies in every direction according to a continual gradation of growth and remission, of appropriation and impropriation …The being that is engendered on this line is whatever being, and the manner in which it passes from the common to the proper and from the proper to the common is called usage – or rather, </w:t>
      </w:r>
      <w:r>
        <w:rPr>
          <w:rStyle w:val="CharAttribute7"/>
          <w:rFonts w:eastAsia="Batang"/>
          <w:szCs w:val="24"/>
        </w:rPr>
        <w:t>ethos</w:t>
      </w:r>
      <w:r>
        <w:rPr>
          <w:rStyle w:val="CharAttribute46"/>
          <w:rFonts w:eastAsia="Batang"/>
          <w:szCs w:val="24"/>
        </w:rPr>
        <w:t>.</w:t>
      </w:r>
      <w:r w:rsidR="00DD56F4">
        <w:rPr>
          <w:rStyle w:val="EndnoteReference"/>
          <w:sz w:val="24"/>
          <w:szCs w:val="24"/>
        </w:rPr>
        <w:endnoteReference w:id="60"/>
      </w:r>
      <w:r>
        <w:rPr>
          <w:rStyle w:val="CharAttribute46"/>
          <w:rFonts w:eastAsia="Batang"/>
          <w:szCs w:val="24"/>
        </w:rPr>
        <w:t xml:space="preserve"> </w:t>
      </w:r>
    </w:p>
    <w:p w:rsidR="005E17EA" w:rsidRDefault="005E17EA" w:rsidP="008E3AE6">
      <w:pPr>
        <w:pStyle w:val="ParaAttribute4"/>
        <w:wordWrap/>
        <w:spacing w:line="480" w:lineRule="auto"/>
        <w:rPr>
          <w:sz w:val="24"/>
          <w:szCs w:val="24"/>
        </w:rPr>
      </w:pPr>
    </w:p>
    <w:p w:rsidR="003E373C" w:rsidRDefault="003E373C" w:rsidP="008E3AE6">
      <w:pPr>
        <w:wordWrap/>
        <w:spacing w:line="480" w:lineRule="auto"/>
        <w:rPr>
          <w:rStyle w:val="CharAttribute48"/>
          <w:rFonts w:eastAsia="Batang"/>
          <w:szCs w:val="24"/>
        </w:rPr>
      </w:pPr>
      <w:r>
        <w:rPr>
          <w:rStyle w:val="CharAttribute48"/>
          <w:rFonts w:eastAsia="Batang"/>
          <w:szCs w:val="24"/>
        </w:rPr>
        <w:t xml:space="preserve">Crucially for our purposes here, and our focus upon the </w:t>
      </w:r>
      <w:r>
        <w:rPr>
          <w:rStyle w:val="CharAttribute7"/>
          <w:rFonts w:eastAsia="Batang"/>
          <w:szCs w:val="24"/>
        </w:rPr>
        <w:t xml:space="preserve">ethos </w:t>
      </w:r>
      <w:r>
        <w:rPr>
          <w:rStyle w:val="CharAttribute48"/>
          <w:rFonts w:eastAsia="Batang"/>
          <w:szCs w:val="24"/>
        </w:rPr>
        <w:t xml:space="preserve">of whatever-being, we need to distinguish between </w:t>
      </w:r>
      <w:r>
        <w:rPr>
          <w:rStyle w:val="CharAttribute7"/>
          <w:rFonts w:eastAsia="Batang"/>
          <w:szCs w:val="24"/>
        </w:rPr>
        <w:t>tradition</w:t>
      </w:r>
      <w:r>
        <w:rPr>
          <w:rStyle w:val="CharAttribute48"/>
          <w:rFonts w:eastAsia="Batang"/>
          <w:szCs w:val="24"/>
        </w:rPr>
        <w:t xml:space="preserve"> and </w:t>
      </w:r>
      <w:r>
        <w:rPr>
          <w:rStyle w:val="CharAttribute7"/>
          <w:rFonts w:eastAsia="Batang"/>
          <w:szCs w:val="24"/>
        </w:rPr>
        <w:t>foundations</w:t>
      </w:r>
      <w:r>
        <w:rPr>
          <w:rStyle w:val="CharAttribute48"/>
          <w:rFonts w:eastAsia="Batang"/>
          <w:szCs w:val="24"/>
        </w:rPr>
        <w:t xml:space="preserve">. The messianic world does not do away with tradition. It only challenges empty foundations. It is this separation which, I contend, marks the ‘small shift’ of messianism; the separation of tradition from foundations is the messianic event which takes the world to a point it never knew. The messianic event allows focus onto the </w:t>
      </w:r>
      <w:r>
        <w:rPr>
          <w:rStyle w:val="CharAttribute7"/>
          <w:rFonts w:eastAsia="Batang"/>
          <w:szCs w:val="24"/>
        </w:rPr>
        <w:t xml:space="preserve">ethos </w:t>
      </w:r>
      <w:r>
        <w:rPr>
          <w:rStyle w:val="CharAttribute48"/>
          <w:rFonts w:eastAsia="Batang"/>
          <w:szCs w:val="24"/>
        </w:rPr>
        <w:t>of whatever-being, away</w:t>
      </w:r>
      <w:r w:rsidR="00BD005A">
        <w:rPr>
          <w:rStyle w:val="CharAttribute48"/>
          <w:rFonts w:eastAsia="Batang"/>
          <w:szCs w:val="24"/>
        </w:rPr>
        <w:t xml:space="preserve"> from ideas of progression</w:t>
      </w:r>
      <w:r>
        <w:rPr>
          <w:rStyle w:val="CharAttribute48"/>
          <w:rFonts w:eastAsia="Batang"/>
          <w:szCs w:val="24"/>
        </w:rPr>
        <w:t xml:space="preserve">. Whereas foundations form a mythic </w:t>
      </w:r>
      <w:r>
        <w:rPr>
          <w:rStyle w:val="CharAttribute48"/>
          <w:rFonts w:eastAsia="Batang"/>
          <w:szCs w:val="24"/>
        </w:rPr>
        <w:lastRenderedPageBreak/>
        <w:t xml:space="preserve">origin, to </w:t>
      </w:r>
      <w:r w:rsidR="00BD005A">
        <w:rPr>
          <w:rStyle w:val="CharAttribute48"/>
          <w:rFonts w:eastAsia="Batang"/>
          <w:szCs w:val="24"/>
        </w:rPr>
        <w:t>recognize</w:t>
      </w:r>
      <w:r>
        <w:rPr>
          <w:rStyle w:val="CharAttribute48"/>
          <w:rFonts w:eastAsia="Batang"/>
          <w:szCs w:val="24"/>
        </w:rPr>
        <w:t xml:space="preserve"> the political, the ground of belonging for whatever-being, is not, and cannot be unconnected to tradition. To speak of potentiality is not to abandon tradition. Instead, tradition needs to be considered separately from origins and foundations.</w:t>
      </w:r>
    </w:p>
    <w:p w:rsidR="003E373C" w:rsidRDefault="003E373C" w:rsidP="008E3AE6">
      <w:pPr>
        <w:pStyle w:val="ParaAttribute0"/>
        <w:wordWrap/>
        <w:spacing w:line="480" w:lineRule="auto"/>
        <w:jc w:val="both"/>
        <w:rPr>
          <w:rStyle w:val="CharAttribute50"/>
          <w:rFonts w:eastAsia="Batang"/>
          <w:szCs w:val="24"/>
        </w:rPr>
      </w:pPr>
      <w:r>
        <w:rPr>
          <w:sz w:val="24"/>
          <w:szCs w:val="24"/>
        </w:rPr>
        <w:tab/>
      </w:r>
      <w:r>
        <w:rPr>
          <w:rStyle w:val="CharAttribute48"/>
          <w:rFonts w:eastAsia="Batang"/>
          <w:szCs w:val="24"/>
        </w:rPr>
        <w:t xml:space="preserve">Heidegger understood this when he wrote that </w:t>
      </w:r>
      <w:r>
        <w:rPr>
          <w:rStyle w:val="CharAttribute7"/>
          <w:rFonts w:eastAsia="Batang"/>
          <w:szCs w:val="24"/>
        </w:rPr>
        <w:t>Dasein</w:t>
      </w:r>
      <w:r>
        <w:rPr>
          <w:rStyle w:val="CharAttribute48"/>
          <w:rFonts w:eastAsia="Batang"/>
          <w:szCs w:val="24"/>
        </w:rPr>
        <w:t>’s understanding of the world guides its own potentiality for being.</w:t>
      </w:r>
      <w:r w:rsidR="00DD56F4">
        <w:rPr>
          <w:rStyle w:val="EndnoteReference"/>
          <w:sz w:val="24"/>
          <w:szCs w:val="24"/>
        </w:rPr>
        <w:endnoteReference w:id="61"/>
      </w:r>
      <w:r>
        <w:rPr>
          <w:rStyle w:val="CharAttribute48"/>
          <w:rFonts w:eastAsia="Batang"/>
          <w:szCs w:val="24"/>
        </w:rPr>
        <w:t xml:space="preserve"> The projection of </w:t>
      </w:r>
      <w:r>
        <w:rPr>
          <w:rStyle w:val="CharAttribute7"/>
          <w:rFonts w:eastAsia="Batang"/>
          <w:szCs w:val="24"/>
        </w:rPr>
        <w:t>Dasein</w:t>
      </w:r>
      <w:r>
        <w:rPr>
          <w:rStyle w:val="CharAttribute48"/>
          <w:rFonts w:eastAsia="Batang"/>
          <w:szCs w:val="24"/>
        </w:rPr>
        <w:t>’s understanding, which Heidegger termed interpretation,</w:t>
      </w:r>
      <w:r w:rsidR="00DD56F4">
        <w:rPr>
          <w:rStyle w:val="EndnoteReference"/>
          <w:sz w:val="24"/>
          <w:szCs w:val="24"/>
        </w:rPr>
        <w:endnoteReference w:id="62"/>
      </w:r>
      <w:r>
        <w:rPr>
          <w:rStyle w:val="CharAttribute48"/>
          <w:rFonts w:eastAsia="Batang"/>
          <w:szCs w:val="24"/>
        </w:rPr>
        <w:t xml:space="preserve"> is always grounded upon things </w:t>
      </w:r>
      <w:r>
        <w:rPr>
          <w:rStyle w:val="CharAttribute7"/>
          <w:rFonts w:eastAsia="Batang"/>
          <w:szCs w:val="24"/>
        </w:rPr>
        <w:t>Dasein</w:t>
      </w:r>
      <w:r>
        <w:rPr>
          <w:rStyle w:val="CharAttribute48"/>
          <w:rFonts w:eastAsia="Batang"/>
          <w:szCs w:val="24"/>
        </w:rPr>
        <w:t xml:space="preserve"> has in advance, sees in advance and grasps in advance respectively.</w:t>
      </w:r>
      <w:r w:rsidR="00DD56F4">
        <w:rPr>
          <w:rStyle w:val="EndnoteReference"/>
          <w:sz w:val="24"/>
          <w:szCs w:val="24"/>
        </w:rPr>
        <w:endnoteReference w:id="63"/>
      </w:r>
      <w:r>
        <w:rPr>
          <w:rStyle w:val="CharAttribute48"/>
          <w:rFonts w:eastAsia="Batang"/>
          <w:szCs w:val="24"/>
        </w:rPr>
        <w:t xml:space="preserve"> </w:t>
      </w:r>
      <w:r>
        <w:rPr>
          <w:rStyle w:val="CharAttribute49"/>
          <w:rFonts w:eastAsia="Batang"/>
          <w:szCs w:val="24"/>
        </w:rPr>
        <w:t xml:space="preserve">The already existing world into which </w:t>
      </w:r>
      <w:r>
        <w:rPr>
          <w:rStyle w:val="CharAttribute7"/>
          <w:rFonts w:eastAsia="Batang"/>
          <w:szCs w:val="24"/>
        </w:rPr>
        <w:t>Dasein</w:t>
      </w:r>
      <w:r>
        <w:rPr>
          <w:rStyle w:val="CharAttribute49"/>
          <w:rFonts w:eastAsia="Batang"/>
          <w:szCs w:val="24"/>
        </w:rPr>
        <w:t xml:space="preserve"> was thrown helps structure </w:t>
      </w:r>
      <w:r>
        <w:rPr>
          <w:rStyle w:val="CharAttribute7"/>
          <w:rFonts w:eastAsia="Batang"/>
          <w:szCs w:val="24"/>
        </w:rPr>
        <w:t>Dasein</w:t>
      </w:r>
      <w:r>
        <w:rPr>
          <w:rStyle w:val="CharAttribute49"/>
          <w:rFonts w:eastAsia="Batang"/>
          <w:szCs w:val="24"/>
        </w:rPr>
        <w:t xml:space="preserve"> itself.</w:t>
      </w:r>
      <w:r w:rsidR="00DD56F4">
        <w:rPr>
          <w:rStyle w:val="EndnoteReference"/>
          <w:sz w:val="24"/>
          <w:szCs w:val="24"/>
        </w:rPr>
        <w:endnoteReference w:id="64"/>
      </w:r>
      <w:r>
        <w:rPr>
          <w:rStyle w:val="CharAttribute49"/>
          <w:rFonts w:eastAsia="Batang"/>
          <w:szCs w:val="24"/>
        </w:rPr>
        <w:t xml:space="preserve"> </w:t>
      </w:r>
      <w:r>
        <w:rPr>
          <w:rStyle w:val="CharAttribute50"/>
          <w:rFonts w:eastAsia="Batang"/>
          <w:szCs w:val="24"/>
        </w:rPr>
        <w:t>Tradition here refers to the cultural history and fabric of the world. The cultural fabric of the world is worthy of respect, as it is into this world that whatever-being is thrown.</w:t>
      </w:r>
      <w:r w:rsidR="00DD56F4">
        <w:rPr>
          <w:rStyle w:val="EndnoteReference"/>
          <w:sz w:val="24"/>
          <w:szCs w:val="24"/>
        </w:rPr>
        <w:endnoteReference w:id="65"/>
      </w:r>
      <w:r>
        <w:rPr>
          <w:rStyle w:val="CharAttribute50"/>
          <w:rFonts w:eastAsia="Batang"/>
          <w:szCs w:val="24"/>
        </w:rPr>
        <w:t xml:space="preserve"> It is from within this world that the unique singularity of whatever-being is forged. Whatever-being, such-as-it-is, gives itself to itself from within a world that always-already exists. The cultural fabric of this world is continuously changing and responding to the actions and influences of singularities.</w:t>
      </w:r>
    </w:p>
    <w:p w:rsidR="005F71B7" w:rsidRDefault="003E373C" w:rsidP="008E3AE6">
      <w:pPr>
        <w:pStyle w:val="ParaAttribute4"/>
        <w:wordWrap/>
        <w:spacing w:line="480" w:lineRule="auto"/>
        <w:rPr>
          <w:rStyle w:val="CharAttribute48"/>
          <w:rFonts w:eastAsia="Batang"/>
          <w:szCs w:val="24"/>
        </w:rPr>
      </w:pPr>
      <w:r>
        <w:rPr>
          <w:sz w:val="24"/>
          <w:szCs w:val="24"/>
        </w:rPr>
        <w:tab/>
      </w:r>
      <w:r w:rsidR="005E17EA">
        <w:rPr>
          <w:rStyle w:val="CharAttribute47"/>
          <w:rFonts w:eastAsia="Batang"/>
          <w:szCs w:val="24"/>
        </w:rPr>
        <w:t xml:space="preserve">In seeking to analyse this </w:t>
      </w:r>
      <w:r w:rsidR="005E17EA">
        <w:rPr>
          <w:rStyle w:val="CharAttribute7"/>
          <w:rFonts w:eastAsia="Batang"/>
          <w:szCs w:val="24"/>
        </w:rPr>
        <w:t>ethos</w:t>
      </w:r>
      <w:r w:rsidR="005E17EA">
        <w:rPr>
          <w:rStyle w:val="CharAttribute47"/>
          <w:rFonts w:eastAsia="Batang"/>
          <w:szCs w:val="24"/>
        </w:rPr>
        <w:t xml:space="preserve">, I wish to draw a connection to what Jean-Luc </w:t>
      </w:r>
      <w:r w:rsidR="00BD005A">
        <w:rPr>
          <w:rStyle w:val="CharAttribute47"/>
          <w:rFonts w:eastAsia="Batang"/>
          <w:szCs w:val="24"/>
        </w:rPr>
        <w:t>Nancy has called ‘the political’</w:t>
      </w:r>
      <w:r w:rsidR="005E17EA">
        <w:rPr>
          <w:rStyle w:val="CharAttribute47"/>
          <w:rFonts w:eastAsia="Batang"/>
          <w:szCs w:val="24"/>
        </w:rPr>
        <w:t>; the place of community, of being-in-common.</w:t>
      </w:r>
      <w:r w:rsidR="00DD56F4">
        <w:rPr>
          <w:rStyle w:val="EndnoteReference"/>
          <w:sz w:val="24"/>
          <w:szCs w:val="24"/>
        </w:rPr>
        <w:endnoteReference w:id="66"/>
      </w:r>
      <w:r w:rsidR="005E17EA">
        <w:rPr>
          <w:rStyle w:val="CharAttribute47"/>
          <w:rFonts w:eastAsia="Batang"/>
          <w:szCs w:val="24"/>
        </w:rPr>
        <w:t xml:space="preserve"> </w:t>
      </w:r>
      <w:r w:rsidR="005E17EA">
        <w:rPr>
          <w:rStyle w:val="CharAttribute48"/>
          <w:rFonts w:eastAsia="Batang"/>
          <w:szCs w:val="24"/>
        </w:rPr>
        <w:t xml:space="preserve">The politics of whatever-being is </w:t>
      </w:r>
      <w:r w:rsidR="005E17EA">
        <w:rPr>
          <w:rStyle w:val="CharAttribute48"/>
          <w:rFonts w:eastAsia="Batang"/>
          <w:i/>
          <w:iCs/>
          <w:szCs w:val="24"/>
        </w:rPr>
        <w:t>the politics of the political</w:t>
      </w:r>
      <w:r w:rsidR="005E17EA">
        <w:rPr>
          <w:rStyle w:val="CharAttribute48"/>
          <w:rFonts w:eastAsia="Batang"/>
          <w:szCs w:val="24"/>
        </w:rPr>
        <w:t xml:space="preserve">, a politics of being-in-common. </w:t>
      </w:r>
      <w:r w:rsidR="00BD005A">
        <w:rPr>
          <w:rStyle w:val="CharAttribute0"/>
          <w:rFonts w:eastAsia="Batang"/>
          <w:szCs w:val="24"/>
        </w:rPr>
        <w:t>The commonality of ‘belonging without identity’</w:t>
      </w:r>
      <w:r w:rsidR="005E17EA">
        <w:rPr>
          <w:rStyle w:val="CharAttribute0"/>
          <w:rFonts w:eastAsia="Batang"/>
          <w:szCs w:val="24"/>
        </w:rPr>
        <w:t xml:space="preserve"> is not tied to a transcendent essence of a community.</w:t>
      </w:r>
      <w:r w:rsidR="00DD56F4">
        <w:rPr>
          <w:rStyle w:val="EndnoteReference"/>
          <w:sz w:val="24"/>
          <w:szCs w:val="24"/>
        </w:rPr>
        <w:endnoteReference w:id="67"/>
      </w:r>
      <w:r w:rsidR="005E17EA">
        <w:rPr>
          <w:rStyle w:val="CharAttribute0"/>
          <w:rFonts w:eastAsia="Batang"/>
          <w:szCs w:val="24"/>
        </w:rPr>
        <w:t xml:space="preserve"> Rather, it posits multiple whatever-beings living-in-common. </w:t>
      </w:r>
      <w:r w:rsidR="005E17EA">
        <w:rPr>
          <w:rStyle w:val="CharAttribute48"/>
          <w:rFonts w:eastAsia="Batang"/>
          <w:szCs w:val="24"/>
        </w:rPr>
        <w:t xml:space="preserve">It is this being-in-common that the politics of singularity seeks to focus upon, as being-in-common reflects </w:t>
      </w:r>
      <w:r w:rsidR="005E17EA">
        <w:rPr>
          <w:rStyle w:val="CharAttribute0"/>
          <w:rFonts w:eastAsia="Batang"/>
          <w:szCs w:val="24"/>
        </w:rPr>
        <w:t xml:space="preserve">and gives rise to </w:t>
      </w:r>
      <w:r w:rsidR="005E17EA">
        <w:rPr>
          <w:rStyle w:val="CharAttribute48"/>
          <w:rFonts w:eastAsia="Batang"/>
          <w:szCs w:val="24"/>
        </w:rPr>
        <w:t xml:space="preserve">the </w:t>
      </w:r>
      <w:r w:rsidR="005E17EA">
        <w:rPr>
          <w:rStyle w:val="CharAttribute7"/>
          <w:rFonts w:eastAsia="Batang"/>
          <w:szCs w:val="24"/>
        </w:rPr>
        <w:lastRenderedPageBreak/>
        <w:t xml:space="preserve">ethos </w:t>
      </w:r>
      <w:r w:rsidR="005E17EA">
        <w:rPr>
          <w:rStyle w:val="CharAttribute48"/>
          <w:rFonts w:eastAsia="Batang"/>
          <w:szCs w:val="24"/>
        </w:rPr>
        <w:t xml:space="preserve">of whatever-being. </w:t>
      </w:r>
      <w:r w:rsidR="005F71B7">
        <w:rPr>
          <w:rStyle w:val="CharAttribute48"/>
          <w:rFonts w:eastAsia="Batang"/>
          <w:szCs w:val="24"/>
        </w:rPr>
        <w:t xml:space="preserve">As Agamben states in </w:t>
      </w:r>
      <w:r w:rsidR="005F71B7">
        <w:rPr>
          <w:rStyle w:val="CharAttribute48"/>
          <w:rFonts w:eastAsia="Batang"/>
          <w:i/>
          <w:szCs w:val="24"/>
        </w:rPr>
        <w:t>Nudities</w:t>
      </w:r>
      <w:r w:rsidR="005F71B7">
        <w:rPr>
          <w:rStyle w:val="CharAttribute48"/>
          <w:rFonts w:eastAsia="Batang"/>
          <w:szCs w:val="24"/>
        </w:rPr>
        <w:t>:</w:t>
      </w:r>
    </w:p>
    <w:p w:rsidR="008160BB" w:rsidRDefault="008160BB" w:rsidP="008E3AE6">
      <w:pPr>
        <w:pStyle w:val="ParaAttribute4"/>
        <w:wordWrap/>
        <w:spacing w:line="480" w:lineRule="auto"/>
        <w:rPr>
          <w:rStyle w:val="CharAttribute48"/>
          <w:rFonts w:eastAsia="Batang"/>
          <w:szCs w:val="24"/>
        </w:rPr>
      </w:pPr>
    </w:p>
    <w:p w:rsidR="005F71B7" w:rsidRPr="00DB02B2" w:rsidRDefault="005F71B7" w:rsidP="008160BB">
      <w:pPr>
        <w:wordWrap/>
        <w:spacing w:line="480" w:lineRule="auto"/>
        <w:ind w:left="567"/>
        <w:rPr>
          <w:rFonts w:ascii="Times New Roman"/>
          <w:sz w:val="24"/>
        </w:rPr>
      </w:pPr>
      <w:r w:rsidRPr="00DB02B2">
        <w:rPr>
          <w:rFonts w:ascii="Times New Roman"/>
          <w:sz w:val="24"/>
        </w:rPr>
        <w:t xml:space="preserve">The desire to be </w:t>
      </w:r>
      <w:proofErr w:type="spellStart"/>
      <w:r w:rsidRPr="00DB02B2">
        <w:rPr>
          <w:rFonts w:ascii="Times New Roman"/>
          <w:sz w:val="24"/>
        </w:rPr>
        <w:t>recognised</w:t>
      </w:r>
      <w:proofErr w:type="spellEnd"/>
      <w:r w:rsidRPr="00DB02B2">
        <w:rPr>
          <w:rFonts w:ascii="Times New Roman"/>
          <w:sz w:val="24"/>
        </w:rPr>
        <w:t xml:space="preserve"> by others is inseparable from being human. Indeed, such recognition is so essential that, according to Hegel, everyone is ready to put his or her own life in jeopardy in order to obtain it. This is not merely a question of satisfaction or self-love; rather, it is only through recognition by others that man can constitute himself as a person</w:t>
      </w:r>
      <w:r>
        <w:rPr>
          <w:rFonts w:ascii="Times New Roman"/>
          <w:sz w:val="24"/>
        </w:rPr>
        <w:t>.</w:t>
      </w:r>
      <w:r w:rsidR="00DD56F4">
        <w:rPr>
          <w:rStyle w:val="EndnoteReference"/>
          <w:rFonts w:ascii="Times New Roman"/>
          <w:sz w:val="24"/>
        </w:rPr>
        <w:endnoteReference w:id="68"/>
      </w:r>
    </w:p>
    <w:p w:rsidR="005F71B7" w:rsidRDefault="005F71B7" w:rsidP="008E3AE6">
      <w:pPr>
        <w:pStyle w:val="ParaAttribute4"/>
        <w:wordWrap/>
        <w:spacing w:line="480" w:lineRule="auto"/>
        <w:rPr>
          <w:rStyle w:val="CharAttribute48"/>
          <w:rFonts w:eastAsia="Batang"/>
          <w:szCs w:val="24"/>
        </w:rPr>
      </w:pPr>
    </w:p>
    <w:p w:rsidR="00AB212B" w:rsidRDefault="00BD005A" w:rsidP="008E3AE6">
      <w:pPr>
        <w:pStyle w:val="ParaAttribute4"/>
        <w:wordWrap/>
        <w:spacing w:line="480" w:lineRule="auto"/>
        <w:rPr>
          <w:rStyle w:val="CharAttribute48"/>
          <w:rFonts w:eastAsia="Batang"/>
          <w:szCs w:val="24"/>
        </w:rPr>
      </w:pPr>
      <w:r>
        <w:rPr>
          <w:rStyle w:val="CharAttribute48"/>
          <w:rFonts w:eastAsia="Batang"/>
          <w:szCs w:val="24"/>
        </w:rPr>
        <w:t>Singularities show that humans ‘</w:t>
      </w:r>
      <w:r w:rsidR="005E17EA">
        <w:rPr>
          <w:rStyle w:val="CharAttribute48"/>
          <w:rFonts w:eastAsia="Batang"/>
          <w:szCs w:val="24"/>
        </w:rPr>
        <w:t>co-belong without any repre</w:t>
      </w:r>
      <w:r>
        <w:rPr>
          <w:rStyle w:val="CharAttribute48"/>
          <w:rFonts w:eastAsia="Batang"/>
          <w:szCs w:val="24"/>
        </w:rPr>
        <w:t>sentable condition of belonging’</w:t>
      </w:r>
      <w:r w:rsidR="005E17EA">
        <w:rPr>
          <w:rStyle w:val="CharAttribute48"/>
          <w:rFonts w:eastAsia="Batang"/>
          <w:szCs w:val="24"/>
        </w:rPr>
        <w:t>, without reference to a foundation or origin.</w:t>
      </w:r>
      <w:r w:rsidR="00DD56F4">
        <w:rPr>
          <w:rStyle w:val="EndnoteReference"/>
          <w:sz w:val="24"/>
          <w:szCs w:val="24"/>
        </w:rPr>
        <w:endnoteReference w:id="69"/>
      </w:r>
      <w:r w:rsidR="005E17EA">
        <w:rPr>
          <w:rStyle w:val="CharAttribute48"/>
          <w:rFonts w:eastAsia="Batang"/>
          <w:szCs w:val="24"/>
        </w:rPr>
        <w:t xml:space="preserve"> </w:t>
      </w:r>
      <w:r w:rsidR="009B1569">
        <w:rPr>
          <w:rStyle w:val="CharAttribute48"/>
          <w:rFonts w:eastAsia="Batang"/>
          <w:szCs w:val="24"/>
        </w:rPr>
        <w:t>I</w:t>
      </w:r>
      <w:r w:rsidR="008E6067">
        <w:rPr>
          <w:rStyle w:val="CharAttribute48"/>
          <w:rFonts w:eastAsia="Batang"/>
          <w:szCs w:val="24"/>
        </w:rPr>
        <w:t xml:space="preserve">t is recognition which constitutes the singularity of whatever-being, the </w:t>
      </w:r>
      <w:r>
        <w:rPr>
          <w:rStyle w:val="CharAttribute48"/>
          <w:rFonts w:eastAsia="Batang"/>
          <w:szCs w:val="24"/>
        </w:rPr>
        <w:t>‘new figure of the human’</w:t>
      </w:r>
      <w:r w:rsidR="00534BB5">
        <w:rPr>
          <w:rStyle w:val="CharAttribute48"/>
          <w:rFonts w:eastAsia="Batang"/>
          <w:szCs w:val="24"/>
        </w:rPr>
        <w:t xml:space="preserve"> whi</w:t>
      </w:r>
      <w:r>
        <w:rPr>
          <w:rStyle w:val="CharAttribute48"/>
          <w:rFonts w:eastAsia="Batang"/>
          <w:szCs w:val="24"/>
        </w:rPr>
        <w:t>ch is ‘beyond personal identity’</w:t>
      </w:r>
      <w:r w:rsidR="00534BB5">
        <w:rPr>
          <w:rStyle w:val="CharAttribute48"/>
          <w:rFonts w:eastAsia="Batang"/>
          <w:szCs w:val="24"/>
        </w:rPr>
        <w:t>.</w:t>
      </w:r>
      <w:r w:rsidR="00DD56F4">
        <w:rPr>
          <w:rStyle w:val="EndnoteReference"/>
          <w:sz w:val="24"/>
          <w:szCs w:val="24"/>
        </w:rPr>
        <w:endnoteReference w:id="70"/>
      </w:r>
    </w:p>
    <w:p w:rsidR="00A823E7" w:rsidRDefault="00D42582" w:rsidP="008E3AE6">
      <w:pPr>
        <w:pStyle w:val="ParaAttribute4"/>
        <w:wordWrap/>
        <w:spacing w:line="480" w:lineRule="auto"/>
        <w:rPr>
          <w:sz w:val="24"/>
        </w:rPr>
      </w:pPr>
      <w:r>
        <w:rPr>
          <w:sz w:val="24"/>
        </w:rPr>
        <w:tab/>
      </w:r>
      <w:r w:rsidR="003E373C">
        <w:rPr>
          <w:sz w:val="24"/>
        </w:rPr>
        <w:t>T</w:t>
      </w:r>
      <w:r w:rsidR="0086380C">
        <w:rPr>
          <w:sz w:val="24"/>
        </w:rPr>
        <w:t>his</w:t>
      </w:r>
      <w:r>
        <w:rPr>
          <w:sz w:val="24"/>
        </w:rPr>
        <w:t xml:space="preserve"> </w:t>
      </w:r>
      <w:r w:rsidR="008E6067">
        <w:rPr>
          <w:sz w:val="24"/>
        </w:rPr>
        <w:t xml:space="preserve">recognition, vital to the constitution of any singularity, cannot be sought through any mythic legal order. </w:t>
      </w:r>
      <w:r w:rsidR="005744C3">
        <w:rPr>
          <w:sz w:val="24"/>
        </w:rPr>
        <w:t xml:space="preserve">Mythic law </w:t>
      </w:r>
      <w:r w:rsidR="0027062E">
        <w:rPr>
          <w:sz w:val="24"/>
        </w:rPr>
        <w:t>is</w:t>
      </w:r>
      <w:r>
        <w:rPr>
          <w:sz w:val="24"/>
        </w:rPr>
        <w:t xml:space="preserve"> equated with judgment, guilt and responsibility. </w:t>
      </w:r>
      <w:r w:rsidR="005744C3">
        <w:rPr>
          <w:rStyle w:val="CharAttribute62"/>
          <w:rFonts w:eastAsia="Batang"/>
          <w:szCs w:val="24"/>
        </w:rPr>
        <w:t>Agamben sees the judgment as the ultimate end of juridical regulation,</w:t>
      </w:r>
      <w:r w:rsidR="00DD56F4">
        <w:rPr>
          <w:rStyle w:val="EndnoteReference"/>
          <w:sz w:val="24"/>
          <w:szCs w:val="24"/>
        </w:rPr>
        <w:endnoteReference w:id="71"/>
      </w:r>
      <w:r w:rsidR="005744C3">
        <w:rPr>
          <w:rStyle w:val="CharAttribute62"/>
          <w:rFonts w:eastAsia="Batang"/>
          <w:szCs w:val="24"/>
        </w:rPr>
        <w:t xml:space="preserve"> and also equates the sphere of law with the assumption of responsibility.</w:t>
      </w:r>
      <w:r w:rsidR="00DD56F4">
        <w:rPr>
          <w:rStyle w:val="EndnoteReference"/>
          <w:sz w:val="24"/>
          <w:szCs w:val="24"/>
        </w:rPr>
        <w:endnoteReference w:id="72"/>
      </w:r>
      <w:r w:rsidR="005744C3">
        <w:rPr>
          <w:sz w:val="24"/>
        </w:rPr>
        <w:t xml:space="preserve"> </w:t>
      </w:r>
      <w:r w:rsidR="009B1569">
        <w:rPr>
          <w:sz w:val="24"/>
        </w:rPr>
        <w:t>What we can see here is a distinction</w:t>
      </w:r>
      <w:r w:rsidR="00B938D1">
        <w:rPr>
          <w:sz w:val="24"/>
        </w:rPr>
        <w:t xml:space="preserve"> </w:t>
      </w:r>
      <w:r w:rsidR="009B1569">
        <w:rPr>
          <w:sz w:val="24"/>
        </w:rPr>
        <w:t xml:space="preserve">being drawn between </w:t>
      </w:r>
      <w:r w:rsidR="009B1569">
        <w:rPr>
          <w:i/>
          <w:sz w:val="24"/>
        </w:rPr>
        <w:t>recognition</w:t>
      </w:r>
      <w:r w:rsidR="009B1569">
        <w:rPr>
          <w:sz w:val="24"/>
        </w:rPr>
        <w:t xml:space="preserve"> and </w:t>
      </w:r>
      <w:r w:rsidR="009B1569">
        <w:rPr>
          <w:i/>
          <w:sz w:val="24"/>
        </w:rPr>
        <w:t>responsibility</w:t>
      </w:r>
      <w:r w:rsidR="009B1569">
        <w:rPr>
          <w:sz w:val="24"/>
        </w:rPr>
        <w:t xml:space="preserve">. </w:t>
      </w:r>
      <w:r w:rsidR="00A823E7">
        <w:rPr>
          <w:sz w:val="24"/>
        </w:rPr>
        <w:t xml:space="preserve">This reflects Agamben’s </w:t>
      </w:r>
      <w:proofErr w:type="spellStart"/>
      <w:r w:rsidR="00A823E7">
        <w:rPr>
          <w:sz w:val="24"/>
        </w:rPr>
        <w:t>antinomi</w:t>
      </w:r>
      <w:r w:rsidR="00BD005A">
        <w:rPr>
          <w:sz w:val="24"/>
        </w:rPr>
        <w:t>cal</w:t>
      </w:r>
      <w:proofErr w:type="spellEnd"/>
      <w:r w:rsidR="00BD005A">
        <w:rPr>
          <w:sz w:val="24"/>
        </w:rPr>
        <w:t xml:space="preserve"> messianism – the desire to ‘</w:t>
      </w:r>
      <w:r w:rsidR="00A823E7">
        <w:rPr>
          <w:sz w:val="24"/>
        </w:rPr>
        <w:t>think a human community that would not ha</w:t>
      </w:r>
      <w:r w:rsidR="00BD005A">
        <w:rPr>
          <w:sz w:val="24"/>
        </w:rPr>
        <w:t>ve (only) the figure of the law’</w:t>
      </w:r>
      <w:r w:rsidR="00A823E7">
        <w:rPr>
          <w:sz w:val="24"/>
        </w:rPr>
        <w:t>.</w:t>
      </w:r>
      <w:r w:rsidR="00DD56F4">
        <w:rPr>
          <w:rStyle w:val="EndnoteReference"/>
          <w:sz w:val="24"/>
        </w:rPr>
        <w:endnoteReference w:id="73"/>
      </w:r>
    </w:p>
    <w:p w:rsidR="00F81B51" w:rsidRDefault="00F81B51" w:rsidP="008E3AE6">
      <w:pPr>
        <w:pStyle w:val="ParaAttribute4"/>
        <w:wordWrap/>
        <w:spacing w:line="480" w:lineRule="auto"/>
        <w:rPr>
          <w:sz w:val="24"/>
        </w:rPr>
      </w:pPr>
    </w:p>
    <w:p w:rsidR="00F81B51" w:rsidRPr="00F81B51" w:rsidRDefault="00F81B51" w:rsidP="008E3AE6">
      <w:pPr>
        <w:pStyle w:val="ParaAttribute4"/>
        <w:wordWrap/>
        <w:spacing w:line="480" w:lineRule="auto"/>
        <w:rPr>
          <w:b/>
          <w:sz w:val="24"/>
        </w:rPr>
      </w:pPr>
      <w:r>
        <w:rPr>
          <w:b/>
          <w:sz w:val="24"/>
        </w:rPr>
        <w:t>A MESSIANIC LAW</w:t>
      </w:r>
    </w:p>
    <w:p w:rsidR="00F81B51" w:rsidRDefault="00F81B51" w:rsidP="008E3AE6">
      <w:pPr>
        <w:pStyle w:val="ParaAttribute4"/>
        <w:wordWrap/>
        <w:spacing w:line="480" w:lineRule="auto"/>
        <w:rPr>
          <w:sz w:val="24"/>
        </w:rPr>
      </w:pPr>
    </w:p>
    <w:p w:rsidR="008B4830" w:rsidRDefault="00B938D1" w:rsidP="008E3AE6">
      <w:pPr>
        <w:pStyle w:val="ParaAttribute4"/>
        <w:wordWrap/>
        <w:spacing w:line="480" w:lineRule="auto"/>
        <w:rPr>
          <w:rStyle w:val="CharAttribute62"/>
          <w:rFonts w:eastAsia="Batang"/>
          <w:szCs w:val="24"/>
        </w:rPr>
      </w:pPr>
      <w:r>
        <w:rPr>
          <w:sz w:val="24"/>
        </w:rPr>
        <w:lastRenderedPageBreak/>
        <w:t xml:space="preserve">The </w:t>
      </w:r>
      <w:r w:rsidR="00E4316E">
        <w:rPr>
          <w:sz w:val="24"/>
        </w:rPr>
        <w:t xml:space="preserve">non-messianic </w:t>
      </w:r>
      <w:r>
        <w:rPr>
          <w:sz w:val="24"/>
        </w:rPr>
        <w:t xml:space="preserve">law recognises who is responsible and who is not by delimiting classes and introducing distinctions between individuals and groups. </w:t>
      </w:r>
      <w:r w:rsidR="00127269">
        <w:rPr>
          <w:sz w:val="24"/>
        </w:rPr>
        <w:t xml:space="preserve">It equates recognition – legal identity – with accompanying duties and responsibilities. </w:t>
      </w:r>
      <w:r>
        <w:rPr>
          <w:sz w:val="24"/>
        </w:rPr>
        <w:t xml:space="preserve">In doing so, the law effaces the </w:t>
      </w:r>
      <w:r>
        <w:rPr>
          <w:i/>
          <w:sz w:val="24"/>
        </w:rPr>
        <w:t xml:space="preserve">ethos </w:t>
      </w:r>
      <w:r>
        <w:rPr>
          <w:sz w:val="24"/>
        </w:rPr>
        <w:t>of whatever-being, all the while reinforcing its own mythic foundations.</w:t>
      </w:r>
      <w:r w:rsidR="008840D8">
        <w:rPr>
          <w:sz w:val="24"/>
        </w:rPr>
        <w:t xml:space="preserve"> </w:t>
      </w:r>
      <w:r w:rsidR="00127269">
        <w:rPr>
          <w:sz w:val="24"/>
        </w:rPr>
        <w:t>The law claims its authority to recognise from its ineffable origins, and the individual is no longer defined through their own way of being, but through a legal decision. This is why Nancy claimed that t</w:t>
      </w:r>
      <w:r w:rsidR="008840D8">
        <w:rPr>
          <w:sz w:val="24"/>
        </w:rPr>
        <w:t xml:space="preserve">he law, </w:t>
      </w:r>
      <w:r w:rsidR="008840D8">
        <w:rPr>
          <w:i/>
          <w:sz w:val="24"/>
        </w:rPr>
        <w:t>jus</w:t>
      </w:r>
      <w:r w:rsidR="008840D8">
        <w:rPr>
          <w:sz w:val="24"/>
        </w:rPr>
        <w:t xml:space="preserve">, is the very </w:t>
      </w:r>
      <w:r w:rsidR="00BD005A">
        <w:rPr>
          <w:rStyle w:val="CharAttribute60"/>
          <w:rFonts w:eastAsia="Batang"/>
          <w:szCs w:val="24"/>
        </w:rPr>
        <w:t>‘right to say right’</w:t>
      </w:r>
      <w:r w:rsidR="008B4830">
        <w:rPr>
          <w:rStyle w:val="CharAttribute60"/>
          <w:rFonts w:eastAsia="Batang"/>
          <w:szCs w:val="24"/>
        </w:rPr>
        <w:t>.</w:t>
      </w:r>
      <w:r w:rsidR="00DD56F4">
        <w:rPr>
          <w:rStyle w:val="EndnoteReference"/>
          <w:sz w:val="24"/>
          <w:szCs w:val="24"/>
        </w:rPr>
        <w:endnoteReference w:id="74"/>
      </w:r>
      <w:r w:rsidR="008B4830">
        <w:rPr>
          <w:rStyle w:val="CharAttribute60"/>
          <w:rFonts w:eastAsia="Batang"/>
          <w:szCs w:val="24"/>
        </w:rPr>
        <w:t xml:space="preserve"> </w:t>
      </w:r>
      <w:r w:rsidR="008B4830">
        <w:rPr>
          <w:rStyle w:val="CharAttribute62"/>
          <w:rFonts w:eastAsia="Batang"/>
          <w:szCs w:val="24"/>
        </w:rPr>
        <w:t xml:space="preserve">Referring to the Latin term </w:t>
      </w:r>
      <w:r w:rsidR="008B4830">
        <w:rPr>
          <w:rStyle w:val="CharAttribute7"/>
          <w:rFonts w:eastAsia="Batang"/>
          <w:szCs w:val="24"/>
        </w:rPr>
        <w:t>jurisdiction</w:t>
      </w:r>
      <w:r w:rsidR="008B4830">
        <w:rPr>
          <w:rStyle w:val="CharAttribute62"/>
          <w:rFonts w:eastAsia="Batang"/>
          <w:szCs w:val="24"/>
        </w:rPr>
        <w:t xml:space="preserve">, literally </w:t>
      </w:r>
      <w:proofErr w:type="spellStart"/>
      <w:r w:rsidR="008B4830">
        <w:rPr>
          <w:rStyle w:val="CharAttribute7"/>
          <w:rFonts w:eastAsia="Batang"/>
          <w:szCs w:val="24"/>
        </w:rPr>
        <w:t>juris</w:t>
      </w:r>
      <w:proofErr w:type="spellEnd"/>
      <w:r w:rsidR="008B4830">
        <w:rPr>
          <w:rStyle w:val="CharAttribute7"/>
          <w:rFonts w:eastAsia="Batang"/>
          <w:szCs w:val="24"/>
        </w:rPr>
        <w:t>-diction</w:t>
      </w:r>
      <w:r w:rsidR="008B4830">
        <w:rPr>
          <w:rStyle w:val="CharAttribute62"/>
          <w:rFonts w:eastAsia="Batang"/>
          <w:szCs w:val="24"/>
        </w:rPr>
        <w:t xml:space="preserve">, the </w:t>
      </w:r>
      <w:r w:rsidR="00127269">
        <w:rPr>
          <w:rStyle w:val="CharAttribute62"/>
          <w:rFonts w:eastAsia="Batang"/>
          <w:szCs w:val="24"/>
        </w:rPr>
        <w:t>very saying of law, Nancy argued</w:t>
      </w:r>
      <w:r w:rsidR="008B4830">
        <w:rPr>
          <w:rStyle w:val="CharAttribute62"/>
          <w:rFonts w:eastAsia="Batang"/>
          <w:szCs w:val="24"/>
        </w:rPr>
        <w:t xml:space="preserve"> that the law must always affirm its own boundaries and foundations. This can only be done through </w:t>
      </w:r>
      <w:proofErr w:type="gramStart"/>
      <w:r w:rsidR="008B4830">
        <w:rPr>
          <w:rStyle w:val="CharAttribute62"/>
          <w:rFonts w:eastAsia="Batang"/>
          <w:szCs w:val="24"/>
        </w:rPr>
        <w:t xml:space="preserve">a </w:t>
      </w:r>
      <w:r w:rsidR="008B4830">
        <w:rPr>
          <w:rStyle w:val="CharAttribute7"/>
          <w:rFonts w:eastAsia="Batang"/>
          <w:szCs w:val="24"/>
        </w:rPr>
        <w:t>diction</w:t>
      </w:r>
      <w:proofErr w:type="gramEnd"/>
      <w:r w:rsidR="008B4830">
        <w:rPr>
          <w:rStyle w:val="CharAttribute62"/>
          <w:rFonts w:eastAsia="Batang"/>
          <w:szCs w:val="24"/>
        </w:rPr>
        <w:t xml:space="preserve">, a saying, </w:t>
      </w:r>
      <w:r w:rsidR="008B4830">
        <w:rPr>
          <w:rStyle w:val="CharAttribute7"/>
          <w:rFonts w:eastAsia="Batang"/>
          <w:szCs w:val="24"/>
        </w:rPr>
        <w:t>logos</w:t>
      </w:r>
      <w:r w:rsidR="008B4830">
        <w:rPr>
          <w:rStyle w:val="CharAttribute62"/>
          <w:rFonts w:eastAsia="Batang"/>
          <w:szCs w:val="24"/>
        </w:rPr>
        <w:t>.</w:t>
      </w:r>
      <w:r w:rsidR="00DD56F4">
        <w:rPr>
          <w:rStyle w:val="EndnoteReference"/>
          <w:sz w:val="24"/>
          <w:szCs w:val="24"/>
        </w:rPr>
        <w:endnoteReference w:id="75"/>
      </w:r>
      <w:r w:rsidR="00127269">
        <w:rPr>
          <w:rStyle w:val="CharAttribute62"/>
          <w:rFonts w:eastAsia="Batang"/>
          <w:szCs w:val="24"/>
        </w:rPr>
        <w:t xml:space="preserve"> The </w:t>
      </w:r>
      <w:r w:rsidR="008B4830">
        <w:rPr>
          <w:rStyle w:val="CharAttribute62"/>
          <w:rFonts w:eastAsia="Batang"/>
          <w:szCs w:val="24"/>
        </w:rPr>
        <w:t>law establish</w:t>
      </w:r>
      <w:r w:rsidR="00127269">
        <w:rPr>
          <w:rStyle w:val="CharAttribute62"/>
          <w:rFonts w:eastAsia="Batang"/>
          <w:szCs w:val="24"/>
        </w:rPr>
        <w:t>es</w:t>
      </w:r>
      <w:r w:rsidR="008B4830">
        <w:rPr>
          <w:rStyle w:val="CharAttribute62"/>
          <w:rFonts w:eastAsia="Batang"/>
          <w:szCs w:val="24"/>
        </w:rPr>
        <w:t xml:space="preserve"> </w:t>
      </w:r>
      <w:r w:rsidR="00127269">
        <w:rPr>
          <w:rStyle w:val="CharAttribute62"/>
          <w:rFonts w:eastAsia="Batang"/>
          <w:szCs w:val="24"/>
        </w:rPr>
        <w:t>its own</w:t>
      </w:r>
      <w:r w:rsidR="008B4830">
        <w:rPr>
          <w:rStyle w:val="CharAttribute62"/>
          <w:rFonts w:eastAsia="Batang"/>
          <w:szCs w:val="24"/>
        </w:rPr>
        <w:t xml:space="preserve"> viable perimeters and protocols through the saying of the legal judgment.</w:t>
      </w:r>
      <w:r w:rsidR="00DD56F4">
        <w:rPr>
          <w:rStyle w:val="EndnoteReference"/>
          <w:sz w:val="24"/>
          <w:szCs w:val="24"/>
        </w:rPr>
        <w:endnoteReference w:id="76"/>
      </w:r>
      <w:r w:rsidR="008B4830">
        <w:rPr>
          <w:rStyle w:val="CharAttribute62"/>
          <w:rFonts w:eastAsia="Batang"/>
          <w:szCs w:val="24"/>
        </w:rPr>
        <w:t xml:space="preserve"> As Agamben has stated:</w:t>
      </w:r>
    </w:p>
    <w:p w:rsidR="008160BB" w:rsidRDefault="008160BB" w:rsidP="008E3AE6">
      <w:pPr>
        <w:pStyle w:val="ParaAttribute4"/>
        <w:wordWrap/>
        <w:spacing w:line="480" w:lineRule="auto"/>
        <w:rPr>
          <w:sz w:val="24"/>
          <w:szCs w:val="24"/>
        </w:rPr>
      </w:pPr>
    </w:p>
    <w:p w:rsidR="008B4830" w:rsidRDefault="008B4830" w:rsidP="008160BB">
      <w:pPr>
        <w:pStyle w:val="ParaAttribute6"/>
        <w:wordWrap/>
        <w:spacing w:line="480" w:lineRule="auto"/>
        <w:ind w:left="567" w:right="0"/>
        <w:rPr>
          <w:sz w:val="24"/>
          <w:szCs w:val="24"/>
        </w:rPr>
      </w:pPr>
      <w:r>
        <w:rPr>
          <w:rStyle w:val="CharAttribute62"/>
          <w:rFonts w:eastAsia="Batang"/>
          <w:szCs w:val="24"/>
        </w:rPr>
        <w:t>The law can speak of everything, on the condition that it remains silent on the fact that it does so.</w:t>
      </w:r>
      <w:r w:rsidR="00DD56F4">
        <w:rPr>
          <w:rStyle w:val="EndnoteReference"/>
          <w:sz w:val="24"/>
          <w:szCs w:val="24"/>
        </w:rPr>
        <w:endnoteReference w:id="77"/>
      </w:r>
      <w:r>
        <w:rPr>
          <w:rStyle w:val="CharAttribute62"/>
          <w:rFonts w:eastAsia="Batang"/>
          <w:szCs w:val="24"/>
        </w:rPr>
        <w:t xml:space="preserve"> </w:t>
      </w:r>
    </w:p>
    <w:p w:rsidR="008B4830" w:rsidRDefault="008B4830" w:rsidP="008E3AE6">
      <w:pPr>
        <w:pStyle w:val="ParaAttribute4"/>
        <w:wordWrap/>
        <w:spacing w:line="480" w:lineRule="auto"/>
        <w:rPr>
          <w:sz w:val="24"/>
          <w:szCs w:val="24"/>
        </w:rPr>
      </w:pPr>
    </w:p>
    <w:p w:rsidR="008B4830" w:rsidRDefault="008B4830" w:rsidP="008E3AE6">
      <w:pPr>
        <w:pStyle w:val="ParaAttribute4"/>
        <w:wordWrap/>
        <w:spacing w:line="480" w:lineRule="auto"/>
        <w:rPr>
          <w:sz w:val="24"/>
          <w:szCs w:val="24"/>
        </w:rPr>
      </w:pPr>
      <w:r>
        <w:rPr>
          <w:rStyle w:val="CharAttribute63"/>
          <w:rFonts w:eastAsia="Batang"/>
          <w:szCs w:val="24"/>
        </w:rPr>
        <w:t>The</w:t>
      </w:r>
      <w:r w:rsidR="008840D8">
        <w:rPr>
          <w:rStyle w:val="CharAttribute63"/>
          <w:rFonts w:eastAsia="Batang"/>
          <w:szCs w:val="24"/>
        </w:rPr>
        <w:t>re is</w:t>
      </w:r>
      <w:r>
        <w:rPr>
          <w:rStyle w:val="CharAttribute63"/>
          <w:rFonts w:eastAsia="Batang"/>
          <w:szCs w:val="24"/>
        </w:rPr>
        <w:t xml:space="preserve"> silence as the very saying of the judgment impose</w:t>
      </w:r>
      <w:r w:rsidR="008840D8">
        <w:rPr>
          <w:rStyle w:val="CharAttribute63"/>
          <w:rFonts w:eastAsia="Batang"/>
          <w:szCs w:val="24"/>
        </w:rPr>
        <w:t>s</w:t>
      </w:r>
      <w:r>
        <w:rPr>
          <w:rStyle w:val="CharAttribute63"/>
          <w:rFonts w:eastAsia="Batang"/>
          <w:szCs w:val="24"/>
        </w:rPr>
        <w:t xml:space="preserve"> a line beyond which law subtracts itself from further exposure. This is a line beyond which further argument has no sway because it has arrived too late.</w:t>
      </w:r>
      <w:r w:rsidR="00163B4C">
        <w:rPr>
          <w:rStyle w:val="EndnoteReference"/>
          <w:sz w:val="24"/>
          <w:szCs w:val="24"/>
        </w:rPr>
        <w:endnoteReference w:id="78"/>
      </w:r>
    </w:p>
    <w:p w:rsidR="008B4830" w:rsidRDefault="008B4830" w:rsidP="008E3AE6">
      <w:pPr>
        <w:pStyle w:val="ParaAttribute4"/>
        <w:wordWrap/>
        <w:spacing w:line="480" w:lineRule="auto"/>
        <w:rPr>
          <w:sz w:val="24"/>
        </w:rPr>
      </w:pPr>
      <w:r w:rsidRPr="0049664C">
        <w:tab/>
      </w:r>
      <w:r w:rsidRPr="0049664C">
        <w:rPr>
          <w:rStyle w:val="CharAttribute64"/>
          <w:rFonts w:eastAsia="Batang"/>
          <w:szCs w:val="24"/>
        </w:rPr>
        <w:t>The legal order institutes a continual decision-making routine</w:t>
      </w:r>
      <w:r w:rsidR="00127269">
        <w:rPr>
          <w:rStyle w:val="CharAttribute64"/>
          <w:rFonts w:eastAsia="Batang"/>
          <w:szCs w:val="24"/>
        </w:rPr>
        <w:t>;</w:t>
      </w:r>
      <w:r w:rsidRPr="0049664C">
        <w:rPr>
          <w:rStyle w:val="CharAttribute64"/>
          <w:rFonts w:eastAsia="Batang"/>
          <w:szCs w:val="24"/>
        </w:rPr>
        <w:t xml:space="preserve"> the very pleading of particular cases legitimates the </w:t>
      </w:r>
      <w:r w:rsidRPr="0049664C">
        <w:rPr>
          <w:rStyle w:val="CharAttribute7"/>
          <w:rFonts w:eastAsia="Batang"/>
          <w:szCs w:val="24"/>
        </w:rPr>
        <w:t xml:space="preserve">jus </w:t>
      </w:r>
      <w:r w:rsidRPr="0049664C">
        <w:rPr>
          <w:rStyle w:val="CharAttribute64"/>
          <w:rFonts w:eastAsia="Batang"/>
          <w:szCs w:val="24"/>
        </w:rPr>
        <w:t xml:space="preserve">of judgment. </w:t>
      </w:r>
      <w:r w:rsidR="00127269">
        <w:rPr>
          <w:rStyle w:val="CharAttribute64"/>
          <w:rFonts w:eastAsia="Batang"/>
          <w:szCs w:val="24"/>
        </w:rPr>
        <w:t>T</w:t>
      </w:r>
      <w:r w:rsidRPr="0049664C">
        <w:rPr>
          <w:rStyle w:val="CharAttribute64"/>
          <w:rFonts w:eastAsia="Batang"/>
          <w:szCs w:val="24"/>
        </w:rPr>
        <w:t xml:space="preserve">he law requires constant judgment in order to set its own limits, which in turn are set as </w:t>
      </w:r>
      <w:r w:rsidRPr="0049664C">
        <w:rPr>
          <w:rStyle w:val="CharAttribute64"/>
          <w:rFonts w:eastAsia="Batang"/>
          <w:szCs w:val="24"/>
        </w:rPr>
        <w:lastRenderedPageBreak/>
        <w:t>foundations that justify each judgment.</w:t>
      </w:r>
      <w:r w:rsidR="00163B4C">
        <w:rPr>
          <w:rStyle w:val="EndnoteReference"/>
          <w:sz w:val="24"/>
          <w:szCs w:val="24"/>
        </w:rPr>
        <w:endnoteReference w:id="79"/>
      </w:r>
      <w:r w:rsidRPr="0049664C">
        <w:rPr>
          <w:rStyle w:val="CharAttribute64"/>
          <w:rFonts w:eastAsia="Batang"/>
          <w:szCs w:val="24"/>
        </w:rPr>
        <w:t xml:space="preserve"> </w:t>
      </w:r>
      <w:r w:rsidR="0049664C">
        <w:rPr>
          <w:rStyle w:val="CharAttribute64"/>
          <w:rFonts w:eastAsia="Batang"/>
          <w:szCs w:val="24"/>
        </w:rPr>
        <w:t xml:space="preserve">Thus legal responsibility is not an opening to a singularity, which can be constituted through recognition. Responsibility is the acceptance of one </w:t>
      </w:r>
      <w:r w:rsidR="00127269">
        <w:rPr>
          <w:rStyle w:val="CharAttribute64"/>
          <w:rFonts w:eastAsia="Batang"/>
          <w:szCs w:val="24"/>
        </w:rPr>
        <w:t>class of human beings and the implicit, or explicit, exclusion of others. The law recognises classes through the exclusion of other classes – the very structure of the exception.</w:t>
      </w:r>
      <w:r w:rsidR="00163B4C">
        <w:rPr>
          <w:rStyle w:val="EndnoteReference"/>
          <w:sz w:val="24"/>
          <w:szCs w:val="24"/>
        </w:rPr>
        <w:endnoteReference w:id="80"/>
      </w:r>
      <w:r w:rsidR="00127269">
        <w:rPr>
          <w:rStyle w:val="CharAttribute64"/>
          <w:rFonts w:eastAsia="Batang"/>
          <w:szCs w:val="24"/>
        </w:rPr>
        <w:t xml:space="preserve"> </w:t>
      </w:r>
      <w:r w:rsidR="005744C3">
        <w:rPr>
          <w:sz w:val="24"/>
        </w:rPr>
        <w:t>Contrarily, Agamben sees ethics as recognising neither guilt nor responsibility:</w:t>
      </w:r>
    </w:p>
    <w:p w:rsidR="008160BB" w:rsidRDefault="008160BB" w:rsidP="008E3AE6">
      <w:pPr>
        <w:pStyle w:val="ParaAttribute4"/>
        <w:wordWrap/>
        <w:spacing w:line="480" w:lineRule="auto"/>
        <w:rPr>
          <w:sz w:val="24"/>
        </w:rPr>
      </w:pPr>
    </w:p>
    <w:p w:rsidR="008820E9" w:rsidRPr="008820E9" w:rsidRDefault="00441F44" w:rsidP="008160BB">
      <w:pPr>
        <w:wordWrap/>
        <w:spacing w:line="480" w:lineRule="auto"/>
        <w:ind w:left="567"/>
        <w:rPr>
          <w:rFonts w:ascii="Times New Roman"/>
          <w:sz w:val="24"/>
        </w:rPr>
      </w:pPr>
      <w:r>
        <w:rPr>
          <w:rFonts w:ascii="Times New Roman"/>
          <w:sz w:val="24"/>
        </w:rPr>
        <w:t>[E]</w:t>
      </w:r>
      <w:proofErr w:type="spellStart"/>
      <w:r w:rsidR="008820E9" w:rsidRPr="008820E9">
        <w:rPr>
          <w:rFonts w:ascii="Times New Roman"/>
          <w:sz w:val="24"/>
        </w:rPr>
        <w:t>thics</w:t>
      </w:r>
      <w:proofErr w:type="spellEnd"/>
      <w:r w:rsidR="008820E9" w:rsidRPr="008820E9">
        <w:rPr>
          <w:rFonts w:ascii="Times New Roman"/>
          <w:sz w:val="24"/>
        </w:rPr>
        <w:t>, politics, and religion have been able to define themselves only by seizing terrain from juridical responsibility – not in order to assume another kind of responsibility, but to articulate zones of non-responsibility. This does not, of course, mean impunity. Rather, it signifies – at least for ethics – a confrontation with a responsibility that is infinitely greater than we could ever assume.</w:t>
      </w:r>
      <w:r w:rsidR="00163B4C">
        <w:rPr>
          <w:rStyle w:val="EndnoteReference"/>
          <w:rFonts w:ascii="Times New Roman"/>
          <w:sz w:val="24"/>
        </w:rPr>
        <w:endnoteReference w:id="81"/>
      </w:r>
    </w:p>
    <w:p w:rsidR="008820E9" w:rsidRDefault="008820E9" w:rsidP="008E3AE6">
      <w:pPr>
        <w:wordWrap/>
        <w:spacing w:line="480" w:lineRule="auto"/>
        <w:rPr>
          <w:rFonts w:ascii="Times New Roman"/>
          <w:sz w:val="24"/>
        </w:rPr>
      </w:pPr>
    </w:p>
    <w:p w:rsidR="00DC6422" w:rsidRDefault="009906BF" w:rsidP="008E3AE6">
      <w:pPr>
        <w:pStyle w:val="ParaAttribute4"/>
        <w:wordWrap/>
        <w:spacing w:line="480" w:lineRule="auto"/>
        <w:rPr>
          <w:sz w:val="24"/>
          <w:szCs w:val="24"/>
        </w:rPr>
      </w:pPr>
      <w:r>
        <w:rPr>
          <w:sz w:val="24"/>
        </w:rPr>
        <w:t xml:space="preserve">Ethical existence is </w:t>
      </w:r>
      <w:r>
        <w:rPr>
          <w:i/>
          <w:sz w:val="24"/>
        </w:rPr>
        <w:t>non-responsible</w:t>
      </w:r>
      <w:r>
        <w:rPr>
          <w:sz w:val="24"/>
        </w:rPr>
        <w:t xml:space="preserve"> because recognition does not imply legal responsibility</w:t>
      </w:r>
      <w:r w:rsidR="00C9769F">
        <w:rPr>
          <w:sz w:val="24"/>
        </w:rPr>
        <w:t xml:space="preserve"> which must be assumed in order to be recognised</w:t>
      </w:r>
      <w:r>
        <w:rPr>
          <w:sz w:val="24"/>
        </w:rPr>
        <w:t xml:space="preserve">. </w:t>
      </w:r>
      <w:r w:rsidR="00C9769F">
        <w:rPr>
          <w:sz w:val="24"/>
        </w:rPr>
        <w:t xml:space="preserve">An ethics of non-responsibility has no imperative to act. There is no law commanding action, or providing a definition of life or existence. </w:t>
      </w:r>
      <w:r w:rsidR="00DC6422">
        <w:rPr>
          <w:sz w:val="24"/>
          <w:szCs w:val="24"/>
        </w:rPr>
        <w:t>As David Kishik has argued, h</w:t>
      </w:r>
      <w:r w:rsidR="00DC6422" w:rsidRPr="00DC6422">
        <w:rPr>
          <w:sz w:val="24"/>
          <w:szCs w:val="24"/>
        </w:rPr>
        <w:t>umans are unredeemable</w:t>
      </w:r>
      <w:r w:rsidR="00DC6422">
        <w:rPr>
          <w:sz w:val="24"/>
          <w:szCs w:val="24"/>
        </w:rPr>
        <w:t>.</w:t>
      </w:r>
      <w:r w:rsidR="00DC6422" w:rsidRPr="00DC6422">
        <w:rPr>
          <w:sz w:val="24"/>
          <w:szCs w:val="24"/>
        </w:rPr>
        <w:t xml:space="preserve"> </w:t>
      </w:r>
      <w:r w:rsidR="00DC6422">
        <w:rPr>
          <w:sz w:val="24"/>
          <w:szCs w:val="24"/>
        </w:rPr>
        <w:t>T</w:t>
      </w:r>
      <w:r w:rsidR="00BD005A">
        <w:rPr>
          <w:sz w:val="24"/>
          <w:szCs w:val="24"/>
        </w:rPr>
        <w:t>he attempt to complete</w:t>
      </w:r>
      <w:r w:rsidR="00DC6422" w:rsidRPr="00DC6422">
        <w:rPr>
          <w:sz w:val="24"/>
          <w:szCs w:val="24"/>
        </w:rPr>
        <w:t xml:space="preserve"> this imperfect human condition throu</w:t>
      </w:r>
      <w:r w:rsidR="00BD005A">
        <w:rPr>
          <w:sz w:val="24"/>
          <w:szCs w:val="24"/>
        </w:rPr>
        <w:t>gh consigning man</w:t>
      </w:r>
      <w:r w:rsidR="00DC6422" w:rsidRPr="00DC6422">
        <w:rPr>
          <w:sz w:val="24"/>
          <w:szCs w:val="24"/>
        </w:rPr>
        <w:t xml:space="preserve"> to a universal truth, defining his essence, fitting him into a fixed narrative or directing him toward an original unity will abolish ethics and politics, as all that needs to be done is to follow the user manual for life.</w:t>
      </w:r>
      <w:r w:rsidR="00163B4C">
        <w:rPr>
          <w:rStyle w:val="EndnoteReference"/>
          <w:sz w:val="24"/>
          <w:szCs w:val="24"/>
        </w:rPr>
        <w:endnoteReference w:id="82"/>
      </w:r>
      <w:r w:rsidR="00DC6422" w:rsidRPr="00DC6422">
        <w:rPr>
          <w:sz w:val="24"/>
          <w:szCs w:val="24"/>
        </w:rPr>
        <w:t xml:space="preserve"> As Kishik maintains: </w:t>
      </w:r>
    </w:p>
    <w:p w:rsidR="008160BB" w:rsidRPr="00DC6422" w:rsidRDefault="008160BB" w:rsidP="008E3AE6">
      <w:pPr>
        <w:pStyle w:val="ParaAttribute4"/>
        <w:wordWrap/>
        <w:spacing w:line="480" w:lineRule="auto"/>
        <w:rPr>
          <w:sz w:val="24"/>
          <w:szCs w:val="24"/>
        </w:rPr>
      </w:pPr>
    </w:p>
    <w:p w:rsidR="00DC6422" w:rsidRPr="00DC6422" w:rsidRDefault="00DC6422" w:rsidP="008160BB">
      <w:pPr>
        <w:pStyle w:val="ParaAttribute4"/>
        <w:wordWrap/>
        <w:spacing w:line="480" w:lineRule="auto"/>
        <w:ind w:left="567"/>
        <w:rPr>
          <w:sz w:val="24"/>
          <w:szCs w:val="24"/>
        </w:rPr>
      </w:pPr>
      <w:r w:rsidRPr="00DC6422">
        <w:rPr>
          <w:sz w:val="24"/>
          <w:szCs w:val="24"/>
        </w:rPr>
        <w:t>Agamben’s point, therefore, is not that we need to do away with all classes and identities ... by repressing or dissipating or transcending them. Since no identity is sacred, the ethical task is actually to profane it, use it, play with it, examine it, struggle for and against it, or even render it completely inoperative within our life, but without trying to resolve the matter once and for all</w:t>
      </w:r>
      <w:r>
        <w:rPr>
          <w:sz w:val="24"/>
          <w:szCs w:val="24"/>
        </w:rPr>
        <w:t>.</w:t>
      </w:r>
      <w:r w:rsidR="00163B4C">
        <w:rPr>
          <w:rStyle w:val="EndnoteReference"/>
          <w:sz w:val="24"/>
          <w:szCs w:val="24"/>
        </w:rPr>
        <w:endnoteReference w:id="83"/>
      </w:r>
      <w:r w:rsidRPr="00DC6422">
        <w:rPr>
          <w:sz w:val="24"/>
          <w:szCs w:val="24"/>
        </w:rPr>
        <w:t xml:space="preserve"> </w:t>
      </w:r>
    </w:p>
    <w:p w:rsidR="00DC6422" w:rsidRPr="00DC6422" w:rsidRDefault="00DC6422" w:rsidP="008E3AE6">
      <w:pPr>
        <w:pStyle w:val="ParaAttribute4"/>
        <w:wordWrap/>
        <w:spacing w:line="480" w:lineRule="auto"/>
        <w:rPr>
          <w:sz w:val="24"/>
          <w:szCs w:val="24"/>
        </w:rPr>
      </w:pPr>
    </w:p>
    <w:p w:rsidR="006049BF" w:rsidRPr="003158DC" w:rsidRDefault="00C9769F" w:rsidP="008E3AE6">
      <w:pPr>
        <w:wordWrap/>
        <w:spacing w:line="480" w:lineRule="auto"/>
        <w:rPr>
          <w:rStyle w:val="CharAttribute50"/>
          <w:rFonts w:eastAsia="Batang"/>
        </w:rPr>
      </w:pPr>
      <w:r>
        <w:rPr>
          <w:rFonts w:ascii="Times New Roman"/>
          <w:sz w:val="24"/>
        </w:rPr>
        <w:t>T</w:t>
      </w:r>
      <w:r w:rsidR="00B204A6">
        <w:rPr>
          <w:rFonts w:ascii="Times New Roman"/>
          <w:sz w:val="24"/>
        </w:rPr>
        <w:t xml:space="preserve">hus </w:t>
      </w:r>
      <w:r w:rsidR="003047CD">
        <w:rPr>
          <w:rFonts w:ascii="Times New Roman"/>
          <w:sz w:val="24"/>
        </w:rPr>
        <w:t xml:space="preserve">ethical </w:t>
      </w:r>
      <w:r>
        <w:rPr>
          <w:rFonts w:ascii="Times New Roman"/>
          <w:sz w:val="24"/>
        </w:rPr>
        <w:t xml:space="preserve">recognition </w:t>
      </w:r>
      <w:r w:rsidR="003047CD">
        <w:rPr>
          <w:rFonts w:ascii="Times New Roman"/>
          <w:sz w:val="24"/>
        </w:rPr>
        <w:t xml:space="preserve">is </w:t>
      </w:r>
      <w:r>
        <w:rPr>
          <w:rFonts w:ascii="Times New Roman"/>
          <w:sz w:val="24"/>
        </w:rPr>
        <w:t xml:space="preserve">non-responsible, without judgment or responsibility. </w:t>
      </w:r>
      <w:r w:rsidR="006049BF">
        <w:rPr>
          <w:rFonts w:ascii="Times New Roman"/>
          <w:sz w:val="24"/>
          <w:szCs w:val="24"/>
        </w:rPr>
        <w:t xml:space="preserve">However, it must be kept in mind that this </w:t>
      </w:r>
      <w:proofErr w:type="spellStart"/>
      <w:r w:rsidR="006049BF">
        <w:rPr>
          <w:rFonts w:ascii="Times New Roman"/>
          <w:sz w:val="24"/>
          <w:szCs w:val="24"/>
        </w:rPr>
        <w:t>antinomical</w:t>
      </w:r>
      <w:proofErr w:type="spellEnd"/>
      <w:r w:rsidR="006049BF">
        <w:rPr>
          <w:rFonts w:ascii="Times New Roman"/>
          <w:sz w:val="24"/>
          <w:szCs w:val="24"/>
        </w:rPr>
        <w:t xml:space="preserve"> messianism does not affect the </w:t>
      </w:r>
      <w:r w:rsidR="006049BF" w:rsidRPr="00F11162">
        <w:rPr>
          <w:rStyle w:val="CharAttribute50"/>
          <w:rFonts w:eastAsia="Batang"/>
          <w:i/>
          <w:szCs w:val="24"/>
        </w:rPr>
        <w:t>existence</w:t>
      </w:r>
      <w:r w:rsidR="006049BF">
        <w:rPr>
          <w:rStyle w:val="CharAttribute50"/>
          <w:rFonts w:eastAsia="Batang"/>
          <w:szCs w:val="24"/>
        </w:rPr>
        <w:t xml:space="preserve"> of institutions in the world. In order for messianism to reflect a ‘small displacement’ that Agamben and Benjamin speak of the world must not be radically changed. Messianism entails that such institutions can no longer rely upon any notion of a community, or any foundation, in order to act and justify both their acting and their decisions. </w:t>
      </w:r>
    </w:p>
    <w:p w:rsidR="006049BF" w:rsidRDefault="006049BF" w:rsidP="008E3AE6">
      <w:pPr>
        <w:wordWrap/>
        <w:spacing w:line="480" w:lineRule="auto"/>
        <w:rPr>
          <w:rFonts w:ascii="Times New Roman"/>
          <w:sz w:val="24"/>
        </w:rPr>
      </w:pPr>
      <w:r>
        <w:rPr>
          <w:rStyle w:val="CharAttribute50"/>
          <w:rFonts w:eastAsia="Batang"/>
          <w:szCs w:val="24"/>
        </w:rPr>
        <w:tab/>
        <w:t xml:space="preserve">The need for institutions to remain is not just reflected in Agamben’s thought. When Emmanuel Levinas developed his observation that </w:t>
      </w:r>
      <w:proofErr w:type="gramStart"/>
      <w:r>
        <w:rPr>
          <w:rStyle w:val="CharAttribute50"/>
          <w:rFonts w:eastAsia="Batang"/>
          <w:szCs w:val="24"/>
        </w:rPr>
        <w:t>the I</w:t>
      </w:r>
      <w:proofErr w:type="gramEnd"/>
      <w:r>
        <w:rPr>
          <w:rStyle w:val="CharAttribute50"/>
          <w:rFonts w:eastAsia="Batang"/>
          <w:szCs w:val="24"/>
        </w:rPr>
        <w:t xml:space="preserve"> has an ethical responsibility to the other, he declared that this responsibility for the other becomes a problem when a third party arrives.</w:t>
      </w:r>
      <w:r w:rsidR="00163B4C">
        <w:rPr>
          <w:rStyle w:val="EndnoteReference"/>
          <w:rFonts w:ascii="Times New Roman"/>
          <w:sz w:val="24"/>
          <w:szCs w:val="24"/>
        </w:rPr>
        <w:endnoteReference w:id="84"/>
      </w:r>
      <w:r>
        <w:rPr>
          <w:rStyle w:val="CharAttribute50"/>
          <w:rFonts w:eastAsia="Batang"/>
          <w:szCs w:val="24"/>
        </w:rPr>
        <w:t xml:space="preserve"> The third party is other to the other </w:t>
      </w:r>
      <w:r>
        <w:rPr>
          <w:rStyle w:val="CharAttribute7"/>
          <w:rFonts w:eastAsia="Batang"/>
          <w:szCs w:val="24"/>
        </w:rPr>
        <w:t xml:space="preserve">and </w:t>
      </w:r>
      <w:r>
        <w:rPr>
          <w:rStyle w:val="CharAttribute50"/>
          <w:rFonts w:eastAsia="Batang"/>
          <w:szCs w:val="24"/>
        </w:rPr>
        <w:t>the I.</w:t>
      </w:r>
      <w:r w:rsidR="00163B4C">
        <w:rPr>
          <w:rStyle w:val="EndnoteReference"/>
          <w:rFonts w:ascii="Times New Roman"/>
          <w:sz w:val="24"/>
          <w:szCs w:val="24"/>
        </w:rPr>
        <w:endnoteReference w:id="85"/>
      </w:r>
      <w:r>
        <w:rPr>
          <w:rStyle w:val="CharAttribute50"/>
          <w:rFonts w:eastAsia="Batang"/>
          <w:szCs w:val="24"/>
        </w:rPr>
        <w:t xml:space="preserve"> </w:t>
      </w:r>
      <w:r>
        <w:rPr>
          <w:rStyle w:val="CharAttribute51"/>
          <w:rFonts w:eastAsia="Batang"/>
          <w:szCs w:val="24"/>
        </w:rPr>
        <w:t xml:space="preserve">Levinas argues that the other stands in a relationship to the third party that </w:t>
      </w:r>
      <w:proofErr w:type="gramStart"/>
      <w:r>
        <w:rPr>
          <w:rStyle w:val="CharAttribute51"/>
          <w:rFonts w:eastAsia="Batang"/>
          <w:szCs w:val="24"/>
        </w:rPr>
        <w:t>the I</w:t>
      </w:r>
      <w:proofErr w:type="gramEnd"/>
      <w:r>
        <w:rPr>
          <w:rStyle w:val="CharAttribute51"/>
          <w:rFonts w:eastAsia="Batang"/>
          <w:szCs w:val="24"/>
        </w:rPr>
        <w:t xml:space="preserve"> cannot answer. The other and the third party put distance between the I and the other and the third party, the properly </w:t>
      </w:r>
      <w:proofErr w:type="gramStart"/>
      <w:r>
        <w:rPr>
          <w:rStyle w:val="CharAttribute51"/>
          <w:rFonts w:eastAsia="Batang"/>
          <w:szCs w:val="24"/>
        </w:rPr>
        <w:t>Other</w:t>
      </w:r>
      <w:proofErr w:type="gramEnd"/>
      <w:r>
        <w:rPr>
          <w:rStyle w:val="CharAttribute51"/>
          <w:rFonts w:eastAsia="Batang"/>
          <w:szCs w:val="24"/>
        </w:rPr>
        <w:t>.</w:t>
      </w:r>
      <w:r w:rsidR="00163B4C">
        <w:rPr>
          <w:rStyle w:val="EndnoteReference"/>
          <w:rFonts w:ascii="Times New Roman"/>
          <w:sz w:val="24"/>
          <w:szCs w:val="24"/>
        </w:rPr>
        <w:endnoteReference w:id="86"/>
      </w:r>
      <w:r>
        <w:rPr>
          <w:rStyle w:val="CharAttribute51"/>
          <w:rFonts w:eastAsia="Batang"/>
          <w:szCs w:val="24"/>
        </w:rPr>
        <w:t xml:space="preserve"> The implication of this is that one individual cannot be absolutely and uniquely responsible for more than </w:t>
      </w:r>
      <w:r>
        <w:rPr>
          <w:rStyle w:val="CharAttribute51"/>
          <w:rFonts w:eastAsia="Batang"/>
          <w:szCs w:val="24"/>
        </w:rPr>
        <w:lastRenderedPageBreak/>
        <w:t xml:space="preserve">one other. We can see something similar in Agamben’s drawing of an analogy between </w:t>
      </w:r>
      <w:r w:rsidRPr="006049BF">
        <w:rPr>
          <w:rFonts w:ascii="Times New Roman"/>
          <w:sz w:val="24"/>
        </w:rPr>
        <w:t>the singularity of whatever-being and the form of love</w:t>
      </w:r>
      <w:r w:rsidR="00F97BB9">
        <w:rPr>
          <w:rFonts w:ascii="Times New Roman"/>
          <w:sz w:val="24"/>
        </w:rPr>
        <w:t xml:space="preserve"> (although Agamben would not accept Levinas’s focus upon ‘responsibility’)</w:t>
      </w:r>
      <w:r w:rsidRPr="006049BF">
        <w:rPr>
          <w:rFonts w:ascii="Times New Roman"/>
          <w:sz w:val="24"/>
        </w:rPr>
        <w:t xml:space="preserve">: </w:t>
      </w:r>
    </w:p>
    <w:p w:rsidR="008160BB" w:rsidRPr="006049BF" w:rsidRDefault="008160BB" w:rsidP="008E3AE6">
      <w:pPr>
        <w:wordWrap/>
        <w:spacing w:line="480" w:lineRule="auto"/>
        <w:rPr>
          <w:rFonts w:ascii="Times New Roman"/>
          <w:b/>
          <w:sz w:val="24"/>
        </w:rPr>
      </w:pPr>
    </w:p>
    <w:p w:rsidR="006049BF" w:rsidRPr="006049BF" w:rsidRDefault="006049BF" w:rsidP="008160BB">
      <w:pPr>
        <w:wordWrap/>
        <w:spacing w:line="480" w:lineRule="auto"/>
        <w:ind w:left="567"/>
        <w:rPr>
          <w:rFonts w:ascii="Times New Roman"/>
          <w:sz w:val="24"/>
        </w:rPr>
      </w:pPr>
      <w:r w:rsidRPr="006049BF">
        <w:rPr>
          <w:rFonts w:ascii="Times New Roman"/>
          <w:sz w:val="24"/>
        </w:rPr>
        <w:t xml:space="preserve">Love is never directed toward this or that property of the loved one (being blond, being small, being tender, being lame), but neither does it neglect the properties in </w:t>
      </w:r>
      <w:proofErr w:type="spellStart"/>
      <w:r w:rsidRPr="006049BF">
        <w:rPr>
          <w:rFonts w:ascii="Times New Roman"/>
          <w:sz w:val="24"/>
        </w:rPr>
        <w:t>favour</w:t>
      </w:r>
      <w:proofErr w:type="spellEnd"/>
      <w:r w:rsidRPr="006049BF">
        <w:rPr>
          <w:rFonts w:ascii="Times New Roman"/>
          <w:sz w:val="24"/>
        </w:rPr>
        <w:t xml:space="preserve"> of an insipid generality (universal love): The lover wants the loved one </w:t>
      </w:r>
      <w:r w:rsidRPr="006049BF">
        <w:rPr>
          <w:rFonts w:ascii="Times New Roman"/>
          <w:i/>
          <w:sz w:val="24"/>
        </w:rPr>
        <w:t>with all of its predicates</w:t>
      </w:r>
      <w:r w:rsidRPr="006049BF">
        <w:rPr>
          <w:rFonts w:ascii="Times New Roman"/>
          <w:sz w:val="24"/>
        </w:rPr>
        <w:t>, its being such as it is</w:t>
      </w:r>
      <w:r>
        <w:rPr>
          <w:rFonts w:ascii="Times New Roman"/>
          <w:sz w:val="24"/>
        </w:rPr>
        <w:t>.</w:t>
      </w:r>
      <w:r w:rsidR="00163B4C">
        <w:rPr>
          <w:rStyle w:val="EndnoteReference"/>
          <w:rFonts w:ascii="Times New Roman"/>
          <w:sz w:val="24"/>
        </w:rPr>
        <w:endnoteReference w:id="87"/>
      </w:r>
      <w:r w:rsidRPr="006049BF">
        <w:rPr>
          <w:rFonts w:ascii="Times New Roman"/>
          <w:sz w:val="24"/>
        </w:rPr>
        <w:t xml:space="preserve"> </w:t>
      </w:r>
    </w:p>
    <w:p w:rsidR="006049BF" w:rsidRPr="006049BF" w:rsidRDefault="006049BF" w:rsidP="008E3AE6">
      <w:pPr>
        <w:wordWrap/>
        <w:spacing w:line="480" w:lineRule="auto"/>
        <w:rPr>
          <w:rFonts w:ascii="Times New Roman"/>
          <w:sz w:val="24"/>
        </w:rPr>
      </w:pPr>
    </w:p>
    <w:p w:rsidR="006049BF" w:rsidRDefault="006049BF" w:rsidP="008E3AE6">
      <w:pPr>
        <w:wordWrap/>
        <w:spacing w:line="480" w:lineRule="auto"/>
        <w:rPr>
          <w:rStyle w:val="CharAttribute52"/>
          <w:rFonts w:eastAsia="Batang"/>
          <w:szCs w:val="24"/>
        </w:rPr>
      </w:pPr>
      <w:r w:rsidRPr="006049BF">
        <w:rPr>
          <w:rFonts w:ascii="Times New Roman"/>
          <w:sz w:val="24"/>
        </w:rPr>
        <w:t xml:space="preserve">Just as the lover accepts the loved as they are, and does not focus solely upon certain predicates of the loved, so whatever-being is a being not determined by particular qualities, such as sex, gender or political persuasions, but by itself as such. </w:t>
      </w:r>
      <w:r>
        <w:rPr>
          <w:rStyle w:val="CharAttribute51"/>
          <w:rFonts w:eastAsia="Batang"/>
          <w:szCs w:val="24"/>
        </w:rPr>
        <w:t xml:space="preserve">This is why </w:t>
      </w:r>
      <w:r w:rsidR="00B65F5D">
        <w:rPr>
          <w:rStyle w:val="CharAttribute51"/>
          <w:rFonts w:eastAsia="Batang"/>
          <w:szCs w:val="24"/>
        </w:rPr>
        <w:t xml:space="preserve">Levinas contended that </w:t>
      </w:r>
      <w:r>
        <w:rPr>
          <w:rStyle w:val="CharAttribute51"/>
          <w:rFonts w:eastAsia="Batang"/>
          <w:szCs w:val="24"/>
        </w:rPr>
        <w:t>t</w:t>
      </w:r>
      <w:r w:rsidR="009C4B32">
        <w:rPr>
          <w:rStyle w:val="CharAttribute51"/>
          <w:rFonts w:eastAsia="Batang"/>
          <w:szCs w:val="24"/>
        </w:rPr>
        <w:t>he ‘intelligibility of a system’</w:t>
      </w:r>
      <w:r>
        <w:rPr>
          <w:rStyle w:val="CharAttribute51"/>
          <w:rFonts w:eastAsia="Batang"/>
          <w:szCs w:val="24"/>
        </w:rPr>
        <w:t xml:space="preserve"> is required to mediate and make intelligible the relations with multiple others.</w:t>
      </w:r>
      <w:r w:rsidR="00163B4C">
        <w:rPr>
          <w:rStyle w:val="EndnoteReference"/>
          <w:rFonts w:ascii="Times New Roman"/>
          <w:sz w:val="24"/>
          <w:szCs w:val="24"/>
        </w:rPr>
        <w:endnoteReference w:id="88"/>
      </w:r>
      <w:r>
        <w:rPr>
          <w:rStyle w:val="CharAttribute51"/>
          <w:rFonts w:eastAsia="Batang"/>
          <w:szCs w:val="24"/>
        </w:rPr>
        <w:t xml:space="preserve"> </w:t>
      </w:r>
      <w:r>
        <w:rPr>
          <w:rStyle w:val="CharAttribute52"/>
          <w:rFonts w:eastAsia="Batang"/>
          <w:szCs w:val="24"/>
        </w:rPr>
        <w:t>A method for making sense of multiple relations with others is needed in order to explain how multiple ethical relations relate to one another and exist in common.</w:t>
      </w:r>
      <w:r w:rsidR="00163B4C">
        <w:rPr>
          <w:rStyle w:val="EndnoteReference"/>
          <w:rFonts w:ascii="Times New Roman"/>
          <w:sz w:val="24"/>
          <w:szCs w:val="24"/>
        </w:rPr>
        <w:endnoteReference w:id="89"/>
      </w:r>
    </w:p>
    <w:p w:rsidR="00B204A6" w:rsidRDefault="00B11788" w:rsidP="008E3AE6">
      <w:pPr>
        <w:pStyle w:val="ParaAttribute4"/>
        <w:wordWrap/>
        <w:spacing w:line="480" w:lineRule="auto"/>
        <w:rPr>
          <w:sz w:val="24"/>
        </w:rPr>
      </w:pPr>
      <w:r>
        <w:rPr>
          <w:sz w:val="24"/>
        </w:rPr>
        <w:tab/>
        <w:t xml:space="preserve">It is through the messianic law that we can consider this new form of </w:t>
      </w:r>
      <w:r w:rsidR="007B3A68">
        <w:rPr>
          <w:sz w:val="24"/>
        </w:rPr>
        <w:t xml:space="preserve">non-responsible political belonging which eschews foundations but not tradition. </w:t>
      </w:r>
      <w:r w:rsidR="00B204A6">
        <w:rPr>
          <w:sz w:val="24"/>
        </w:rPr>
        <w:t>It is worth remembering that this law must be an unredeemed law, which does not seek to solve the problem of the human once and for all. This is reflected in Agamben’s writings, when he writes of messianism:</w:t>
      </w:r>
    </w:p>
    <w:p w:rsidR="008160BB" w:rsidRDefault="008160BB" w:rsidP="008E3AE6">
      <w:pPr>
        <w:pStyle w:val="ParaAttribute4"/>
        <w:wordWrap/>
        <w:spacing w:line="480" w:lineRule="auto"/>
        <w:rPr>
          <w:sz w:val="24"/>
        </w:rPr>
      </w:pPr>
    </w:p>
    <w:p w:rsidR="006049BF" w:rsidRDefault="006049BF" w:rsidP="008160BB">
      <w:pPr>
        <w:pStyle w:val="ParaAttribute6"/>
        <w:wordWrap/>
        <w:spacing w:line="480" w:lineRule="auto"/>
        <w:ind w:left="567" w:right="0"/>
        <w:rPr>
          <w:sz w:val="24"/>
          <w:szCs w:val="24"/>
        </w:rPr>
      </w:pPr>
      <w:r>
        <w:rPr>
          <w:rStyle w:val="CharAttribute52"/>
          <w:rFonts w:eastAsia="Batang"/>
          <w:szCs w:val="24"/>
        </w:rPr>
        <w:lastRenderedPageBreak/>
        <w:t>The essential character of messianism may well be precisely its particular relation to the law … the messianic event above all signifies a crisis and radical transformation of the entire order of the law.</w:t>
      </w:r>
      <w:r w:rsidR="00163B4C">
        <w:rPr>
          <w:rStyle w:val="EndnoteReference"/>
          <w:sz w:val="24"/>
          <w:szCs w:val="24"/>
        </w:rPr>
        <w:endnoteReference w:id="90"/>
      </w:r>
    </w:p>
    <w:p w:rsidR="006049BF" w:rsidRDefault="006049BF" w:rsidP="008E3AE6">
      <w:pPr>
        <w:pStyle w:val="ParaAttribute4"/>
        <w:wordWrap/>
        <w:spacing w:line="480" w:lineRule="auto"/>
        <w:rPr>
          <w:sz w:val="24"/>
          <w:szCs w:val="24"/>
        </w:rPr>
      </w:pPr>
    </w:p>
    <w:p w:rsidR="009550A6" w:rsidRDefault="007B3A68" w:rsidP="008E3AE6">
      <w:pPr>
        <w:wordWrap/>
        <w:spacing w:line="480" w:lineRule="auto"/>
        <w:rPr>
          <w:rFonts w:ascii="Times New Roman"/>
          <w:sz w:val="24"/>
        </w:rPr>
      </w:pPr>
      <w:r>
        <w:rPr>
          <w:rFonts w:ascii="Times New Roman"/>
          <w:sz w:val="24"/>
        </w:rPr>
        <w:t xml:space="preserve">Levinas’s system of intelligibility is the </w:t>
      </w:r>
      <w:r w:rsidRPr="00E4316E">
        <w:rPr>
          <w:rFonts w:ascii="Times New Roman"/>
          <w:i/>
          <w:sz w:val="24"/>
        </w:rPr>
        <w:t>messianic</w:t>
      </w:r>
      <w:r>
        <w:rPr>
          <w:rFonts w:ascii="Times New Roman"/>
          <w:sz w:val="24"/>
        </w:rPr>
        <w:t xml:space="preserve"> law. This is a law which decides non-responsibly, and whose decisions will form part of the tradition of the world which in turn will constitute whatever-being. </w:t>
      </w:r>
    </w:p>
    <w:p w:rsidR="003158DC" w:rsidRDefault="003158DC" w:rsidP="008E3AE6">
      <w:pPr>
        <w:wordWrap/>
        <w:spacing w:line="480" w:lineRule="auto"/>
        <w:rPr>
          <w:rFonts w:ascii="Times New Roman"/>
          <w:sz w:val="24"/>
        </w:rPr>
      </w:pPr>
    </w:p>
    <w:p w:rsidR="003158DC" w:rsidRPr="003158DC" w:rsidRDefault="003158DC" w:rsidP="008E3AE6">
      <w:pPr>
        <w:wordWrap/>
        <w:spacing w:line="480" w:lineRule="auto"/>
        <w:rPr>
          <w:rFonts w:ascii="Times New Roman"/>
          <w:b/>
          <w:sz w:val="24"/>
        </w:rPr>
      </w:pPr>
      <w:r>
        <w:rPr>
          <w:rFonts w:ascii="Times New Roman"/>
          <w:b/>
          <w:sz w:val="24"/>
        </w:rPr>
        <w:t>PRECEDENT AND TRADITION</w:t>
      </w:r>
    </w:p>
    <w:p w:rsidR="003158DC" w:rsidRDefault="003158DC" w:rsidP="008E3AE6">
      <w:pPr>
        <w:wordWrap/>
        <w:spacing w:line="480" w:lineRule="auto"/>
        <w:rPr>
          <w:rFonts w:ascii="Times New Roman"/>
          <w:sz w:val="24"/>
        </w:rPr>
      </w:pPr>
    </w:p>
    <w:p w:rsidR="000D3319" w:rsidRDefault="006D4B6C" w:rsidP="008E3AE6">
      <w:pPr>
        <w:pStyle w:val="ParaAttribute4"/>
        <w:wordWrap/>
        <w:spacing w:line="480" w:lineRule="auto"/>
        <w:rPr>
          <w:iCs/>
          <w:sz w:val="24"/>
          <w:szCs w:val="24"/>
        </w:rPr>
      </w:pPr>
      <w:r>
        <w:rPr>
          <w:iCs/>
          <w:sz w:val="24"/>
          <w:szCs w:val="24"/>
        </w:rPr>
        <w:t xml:space="preserve">This </w:t>
      </w:r>
      <w:r w:rsidR="001351BD">
        <w:rPr>
          <w:iCs/>
          <w:sz w:val="24"/>
          <w:szCs w:val="24"/>
        </w:rPr>
        <w:t>tradition is</w:t>
      </w:r>
      <w:r w:rsidR="001351BD" w:rsidRPr="001351BD">
        <w:rPr>
          <w:rStyle w:val="CharAttribute52"/>
          <w:rFonts w:eastAsia="Batang"/>
          <w:szCs w:val="24"/>
        </w:rPr>
        <w:t xml:space="preserve"> </w:t>
      </w:r>
      <w:r w:rsidR="001351BD">
        <w:rPr>
          <w:rStyle w:val="CharAttribute52"/>
          <w:rFonts w:eastAsia="Batang"/>
          <w:szCs w:val="24"/>
        </w:rPr>
        <w:t xml:space="preserve">nowhere more clearly expressed in the law than in the doctrine of </w:t>
      </w:r>
      <w:r w:rsidR="001351BD">
        <w:rPr>
          <w:rStyle w:val="CharAttribute7"/>
          <w:rFonts w:eastAsia="Batang"/>
          <w:szCs w:val="24"/>
        </w:rPr>
        <w:t>stare decisis</w:t>
      </w:r>
      <w:r w:rsidR="001351BD">
        <w:rPr>
          <w:rStyle w:val="CharAttribute52"/>
          <w:rFonts w:eastAsia="Batang"/>
          <w:szCs w:val="24"/>
        </w:rPr>
        <w:t>, the doctrine of precedent</w:t>
      </w:r>
      <w:r w:rsidR="003158DC">
        <w:rPr>
          <w:rStyle w:val="CharAttribute52"/>
          <w:rFonts w:eastAsia="Batang"/>
          <w:szCs w:val="24"/>
        </w:rPr>
        <w:t>, as it exists in common law jurisdictions</w:t>
      </w:r>
      <w:r w:rsidR="001351BD">
        <w:rPr>
          <w:rStyle w:val="CharAttribute52"/>
          <w:rFonts w:eastAsia="Batang"/>
          <w:szCs w:val="24"/>
        </w:rPr>
        <w:t xml:space="preserve">. The law and precedent can be used as a lens to show how institutions would operate </w:t>
      </w:r>
      <w:proofErr w:type="spellStart"/>
      <w:r w:rsidR="001351BD">
        <w:rPr>
          <w:rStyle w:val="CharAttribute52"/>
          <w:rFonts w:eastAsia="Batang"/>
          <w:szCs w:val="24"/>
        </w:rPr>
        <w:t>messianically</w:t>
      </w:r>
      <w:proofErr w:type="spellEnd"/>
      <w:r w:rsidR="001351BD">
        <w:rPr>
          <w:rStyle w:val="CharAttribute52"/>
          <w:rFonts w:eastAsia="Batang"/>
          <w:szCs w:val="24"/>
        </w:rPr>
        <w:t>.</w:t>
      </w:r>
    </w:p>
    <w:p w:rsidR="001351BD" w:rsidRDefault="005E17EA" w:rsidP="008E3AE6">
      <w:pPr>
        <w:pStyle w:val="ParaAttribute5"/>
        <w:wordWrap/>
        <w:spacing w:line="480" w:lineRule="auto"/>
        <w:jc w:val="both"/>
        <w:rPr>
          <w:rStyle w:val="CharAttribute55"/>
          <w:rFonts w:eastAsia="Batang"/>
          <w:szCs w:val="24"/>
        </w:rPr>
      </w:pPr>
      <w:r>
        <w:tab/>
      </w:r>
      <w:r>
        <w:rPr>
          <w:rStyle w:val="CharAttribute52"/>
          <w:rFonts w:eastAsia="Batang"/>
          <w:szCs w:val="24"/>
        </w:rPr>
        <w:t xml:space="preserve">Precedent leads the </w:t>
      </w:r>
      <w:r w:rsidR="00F97BB9">
        <w:rPr>
          <w:rStyle w:val="CharAttribute52"/>
          <w:rFonts w:eastAsia="Batang"/>
          <w:szCs w:val="24"/>
        </w:rPr>
        <w:t xml:space="preserve">common </w:t>
      </w:r>
      <w:r>
        <w:rPr>
          <w:rStyle w:val="CharAttribute52"/>
          <w:rFonts w:eastAsia="Batang"/>
          <w:szCs w:val="24"/>
        </w:rPr>
        <w:t>law to look backwards, to past and previous decisions of court</w:t>
      </w:r>
      <w:r w:rsidR="001351BD">
        <w:rPr>
          <w:rStyle w:val="CharAttribute52"/>
          <w:rFonts w:eastAsia="Batang"/>
          <w:szCs w:val="24"/>
        </w:rPr>
        <w:t>s within the judicial hierarchy,</w:t>
      </w:r>
      <w:r w:rsidR="00163B4C">
        <w:rPr>
          <w:rStyle w:val="EndnoteReference"/>
          <w:sz w:val="24"/>
          <w:szCs w:val="24"/>
        </w:rPr>
        <w:endnoteReference w:id="91"/>
      </w:r>
      <w:r w:rsidR="001351BD">
        <w:rPr>
          <w:rStyle w:val="CharAttribute52"/>
          <w:rFonts w:eastAsia="Batang"/>
          <w:szCs w:val="24"/>
        </w:rPr>
        <w:t xml:space="preserve"> serving as </w:t>
      </w:r>
      <w:r w:rsidR="00BD005A">
        <w:rPr>
          <w:rStyle w:val="CharAttribute53"/>
          <w:rFonts w:eastAsia="Batang"/>
          <w:szCs w:val="24"/>
        </w:rPr>
        <w:t>‘</w:t>
      </w:r>
      <w:r>
        <w:rPr>
          <w:rStyle w:val="CharAttribute53"/>
          <w:rFonts w:eastAsia="Batang"/>
          <w:szCs w:val="24"/>
        </w:rPr>
        <w:t>a strong tie w</w:t>
      </w:r>
      <w:r w:rsidR="00BD005A">
        <w:rPr>
          <w:rStyle w:val="CharAttribute53"/>
          <w:rFonts w:eastAsia="Batang"/>
          <w:szCs w:val="24"/>
        </w:rPr>
        <w:t>hich the future has to the past’</w:t>
      </w:r>
      <w:r>
        <w:rPr>
          <w:rStyle w:val="CharAttribute53"/>
          <w:rFonts w:eastAsia="Batang"/>
          <w:szCs w:val="24"/>
        </w:rPr>
        <w:t>.</w:t>
      </w:r>
      <w:r w:rsidR="00163B4C">
        <w:rPr>
          <w:rStyle w:val="EndnoteReference"/>
          <w:sz w:val="24"/>
          <w:szCs w:val="24"/>
        </w:rPr>
        <w:endnoteReference w:id="92"/>
      </w:r>
      <w:r>
        <w:rPr>
          <w:rStyle w:val="CharAttribute53"/>
          <w:rFonts w:eastAsia="Batang"/>
          <w:szCs w:val="24"/>
        </w:rPr>
        <w:t xml:space="preserve"> </w:t>
      </w:r>
      <w:r w:rsidR="00F97BB9">
        <w:rPr>
          <w:rStyle w:val="CharAttribute53"/>
          <w:rFonts w:eastAsia="Batang"/>
          <w:szCs w:val="24"/>
        </w:rPr>
        <w:t xml:space="preserve">Unlike civil law systems, common law systems are not codified. Tradition takes the place of codification for the common law. This is why </w:t>
      </w:r>
      <w:r>
        <w:rPr>
          <w:rStyle w:val="CharAttribute54"/>
          <w:rFonts w:eastAsia="Batang"/>
          <w:szCs w:val="24"/>
        </w:rPr>
        <w:t xml:space="preserve">Lord </w:t>
      </w:r>
      <w:proofErr w:type="spellStart"/>
      <w:r>
        <w:rPr>
          <w:rStyle w:val="CharAttribute54"/>
          <w:rFonts w:eastAsia="Batang"/>
          <w:szCs w:val="24"/>
        </w:rPr>
        <w:t>Hailsham</w:t>
      </w:r>
      <w:proofErr w:type="spellEnd"/>
      <w:r>
        <w:rPr>
          <w:rStyle w:val="CharAttribute54"/>
          <w:rFonts w:eastAsia="Batang"/>
          <w:szCs w:val="24"/>
        </w:rPr>
        <w:t xml:space="preserve"> stat</w:t>
      </w:r>
      <w:r w:rsidR="009C4B32">
        <w:rPr>
          <w:rStyle w:val="CharAttribute54"/>
          <w:rFonts w:eastAsia="Batang"/>
          <w:szCs w:val="24"/>
        </w:rPr>
        <w:t>ed</w:t>
      </w:r>
      <w:r>
        <w:rPr>
          <w:rStyle w:val="CharAttribute54"/>
          <w:rFonts w:eastAsia="Batang"/>
          <w:szCs w:val="24"/>
        </w:rPr>
        <w:t xml:space="preserve"> that precedent’s impor</w:t>
      </w:r>
      <w:r w:rsidR="00BD005A">
        <w:rPr>
          <w:rStyle w:val="CharAttribute54"/>
          <w:rFonts w:eastAsia="Batang"/>
          <w:szCs w:val="24"/>
        </w:rPr>
        <w:t>tance relates to the fact that ‘</w:t>
      </w:r>
      <w:r>
        <w:rPr>
          <w:rStyle w:val="CharAttribute54"/>
          <w:rFonts w:eastAsia="Batang"/>
          <w:szCs w:val="24"/>
        </w:rPr>
        <w:t xml:space="preserve">in legal matters, some degree of certainty is at least as valuable </w:t>
      </w:r>
      <w:r w:rsidR="00BD005A">
        <w:rPr>
          <w:rStyle w:val="CharAttribute54"/>
          <w:rFonts w:eastAsia="Batang"/>
          <w:szCs w:val="24"/>
        </w:rPr>
        <w:t>a part of justice as perfection’</w:t>
      </w:r>
      <w:r>
        <w:rPr>
          <w:rStyle w:val="CharAttribute54"/>
          <w:rFonts w:eastAsia="Batang"/>
          <w:szCs w:val="24"/>
        </w:rPr>
        <w:t>.</w:t>
      </w:r>
      <w:r w:rsidR="00163B4C">
        <w:rPr>
          <w:rStyle w:val="EndnoteReference"/>
          <w:sz w:val="24"/>
          <w:szCs w:val="24"/>
        </w:rPr>
        <w:endnoteReference w:id="93"/>
      </w:r>
      <w:r>
        <w:rPr>
          <w:rStyle w:val="CharAttribute54"/>
          <w:rFonts w:eastAsia="Batang"/>
          <w:szCs w:val="24"/>
        </w:rPr>
        <w:t xml:space="preserve"> </w:t>
      </w:r>
      <w:r>
        <w:rPr>
          <w:rStyle w:val="CharAttribute7"/>
          <w:rFonts w:eastAsia="Batang"/>
          <w:szCs w:val="24"/>
        </w:rPr>
        <w:t xml:space="preserve">Stare decisis </w:t>
      </w:r>
      <w:r>
        <w:rPr>
          <w:rStyle w:val="CharAttribute55"/>
          <w:rFonts w:eastAsia="Batang"/>
          <w:szCs w:val="24"/>
        </w:rPr>
        <w:t>operates not just to preserve tradition; precedent</w:t>
      </w:r>
      <w:r w:rsidR="000D3964">
        <w:rPr>
          <w:rStyle w:val="CharAttribute55"/>
          <w:rFonts w:eastAsia="Batang"/>
          <w:szCs w:val="24"/>
        </w:rPr>
        <w:t xml:space="preserve">, as it currently operates in </w:t>
      </w:r>
      <w:r w:rsidR="009C4B32">
        <w:rPr>
          <w:rStyle w:val="CharAttribute55"/>
          <w:rFonts w:eastAsia="Batang"/>
          <w:szCs w:val="24"/>
        </w:rPr>
        <w:t>common law jurisdictions</w:t>
      </w:r>
      <w:r w:rsidR="000D3964">
        <w:rPr>
          <w:rStyle w:val="CharAttribute55"/>
          <w:rFonts w:eastAsia="Batang"/>
          <w:szCs w:val="24"/>
        </w:rPr>
        <w:t xml:space="preserve"> </w:t>
      </w:r>
      <w:r>
        <w:rPr>
          <w:rStyle w:val="CharAttribute55"/>
          <w:rFonts w:eastAsia="Batang"/>
          <w:szCs w:val="24"/>
        </w:rPr>
        <w:t xml:space="preserve">seeks to preserve the mythic foundation of legal and political authority. In 1966, the House of Lords practice </w:t>
      </w:r>
      <w:r>
        <w:rPr>
          <w:rStyle w:val="CharAttribute55"/>
          <w:rFonts w:eastAsia="Batang"/>
          <w:szCs w:val="24"/>
        </w:rPr>
        <w:lastRenderedPageBreak/>
        <w:t>statement summarised this view, thinking precedent as:</w:t>
      </w:r>
    </w:p>
    <w:p w:rsidR="008160BB" w:rsidRDefault="008160BB" w:rsidP="008E3AE6">
      <w:pPr>
        <w:pStyle w:val="ParaAttribute5"/>
        <w:wordWrap/>
        <w:spacing w:line="480" w:lineRule="auto"/>
        <w:jc w:val="both"/>
        <w:rPr>
          <w:rStyle w:val="CharAttribute55"/>
          <w:rFonts w:eastAsia="Batang"/>
          <w:szCs w:val="24"/>
        </w:rPr>
      </w:pPr>
    </w:p>
    <w:p w:rsidR="005E17EA" w:rsidRDefault="005E17EA" w:rsidP="008160BB">
      <w:pPr>
        <w:pStyle w:val="ParaAttribute5"/>
        <w:wordWrap/>
        <w:spacing w:line="480" w:lineRule="auto"/>
        <w:ind w:left="567"/>
        <w:jc w:val="both"/>
        <w:rPr>
          <w:rStyle w:val="CharAttribute55"/>
          <w:rFonts w:eastAsia="Batang"/>
          <w:szCs w:val="24"/>
        </w:rPr>
      </w:pPr>
      <w:r>
        <w:rPr>
          <w:rStyle w:val="CharAttribute55"/>
          <w:rFonts w:eastAsia="Batang"/>
          <w:szCs w:val="24"/>
        </w:rPr>
        <w:t xml:space="preserve">An indispensable foundation upon which to decide what </w:t>
      </w:r>
      <w:proofErr w:type="gramStart"/>
      <w:r>
        <w:rPr>
          <w:rStyle w:val="CharAttribute55"/>
          <w:rFonts w:eastAsia="Batang"/>
          <w:szCs w:val="24"/>
        </w:rPr>
        <w:t>is</w:t>
      </w:r>
      <w:proofErr w:type="gramEnd"/>
      <w:r>
        <w:rPr>
          <w:rStyle w:val="CharAttribute55"/>
          <w:rFonts w:eastAsia="Batang"/>
          <w:szCs w:val="24"/>
        </w:rPr>
        <w:t xml:space="preserve"> the law and its application to individual cases. It provides at least some degree of certainty upon which individuals can rely in the conduct of their affairs, as well as a basis for orderly development of legal rules.</w:t>
      </w:r>
      <w:r w:rsidR="00163B4C">
        <w:rPr>
          <w:rStyle w:val="EndnoteReference"/>
          <w:sz w:val="24"/>
          <w:szCs w:val="24"/>
        </w:rPr>
        <w:endnoteReference w:id="94"/>
      </w:r>
    </w:p>
    <w:p w:rsidR="001351BD" w:rsidRDefault="001351BD" w:rsidP="008E3AE6">
      <w:pPr>
        <w:pStyle w:val="ParaAttribute5"/>
        <w:wordWrap/>
        <w:spacing w:line="480" w:lineRule="auto"/>
        <w:jc w:val="both"/>
        <w:rPr>
          <w:rStyle w:val="CharAttribute55"/>
          <w:rFonts w:eastAsia="Batang"/>
          <w:szCs w:val="24"/>
        </w:rPr>
      </w:pPr>
    </w:p>
    <w:p w:rsidR="005E17EA" w:rsidRDefault="005E17EA" w:rsidP="008E3AE6">
      <w:pPr>
        <w:pStyle w:val="ParaAttribute5"/>
        <w:wordWrap/>
        <w:spacing w:line="480" w:lineRule="auto"/>
        <w:jc w:val="both"/>
        <w:rPr>
          <w:sz w:val="24"/>
          <w:szCs w:val="24"/>
        </w:rPr>
      </w:pPr>
      <w:r>
        <w:rPr>
          <w:rStyle w:val="CharAttribute56"/>
          <w:rFonts w:eastAsia="Batang"/>
          <w:szCs w:val="24"/>
        </w:rPr>
        <w:t>This foundation is found in the notion of ‘time immemorial’, time before legal memory. The Statute of Westminster I 1275 arbitrarily fixed the commencement of legal time and legal memory at 6 July 1189, the date of accession of Richard I to the throne.</w:t>
      </w:r>
      <w:r w:rsidR="00163B4C">
        <w:rPr>
          <w:rStyle w:val="EndnoteReference"/>
          <w:sz w:val="24"/>
          <w:szCs w:val="24"/>
        </w:rPr>
        <w:endnoteReference w:id="95"/>
      </w:r>
      <w:r>
        <w:rPr>
          <w:rStyle w:val="CharAttribute56"/>
          <w:rFonts w:eastAsia="Batang"/>
          <w:szCs w:val="24"/>
        </w:rPr>
        <w:t xml:space="preserve"> Such a date is after the traditionally ascribed beginnings of the development of the common law by Henry II in 1154. This was reinforced by the Prescription Act 1832, which redefined legal memory as no more than forty years.</w:t>
      </w:r>
      <w:r w:rsidR="00163B4C">
        <w:rPr>
          <w:rStyle w:val="EndnoteReference"/>
          <w:sz w:val="24"/>
          <w:szCs w:val="24"/>
        </w:rPr>
        <w:endnoteReference w:id="96"/>
      </w:r>
    </w:p>
    <w:p w:rsidR="005E17EA" w:rsidRDefault="005E17EA" w:rsidP="00A47C1C">
      <w:pPr>
        <w:pStyle w:val="ParaAttribute4"/>
        <w:wordWrap/>
        <w:spacing w:line="480" w:lineRule="auto"/>
        <w:rPr>
          <w:sz w:val="24"/>
          <w:szCs w:val="24"/>
        </w:rPr>
      </w:pPr>
      <w:r>
        <w:tab/>
      </w:r>
      <w:r>
        <w:rPr>
          <w:rStyle w:val="CharAttribute57"/>
          <w:rFonts w:eastAsia="Batang"/>
          <w:szCs w:val="24"/>
        </w:rPr>
        <w:t>The authority of the common law is derived from a mythical, self-referential foundation</w:t>
      </w:r>
      <w:r w:rsidR="00592E5E">
        <w:rPr>
          <w:rStyle w:val="CharAttribute57"/>
          <w:rFonts w:eastAsia="Batang"/>
          <w:szCs w:val="24"/>
        </w:rPr>
        <w:t xml:space="preserve">. </w:t>
      </w:r>
      <w:r w:rsidR="00592E5E">
        <w:rPr>
          <w:rStyle w:val="CharAttribute64"/>
          <w:rFonts w:eastAsia="Batang"/>
          <w:szCs w:val="24"/>
        </w:rPr>
        <w:t xml:space="preserve">Using Nancy as a foil, the origins of the common law, transmitted through </w:t>
      </w:r>
      <w:r w:rsidR="00592E5E">
        <w:rPr>
          <w:rStyle w:val="CharAttribute7"/>
          <w:rFonts w:eastAsia="Batang"/>
          <w:szCs w:val="24"/>
        </w:rPr>
        <w:t>stare decisis</w:t>
      </w:r>
      <w:r w:rsidR="00592E5E">
        <w:rPr>
          <w:rStyle w:val="CharAttribute64"/>
          <w:rFonts w:eastAsia="Batang"/>
          <w:szCs w:val="24"/>
        </w:rPr>
        <w:t xml:space="preserve">, serve to reinforce the law’s authority through its </w:t>
      </w:r>
      <w:proofErr w:type="spellStart"/>
      <w:r w:rsidR="00592E5E">
        <w:rPr>
          <w:rStyle w:val="CharAttribute64"/>
          <w:rFonts w:eastAsia="Batang"/>
          <w:szCs w:val="24"/>
        </w:rPr>
        <w:t>juris</w:t>
      </w:r>
      <w:proofErr w:type="spellEnd"/>
      <w:r w:rsidR="00592E5E">
        <w:rPr>
          <w:rStyle w:val="CharAttribute64"/>
          <w:rFonts w:eastAsia="Batang"/>
          <w:szCs w:val="24"/>
        </w:rPr>
        <w:t xml:space="preserve">-diction. The common law’s authority is drawn from its self-referential origins in time immemorial, and this authority is affirmed as a boundary and foundation through </w:t>
      </w:r>
      <w:proofErr w:type="gramStart"/>
      <w:r w:rsidR="00592E5E">
        <w:rPr>
          <w:rStyle w:val="CharAttribute64"/>
          <w:rFonts w:eastAsia="Batang"/>
          <w:szCs w:val="24"/>
        </w:rPr>
        <w:t xml:space="preserve">a </w:t>
      </w:r>
      <w:r w:rsidR="00592E5E">
        <w:rPr>
          <w:rStyle w:val="CharAttribute7"/>
          <w:rFonts w:eastAsia="Batang"/>
          <w:szCs w:val="24"/>
        </w:rPr>
        <w:t>diction</w:t>
      </w:r>
      <w:proofErr w:type="gramEnd"/>
      <w:r w:rsidR="00592E5E">
        <w:rPr>
          <w:rStyle w:val="CharAttribute64"/>
          <w:rFonts w:eastAsia="Batang"/>
          <w:szCs w:val="24"/>
        </w:rPr>
        <w:t>, a saying of law.</w:t>
      </w:r>
      <w:r w:rsidR="00163B4C">
        <w:rPr>
          <w:rStyle w:val="EndnoteReference"/>
          <w:sz w:val="24"/>
          <w:szCs w:val="24"/>
        </w:rPr>
        <w:endnoteReference w:id="97"/>
      </w:r>
      <w:r w:rsidR="00592E5E">
        <w:rPr>
          <w:rStyle w:val="CharAttribute64"/>
          <w:rFonts w:eastAsia="Batang"/>
          <w:szCs w:val="24"/>
        </w:rPr>
        <w:t xml:space="preserve"> </w:t>
      </w:r>
      <w:r>
        <w:rPr>
          <w:rStyle w:val="CharAttribute57"/>
          <w:rFonts w:eastAsia="Batang"/>
          <w:szCs w:val="24"/>
        </w:rPr>
        <w:t xml:space="preserve">Examples of the self-referential authority of the common law can be found throughout the </w:t>
      </w:r>
      <w:r w:rsidR="006F51A0">
        <w:rPr>
          <w:rStyle w:val="CharAttribute57"/>
          <w:rFonts w:eastAsia="Batang"/>
          <w:szCs w:val="24"/>
        </w:rPr>
        <w:t xml:space="preserve">English </w:t>
      </w:r>
      <w:r>
        <w:rPr>
          <w:rStyle w:val="CharAttribute57"/>
          <w:rFonts w:eastAsia="Batang"/>
          <w:szCs w:val="24"/>
        </w:rPr>
        <w:t>common law in relation to testamentary capacity,</w:t>
      </w:r>
      <w:r w:rsidR="00163B4C">
        <w:rPr>
          <w:rStyle w:val="EndnoteReference"/>
          <w:sz w:val="24"/>
          <w:szCs w:val="24"/>
        </w:rPr>
        <w:endnoteReference w:id="98"/>
      </w:r>
      <w:r>
        <w:rPr>
          <w:rStyle w:val="CharAttribute57"/>
          <w:rFonts w:eastAsia="Batang"/>
          <w:szCs w:val="24"/>
        </w:rPr>
        <w:t xml:space="preserve"> as a justification for proscribing as criminal unprovoked violence,</w:t>
      </w:r>
      <w:r w:rsidR="00163B4C">
        <w:rPr>
          <w:rStyle w:val="EndnoteReference"/>
          <w:sz w:val="24"/>
          <w:szCs w:val="24"/>
        </w:rPr>
        <w:endnoteReference w:id="99"/>
      </w:r>
      <w:r>
        <w:rPr>
          <w:rStyle w:val="CharAttribute57"/>
          <w:rFonts w:eastAsia="Batang"/>
          <w:szCs w:val="24"/>
        </w:rPr>
        <w:t xml:space="preserve"> and for granting a right to market stall holders to trade.</w:t>
      </w:r>
      <w:r w:rsidR="00163B4C">
        <w:rPr>
          <w:rStyle w:val="EndnoteReference"/>
          <w:sz w:val="24"/>
          <w:szCs w:val="24"/>
        </w:rPr>
        <w:endnoteReference w:id="100"/>
      </w:r>
      <w:r>
        <w:rPr>
          <w:rStyle w:val="CharAttribute57"/>
          <w:rFonts w:eastAsia="Batang"/>
          <w:szCs w:val="24"/>
        </w:rPr>
        <w:t xml:space="preserve"> </w:t>
      </w:r>
      <w:r>
        <w:rPr>
          <w:rStyle w:val="CharAttribute58"/>
          <w:rFonts w:eastAsia="Batang"/>
          <w:szCs w:val="24"/>
        </w:rPr>
        <w:lastRenderedPageBreak/>
        <w:t>In each case, the common law’s foundations, and the jurisdiction of the law maker</w:t>
      </w:r>
      <w:r w:rsidR="00F97BB9">
        <w:rPr>
          <w:rStyle w:val="CharAttribute58"/>
          <w:rFonts w:eastAsia="Batang"/>
          <w:szCs w:val="24"/>
        </w:rPr>
        <w:t xml:space="preserve">, </w:t>
      </w:r>
      <w:r>
        <w:rPr>
          <w:rStyle w:val="CharAttribute58"/>
          <w:rFonts w:eastAsia="Batang"/>
          <w:szCs w:val="24"/>
        </w:rPr>
        <w:t>are reinforced through reference to this immemorial foundation</w:t>
      </w:r>
      <w:r w:rsidR="00A47C1C">
        <w:rPr>
          <w:rStyle w:val="CharAttribute58"/>
          <w:rFonts w:eastAsia="Batang"/>
          <w:szCs w:val="24"/>
        </w:rPr>
        <w:t>.</w:t>
      </w:r>
      <w:r w:rsidR="00163B4C">
        <w:rPr>
          <w:rStyle w:val="EndnoteReference"/>
          <w:sz w:val="24"/>
          <w:szCs w:val="24"/>
        </w:rPr>
        <w:endnoteReference w:id="101"/>
      </w:r>
    </w:p>
    <w:p w:rsidR="00245292" w:rsidRDefault="00A47C1C" w:rsidP="00245292">
      <w:pPr>
        <w:pStyle w:val="ParaAttribute4"/>
        <w:wordWrap/>
        <w:spacing w:line="480" w:lineRule="auto"/>
        <w:rPr>
          <w:rStyle w:val="CharAttribute58"/>
          <w:rFonts w:eastAsia="Batang"/>
          <w:szCs w:val="24"/>
        </w:rPr>
      </w:pPr>
      <w:r>
        <w:rPr>
          <w:sz w:val="24"/>
          <w:szCs w:val="24"/>
        </w:rPr>
        <w:tab/>
      </w:r>
      <w:r w:rsidR="00592E5E">
        <w:rPr>
          <w:sz w:val="24"/>
          <w:szCs w:val="24"/>
        </w:rPr>
        <w:t xml:space="preserve">Within the messianic law, precedent does not have recourse to such origins. </w:t>
      </w:r>
      <w:r w:rsidR="00245292">
        <w:rPr>
          <w:sz w:val="24"/>
          <w:szCs w:val="24"/>
        </w:rPr>
        <w:t>How, then, can this law operate? I wish to make a connection between the act of ‘repetition’, and the writings of Jacques Rancière on ‘</w:t>
      </w:r>
      <w:proofErr w:type="spellStart"/>
      <w:r w:rsidR="00245292">
        <w:rPr>
          <w:sz w:val="24"/>
          <w:szCs w:val="24"/>
        </w:rPr>
        <w:t>dissensus</w:t>
      </w:r>
      <w:proofErr w:type="spellEnd"/>
      <w:r w:rsidR="00245292">
        <w:rPr>
          <w:sz w:val="24"/>
          <w:szCs w:val="24"/>
        </w:rPr>
        <w:t xml:space="preserve">’. </w:t>
      </w:r>
      <w:r w:rsidR="00245292">
        <w:rPr>
          <w:rStyle w:val="CharAttribute58"/>
          <w:rFonts w:eastAsia="Batang"/>
          <w:szCs w:val="24"/>
        </w:rPr>
        <w:t xml:space="preserve">We first turn to a text on repetition that Agamben wrote, which focused on the films of Guy </w:t>
      </w:r>
      <w:proofErr w:type="spellStart"/>
      <w:r w:rsidR="00245292">
        <w:rPr>
          <w:rStyle w:val="CharAttribute58"/>
          <w:rFonts w:eastAsia="Batang"/>
          <w:szCs w:val="24"/>
        </w:rPr>
        <w:t>Debord</w:t>
      </w:r>
      <w:proofErr w:type="spellEnd"/>
      <w:r w:rsidR="00245292">
        <w:rPr>
          <w:rStyle w:val="CharAttribute58"/>
          <w:rFonts w:eastAsia="Batang"/>
          <w:szCs w:val="24"/>
        </w:rPr>
        <w:t>:</w:t>
      </w:r>
    </w:p>
    <w:p w:rsidR="00245292" w:rsidRDefault="00245292" w:rsidP="00245292">
      <w:pPr>
        <w:pStyle w:val="ParaAttribute4"/>
        <w:wordWrap/>
        <w:spacing w:line="480" w:lineRule="auto"/>
        <w:rPr>
          <w:sz w:val="24"/>
          <w:szCs w:val="24"/>
        </w:rPr>
      </w:pPr>
    </w:p>
    <w:p w:rsidR="00245292" w:rsidRDefault="00245292" w:rsidP="00245292">
      <w:pPr>
        <w:pStyle w:val="ParaAttribute6"/>
        <w:wordWrap/>
        <w:spacing w:line="480" w:lineRule="auto"/>
        <w:ind w:left="567" w:right="0"/>
        <w:rPr>
          <w:sz w:val="24"/>
          <w:szCs w:val="24"/>
        </w:rPr>
      </w:pPr>
      <w:r>
        <w:rPr>
          <w:rStyle w:val="CharAttribute58"/>
          <w:rFonts w:eastAsia="Batang"/>
          <w:szCs w:val="24"/>
        </w:rPr>
        <w:t>Repetition is not the return of the identical; it is not the same as such that returns. The force and the grace of repetition, the novelty it brings us, is the return as the possibility of what was. Repetition restores the possibility of what was, renders it possible anew; it’s almost a paradox … To repeat something is to make it possible anew.</w:t>
      </w:r>
      <w:r>
        <w:rPr>
          <w:rStyle w:val="EndnoteReference"/>
          <w:sz w:val="24"/>
          <w:szCs w:val="24"/>
        </w:rPr>
        <w:endnoteReference w:id="102"/>
      </w:r>
    </w:p>
    <w:p w:rsidR="002A369C" w:rsidRDefault="002A369C" w:rsidP="008E3AE6">
      <w:pPr>
        <w:pStyle w:val="ParaAttribute4"/>
        <w:wordWrap/>
        <w:spacing w:line="480" w:lineRule="auto"/>
        <w:rPr>
          <w:sz w:val="24"/>
          <w:szCs w:val="24"/>
        </w:rPr>
      </w:pPr>
    </w:p>
    <w:p w:rsidR="00634521" w:rsidRDefault="003166CA" w:rsidP="008E3AE6">
      <w:pPr>
        <w:pStyle w:val="ParaAttribute4"/>
        <w:wordWrap/>
        <w:spacing w:line="480" w:lineRule="auto"/>
        <w:rPr>
          <w:sz w:val="24"/>
          <w:szCs w:val="24"/>
          <w:lang w:val="en-US"/>
        </w:rPr>
      </w:pPr>
      <w:r>
        <w:rPr>
          <w:rStyle w:val="CharAttribute58"/>
          <w:rFonts w:eastAsia="Batang"/>
          <w:szCs w:val="24"/>
        </w:rPr>
        <w:t xml:space="preserve">Repetition here does not bring similitude, but rather novelty. This view is in contrast to Gilles Deleuze, who contended that law is a discipline where repetition remains impossible, as the </w:t>
      </w:r>
      <w:r w:rsidR="002A369C" w:rsidRPr="002A369C">
        <w:rPr>
          <w:sz w:val="24"/>
          <w:szCs w:val="24"/>
          <w:lang w:val="en-US"/>
        </w:rPr>
        <w:t>pure subjects of law as being particulars who are unable to be su</w:t>
      </w:r>
      <w:r>
        <w:rPr>
          <w:sz w:val="24"/>
          <w:szCs w:val="24"/>
          <w:lang w:val="en-US"/>
        </w:rPr>
        <w:t>bsumed under law‘s generality.</w:t>
      </w:r>
      <w:r>
        <w:rPr>
          <w:rStyle w:val="EndnoteReference"/>
          <w:sz w:val="24"/>
          <w:szCs w:val="24"/>
          <w:lang w:val="en-US"/>
        </w:rPr>
        <w:endnoteReference w:id="103"/>
      </w:r>
      <w:r>
        <w:rPr>
          <w:sz w:val="24"/>
          <w:szCs w:val="24"/>
          <w:lang w:val="en-US"/>
        </w:rPr>
        <w:t xml:space="preserve"> Deleuze saw law’s generalities as being repeatable, but only as repetitions of the same.</w:t>
      </w:r>
      <w:r>
        <w:rPr>
          <w:rStyle w:val="EndnoteReference"/>
          <w:sz w:val="24"/>
          <w:szCs w:val="24"/>
          <w:lang w:val="en-US"/>
        </w:rPr>
        <w:endnoteReference w:id="104"/>
      </w:r>
      <w:r>
        <w:rPr>
          <w:sz w:val="24"/>
          <w:szCs w:val="24"/>
          <w:lang w:val="en-US"/>
        </w:rPr>
        <w:t xml:space="preserve"> </w:t>
      </w:r>
    </w:p>
    <w:p w:rsidR="00312FD2" w:rsidRDefault="00634521" w:rsidP="008E3AE6">
      <w:pPr>
        <w:pStyle w:val="ParaAttribute4"/>
        <w:wordWrap/>
        <w:spacing w:line="480" w:lineRule="auto"/>
        <w:rPr>
          <w:rStyle w:val="CharAttribute60"/>
          <w:rFonts w:eastAsia="Batang"/>
          <w:szCs w:val="24"/>
        </w:rPr>
      </w:pPr>
      <w:r>
        <w:rPr>
          <w:sz w:val="24"/>
          <w:szCs w:val="24"/>
          <w:lang w:val="en-US"/>
        </w:rPr>
        <w:tab/>
        <w:t xml:space="preserve">Rather, I wish to conceive of repetition as incomplete. </w:t>
      </w:r>
      <w:r w:rsidR="001715EB">
        <w:rPr>
          <w:sz w:val="24"/>
          <w:szCs w:val="24"/>
          <w:lang w:val="en-US"/>
        </w:rPr>
        <w:t xml:space="preserve">Referring to Guy </w:t>
      </w:r>
      <w:proofErr w:type="spellStart"/>
      <w:r w:rsidR="001715EB">
        <w:rPr>
          <w:sz w:val="24"/>
          <w:szCs w:val="24"/>
          <w:lang w:val="en-US"/>
        </w:rPr>
        <w:t>Debord’s</w:t>
      </w:r>
      <w:proofErr w:type="spellEnd"/>
      <w:r w:rsidR="001715EB">
        <w:rPr>
          <w:sz w:val="24"/>
          <w:szCs w:val="24"/>
          <w:lang w:val="en-US"/>
        </w:rPr>
        <w:t xml:space="preserve"> concept of the ‘constructed situation’, a moment of life, the collective construction of a moment, Agamben makes the point t</w:t>
      </w:r>
      <w:r w:rsidR="00BD6DFC">
        <w:rPr>
          <w:sz w:val="24"/>
          <w:szCs w:val="24"/>
          <w:lang w:val="en-US"/>
        </w:rPr>
        <w:t xml:space="preserve">hat such a construction is a zone of undecidability between </w:t>
      </w:r>
      <w:proofErr w:type="gramStart"/>
      <w:r w:rsidR="00BD6DFC">
        <w:rPr>
          <w:sz w:val="24"/>
          <w:szCs w:val="24"/>
          <w:lang w:val="en-US"/>
        </w:rPr>
        <w:t>a uniqueness</w:t>
      </w:r>
      <w:proofErr w:type="gramEnd"/>
      <w:r w:rsidR="00BD6DFC">
        <w:rPr>
          <w:sz w:val="24"/>
          <w:szCs w:val="24"/>
          <w:lang w:val="en-US"/>
        </w:rPr>
        <w:t xml:space="preserve"> and a repetition.</w:t>
      </w:r>
      <w:r w:rsidR="00BD6DFC">
        <w:rPr>
          <w:rStyle w:val="EndnoteReference"/>
          <w:sz w:val="24"/>
          <w:szCs w:val="24"/>
          <w:lang w:val="en-US"/>
        </w:rPr>
        <w:endnoteReference w:id="105"/>
      </w:r>
      <w:r w:rsidR="00BD6DFC">
        <w:rPr>
          <w:sz w:val="24"/>
          <w:szCs w:val="24"/>
          <w:lang w:val="en-US"/>
        </w:rPr>
        <w:t xml:space="preserve"> Constructing a </w:t>
      </w:r>
      <w:r w:rsidR="00BD6DFC">
        <w:rPr>
          <w:sz w:val="24"/>
          <w:szCs w:val="24"/>
          <w:lang w:val="en-US"/>
        </w:rPr>
        <w:lastRenderedPageBreak/>
        <w:t>situation involves constructing something that can be repeated and yet is unique.</w:t>
      </w:r>
      <w:r w:rsidR="00421739">
        <w:rPr>
          <w:sz w:val="24"/>
          <w:szCs w:val="24"/>
          <w:lang w:val="en-US"/>
        </w:rPr>
        <w:t xml:space="preserve"> </w:t>
      </w:r>
      <w:r w:rsidR="001715EB">
        <w:rPr>
          <w:rStyle w:val="CharAttribute59"/>
          <w:rFonts w:eastAsia="Batang"/>
          <w:szCs w:val="24"/>
        </w:rPr>
        <w:t xml:space="preserve">This </w:t>
      </w:r>
      <w:r w:rsidR="002119F7">
        <w:rPr>
          <w:rStyle w:val="CharAttribute59"/>
          <w:rFonts w:eastAsia="Batang"/>
          <w:szCs w:val="24"/>
        </w:rPr>
        <w:t xml:space="preserve">repetition is forward looking. This repetition is without reference to an origin in the past, and focuses on the effect of that repetition for the future. </w:t>
      </w:r>
    </w:p>
    <w:p w:rsidR="005F653D" w:rsidRPr="007B3A68" w:rsidRDefault="00F93997" w:rsidP="008E3AE6">
      <w:pPr>
        <w:pStyle w:val="ParaAttribute7"/>
        <w:wordWrap/>
        <w:spacing w:line="480" w:lineRule="auto"/>
        <w:rPr>
          <w:sz w:val="24"/>
          <w:szCs w:val="24"/>
        </w:rPr>
      </w:pPr>
      <w:r>
        <w:rPr>
          <w:sz w:val="24"/>
          <w:szCs w:val="24"/>
        </w:rPr>
        <w:tab/>
      </w:r>
      <w:r>
        <w:rPr>
          <w:rStyle w:val="CharAttribute58"/>
          <w:rFonts w:eastAsia="Batang"/>
          <w:szCs w:val="24"/>
        </w:rPr>
        <w:t xml:space="preserve">Repetition makes the political </w:t>
      </w:r>
      <w:proofErr w:type="spellStart"/>
      <w:r>
        <w:rPr>
          <w:rStyle w:val="CharAttribute58"/>
          <w:rFonts w:eastAsia="Batang"/>
          <w:szCs w:val="24"/>
        </w:rPr>
        <w:t>impotential</w:t>
      </w:r>
      <w:proofErr w:type="spellEnd"/>
      <w:r>
        <w:rPr>
          <w:rStyle w:val="CharAttribute58"/>
          <w:rFonts w:eastAsia="Batang"/>
          <w:szCs w:val="24"/>
        </w:rPr>
        <w:t xml:space="preserve">. </w:t>
      </w:r>
      <w:r>
        <w:rPr>
          <w:iCs/>
          <w:sz w:val="24"/>
          <w:szCs w:val="24"/>
        </w:rPr>
        <w:t>The</w:t>
      </w:r>
      <w:r w:rsidRPr="00F93997">
        <w:rPr>
          <w:iCs/>
          <w:sz w:val="24"/>
          <w:szCs w:val="24"/>
        </w:rPr>
        <w:t xml:space="preserve"> non-responsible messianic law is repetitious, opening up to the new, the possibilities of existence. </w:t>
      </w:r>
      <w:r w:rsidR="005E17EA">
        <w:rPr>
          <w:rStyle w:val="CharAttribute60"/>
          <w:rFonts w:eastAsia="Batang"/>
          <w:szCs w:val="24"/>
        </w:rPr>
        <w:t xml:space="preserve">The messianic law must think the singularity of whatever-being within a community of whatever-beings, each of whom maintain an ethical obligation of </w:t>
      </w:r>
      <w:r w:rsidR="00312FD2">
        <w:rPr>
          <w:rStyle w:val="CharAttribute60"/>
          <w:rFonts w:eastAsia="Batang"/>
          <w:szCs w:val="24"/>
        </w:rPr>
        <w:t>non-</w:t>
      </w:r>
      <w:r w:rsidR="005E17EA">
        <w:rPr>
          <w:rStyle w:val="CharAttribute60"/>
          <w:rFonts w:eastAsia="Batang"/>
          <w:szCs w:val="24"/>
        </w:rPr>
        <w:t xml:space="preserve">responsibility over one another. </w:t>
      </w:r>
      <w:r w:rsidR="005F653D">
        <w:rPr>
          <w:rStyle w:val="CharAttribute60"/>
          <w:rFonts w:eastAsia="Batang"/>
          <w:szCs w:val="24"/>
        </w:rPr>
        <w:t xml:space="preserve">The correct question to ask in every case, in every decision, is not what the law is, but what the law can be. </w:t>
      </w:r>
    </w:p>
    <w:p w:rsidR="0064371A" w:rsidRDefault="005F653D" w:rsidP="008E3AE6">
      <w:pPr>
        <w:pStyle w:val="ParaAttribute4"/>
        <w:wordWrap/>
        <w:spacing w:line="480" w:lineRule="auto"/>
        <w:rPr>
          <w:rStyle w:val="CharAttribute60"/>
          <w:rFonts w:eastAsia="Batang"/>
          <w:szCs w:val="24"/>
        </w:rPr>
      </w:pPr>
      <w:r>
        <w:rPr>
          <w:rStyle w:val="CharAttribute60"/>
          <w:rFonts w:eastAsia="Batang"/>
          <w:szCs w:val="24"/>
        </w:rPr>
        <w:tab/>
      </w:r>
      <w:r w:rsidR="005E17EA">
        <w:rPr>
          <w:rStyle w:val="CharAttribute60"/>
          <w:rFonts w:eastAsia="Batang"/>
          <w:szCs w:val="24"/>
        </w:rPr>
        <w:t>Precedent</w:t>
      </w:r>
      <w:r w:rsidR="00312FD2">
        <w:rPr>
          <w:rStyle w:val="CharAttribute60"/>
          <w:rFonts w:eastAsia="Batang"/>
          <w:szCs w:val="24"/>
        </w:rPr>
        <w:t>, representative of tradition,</w:t>
      </w:r>
      <w:r w:rsidR="007020B0">
        <w:rPr>
          <w:rStyle w:val="CharAttribute60"/>
          <w:rFonts w:eastAsia="Batang"/>
          <w:szCs w:val="24"/>
        </w:rPr>
        <w:t xml:space="preserve"> and freed from reference to an origin,</w:t>
      </w:r>
      <w:r w:rsidR="005E17EA">
        <w:rPr>
          <w:rStyle w:val="CharAttribute60"/>
          <w:rFonts w:eastAsia="Batang"/>
          <w:szCs w:val="24"/>
        </w:rPr>
        <w:t xml:space="preserve"> has a part to play in this </w:t>
      </w:r>
      <w:r w:rsidR="00312FD2">
        <w:rPr>
          <w:rStyle w:val="CharAttribute60"/>
          <w:rFonts w:eastAsia="Batang"/>
          <w:szCs w:val="24"/>
        </w:rPr>
        <w:t xml:space="preserve">messianic </w:t>
      </w:r>
      <w:r w:rsidR="00D8120A">
        <w:rPr>
          <w:rStyle w:val="CharAttribute60"/>
          <w:rFonts w:eastAsia="Batang"/>
          <w:szCs w:val="24"/>
        </w:rPr>
        <w:t xml:space="preserve">common </w:t>
      </w:r>
      <w:r w:rsidR="005E17EA">
        <w:rPr>
          <w:rStyle w:val="CharAttribute60"/>
          <w:rFonts w:eastAsia="Batang"/>
          <w:szCs w:val="24"/>
        </w:rPr>
        <w:t xml:space="preserve">law. </w:t>
      </w:r>
      <w:r w:rsidR="006579EC">
        <w:rPr>
          <w:rStyle w:val="CharAttribute60"/>
          <w:rFonts w:eastAsia="Batang"/>
          <w:szCs w:val="24"/>
        </w:rPr>
        <w:t>Precedent is part of this cultural fabric of the world. As such precedent forms part of the background in which whatever-being constitutes itself. This world is also shaped by other whatever-beings, as it is these others who help maintain and create the world’s cultural fabric. The cultural world, including precedent, forms the background in which multiple whatever-beings experience ethical relationships with one another.</w:t>
      </w:r>
      <w:r>
        <w:rPr>
          <w:rStyle w:val="CharAttribute60"/>
          <w:rFonts w:eastAsia="Batang"/>
          <w:szCs w:val="24"/>
        </w:rPr>
        <w:t xml:space="preserve"> To uphold a past precedent is not to uphold an identical judgment</w:t>
      </w:r>
      <w:r w:rsidR="007020B0">
        <w:rPr>
          <w:rStyle w:val="CharAttribute60"/>
          <w:rFonts w:eastAsia="Batang"/>
          <w:szCs w:val="24"/>
        </w:rPr>
        <w:t>, nor is it to uphold a fictive foundation</w:t>
      </w:r>
      <w:r>
        <w:rPr>
          <w:rStyle w:val="CharAttribute60"/>
          <w:rFonts w:eastAsia="Batang"/>
          <w:szCs w:val="24"/>
        </w:rPr>
        <w:t>. Repetition is not the return of the identical. To uphold a past precedent</w:t>
      </w:r>
      <w:r w:rsidR="007020B0">
        <w:rPr>
          <w:rStyle w:val="CharAttribute60"/>
          <w:rFonts w:eastAsia="Batang"/>
          <w:szCs w:val="24"/>
        </w:rPr>
        <w:t>, a past law, a past rule</w:t>
      </w:r>
      <w:r w:rsidR="00147548">
        <w:rPr>
          <w:rStyle w:val="CharAttribute60"/>
          <w:rFonts w:eastAsia="Batang"/>
          <w:szCs w:val="24"/>
        </w:rPr>
        <w:t xml:space="preserve"> – to repeat a past decision – </w:t>
      </w:r>
      <w:r w:rsidR="009364FA">
        <w:rPr>
          <w:rStyle w:val="CharAttribute60"/>
          <w:rFonts w:eastAsia="Batang"/>
          <w:szCs w:val="24"/>
        </w:rPr>
        <w:t>is to create something anew.</w:t>
      </w:r>
      <w:r w:rsidR="009364FA">
        <w:rPr>
          <w:rStyle w:val="EndnoteReference"/>
          <w:sz w:val="24"/>
          <w:szCs w:val="24"/>
        </w:rPr>
        <w:endnoteReference w:id="106"/>
      </w:r>
      <w:r w:rsidR="009364FA" w:rsidRPr="009364FA">
        <w:rPr>
          <w:rStyle w:val="CharAttribute60"/>
          <w:rFonts w:eastAsia="Batang"/>
          <w:szCs w:val="24"/>
        </w:rPr>
        <w:t xml:space="preserve"> </w:t>
      </w:r>
      <w:r w:rsidR="009364FA">
        <w:rPr>
          <w:rStyle w:val="CharAttribute60"/>
          <w:rFonts w:eastAsia="Batang"/>
          <w:szCs w:val="24"/>
        </w:rPr>
        <w:t xml:space="preserve">To repeat a precedent is not to do an injustice to whatever-being. It is to reinforce and make possible the cultural fabric of the world that whatever-being can use to affirm its own singularity. </w:t>
      </w:r>
    </w:p>
    <w:p w:rsidR="00592E5E" w:rsidRDefault="0064371A" w:rsidP="008E3AE6">
      <w:pPr>
        <w:pStyle w:val="ParaAttribute4"/>
        <w:wordWrap/>
        <w:spacing w:line="480" w:lineRule="auto"/>
        <w:rPr>
          <w:rStyle w:val="CharAttribute60"/>
          <w:rFonts w:eastAsia="Batang"/>
          <w:szCs w:val="24"/>
        </w:rPr>
      </w:pPr>
      <w:r>
        <w:rPr>
          <w:rStyle w:val="CharAttribute60"/>
          <w:rFonts w:eastAsia="Batang"/>
          <w:szCs w:val="24"/>
        </w:rPr>
        <w:tab/>
      </w:r>
      <w:r w:rsidR="009364FA">
        <w:rPr>
          <w:rStyle w:val="CharAttribute60"/>
          <w:rFonts w:eastAsia="Batang"/>
          <w:szCs w:val="24"/>
        </w:rPr>
        <w:t xml:space="preserve">The position of each court is difficult as they would no longer have </w:t>
      </w:r>
      <w:r w:rsidR="009364FA">
        <w:rPr>
          <w:rStyle w:val="CharAttribute60"/>
          <w:rFonts w:eastAsia="Batang"/>
          <w:szCs w:val="24"/>
        </w:rPr>
        <w:lastRenderedPageBreak/>
        <w:t>recourse to recollecting self-referential foundations in precedent.</w:t>
      </w:r>
      <w:r>
        <w:rPr>
          <w:rStyle w:val="CharAttribute60"/>
          <w:rFonts w:eastAsia="Batang"/>
          <w:szCs w:val="24"/>
        </w:rPr>
        <w:t xml:space="preserve"> </w:t>
      </w:r>
      <w:r w:rsidR="00147548">
        <w:rPr>
          <w:rStyle w:val="CharAttribute60"/>
          <w:rFonts w:eastAsia="Batang"/>
          <w:szCs w:val="24"/>
        </w:rPr>
        <w:t>However, this difficulty is what reflects the ethical nature of this non-responsible decision-making. There is no easy user manual to be applied to reach an ethical decision. This is why t</w:t>
      </w:r>
      <w:r w:rsidR="005F653D">
        <w:rPr>
          <w:rStyle w:val="CharAttribute60"/>
          <w:rFonts w:eastAsia="Batang"/>
          <w:szCs w:val="24"/>
        </w:rPr>
        <w:t>his form of precedent outlined is properly profane. It is profane as it is opened to new uses with every case that is decided by the law. This precedent returns to common use the potentiality that</w:t>
      </w:r>
      <w:r w:rsidR="000F2C52">
        <w:rPr>
          <w:rStyle w:val="CharAttribute60"/>
          <w:rFonts w:eastAsia="Batang"/>
          <w:szCs w:val="24"/>
        </w:rPr>
        <w:t xml:space="preserve"> power had seized and precluded.</w:t>
      </w:r>
      <w:r w:rsidR="000B15E0">
        <w:rPr>
          <w:rStyle w:val="EndnoteReference"/>
          <w:sz w:val="24"/>
          <w:szCs w:val="24"/>
        </w:rPr>
        <w:endnoteReference w:id="107"/>
      </w:r>
      <w:r w:rsidR="005F653D">
        <w:rPr>
          <w:rStyle w:val="CharAttribute60"/>
          <w:rFonts w:eastAsia="Batang"/>
          <w:szCs w:val="24"/>
        </w:rPr>
        <w:t xml:space="preserve"> This potentiality can be used by whatever-being to found its own freedom.</w:t>
      </w:r>
      <w:r w:rsidR="000B15E0">
        <w:rPr>
          <w:rStyle w:val="EndnoteReference"/>
          <w:sz w:val="24"/>
          <w:szCs w:val="24"/>
        </w:rPr>
        <w:endnoteReference w:id="108"/>
      </w:r>
      <w:r w:rsidR="005F653D">
        <w:rPr>
          <w:rStyle w:val="CharAttribute60"/>
          <w:rFonts w:eastAsia="Batang"/>
          <w:szCs w:val="24"/>
        </w:rPr>
        <w:t xml:space="preserve"> </w:t>
      </w:r>
      <w:r w:rsidR="005E17EA">
        <w:rPr>
          <w:rStyle w:val="CharAttribute60"/>
          <w:rFonts w:eastAsia="Batang"/>
          <w:szCs w:val="24"/>
        </w:rPr>
        <w:t>As Agamben states:</w:t>
      </w:r>
    </w:p>
    <w:p w:rsidR="008160BB" w:rsidRDefault="008160BB" w:rsidP="008E3AE6">
      <w:pPr>
        <w:pStyle w:val="ParaAttribute4"/>
        <w:wordWrap/>
        <w:spacing w:line="480" w:lineRule="auto"/>
        <w:rPr>
          <w:rStyle w:val="CharAttribute60"/>
          <w:rFonts w:eastAsia="Batang"/>
          <w:szCs w:val="24"/>
        </w:rPr>
      </w:pPr>
    </w:p>
    <w:p w:rsidR="005E17EA" w:rsidRDefault="005E17EA" w:rsidP="008160BB">
      <w:pPr>
        <w:pStyle w:val="ParaAttribute0"/>
        <w:wordWrap/>
        <w:spacing w:line="480" w:lineRule="auto"/>
        <w:ind w:left="567"/>
        <w:jc w:val="both"/>
        <w:rPr>
          <w:sz w:val="24"/>
          <w:szCs w:val="24"/>
        </w:rPr>
      </w:pPr>
      <w:r>
        <w:rPr>
          <w:rStyle w:val="CharAttribute60"/>
          <w:rFonts w:eastAsia="Batang"/>
          <w:szCs w:val="24"/>
        </w:rPr>
        <w:t>The freed behaviour still reproduces and mimics the forms of the activity from which it has been emancipated, but, in emptying them of their sense and of any obligatory relationship to an end, it opens them and makes them available for a new use ... The activity that results from this becomes a pure means, that is, a praxis that, while firmly maintaining its nature as a means, is emancipated from its relationship to an end; it ... can now show itself as such, as a means without an end.</w:t>
      </w:r>
      <w:r w:rsidR="000B15E0">
        <w:rPr>
          <w:rStyle w:val="EndnoteReference"/>
          <w:sz w:val="24"/>
          <w:szCs w:val="24"/>
        </w:rPr>
        <w:endnoteReference w:id="109"/>
      </w:r>
    </w:p>
    <w:p w:rsidR="005F653D" w:rsidRDefault="005F653D" w:rsidP="008E3AE6">
      <w:pPr>
        <w:pStyle w:val="ParaAttribute4"/>
        <w:wordWrap/>
        <w:spacing w:line="480" w:lineRule="auto"/>
        <w:rPr>
          <w:rStyle w:val="CharAttribute60"/>
          <w:rFonts w:eastAsia="Batang"/>
          <w:szCs w:val="24"/>
        </w:rPr>
      </w:pPr>
    </w:p>
    <w:p w:rsidR="0080737C" w:rsidRDefault="005E17EA" w:rsidP="009364FA">
      <w:pPr>
        <w:pStyle w:val="ParaAttribute4"/>
        <w:wordWrap/>
        <w:spacing w:line="480" w:lineRule="auto"/>
        <w:rPr>
          <w:rStyle w:val="CharAttribute60"/>
          <w:rFonts w:eastAsia="Batang"/>
          <w:szCs w:val="24"/>
        </w:rPr>
      </w:pPr>
      <w:r>
        <w:rPr>
          <w:rStyle w:val="CharAttribute60"/>
          <w:rFonts w:eastAsia="Batang"/>
          <w:szCs w:val="24"/>
        </w:rPr>
        <w:t xml:space="preserve">This </w:t>
      </w:r>
      <w:r w:rsidR="00F275D5">
        <w:rPr>
          <w:rStyle w:val="CharAttribute60"/>
          <w:rFonts w:eastAsia="Batang"/>
          <w:szCs w:val="24"/>
        </w:rPr>
        <w:t>messianic</w:t>
      </w:r>
      <w:r>
        <w:rPr>
          <w:rStyle w:val="CharAttribute60"/>
          <w:rFonts w:eastAsia="Batang"/>
          <w:szCs w:val="24"/>
        </w:rPr>
        <w:t xml:space="preserve"> </w:t>
      </w:r>
      <w:r w:rsidR="00FF603C">
        <w:rPr>
          <w:rStyle w:val="CharAttribute60"/>
          <w:rFonts w:eastAsia="Batang"/>
          <w:szCs w:val="24"/>
        </w:rPr>
        <w:t>law neutralises the partitions of the law which divides and attempts to order humanity.</w:t>
      </w:r>
      <w:r w:rsidR="000B15E0">
        <w:rPr>
          <w:rStyle w:val="EndnoteReference"/>
          <w:sz w:val="24"/>
          <w:szCs w:val="24"/>
        </w:rPr>
        <w:endnoteReference w:id="110"/>
      </w:r>
      <w:r w:rsidR="00237A3D">
        <w:rPr>
          <w:rStyle w:val="CharAttribute60"/>
          <w:rFonts w:eastAsia="Batang"/>
          <w:szCs w:val="24"/>
        </w:rPr>
        <w:t xml:space="preserve"> </w:t>
      </w:r>
      <w:r w:rsidR="009364FA">
        <w:rPr>
          <w:rStyle w:val="CharAttribute60"/>
          <w:rFonts w:eastAsia="Batang"/>
          <w:szCs w:val="24"/>
        </w:rPr>
        <w:t xml:space="preserve">Here I wish to connect this discussion of repetition to </w:t>
      </w:r>
      <w:proofErr w:type="spellStart"/>
      <w:r w:rsidR="009364FA">
        <w:rPr>
          <w:rStyle w:val="CharAttribute60"/>
          <w:rFonts w:eastAsia="Batang"/>
          <w:szCs w:val="24"/>
        </w:rPr>
        <w:t>Rancière’s</w:t>
      </w:r>
      <w:proofErr w:type="spellEnd"/>
      <w:r w:rsidR="009364FA">
        <w:rPr>
          <w:rStyle w:val="CharAttribute60"/>
          <w:rFonts w:eastAsia="Batang"/>
          <w:szCs w:val="24"/>
        </w:rPr>
        <w:t xml:space="preserve"> ‘</w:t>
      </w:r>
      <w:proofErr w:type="spellStart"/>
      <w:r w:rsidR="009364FA">
        <w:rPr>
          <w:rStyle w:val="CharAttribute60"/>
          <w:rFonts w:eastAsia="Batang"/>
          <w:szCs w:val="24"/>
        </w:rPr>
        <w:t>dissensus</w:t>
      </w:r>
      <w:proofErr w:type="spellEnd"/>
      <w:r w:rsidR="009364FA">
        <w:rPr>
          <w:rStyle w:val="CharAttribute60"/>
          <w:rFonts w:eastAsia="Batang"/>
          <w:szCs w:val="24"/>
        </w:rPr>
        <w:t xml:space="preserve">’. </w:t>
      </w:r>
      <w:r w:rsidR="0080737C">
        <w:rPr>
          <w:rStyle w:val="CharAttribute60"/>
          <w:rFonts w:eastAsia="Batang"/>
          <w:szCs w:val="24"/>
        </w:rPr>
        <w:t>Rancière may be a controversial figure to choose. He is sceptical of Agamben’s diagnosis of modern politics.</w:t>
      </w:r>
      <w:r w:rsidR="0080737C">
        <w:rPr>
          <w:rStyle w:val="EndnoteReference"/>
          <w:sz w:val="24"/>
          <w:szCs w:val="24"/>
        </w:rPr>
        <w:endnoteReference w:id="111"/>
      </w:r>
      <w:r w:rsidR="0080737C">
        <w:rPr>
          <w:rStyle w:val="CharAttribute60"/>
          <w:rFonts w:eastAsia="Batang"/>
          <w:szCs w:val="24"/>
        </w:rPr>
        <w:t xml:space="preserve"> However, I read</w:t>
      </w:r>
      <w:r w:rsidR="0080737C" w:rsidRPr="009364FA">
        <w:rPr>
          <w:sz w:val="24"/>
          <w:szCs w:val="24"/>
        </w:rPr>
        <w:t xml:space="preserve"> </w:t>
      </w:r>
      <w:r w:rsidR="0080737C">
        <w:rPr>
          <w:sz w:val="24"/>
          <w:szCs w:val="24"/>
        </w:rPr>
        <w:t xml:space="preserve">the idea of </w:t>
      </w:r>
      <w:proofErr w:type="spellStart"/>
      <w:r w:rsidR="0080737C">
        <w:rPr>
          <w:rStyle w:val="CharAttribute60"/>
          <w:rFonts w:eastAsia="Batang"/>
          <w:szCs w:val="24"/>
        </w:rPr>
        <w:t>dissensus</w:t>
      </w:r>
      <w:proofErr w:type="spellEnd"/>
      <w:r w:rsidR="0080737C">
        <w:rPr>
          <w:rStyle w:val="CharAttribute60"/>
          <w:rFonts w:eastAsia="Batang"/>
          <w:szCs w:val="24"/>
        </w:rPr>
        <w:t xml:space="preserve"> as pointing a possible path to how a messianic politics and law seeks to exist. </w:t>
      </w:r>
    </w:p>
    <w:p w:rsidR="009364FA" w:rsidRDefault="0080737C" w:rsidP="009364FA">
      <w:pPr>
        <w:pStyle w:val="ParaAttribute4"/>
        <w:wordWrap/>
        <w:spacing w:line="480" w:lineRule="auto"/>
        <w:rPr>
          <w:rStyle w:val="CharAttribute60"/>
          <w:rFonts w:eastAsia="Batang"/>
          <w:szCs w:val="24"/>
        </w:rPr>
      </w:pPr>
      <w:r>
        <w:rPr>
          <w:rStyle w:val="CharAttribute60"/>
          <w:rFonts w:eastAsia="Batang"/>
          <w:szCs w:val="24"/>
        </w:rPr>
        <w:lastRenderedPageBreak/>
        <w:tab/>
      </w:r>
      <w:proofErr w:type="spellStart"/>
      <w:r w:rsidR="009364FA">
        <w:rPr>
          <w:rStyle w:val="CharAttribute60"/>
          <w:rFonts w:eastAsia="Batang"/>
          <w:szCs w:val="24"/>
        </w:rPr>
        <w:t>Dissensus</w:t>
      </w:r>
      <w:proofErr w:type="spellEnd"/>
      <w:r w:rsidR="009364FA">
        <w:rPr>
          <w:rStyle w:val="CharAttribute60"/>
          <w:rFonts w:eastAsia="Batang"/>
          <w:szCs w:val="24"/>
        </w:rPr>
        <w:t xml:space="preserve"> is not consensus. It renders consensus incomplete. Consensus manages the sensible, in </w:t>
      </w:r>
      <w:proofErr w:type="spellStart"/>
      <w:r w:rsidR="009364FA">
        <w:rPr>
          <w:rStyle w:val="CharAttribute60"/>
          <w:rFonts w:eastAsia="Batang"/>
          <w:szCs w:val="24"/>
        </w:rPr>
        <w:t>Rancière’s</w:t>
      </w:r>
      <w:proofErr w:type="spellEnd"/>
      <w:r w:rsidR="009364FA">
        <w:rPr>
          <w:rStyle w:val="CharAttribute60"/>
          <w:rFonts w:eastAsia="Batang"/>
          <w:szCs w:val="24"/>
        </w:rPr>
        <w:t xml:space="preserve"> terms, by deciding who or what is visible and can be counted.</w:t>
      </w:r>
      <w:r w:rsidR="009364FA">
        <w:rPr>
          <w:rStyle w:val="EndnoteReference"/>
          <w:sz w:val="24"/>
          <w:szCs w:val="24"/>
        </w:rPr>
        <w:endnoteReference w:id="112"/>
      </w:r>
      <w:r w:rsidR="009364FA">
        <w:rPr>
          <w:rStyle w:val="CharAttribute60"/>
          <w:rFonts w:eastAsia="Batang"/>
          <w:szCs w:val="24"/>
        </w:rPr>
        <w:t xml:space="preserve"> Politics for Rancière exists in dis-agreement. </w:t>
      </w:r>
      <w:proofErr w:type="spellStart"/>
      <w:r w:rsidR="009364FA">
        <w:rPr>
          <w:rStyle w:val="CharAttribute60"/>
          <w:rFonts w:eastAsia="Batang"/>
          <w:szCs w:val="24"/>
        </w:rPr>
        <w:t>Dissensus</w:t>
      </w:r>
      <w:proofErr w:type="spellEnd"/>
      <w:r w:rsidR="009364FA">
        <w:rPr>
          <w:rStyle w:val="CharAttribute60"/>
          <w:rFonts w:eastAsia="Batang"/>
          <w:szCs w:val="24"/>
        </w:rPr>
        <w:t xml:space="preserve"> insists that agreed boundaries of thought are contested, and takes a given form and re-uses it differently, opening it to an alternative thinking.</w:t>
      </w:r>
      <w:r w:rsidR="009364FA">
        <w:rPr>
          <w:rStyle w:val="EndnoteReference"/>
          <w:sz w:val="24"/>
          <w:szCs w:val="24"/>
        </w:rPr>
        <w:endnoteReference w:id="113"/>
      </w:r>
      <w:r>
        <w:rPr>
          <w:rStyle w:val="CharAttribute60"/>
          <w:rFonts w:eastAsia="Batang"/>
          <w:szCs w:val="24"/>
        </w:rPr>
        <w:t xml:space="preserve"> In any attempt to introduce a consensus, a decisi</w:t>
      </w:r>
      <w:r w:rsidR="00FF2AAD">
        <w:rPr>
          <w:rStyle w:val="CharAttribute60"/>
          <w:rFonts w:eastAsia="Batang"/>
          <w:szCs w:val="24"/>
        </w:rPr>
        <w:t>on, there will be a remainder: ‘</w:t>
      </w:r>
      <w:r>
        <w:rPr>
          <w:rStyle w:val="CharAttribute60"/>
          <w:rFonts w:eastAsia="Batang"/>
          <w:szCs w:val="24"/>
        </w:rPr>
        <w:t>Politics exists whenever the count of parts and parties of society is disturbed by the inscription of a</w:t>
      </w:r>
      <w:r w:rsidR="00FF2AAD">
        <w:rPr>
          <w:rStyle w:val="CharAttribute60"/>
          <w:rFonts w:eastAsia="Batang"/>
          <w:szCs w:val="24"/>
        </w:rPr>
        <w:t xml:space="preserve"> part of those who have no part’</w:t>
      </w:r>
      <w:r>
        <w:rPr>
          <w:rStyle w:val="CharAttribute60"/>
          <w:rFonts w:eastAsia="Batang"/>
          <w:szCs w:val="24"/>
        </w:rPr>
        <w:t>.</w:t>
      </w:r>
      <w:r>
        <w:rPr>
          <w:rStyle w:val="EndnoteReference"/>
          <w:sz w:val="24"/>
          <w:szCs w:val="24"/>
        </w:rPr>
        <w:endnoteReference w:id="114"/>
      </w:r>
      <w:r>
        <w:rPr>
          <w:rStyle w:val="CharAttribute60"/>
          <w:rFonts w:eastAsia="Batang"/>
          <w:szCs w:val="24"/>
        </w:rPr>
        <w:t xml:space="preserve"> This remainder can challenge the hegemony of any order, </w:t>
      </w:r>
      <w:r w:rsidR="00104860">
        <w:rPr>
          <w:rStyle w:val="CharAttribute60"/>
          <w:rFonts w:eastAsia="Batang"/>
          <w:szCs w:val="24"/>
        </w:rPr>
        <w:t xml:space="preserve">and remind us that there can never be an ideal community waiting to be discovered, or a perfect Justice waiting to be instituted. </w:t>
      </w:r>
      <w:proofErr w:type="spellStart"/>
      <w:r w:rsidR="00104860">
        <w:rPr>
          <w:rStyle w:val="CharAttribute60"/>
          <w:rFonts w:eastAsia="Batang"/>
          <w:szCs w:val="24"/>
        </w:rPr>
        <w:t>Dissensus</w:t>
      </w:r>
      <w:proofErr w:type="spellEnd"/>
      <w:r w:rsidR="00104860">
        <w:rPr>
          <w:rStyle w:val="CharAttribute60"/>
          <w:rFonts w:eastAsia="Batang"/>
          <w:szCs w:val="24"/>
        </w:rPr>
        <w:t xml:space="preserve"> disputes what is given, and contests the frame, the boundaries, within which we see something as given. Even here, </w:t>
      </w:r>
      <w:proofErr w:type="spellStart"/>
      <w:r w:rsidR="00104860">
        <w:rPr>
          <w:rStyle w:val="CharAttribute60"/>
          <w:rFonts w:eastAsia="Batang"/>
          <w:szCs w:val="24"/>
        </w:rPr>
        <w:t>dissensus</w:t>
      </w:r>
      <w:proofErr w:type="spellEnd"/>
      <w:r w:rsidR="00104860">
        <w:rPr>
          <w:rStyle w:val="CharAttribute60"/>
          <w:rFonts w:eastAsia="Batang"/>
          <w:szCs w:val="24"/>
        </w:rPr>
        <w:t xml:space="preserve"> depends upon the idea of repetition opening up novelty:</w:t>
      </w:r>
    </w:p>
    <w:p w:rsidR="00104860" w:rsidRDefault="00104860" w:rsidP="009364FA">
      <w:pPr>
        <w:pStyle w:val="ParaAttribute4"/>
        <w:wordWrap/>
        <w:spacing w:line="480" w:lineRule="auto"/>
        <w:rPr>
          <w:rStyle w:val="CharAttribute60"/>
          <w:rFonts w:eastAsia="Batang"/>
          <w:szCs w:val="24"/>
        </w:rPr>
      </w:pPr>
    </w:p>
    <w:p w:rsidR="00104860" w:rsidRPr="0080737C" w:rsidRDefault="00104860" w:rsidP="00104860">
      <w:pPr>
        <w:pStyle w:val="ParaAttribute4"/>
        <w:wordWrap/>
        <w:spacing w:line="480" w:lineRule="auto"/>
        <w:ind w:left="567"/>
        <w:rPr>
          <w:rStyle w:val="CharAttribute60"/>
          <w:rFonts w:eastAsia="Batang"/>
          <w:szCs w:val="24"/>
        </w:rPr>
      </w:pPr>
      <w:r>
        <w:rPr>
          <w:rStyle w:val="CharAttribute60"/>
          <w:rFonts w:eastAsia="Batang"/>
          <w:szCs w:val="24"/>
        </w:rPr>
        <w:t xml:space="preserve">Politics exists as long as singular forms of </w:t>
      </w:r>
      <w:proofErr w:type="spellStart"/>
      <w:r>
        <w:rPr>
          <w:rStyle w:val="CharAttribute60"/>
          <w:rFonts w:eastAsia="Batang"/>
          <w:szCs w:val="24"/>
        </w:rPr>
        <w:t>subjectification</w:t>
      </w:r>
      <w:proofErr w:type="spellEnd"/>
      <w:r>
        <w:rPr>
          <w:rStyle w:val="CharAttribute60"/>
          <w:rFonts w:eastAsia="Batang"/>
          <w:szCs w:val="24"/>
        </w:rPr>
        <w:t xml:space="preserve"> repeat the forms of the original inscription of the identity between the whole of the community and the nothing that separates it from itself – in other words, the sole count of its parts. Politics ceases wherever this gap no longer has any place, wherever the whole of the community is reduced to the sum of its parts with nothing left over.</w:t>
      </w:r>
      <w:r>
        <w:rPr>
          <w:rStyle w:val="EndnoteReference"/>
          <w:sz w:val="24"/>
          <w:szCs w:val="24"/>
        </w:rPr>
        <w:endnoteReference w:id="115"/>
      </w:r>
    </w:p>
    <w:p w:rsidR="009364FA" w:rsidRDefault="009364FA" w:rsidP="008E3AE6">
      <w:pPr>
        <w:pStyle w:val="ParaAttribute4"/>
        <w:wordWrap/>
        <w:spacing w:line="480" w:lineRule="auto"/>
        <w:rPr>
          <w:rStyle w:val="CharAttribute60"/>
          <w:rFonts w:eastAsia="Batang"/>
          <w:szCs w:val="24"/>
        </w:rPr>
      </w:pPr>
    </w:p>
    <w:p w:rsidR="00FF603C" w:rsidRDefault="00237A3D" w:rsidP="004B4223">
      <w:pPr>
        <w:pStyle w:val="ParaAttribute4"/>
        <w:wordWrap/>
        <w:spacing w:line="480" w:lineRule="auto"/>
        <w:rPr>
          <w:sz w:val="24"/>
          <w:szCs w:val="24"/>
        </w:rPr>
      </w:pPr>
      <w:r>
        <w:rPr>
          <w:rStyle w:val="CharAttribute60"/>
          <w:rFonts w:eastAsia="Batang"/>
          <w:szCs w:val="24"/>
        </w:rPr>
        <w:t xml:space="preserve">Freed from its mythic foundations, tradition (in the form of precedent) is </w:t>
      </w:r>
      <w:r w:rsidR="00C54582">
        <w:rPr>
          <w:rStyle w:val="CharAttribute60"/>
          <w:rFonts w:eastAsia="Batang"/>
          <w:szCs w:val="24"/>
        </w:rPr>
        <w:t>made open for a</w:t>
      </w:r>
      <w:r w:rsidR="00741D72">
        <w:rPr>
          <w:rStyle w:val="CharAttribute60"/>
          <w:rFonts w:eastAsia="Batang"/>
          <w:szCs w:val="24"/>
        </w:rPr>
        <w:t xml:space="preserve"> new</w:t>
      </w:r>
      <w:r w:rsidR="0064371A">
        <w:rPr>
          <w:rStyle w:val="CharAttribute60"/>
          <w:rFonts w:eastAsia="Batang"/>
          <w:szCs w:val="24"/>
        </w:rPr>
        <w:t xml:space="preserve"> use, a </w:t>
      </w:r>
      <w:proofErr w:type="spellStart"/>
      <w:r w:rsidR="0064371A">
        <w:rPr>
          <w:rStyle w:val="CharAttribute60"/>
          <w:rFonts w:eastAsia="Batang"/>
          <w:szCs w:val="24"/>
        </w:rPr>
        <w:t>dissensus</w:t>
      </w:r>
      <w:proofErr w:type="spellEnd"/>
      <w:r w:rsidR="0064371A">
        <w:rPr>
          <w:rStyle w:val="CharAttribute60"/>
          <w:rFonts w:eastAsia="Batang"/>
          <w:szCs w:val="24"/>
        </w:rPr>
        <w:t xml:space="preserve"> which h</w:t>
      </w:r>
      <w:r w:rsidR="004B4223">
        <w:rPr>
          <w:rStyle w:val="CharAttribute60"/>
          <w:rFonts w:eastAsia="Batang"/>
          <w:szCs w:val="24"/>
        </w:rPr>
        <w:t>as no answer but only possibilities</w:t>
      </w:r>
      <w:r w:rsidR="00741D72">
        <w:rPr>
          <w:rStyle w:val="CharAttribute60"/>
          <w:rFonts w:eastAsia="Batang"/>
          <w:szCs w:val="24"/>
        </w:rPr>
        <w:t xml:space="preserve">. </w:t>
      </w:r>
      <w:r w:rsidR="004B4223">
        <w:rPr>
          <w:rStyle w:val="CharAttribute60"/>
          <w:rFonts w:eastAsia="Batang"/>
          <w:szCs w:val="24"/>
        </w:rPr>
        <w:t xml:space="preserve">Most </w:t>
      </w:r>
      <w:r w:rsidR="004B4223">
        <w:rPr>
          <w:rStyle w:val="CharAttribute60"/>
          <w:rFonts w:eastAsia="Batang"/>
          <w:szCs w:val="24"/>
        </w:rPr>
        <w:lastRenderedPageBreak/>
        <w:t>crucial of all, this law, and politics, is entirely profane, as Zartaloudis has so eloquently stated:</w:t>
      </w:r>
    </w:p>
    <w:p w:rsidR="003607A0" w:rsidRDefault="003607A0" w:rsidP="008E3AE6">
      <w:pPr>
        <w:pStyle w:val="ParaAttribute4"/>
        <w:wordWrap/>
        <w:spacing w:line="480" w:lineRule="auto"/>
        <w:rPr>
          <w:rStyle w:val="CharAttribute60"/>
          <w:rFonts w:eastAsia="Batang"/>
          <w:szCs w:val="24"/>
        </w:rPr>
      </w:pPr>
    </w:p>
    <w:p w:rsidR="00C54582" w:rsidRPr="003273CC" w:rsidRDefault="00C54582" w:rsidP="003607A0">
      <w:pPr>
        <w:pStyle w:val="ParaAttribute4"/>
        <w:wordWrap/>
        <w:spacing w:line="480" w:lineRule="auto"/>
        <w:ind w:left="567"/>
        <w:rPr>
          <w:sz w:val="24"/>
          <w:szCs w:val="24"/>
        </w:rPr>
      </w:pPr>
      <w:r w:rsidRPr="003273CC">
        <w:rPr>
          <w:sz w:val="24"/>
          <w:szCs w:val="24"/>
        </w:rPr>
        <w:t xml:space="preserve">This means that legislative practice will continue to fail, at times, to provide good laws and that juridical justice (judgment) will also be, contingently or intentionally, unsuccessfully </w:t>
      </w:r>
      <w:r w:rsidRPr="003273CC">
        <w:rPr>
          <w:i/>
          <w:sz w:val="24"/>
          <w:szCs w:val="24"/>
        </w:rPr>
        <w:t>observed</w:t>
      </w:r>
      <w:r w:rsidRPr="003273CC">
        <w:rPr>
          <w:sz w:val="24"/>
          <w:szCs w:val="24"/>
        </w:rPr>
        <w:t>, and that, for once whatever power, impotence and failure there is will be ours alone.</w:t>
      </w:r>
      <w:r w:rsidR="00163B4C">
        <w:rPr>
          <w:rStyle w:val="EndnoteReference"/>
          <w:sz w:val="24"/>
          <w:szCs w:val="24"/>
        </w:rPr>
        <w:endnoteReference w:id="116"/>
      </w:r>
    </w:p>
    <w:p w:rsidR="00741D72" w:rsidRDefault="00741D72" w:rsidP="008E3AE6">
      <w:pPr>
        <w:pStyle w:val="ParaAttribute4"/>
        <w:wordWrap/>
        <w:spacing w:line="480" w:lineRule="auto"/>
        <w:rPr>
          <w:rStyle w:val="CharAttribute60"/>
          <w:rFonts w:eastAsia="Batang"/>
          <w:szCs w:val="24"/>
        </w:rPr>
      </w:pPr>
    </w:p>
    <w:p w:rsidR="005E17EA" w:rsidRDefault="004B3A68" w:rsidP="008E3AE6">
      <w:pPr>
        <w:pStyle w:val="ParaAttribute4"/>
        <w:wordWrap/>
        <w:spacing w:line="480" w:lineRule="auto"/>
        <w:rPr>
          <w:sz w:val="24"/>
          <w:szCs w:val="24"/>
        </w:rPr>
      </w:pPr>
      <w:r>
        <w:rPr>
          <w:rStyle w:val="CharAttribute60"/>
          <w:rFonts w:eastAsia="Batang"/>
          <w:szCs w:val="24"/>
        </w:rPr>
        <w:t xml:space="preserve">The politics to come has no user manual. It is a difficult, ethical struggle. </w:t>
      </w:r>
    </w:p>
    <w:sectPr w:rsidR="005E17EA" w:rsidSect="008E3AE6">
      <w:footerReference w:type="default" r:id="rId8"/>
      <w:endnotePr>
        <w:numFmt w:val="decimal"/>
      </w:endnotePr>
      <w:pgSz w:w="11906" w:h="16838" w:code="9"/>
      <w:pgMar w:top="1985" w:right="1985" w:bottom="1985" w:left="1985" w:header="851" w:footer="550"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A9" w:rsidRDefault="00FD74A9" w:rsidP="005E17EA">
      <w:r>
        <w:separator/>
      </w:r>
    </w:p>
  </w:endnote>
  <w:endnote w:type="continuationSeparator" w:id="0">
    <w:p w:rsidR="00FD74A9" w:rsidRDefault="00FD74A9" w:rsidP="005E17EA">
      <w:r>
        <w:continuationSeparator/>
      </w:r>
    </w:p>
  </w:endnote>
  <w:endnote w:id="1">
    <w:p w:rsidR="00104860" w:rsidRPr="000B15E0" w:rsidRDefault="00104860" w:rsidP="00A675BC">
      <w:pPr>
        <w:pStyle w:val="EndnoteText"/>
        <w:wordWrap/>
        <w:spacing w:line="480" w:lineRule="auto"/>
        <w:rPr>
          <w:rFonts w:ascii="Times New Roman"/>
          <w:i/>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Fonts w:ascii="Times New Roman"/>
          <w:sz w:val="24"/>
          <w:szCs w:val="24"/>
          <w:lang w:val="en-GB"/>
        </w:rPr>
        <w:t xml:space="preserve">Giorgio </w:t>
      </w:r>
      <w:proofErr w:type="gramStart"/>
      <w:r w:rsidRPr="000B15E0">
        <w:rPr>
          <w:rFonts w:ascii="Times New Roman"/>
          <w:sz w:val="24"/>
          <w:szCs w:val="24"/>
          <w:lang w:val="en-GB"/>
        </w:rPr>
        <w:t>Agamben,</w:t>
      </w:r>
      <w:proofErr w:type="gramEnd"/>
      <w:r w:rsidRPr="000B15E0">
        <w:rPr>
          <w:rFonts w:ascii="Times New Roman"/>
          <w:sz w:val="24"/>
          <w:szCs w:val="24"/>
          <w:lang w:val="en-GB"/>
        </w:rPr>
        <w:t xml:space="preserve"> </w:t>
      </w:r>
      <w:r w:rsidRPr="000B15E0">
        <w:rPr>
          <w:rFonts w:ascii="Times New Roman"/>
          <w:i/>
          <w:sz w:val="24"/>
          <w:szCs w:val="24"/>
          <w:lang w:val="en-GB"/>
        </w:rPr>
        <w:t>Means Without Ends</w:t>
      </w:r>
      <w:r w:rsidRPr="000B15E0">
        <w:rPr>
          <w:rFonts w:ascii="Times New Roman"/>
          <w:sz w:val="24"/>
          <w:szCs w:val="24"/>
          <w:lang w:val="en-GB"/>
        </w:rPr>
        <w:t>,</w:t>
      </w:r>
      <w:r w:rsidRPr="000B15E0">
        <w:rPr>
          <w:rFonts w:ascii="Times New Roman"/>
          <w:i/>
          <w:sz w:val="24"/>
          <w:szCs w:val="24"/>
          <w:lang w:val="en-GB"/>
        </w:rPr>
        <w:t xml:space="preserve"> </w:t>
      </w:r>
      <w:r w:rsidR="004B4223">
        <w:rPr>
          <w:rFonts w:ascii="Times New Roman"/>
          <w:sz w:val="24"/>
          <w:szCs w:val="24"/>
        </w:rPr>
        <w:t>tr</w:t>
      </w:r>
      <w:r w:rsidR="00562365">
        <w:rPr>
          <w:rFonts w:ascii="Times New Roman"/>
          <w:sz w:val="24"/>
          <w:szCs w:val="24"/>
        </w:rPr>
        <w:t>an</w:t>
      </w:r>
      <w:r w:rsidRPr="000B15E0">
        <w:rPr>
          <w:rFonts w:ascii="Times New Roman"/>
          <w:sz w:val="24"/>
          <w:szCs w:val="24"/>
        </w:rPr>
        <w:t xml:space="preserve">s. </w:t>
      </w:r>
      <w:proofErr w:type="spellStart"/>
      <w:r w:rsidRPr="000B15E0">
        <w:rPr>
          <w:rFonts w:ascii="Times New Roman"/>
          <w:sz w:val="24"/>
          <w:szCs w:val="24"/>
        </w:rPr>
        <w:t>Vicenzo</w:t>
      </w:r>
      <w:proofErr w:type="spellEnd"/>
      <w:r w:rsidRPr="000B15E0">
        <w:rPr>
          <w:rFonts w:ascii="Times New Roman"/>
          <w:sz w:val="24"/>
          <w:szCs w:val="24"/>
        </w:rPr>
        <w:t xml:space="preserve"> </w:t>
      </w:r>
      <w:proofErr w:type="spellStart"/>
      <w:r w:rsidRPr="000B15E0">
        <w:rPr>
          <w:rFonts w:ascii="Times New Roman"/>
          <w:sz w:val="24"/>
          <w:szCs w:val="24"/>
        </w:rPr>
        <w:t>Binetti</w:t>
      </w:r>
      <w:proofErr w:type="spellEnd"/>
      <w:r w:rsidRPr="000B15E0">
        <w:rPr>
          <w:rFonts w:ascii="Times New Roman"/>
          <w:sz w:val="24"/>
          <w:szCs w:val="24"/>
        </w:rPr>
        <w:t xml:space="preserve"> and </w:t>
      </w:r>
      <w:proofErr w:type="spellStart"/>
      <w:r w:rsidRPr="000B15E0">
        <w:rPr>
          <w:rFonts w:ascii="Times New Roman"/>
          <w:sz w:val="24"/>
          <w:szCs w:val="24"/>
        </w:rPr>
        <w:t>Cesare</w:t>
      </w:r>
      <w:proofErr w:type="spellEnd"/>
      <w:r w:rsidRPr="000B15E0">
        <w:rPr>
          <w:rFonts w:ascii="Times New Roman"/>
          <w:sz w:val="24"/>
          <w:szCs w:val="24"/>
        </w:rPr>
        <w:t xml:space="preserve"> </w:t>
      </w:r>
      <w:proofErr w:type="spellStart"/>
      <w:r w:rsidRPr="000B15E0">
        <w:rPr>
          <w:rFonts w:ascii="Times New Roman"/>
          <w:sz w:val="24"/>
          <w:szCs w:val="24"/>
        </w:rPr>
        <w:t>Casarino</w:t>
      </w:r>
      <w:proofErr w:type="spellEnd"/>
      <w:r w:rsidRPr="000B15E0">
        <w:rPr>
          <w:rFonts w:ascii="Times New Roman"/>
          <w:sz w:val="24"/>
          <w:szCs w:val="24"/>
        </w:rPr>
        <w:t xml:space="preserve"> (Minneapolis: University of Minnesota Press, 1996)</w:t>
      </w:r>
      <w:r w:rsidR="00562365">
        <w:rPr>
          <w:rFonts w:ascii="Times New Roman"/>
          <w:sz w:val="24"/>
          <w:szCs w:val="24"/>
        </w:rPr>
        <w:t>,</w:t>
      </w:r>
      <w:r w:rsidRPr="000B15E0">
        <w:rPr>
          <w:rFonts w:ascii="Times New Roman"/>
          <w:sz w:val="24"/>
          <w:szCs w:val="24"/>
        </w:rPr>
        <w:t xml:space="preserve"> p.109.</w:t>
      </w:r>
    </w:p>
  </w:endnote>
  <w:endnote w:id="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Peter Fitzpatrick, </w:t>
      </w:r>
      <w:r w:rsidRPr="000B15E0">
        <w:rPr>
          <w:rFonts w:ascii="Times New Roman"/>
          <w:i/>
          <w:sz w:val="24"/>
          <w:szCs w:val="24"/>
        </w:rPr>
        <w:t xml:space="preserve">The Mythology of Modern Law </w:t>
      </w:r>
      <w:r w:rsidRPr="000B15E0">
        <w:rPr>
          <w:rFonts w:ascii="Times New Roman"/>
          <w:sz w:val="24"/>
          <w:szCs w:val="24"/>
        </w:rPr>
        <w:t>(</w:t>
      </w:r>
      <w:r>
        <w:rPr>
          <w:rFonts w:ascii="Times New Roman"/>
          <w:sz w:val="24"/>
          <w:szCs w:val="24"/>
        </w:rPr>
        <w:t xml:space="preserve">Abingdon: </w:t>
      </w:r>
      <w:r w:rsidRPr="000B15E0">
        <w:rPr>
          <w:rFonts w:ascii="Times New Roman"/>
          <w:sz w:val="24"/>
          <w:szCs w:val="24"/>
        </w:rPr>
        <w:t>Routledge</w:t>
      </w:r>
      <w:r>
        <w:rPr>
          <w:rFonts w:ascii="Times New Roman"/>
          <w:sz w:val="24"/>
          <w:szCs w:val="24"/>
        </w:rPr>
        <w:t>,</w:t>
      </w:r>
      <w:r w:rsidRPr="000B15E0">
        <w:rPr>
          <w:rFonts w:ascii="Times New Roman"/>
          <w:sz w:val="24"/>
          <w:szCs w:val="24"/>
        </w:rPr>
        <w:t xml:space="preserve"> 1992)</w:t>
      </w:r>
      <w:r w:rsidR="00172666">
        <w:rPr>
          <w:rFonts w:ascii="Times New Roman"/>
          <w:sz w:val="24"/>
          <w:szCs w:val="24"/>
        </w:rPr>
        <w:t>,</w:t>
      </w:r>
      <w:r w:rsidRPr="000B15E0">
        <w:rPr>
          <w:rFonts w:ascii="Times New Roman"/>
          <w:sz w:val="24"/>
          <w:szCs w:val="24"/>
        </w:rPr>
        <w:t xml:space="preserve"> p.1.</w:t>
      </w:r>
    </w:p>
  </w:endnote>
  <w:endnote w:id="3">
    <w:p w:rsidR="00104860" w:rsidRPr="000B15E0" w:rsidRDefault="00104860" w:rsidP="00A675BC">
      <w:pPr>
        <w:pStyle w:val="EndnoteText"/>
        <w:wordWrap/>
        <w:spacing w:line="480" w:lineRule="auto"/>
        <w:rPr>
          <w:rFonts w:ascii="Times New Roman"/>
          <w:sz w:val="24"/>
          <w:szCs w:val="24"/>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Fonts w:ascii="Times New Roman"/>
          <w:sz w:val="24"/>
          <w:szCs w:val="24"/>
        </w:rPr>
        <w:t xml:space="preserve">Giorgio Agamben, </w:t>
      </w:r>
      <w:r w:rsidRPr="000B15E0">
        <w:rPr>
          <w:rFonts w:ascii="Times New Roman"/>
          <w:sz w:val="24"/>
          <w:szCs w:val="24"/>
          <w:lang w:val="en-GB"/>
        </w:rPr>
        <w:t xml:space="preserve">‘Philosophical Archaeology’ (2009) 20 </w:t>
      </w:r>
      <w:r w:rsidRPr="006636EF">
        <w:rPr>
          <w:rFonts w:ascii="Times New Roman"/>
          <w:i/>
          <w:sz w:val="24"/>
          <w:szCs w:val="24"/>
          <w:lang w:val="en-GB"/>
        </w:rPr>
        <w:t>Law and Critique</w:t>
      </w:r>
      <w:r w:rsidRPr="000B15E0">
        <w:rPr>
          <w:rFonts w:ascii="Times New Roman"/>
          <w:sz w:val="24"/>
          <w:szCs w:val="24"/>
          <w:lang w:val="en-GB"/>
        </w:rPr>
        <w:t xml:space="preserve"> 211</w:t>
      </w:r>
      <w:r w:rsidR="00A47C1C">
        <w:rPr>
          <w:rFonts w:ascii="Times New Roman"/>
          <w:sz w:val="24"/>
          <w:szCs w:val="24"/>
          <w:lang w:val="en-GB"/>
        </w:rPr>
        <w:t>-31</w:t>
      </w:r>
      <w:r w:rsidRPr="000B15E0">
        <w:rPr>
          <w:rFonts w:ascii="Times New Roman"/>
          <w:sz w:val="24"/>
          <w:szCs w:val="24"/>
          <w:lang w:val="en-GB"/>
        </w:rPr>
        <w:t>, 214.</w:t>
      </w:r>
      <w:proofErr w:type="gramEnd"/>
    </w:p>
  </w:endnote>
  <w:endnote w:id="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Jean-Luc Nancy, </w:t>
      </w:r>
      <w:r w:rsidRPr="000B15E0">
        <w:rPr>
          <w:rFonts w:ascii="Times New Roman"/>
          <w:i/>
          <w:sz w:val="24"/>
          <w:szCs w:val="24"/>
        </w:rPr>
        <w:t>The Inoperative Community</w:t>
      </w:r>
      <w:r>
        <w:rPr>
          <w:rFonts w:ascii="Times New Roman"/>
          <w:sz w:val="24"/>
          <w:szCs w:val="24"/>
        </w:rPr>
        <w:t xml:space="preserve">, ed. </w:t>
      </w:r>
      <w:r w:rsidRPr="000B15E0">
        <w:rPr>
          <w:rFonts w:ascii="Times New Roman"/>
          <w:sz w:val="24"/>
          <w:szCs w:val="24"/>
        </w:rPr>
        <w:t xml:space="preserve">Peter Connor </w:t>
      </w:r>
      <w:r>
        <w:rPr>
          <w:rFonts w:ascii="Times New Roman"/>
          <w:sz w:val="24"/>
          <w:szCs w:val="24"/>
        </w:rPr>
        <w:t>(Minneapolis:</w:t>
      </w:r>
      <w:r w:rsidRPr="000B15E0">
        <w:rPr>
          <w:rFonts w:ascii="Times New Roman"/>
          <w:sz w:val="24"/>
          <w:szCs w:val="24"/>
        </w:rPr>
        <w:t xml:space="preserve"> University of Minnesota Press</w:t>
      </w:r>
      <w:r w:rsidR="00A47C1C">
        <w:rPr>
          <w:rFonts w:ascii="Times New Roman"/>
          <w:sz w:val="24"/>
          <w:szCs w:val="24"/>
        </w:rPr>
        <w:t>,</w:t>
      </w:r>
      <w:r w:rsidRPr="000B15E0">
        <w:rPr>
          <w:rFonts w:ascii="Times New Roman"/>
          <w:sz w:val="24"/>
          <w:szCs w:val="24"/>
        </w:rPr>
        <w:t xml:space="preserve"> 1991)</w:t>
      </w:r>
      <w:r w:rsidR="00A47C1C">
        <w:rPr>
          <w:rFonts w:ascii="Times New Roman"/>
          <w:sz w:val="24"/>
          <w:szCs w:val="24"/>
        </w:rPr>
        <w:t>,</w:t>
      </w:r>
      <w:r w:rsidRPr="000B15E0">
        <w:rPr>
          <w:rFonts w:ascii="Times New Roman"/>
          <w:sz w:val="24"/>
          <w:szCs w:val="24"/>
        </w:rPr>
        <w:t xml:space="preserve"> p.44.</w:t>
      </w:r>
    </w:p>
  </w:endnote>
  <w:endnote w:id="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2"/>
          <w:rFonts w:eastAsia="Batang"/>
          <w:sz w:val="24"/>
          <w:szCs w:val="24"/>
        </w:rPr>
        <w:t xml:space="preserve">Fitzpatrick, </w:t>
      </w:r>
      <w:r w:rsidRPr="000B15E0">
        <w:rPr>
          <w:rFonts w:ascii="Times New Roman"/>
          <w:i/>
          <w:sz w:val="24"/>
          <w:szCs w:val="24"/>
        </w:rPr>
        <w:t>The Mythology of Modern Law</w:t>
      </w:r>
      <w:r>
        <w:rPr>
          <w:rFonts w:ascii="Times New Roman"/>
          <w:sz w:val="24"/>
          <w:szCs w:val="24"/>
        </w:rPr>
        <w:t>,</w:t>
      </w:r>
      <w:r w:rsidRPr="000B15E0">
        <w:rPr>
          <w:rFonts w:ascii="Times New Roman"/>
          <w:i/>
          <w:sz w:val="24"/>
          <w:szCs w:val="24"/>
        </w:rPr>
        <w:t xml:space="preserve"> </w:t>
      </w:r>
      <w:r>
        <w:rPr>
          <w:rFonts w:ascii="Times New Roman"/>
          <w:sz w:val="24"/>
          <w:szCs w:val="24"/>
        </w:rPr>
        <w:t>p.</w:t>
      </w:r>
      <w:r w:rsidRPr="000B15E0">
        <w:rPr>
          <w:rFonts w:ascii="Times New Roman"/>
          <w:sz w:val="24"/>
          <w:szCs w:val="24"/>
        </w:rPr>
        <w:t>16.</w:t>
      </w:r>
      <w:proofErr w:type="gramEnd"/>
    </w:p>
  </w:endnote>
  <w:endnote w:id="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2"/>
          <w:rFonts w:eastAsia="Batang"/>
          <w:sz w:val="24"/>
          <w:szCs w:val="24"/>
        </w:rPr>
        <w:t xml:space="preserve">Fitzpatrick, </w:t>
      </w:r>
      <w:r w:rsidRPr="000B15E0">
        <w:rPr>
          <w:rFonts w:ascii="Times New Roman"/>
          <w:i/>
          <w:sz w:val="24"/>
          <w:szCs w:val="24"/>
        </w:rPr>
        <w:t>The Mythology of Modern Law</w:t>
      </w:r>
      <w:r>
        <w:rPr>
          <w:rFonts w:ascii="Times New Roman"/>
          <w:sz w:val="24"/>
          <w:szCs w:val="24"/>
        </w:rPr>
        <w:t>,</w:t>
      </w:r>
      <w:r w:rsidRPr="000B15E0">
        <w:rPr>
          <w:rFonts w:ascii="Times New Roman"/>
          <w:i/>
          <w:sz w:val="24"/>
          <w:szCs w:val="24"/>
        </w:rPr>
        <w:t xml:space="preserve"> </w:t>
      </w:r>
      <w:r>
        <w:rPr>
          <w:rFonts w:ascii="Times New Roman"/>
          <w:sz w:val="24"/>
          <w:szCs w:val="24"/>
        </w:rPr>
        <w:t>p.1</w:t>
      </w:r>
      <w:r w:rsidRPr="000B15E0">
        <w:rPr>
          <w:rStyle w:val="CharAttribute72"/>
          <w:rFonts w:eastAsia="Batang"/>
          <w:sz w:val="24"/>
          <w:szCs w:val="24"/>
        </w:rPr>
        <w:t>9.</w:t>
      </w:r>
      <w:proofErr w:type="gramEnd"/>
    </w:p>
  </w:endnote>
  <w:endnote w:id="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spellStart"/>
      <w:proofErr w:type="gramStart"/>
      <w:r w:rsidRPr="000B15E0">
        <w:rPr>
          <w:rStyle w:val="CharAttribute72"/>
          <w:rFonts w:eastAsia="Batang"/>
          <w:sz w:val="24"/>
          <w:szCs w:val="24"/>
        </w:rPr>
        <w:t>Mircea</w:t>
      </w:r>
      <w:proofErr w:type="spellEnd"/>
      <w:r w:rsidRPr="000B15E0">
        <w:rPr>
          <w:rStyle w:val="CharAttribute72"/>
          <w:rFonts w:eastAsia="Batang"/>
          <w:sz w:val="24"/>
          <w:szCs w:val="24"/>
        </w:rPr>
        <w:t xml:space="preserve"> </w:t>
      </w:r>
      <w:proofErr w:type="spellStart"/>
      <w:r w:rsidRPr="000B15E0">
        <w:rPr>
          <w:rStyle w:val="CharAttribute72"/>
          <w:rFonts w:eastAsia="Batang"/>
          <w:sz w:val="24"/>
          <w:szCs w:val="24"/>
        </w:rPr>
        <w:t>Eliade</w:t>
      </w:r>
      <w:proofErr w:type="spellEnd"/>
      <w:r w:rsidRPr="000B15E0">
        <w:rPr>
          <w:rStyle w:val="CharAttribute72"/>
          <w:rFonts w:eastAsia="Batang"/>
          <w:sz w:val="24"/>
          <w:szCs w:val="24"/>
        </w:rPr>
        <w:t xml:space="preserve">, </w:t>
      </w:r>
      <w:r w:rsidRPr="000B15E0">
        <w:rPr>
          <w:rStyle w:val="CharAttribute70"/>
          <w:rFonts w:eastAsia="Batang"/>
          <w:sz w:val="24"/>
          <w:szCs w:val="24"/>
        </w:rPr>
        <w:t xml:space="preserve">Myth and Reality </w:t>
      </w:r>
      <w:r w:rsidRPr="000B15E0">
        <w:rPr>
          <w:rStyle w:val="CharAttribute72"/>
          <w:rFonts w:eastAsia="Batang"/>
          <w:sz w:val="24"/>
          <w:szCs w:val="24"/>
        </w:rPr>
        <w:t>(</w:t>
      </w:r>
      <w:r>
        <w:rPr>
          <w:rStyle w:val="CharAttribute72"/>
          <w:rFonts w:eastAsia="Batang"/>
          <w:sz w:val="24"/>
          <w:szCs w:val="24"/>
        </w:rPr>
        <w:t xml:space="preserve">London: </w:t>
      </w:r>
      <w:r w:rsidRPr="000B15E0">
        <w:rPr>
          <w:rStyle w:val="CharAttribute72"/>
          <w:rFonts w:eastAsia="Batang"/>
          <w:sz w:val="24"/>
          <w:szCs w:val="24"/>
        </w:rPr>
        <w:t>Harper &amp; Row</w:t>
      </w:r>
      <w:r w:rsidR="00A47C1C">
        <w:rPr>
          <w:rStyle w:val="CharAttribute72"/>
          <w:rFonts w:eastAsia="Batang"/>
          <w:sz w:val="24"/>
          <w:szCs w:val="24"/>
        </w:rPr>
        <w:t>,</w:t>
      </w:r>
      <w:r w:rsidRPr="000B15E0">
        <w:rPr>
          <w:rStyle w:val="CharAttribute72"/>
          <w:rFonts w:eastAsia="Batang"/>
          <w:sz w:val="24"/>
          <w:szCs w:val="24"/>
        </w:rPr>
        <w:t xml:space="preserve"> 1963)</w:t>
      </w:r>
      <w:r w:rsidR="00796677">
        <w:rPr>
          <w:rStyle w:val="CharAttribute72"/>
          <w:rFonts w:eastAsia="Batang"/>
          <w:sz w:val="24"/>
          <w:szCs w:val="24"/>
        </w:rPr>
        <w:t>,</w:t>
      </w:r>
      <w:r w:rsidRPr="000B15E0">
        <w:rPr>
          <w:rStyle w:val="CharAttribute72"/>
          <w:rFonts w:eastAsia="Batang"/>
          <w:sz w:val="24"/>
          <w:szCs w:val="24"/>
        </w:rPr>
        <w:t xml:space="preserve"> </w:t>
      </w:r>
      <w:r w:rsidR="00BF4B0C">
        <w:rPr>
          <w:rStyle w:val="CharAttribute72"/>
          <w:rFonts w:eastAsia="Batang"/>
          <w:sz w:val="24"/>
          <w:szCs w:val="24"/>
        </w:rPr>
        <w:t>p.</w:t>
      </w:r>
      <w:r w:rsidRPr="000B15E0">
        <w:rPr>
          <w:rStyle w:val="CharAttribute72"/>
          <w:rFonts w:eastAsia="Batang"/>
          <w:sz w:val="24"/>
          <w:szCs w:val="24"/>
        </w:rPr>
        <w:t>6.</w:t>
      </w:r>
      <w:proofErr w:type="gramEnd"/>
    </w:p>
  </w:endnote>
  <w:endnote w:id="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2"/>
          <w:rFonts w:eastAsia="Batang"/>
          <w:sz w:val="24"/>
          <w:szCs w:val="24"/>
        </w:rPr>
        <w:t xml:space="preserve">Fitzpatrick, </w:t>
      </w:r>
      <w:r w:rsidRPr="000B15E0">
        <w:rPr>
          <w:rFonts w:ascii="Times New Roman"/>
          <w:i/>
          <w:sz w:val="24"/>
          <w:szCs w:val="24"/>
        </w:rPr>
        <w:t>The Mythology of Modern Law</w:t>
      </w:r>
      <w:r>
        <w:rPr>
          <w:rFonts w:ascii="Times New Roman"/>
          <w:sz w:val="24"/>
          <w:szCs w:val="24"/>
        </w:rPr>
        <w:t>,</w:t>
      </w:r>
      <w:r w:rsidRPr="000B15E0">
        <w:rPr>
          <w:rFonts w:ascii="Times New Roman"/>
          <w:i/>
          <w:sz w:val="24"/>
          <w:szCs w:val="24"/>
        </w:rPr>
        <w:t xml:space="preserve"> </w:t>
      </w:r>
      <w:r>
        <w:rPr>
          <w:rFonts w:ascii="Times New Roman"/>
          <w:sz w:val="24"/>
          <w:szCs w:val="24"/>
        </w:rPr>
        <w:t>p.1</w:t>
      </w:r>
      <w:r w:rsidRPr="000B15E0">
        <w:rPr>
          <w:rStyle w:val="CharAttribute72"/>
          <w:rFonts w:eastAsia="Batang"/>
          <w:sz w:val="24"/>
          <w:szCs w:val="24"/>
        </w:rPr>
        <w:t>9.</w:t>
      </w:r>
      <w:proofErr w:type="gramEnd"/>
    </w:p>
  </w:endnote>
  <w:endnote w:id="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72"/>
          <w:rFonts w:eastAsia="Batang"/>
          <w:sz w:val="24"/>
          <w:szCs w:val="24"/>
        </w:rPr>
        <w:t xml:space="preserve">Michel Foucault, </w:t>
      </w:r>
      <w:r w:rsidRPr="000B15E0">
        <w:rPr>
          <w:rStyle w:val="CharAttribute70"/>
          <w:rFonts w:eastAsia="Batang"/>
          <w:sz w:val="24"/>
          <w:szCs w:val="24"/>
        </w:rPr>
        <w:t>The Order of Things: An Archaeology of the Human Sciences</w:t>
      </w:r>
      <w:r w:rsidRPr="000B15E0">
        <w:rPr>
          <w:rStyle w:val="CharAttribute72"/>
          <w:rFonts w:eastAsia="Batang"/>
          <w:sz w:val="24"/>
          <w:szCs w:val="24"/>
        </w:rPr>
        <w:t xml:space="preserve"> (</w:t>
      </w:r>
      <w:r>
        <w:rPr>
          <w:rStyle w:val="CharAttribute72"/>
          <w:rFonts w:eastAsia="Batang"/>
          <w:sz w:val="24"/>
          <w:szCs w:val="24"/>
        </w:rPr>
        <w:t xml:space="preserve">London: </w:t>
      </w:r>
      <w:proofErr w:type="spellStart"/>
      <w:r w:rsidRPr="000B15E0">
        <w:rPr>
          <w:rStyle w:val="CharAttribute72"/>
          <w:rFonts w:eastAsia="Batang"/>
          <w:sz w:val="24"/>
          <w:szCs w:val="24"/>
        </w:rPr>
        <w:t>Tavistock</w:t>
      </w:r>
      <w:proofErr w:type="spellEnd"/>
      <w:r w:rsidR="00A47C1C">
        <w:rPr>
          <w:rStyle w:val="CharAttribute72"/>
          <w:rFonts w:eastAsia="Batang"/>
          <w:sz w:val="24"/>
          <w:szCs w:val="24"/>
        </w:rPr>
        <w:t>,</w:t>
      </w:r>
      <w:r w:rsidRPr="000B15E0">
        <w:rPr>
          <w:rStyle w:val="CharAttribute72"/>
          <w:rFonts w:eastAsia="Batang"/>
          <w:sz w:val="24"/>
          <w:szCs w:val="24"/>
        </w:rPr>
        <w:t xml:space="preserve"> 1970)</w:t>
      </w:r>
      <w:r w:rsidR="00A47C1C">
        <w:rPr>
          <w:rStyle w:val="CharAttribute72"/>
          <w:rFonts w:eastAsia="Batang"/>
          <w:sz w:val="24"/>
          <w:szCs w:val="24"/>
        </w:rPr>
        <w:t>,</w:t>
      </w:r>
      <w:r w:rsidRPr="000B15E0">
        <w:rPr>
          <w:rStyle w:val="CharAttribute72"/>
          <w:rFonts w:eastAsia="Batang"/>
          <w:sz w:val="24"/>
          <w:szCs w:val="24"/>
        </w:rPr>
        <w:t xml:space="preserve"> </w:t>
      </w:r>
      <w:r>
        <w:rPr>
          <w:rStyle w:val="CharAttribute72"/>
          <w:rFonts w:eastAsia="Batang"/>
          <w:sz w:val="24"/>
          <w:szCs w:val="24"/>
        </w:rPr>
        <w:t>p.</w:t>
      </w:r>
      <w:r w:rsidRPr="000B15E0">
        <w:rPr>
          <w:rStyle w:val="CharAttribute72"/>
          <w:rFonts w:eastAsia="Batang"/>
          <w:sz w:val="24"/>
          <w:szCs w:val="24"/>
        </w:rPr>
        <w:t>314.</w:t>
      </w:r>
    </w:p>
  </w:endnote>
  <w:endnote w:id="1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74"/>
          <w:rFonts w:eastAsia="Batang"/>
          <w:sz w:val="24"/>
          <w:szCs w:val="24"/>
        </w:rPr>
        <w:t xml:space="preserve">Giorgio Agamben, </w:t>
      </w:r>
      <w:r>
        <w:rPr>
          <w:rStyle w:val="CharAttribute74"/>
          <w:rFonts w:eastAsia="Batang"/>
          <w:sz w:val="24"/>
          <w:szCs w:val="24"/>
        </w:rPr>
        <w:t xml:space="preserve">‘On Potentiality’ in Agamben, </w:t>
      </w:r>
      <w:r w:rsidRPr="000B15E0">
        <w:rPr>
          <w:rStyle w:val="CharAttribute70"/>
          <w:rFonts w:eastAsia="Batang"/>
          <w:sz w:val="24"/>
          <w:szCs w:val="24"/>
        </w:rPr>
        <w:t>Potentialities: Collected Essays in Philosophy</w:t>
      </w:r>
      <w:r>
        <w:rPr>
          <w:rStyle w:val="CharAttribute70"/>
          <w:rFonts w:eastAsia="Batang"/>
          <w:i w:val="0"/>
          <w:sz w:val="24"/>
          <w:szCs w:val="24"/>
        </w:rPr>
        <w:t>, ed.</w:t>
      </w:r>
      <w:r w:rsidRPr="000B15E0">
        <w:rPr>
          <w:rStyle w:val="CharAttribute74"/>
          <w:rFonts w:eastAsia="Batang"/>
          <w:sz w:val="24"/>
          <w:szCs w:val="24"/>
        </w:rPr>
        <w:t xml:space="preserve"> </w:t>
      </w:r>
      <w:r>
        <w:rPr>
          <w:rStyle w:val="CharAttribute74"/>
          <w:rFonts w:eastAsia="Batang"/>
          <w:sz w:val="24"/>
          <w:szCs w:val="24"/>
        </w:rPr>
        <w:t xml:space="preserve">Daniel Heller-Roazen (Stanford: </w:t>
      </w:r>
      <w:r w:rsidRPr="000B15E0">
        <w:rPr>
          <w:rStyle w:val="CharAttribute74"/>
          <w:rFonts w:eastAsia="Batang"/>
          <w:sz w:val="24"/>
          <w:szCs w:val="24"/>
        </w:rPr>
        <w:t>Stanford U</w:t>
      </w:r>
      <w:r>
        <w:rPr>
          <w:rStyle w:val="CharAttribute74"/>
          <w:rFonts w:eastAsia="Batang"/>
          <w:sz w:val="24"/>
          <w:szCs w:val="24"/>
        </w:rPr>
        <w:t xml:space="preserve">niversity </w:t>
      </w:r>
      <w:r w:rsidRPr="000B15E0">
        <w:rPr>
          <w:rStyle w:val="CharAttribute74"/>
          <w:rFonts w:eastAsia="Batang"/>
          <w:sz w:val="24"/>
          <w:szCs w:val="24"/>
        </w:rPr>
        <w:t>P</w:t>
      </w:r>
      <w:r>
        <w:rPr>
          <w:rStyle w:val="CharAttribute74"/>
          <w:rFonts w:eastAsia="Batang"/>
          <w:sz w:val="24"/>
          <w:szCs w:val="24"/>
        </w:rPr>
        <w:t>ress</w:t>
      </w:r>
      <w:r w:rsidR="00A47C1C">
        <w:rPr>
          <w:rStyle w:val="CharAttribute74"/>
          <w:rFonts w:eastAsia="Batang"/>
          <w:sz w:val="24"/>
          <w:szCs w:val="24"/>
        </w:rPr>
        <w:t>,</w:t>
      </w:r>
      <w:r w:rsidRPr="000B15E0">
        <w:rPr>
          <w:rStyle w:val="CharAttribute74"/>
          <w:rFonts w:eastAsia="Batang"/>
          <w:sz w:val="24"/>
          <w:szCs w:val="24"/>
        </w:rPr>
        <w:t xml:space="preserve"> 1999)</w:t>
      </w:r>
      <w:r>
        <w:rPr>
          <w:rStyle w:val="CharAttribute74"/>
          <w:rFonts w:eastAsia="Batang"/>
          <w:sz w:val="24"/>
          <w:szCs w:val="24"/>
        </w:rPr>
        <w:t>, p.178.</w:t>
      </w:r>
    </w:p>
  </w:endnote>
  <w:endnote w:id="1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72"/>
          <w:rFonts w:eastAsia="Batang"/>
          <w:sz w:val="24"/>
          <w:szCs w:val="24"/>
        </w:rPr>
        <w:t xml:space="preserve">Melinda Cooper, ‘The Living and the Dead: variations on </w:t>
      </w:r>
      <w:r w:rsidRPr="000B15E0">
        <w:rPr>
          <w:rStyle w:val="CharAttribute70"/>
          <w:rFonts w:eastAsia="Batang"/>
          <w:sz w:val="24"/>
          <w:szCs w:val="24"/>
        </w:rPr>
        <w:t>De Anima</w:t>
      </w:r>
      <w:r w:rsidR="008F2017">
        <w:rPr>
          <w:rStyle w:val="CharAttribute72"/>
          <w:rFonts w:eastAsia="Batang"/>
          <w:sz w:val="24"/>
          <w:szCs w:val="24"/>
        </w:rPr>
        <w:t>’ (2002) 7</w:t>
      </w:r>
      <w:r w:rsidRPr="000B15E0">
        <w:rPr>
          <w:rStyle w:val="CharAttribute72"/>
          <w:rFonts w:eastAsia="Batang"/>
          <w:sz w:val="24"/>
          <w:szCs w:val="24"/>
        </w:rPr>
        <w:t xml:space="preserve">(3) </w:t>
      </w:r>
      <w:proofErr w:type="spellStart"/>
      <w:r w:rsidRPr="006636EF">
        <w:rPr>
          <w:rStyle w:val="CharAttribute72"/>
          <w:rFonts w:eastAsia="Batang"/>
          <w:i/>
          <w:sz w:val="24"/>
          <w:szCs w:val="24"/>
        </w:rPr>
        <w:t>Angelaki</w:t>
      </w:r>
      <w:proofErr w:type="spellEnd"/>
      <w:r w:rsidRPr="006636EF">
        <w:rPr>
          <w:rStyle w:val="CharAttribute72"/>
          <w:rFonts w:eastAsia="Batang"/>
          <w:i/>
          <w:sz w:val="24"/>
          <w:szCs w:val="24"/>
        </w:rPr>
        <w:t>: Journal of the Theoretical Humanities</w:t>
      </w:r>
      <w:r w:rsidRPr="000B15E0">
        <w:rPr>
          <w:rStyle w:val="CharAttribute72"/>
          <w:rFonts w:eastAsia="Batang"/>
          <w:sz w:val="24"/>
          <w:szCs w:val="24"/>
        </w:rPr>
        <w:t xml:space="preserve"> 81-104, 81.</w:t>
      </w:r>
    </w:p>
  </w:endnote>
  <w:endnote w:id="1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72"/>
          <w:rFonts w:eastAsia="Batang"/>
          <w:sz w:val="24"/>
          <w:szCs w:val="24"/>
        </w:rPr>
        <w:t xml:space="preserve">Aristotle, </w:t>
      </w:r>
      <w:r w:rsidRPr="000B15E0">
        <w:rPr>
          <w:rStyle w:val="CharAttribute70"/>
          <w:rFonts w:eastAsia="Batang"/>
          <w:sz w:val="24"/>
          <w:szCs w:val="24"/>
        </w:rPr>
        <w:t>Metaphysics</w:t>
      </w:r>
      <w:r w:rsidRPr="000B15E0">
        <w:rPr>
          <w:rStyle w:val="CharAttribute72"/>
          <w:rFonts w:eastAsia="Batang"/>
          <w:sz w:val="24"/>
          <w:szCs w:val="24"/>
        </w:rPr>
        <w:t xml:space="preserve">, in Aristotle, </w:t>
      </w:r>
      <w:r w:rsidRPr="000B15E0">
        <w:rPr>
          <w:rStyle w:val="CharAttribute70"/>
          <w:rFonts w:eastAsia="Batang"/>
          <w:sz w:val="24"/>
          <w:szCs w:val="24"/>
        </w:rPr>
        <w:t>The Complete Works of Aristotle, Volume Two</w:t>
      </w:r>
      <w:r>
        <w:rPr>
          <w:rStyle w:val="CharAttribute72"/>
          <w:rFonts w:eastAsia="Batang"/>
          <w:sz w:val="24"/>
          <w:szCs w:val="24"/>
        </w:rPr>
        <w:t xml:space="preserve">, ed. </w:t>
      </w:r>
      <w:r w:rsidRPr="000B15E0">
        <w:rPr>
          <w:rStyle w:val="CharAttribute72"/>
          <w:rFonts w:eastAsia="Batang"/>
          <w:sz w:val="24"/>
          <w:szCs w:val="24"/>
        </w:rPr>
        <w:t xml:space="preserve">Jonathan Barnes, </w:t>
      </w:r>
      <w:r>
        <w:rPr>
          <w:rStyle w:val="CharAttribute72"/>
          <w:rFonts w:eastAsia="Batang"/>
          <w:sz w:val="24"/>
          <w:szCs w:val="24"/>
        </w:rPr>
        <w:t xml:space="preserve">(Princeton: </w:t>
      </w:r>
      <w:r w:rsidRPr="000B15E0">
        <w:rPr>
          <w:rStyle w:val="CharAttribute72"/>
          <w:rFonts w:eastAsia="Batang"/>
          <w:sz w:val="24"/>
          <w:szCs w:val="24"/>
        </w:rPr>
        <w:t>Princeton U</w:t>
      </w:r>
      <w:r>
        <w:rPr>
          <w:rStyle w:val="CharAttribute72"/>
          <w:rFonts w:eastAsia="Batang"/>
          <w:sz w:val="24"/>
          <w:szCs w:val="24"/>
        </w:rPr>
        <w:t xml:space="preserve">niversity </w:t>
      </w:r>
      <w:r w:rsidRPr="000B15E0">
        <w:rPr>
          <w:rStyle w:val="CharAttribute72"/>
          <w:rFonts w:eastAsia="Batang"/>
          <w:sz w:val="24"/>
          <w:szCs w:val="24"/>
        </w:rPr>
        <w:t>P</w:t>
      </w:r>
      <w:r>
        <w:rPr>
          <w:rStyle w:val="CharAttribute72"/>
          <w:rFonts w:eastAsia="Batang"/>
          <w:sz w:val="24"/>
          <w:szCs w:val="24"/>
        </w:rPr>
        <w:t>ress,</w:t>
      </w:r>
      <w:r w:rsidRPr="000B15E0">
        <w:rPr>
          <w:rStyle w:val="CharAttribute72"/>
          <w:rFonts w:eastAsia="Batang"/>
          <w:sz w:val="24"/>
          <w:szCs w:val="24"/>
        </w:rPr>
        <w:t xml:space="preserve"> 1984)</w:t>
      </w:r>
      <w:r>
        <w:rPr>
          <w:rStyle w:val="CharAttribute72"/>
          <w:rFonts w:eastAsia="Batang"/>
          <w:sz w:val="24"/>
          <w:szCs w:val="24"/>
        </w:rPr>
        <w:t>,</w:t>
      </w:r>
      <w:r w:rsidRPr="00F36116">
        <w:rPr>
          <w:rStyle w:val="CharAttribute72"/>
          <w:rFonts w:eastAsia="Batang"/>
          <w:sz w:val="24"/>
          <w:szCs w:val="24"/>
        </w:rPr>
        <w:t xml:space="preserve"> </w:t>
      </w:r>
      <w:r>
        <w:rPr>
          <w:rStyle w:val="CharAttribute72"/>
          <w:rFonts w:eastAsia="Batang"/>
          <w:sz w:val="24"/>
          <w:szCs w:val="24"/>
        </w:rPr>
        <w:t>1046a, 30-35.</w:t>
      </w:r>
    </w:p>
  </w:endnote>
  <w:endnote w:id="1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Aristotle, </w:t>
      </w:r>
      <w:r w:rsidRPr="000B15E0">
        <w:rPr>
          <w:rStyle w:val="CharAttribute70"/>
          <w:rFonts w:eastAsia="Batang"/>
          <w:sz w:val="24"/>
          <w:szCs w:val="24"/>
        </w:rPr>
        <w:t>Metaphysics</w:t>
      </w:r>
      <w:r w:rsidRPr="000B15E0">
        <w:rPr>
          <w:rStyle w:val="CharAttribute73"/>
          <w:rFonts w:eastAsia="Batang"/>
          <w:sz w:val="24"/>
          <w:szCs w:val="24"/>
        </w:rPr>
        <w:t>, 1046a, 9-21.</w:t>
      </w:r>
    </w:p>
  </w:endnote>
  <w:endnote w:id="1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73"/>
          <w:rFonts w:eastAsia="Batang"/>
          <w:sz w:val="24"/>
          <w:szCs w:val="24"/>
        </w:rPr>
        <w:t xml:space="preserve">‘On Potentiality’, </w:t>
      </w:r>
      <w:r>
        <w:rPr>
          <w:rStyle w:val="CharAttribute73"/>
          <w:rFonts w:eastAsia="Batang"/>
          <w:sz w:val="24"/>
          <w:szCs w:val="24"/>
        </w:rPr>
        <w:t>p.</w:t>
      </w:r>
      <w:r w:rsidRPr="000B15E0">
        <w:rPr>
          <w:rStyle w:val="CharAttribute73"/>
          <w:rFonts w:eastAsia="Batang"/>
          <w:sz w:val="24"/>
          <w:szCs w:val="24"/>
        </w:rPr>
        <w:t>179.</w:t>
      </w:r>
      <w:proofErr w:type="gramEnd"/>
    </w:p>
  </w:endnote>
  <w:endnote w:id="1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Aristotle, </w:t>
      </w:r>
      <w:r w:rsidRPr="000B15E0">
        <w:rPr>
          <w:rStyle w:val="CharAttribute70"/>
          <w:rFonts w:eastAsia="Batang"/>
          <w:sz w:val="24"/>
          <w:szCs w:val="24"/>
        </w:rPr>
        <w:t>Metaphysics</w:t>
      </w:r>
      <w:r w:rsidRPr="000B15E0">
        <w:rPr>
          <w:rStyle w:val="CharAttribute74"/>
          <w:rFonts w:eastAsia="Batang"/>
          <w:sz w:val="24"/>
          <w:szCs w:val="24"/>
        </w:rPr>
        <w:t>, 1046a, 22-26.</w:t>
      </w:r>
    </w:p>
  </w:endnote>
  <w:endnote w:id="1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73"/>
          <w:rFonts w:eastAsia="Batang"/>
          <w:sz w:val="24"/>
          <w:szCs w:val="24"/>
        </w:rPr>
        <w:t xml:space="preserve">‘On Potentiality’, </w:t>
      </w:r>
      <w:r>
        <w:rPr>
          <w:rStyle w:val="CharAttribute73"/>
          <w:rFonts w:eastAsia="Batang"/>
          <w:sz w:val="24"/>
          <w:szCs w:val="24"/>
        </w:rPr>
        <w:t>p.</w:t>
      </w:r>
      <w:r w:rsidRPr="000B15E0">
        <w:rPr>
          <w:rStyle w:val="CharAttribute73"/>
          <w:rFonts w:eastAsia="Batang"/>
          <w:sz w:val="24"/>
          <w:szCs w:val="24"/>
        </w:rPr>
        <w:t>179.</w:t>
      </w:r>
      <w:proofErr w:type="gramEnd"/>
    </w:p>
  </w:endnote>
  <w:endnote w:id="1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73"/>
          <w:rFonts w:eastAsia="Batang"/>
          <w:sz w:val="24"/>
          <w:szCs w:val="24"/>
        </w:rPr>
        <w:t xml:space="preserve">‘On Potentiality’, </w:t>
      </w:r>
      <w:r>
        <w:rPr>
          <w:rStyle w:val="CharAttribute73"/>
          <w:rFonts w:eastAsia="Batang"/>
          <w:sz w:val="24"/>
          <w:szCs w:val="24"/>
        </w:rPr>
        <w:t>p.</w:t>
      </w:r>
      <w:r w:rsidRPr="000B15E0">
        <w:rPr>
          <w:rStyle w:val="CharAttribute73"/>
          <w:rFonts w:eastAsia="Batang"/>
          <w:sz w:val="24"/>
          <w:szCs w:val="24"/>
        </w:rPr>
        <w:t>179.</w:t>
      </w:r>
      <w:proofErr w:type="gramEnd"/>
      <w:r>
        <w:rPr>
          <w:rStyle w:val="CharAttribute73"/>
          <w:rFonts w:eastAsia="Batang"/>
          <w:sz w:val="24"/>
          <w:szCs w:val="24"/>
        </w:rPr>
        <w:t xml:space="preserve"> </w:t>
      </w:r>
    </w:p>
  </w:endnote>
  <w:endnote w:id="1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4"/>
          <w:rFonts w:eastAsia="Batang"/>
          <w:sz w:val="24"/>
          <w:szCs w:val="24"/>
        </w:rPr>
        <w:t>Cooper, ‘The Living and the Dead’</w:t>
      </w:r>
      <w:r>
        <w:rPr>
          <w:rStyle w:val="CharAttribute74"/>
          <w:rFonts w:eastAsia="Batang"/>
          <w:sz w:val="24"/>
          <w:szCs w:val="24"/>
        </w:rPr>
        <w:t>,</w:t>
      </w:r>
      <w:r w:rsidRPr="000B15E0">
        <w:rPr>
          <w:rStyle w:val="CharAttribute74"/>
          <w:rFonts w:eastAsia="Batang"/>
          <w:sz w:val="24"/>
          <w:szCs w:val="24"/>
        </w:rPr>
        <w:t xml:space="preserve"> </w:t>
      </w:r>
      <w:r>
        <w:rPr>
          <w:rStyle w:val="CharAttribute74"/>
          <w:rFonts w:eastAsia="Batang"/>
          <w:sz w:val="24"/>
          <w:szCs w:val="24"/>
        </w:rPr>
        <w:t>p.</w:t>
      </w:r>
      <w:r w:rsidRPr="000B15E0">
        <w:rPr>
          <w:rStyle w:val="CharAttribute74"/>
          <w:rFonts w:eastAsia="Batang"/>
          <w:sz w:val="24"/>
          <w:szCs w:val="24"/>
        </w:rPr>
        <w:t>89.</w:t>
      </w:r>
      <w:proofErr w:type="gramEnd"/>
    </w:p>
  </w:endnote>
  <w:endnote w:id="1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Aristotle, </w:t>
      </w:r>
      <w:r w:rsidRPr="000B15E0">
        <w:rPr>
          <w:rStyle w:val="CharAttribute70"/>
          <w:rFonts w:eastAsia="Batang"/>
          <w:sz w:val="24"/>
          <w:szCs w:val="24"/>
        </w:rPr>
        <w:t>Metaphysics</w:t>
      </w:r>
      <w:r w:rsidRPr="000B15E0">
        <w:rPr>
          <w:rStyle w:val="CharAttribute75"/>
          <w:rFonts w:eastAsia="Batang"/>
          <w:sz w:val="24"/>
          <w:szCs w:val="24"/>
        </w:rPr>
        <w:t>, 1051a, 4-5.</w:t>
      </w:r>
    </w:p>
  </w:endnote>
  <w:endnote w:id="2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Aristotle, </w:t>
      </w:r>
      <w:r w:rsidRPr="000B15E0">
        <w:rPr>
          <w:rStyle w:val="CharAttribute70"/>
          <w:rFonts w:eastAsia="Batang"/>
          <w:sz w:val="24"/>
          <w:szCs w:val="24"/>
        </w:rPr>
        <w:t>Metaphysics</w:t>
      </w:r>
      <w:r w:rsidRPr="000B15E0">
        <w:rPr>
          <w:rStyle w:val="CharAttribute76"/>
          <w:rFonts w:eastAsia="Batang"/>
          <w:sz w:val="24"/>
          <w:szCs w:val="24"/>
        </w:rPr>
        <w:t>, 1051a. 29-33.</w:t>
      </w:r>
    </w:p>
  </w:endnote>
  <w:endnote w:id="2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6"/>
          <w:rFonts w:eastAsia="Batang"/>
          <w:sz w:val="24"/>
          <w:szCs w:val="24"/>
        </w:rPr>
        <w:t xml:space="preserve">Cooper, ‘The Living and the Dead’, </w:t>
      </w:r>
      <w:r>
        <w:rPr>
          <w:rStyle w:val="CharAttribute76"/>
          <w:rFonts w:eastAsia="Batang"/>
          <w:sz w:val="24"/>
          <w:szCs w:val="24"/>
        </w:rPr>
        <w:t>p.</w:t>
      </w:r>
      <w:r w:rsidRPr="000B15E0">
        <w:rPr>
          <w:rStyle w:val="CharAttribute76"/>
          <w:rFonts w:eastAsia="Batang"/>
          <w:sz w:val="24"/>
          <w:szCs w:val="24"/>
        </w:rPr>
        <w:t>82.</w:t>
      </w:r>
      <w:proofErr w:type="gramEnd"/>
    </w:p>
  </w:endnote>
  <w:endnote w:id="2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6"/>
          <w:rFonts w:eastAsia="Batang"/>
          <w:sz w:val="24"/>
          <w:szCs w:val="24"/>
        </w:rPr>
        <w:t xml:space="preserve">Cooper, ‘The Living and the Dead’, </w:t>
      </w:r>
      <w:r>
        <w:rPr>
          <w:rStyle w:val="CharAttribute76"/>
          <w:rFonts w:eastAsia="Batang"/>
          <w:sz w:val="24"/>
          <w:szCs w:val="24"/>
        </w:rPr>
        <w:t>p.</w:t>
      </w:r>
      <w:r w:rsidRPr="000B15E0">
        <w:rPr>
          <w:rStyle w:val="CharAttribute76"/>
          <w:rFonts w:eastAsia="Batang"/>
          <w:sz w:val="24"/>
          <w:szCs w:val="24"/>
        </w:rPr>
        <w:t>8</w:t>
      </w:r>
      <w:r>
        <w:rPr>
          <w:rStyle w:val="CharAttribute76"/>
          <w:rFonts w:eastAsia="Batang"/>
          <w:sz w:val="24"/>
          <w:szCs w:val="24"/>
        </w:rPr>
        <w:t>1.</w:t>
      </w:r>
      <w:proofErr w:type="gramEnd"/>
    </w:p>
  </w:endnote>
  <w:endnote w:id="2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76"/>
          <w:rFonts w:eastAsia="Batang"/>
          <w:sz w:val="24"/>
          <w:szCs w:val="24"/>
        </w:rPr>
        <w:t xml:space="preserve">Aristotle, </w:t>
      </w:r>
      <w:r w:rsidRPr="000B15E0">
        <w:rPr>
          <w:rStyle w:val="CharAttribute70"/>
          <w:rFonts w:eastAsia="Batang"/>
          <w:sz w:val="24"/>
          <w:szCs w:val="24"/>
        </w:rPr>
        <w:t>Politics</w:t>
      </w:r>
      <w:r w:rsidRPr="000B15E0">
        <w:rPr>
          <w:rStyle w:val="CharAttribute76"/>
          <w:rFonts w:eastAsia="Batang"/>
          <w:sz w:val="24"/>
          <w:szCs w:val="24"/>
        </w:rPr>
        <w:t xml:space="preserve">, in Aristotle, </w:t>
      </w:r>
      <w:r w:rsidRPr="000B15E0">
        <w:rPr>
          <w:rStyle w:val="CharAttribute70"/>
          <w:rFonts w:eastAsia="Batang"/>
          <w:sz w:val="24"/>
          <w:szCs w:val="24"/>
        </w:rPr>
        <w:t>Complete Works, Volume Two</w:t>
      </w:r>
      <w:r w:rsidR="003E6737">
        <w:rPr>
          <w:rStyle w:val="CharAttribute70"/>
          <w:rFonts w:eastAsia="Batang"/>
          <w:i w:val="0"/>
          <w:sz w:val="24"/>
          <w:szCs w:val="24"/>
        </w:rPr>
        <w:t>,</w:t>
      </w:r>
      <w:r w:rsidRPr="000B15E0">
        <w:rPr>
          <w:rStyle w:val="CharAttribute76"/>
          <w:rFonts w:eastAsia="Batang"/>
          <w:sz w:val="24"/>
          <w:szCs w:val="24"/>
        </w:rPr>
        <w:t xml:space="preserve"> 1278b, 23-31.</w:t>
      </w:r>
    </w:p>
  </w:endnote>
  <w:endnote w:id="2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76"/>
          <w:rFonts w:eastAsia="Batang"/>
          <w:sz w:val="24"/>
          <w:szCs w:val="24"/>
        </w:rPr>
        <w:t xml:space="preserve">Aristotle, </w:t>
      </w:r>
      <w:r w:rsidRPr="000B15E0">
        <w:rPr>
          <w:rStyle w:val="CharAttribute70"/>
          <w:rFonts w:eastAsia="Batang"/>
          <w:sz w:val="24"/>
          <w:szCs w:val="24"/>
        </w:rPr>
        <w:t>Politics</w:t>
      </w:r>
      <w:r w:rsidRPr="000B15E0">
        <w:rPr>
          <w:rStyle w:val="CharAttribute76"/>
          <w:rFonts w:eastAsia="Batang"/>
          <w:sz w:val="24"/>
          <w:szCs w:val="24"/>
        </w:rPr>
        <w:t>, 1252a</w:t>
      </w:r>
      <w:r w:rsidR="003E6737">
        <w:rPr>
          <w:rStyle w:val="CharAttribute76"/>
          <w:rFonts w:eastAsia="Batang"/>
          <w:sz w:val="24"/>
          <w:szCs w:val="24"/>
        </w:rPr>
        <w:t>,</w:t>
      </w:r>
      <w:r w:rsidRPr="000B15E0">
        <w:rPr>
          <w:rStyle w:val="CharAttribute76"/>
          <w:rFonts w:eastAsia="Batang"/>
          <w:sz w:val="24"/>
          <w:szCs w:val="24"/>
        </w:rPr>
        <w:t xml:space="preserve"> 26-35.</w:t>
      </w:r>
    </w:p>
  </w:endnote>
  <w:endnote w:id="2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lang w:val="en-GB"/>
        </w:rPr>
        <w:t xml:space="preserve">Giorgio </w:t>
      </w:r>
      <w:r w:rsidRPr="005D28A9">
        <w:rPr>
          <w:rFonts w:ascii="Times New Roman"/>
          <w:sz w:val="24"/>
          <w:szCs w:val="24"/>
          <w:lang w:val="en-GB"/>
        </w:rPr>
        <w:t xml:space="preserve">Agamben, </w:t>
      </w:r>
      <w:r w:rsidRPr="005D28A9">
        <w:rPr>
          <w:rFonts w:ascii="Times New Roman"/>
          <w:i/>
          <w:iCs/>
          <w:sz w:val="24"/>
          <w:szCs w:val="24"/>
          <w:lang w:val="en-GB"/>
        </w:rPr>
        <w:t xml:space="preserve">Homo </w:t>
      </w:r>
      <w:proofErr w:type="spellStart"/>
      <w:r w:rsidRPr="005D28A9">
        <w:rPr>
          <w:rFonts w:ascii="Times New Roman"/>
          <w:i/>
          <w:iCs/>
          <w:sz w:val="24"/>
          <w:szCs w:val="24"/>
          <w:lang w:val="en-GB"/>
        </w:rPr>
        <w:t>Sacer</w:t>
      </w:r>
      <w:proofErr w:type="spellEnd"/>
      <w:r>
        <w:rPr>
          <w:rFonts w:ascii="Times New Roman"/>
          <w:i/>
          <w:iCs/>
          <w:sz w:val="24"/>
          <w:szCs w:val="24"/>
          <w:lang w:val="en-GB"/>
        </w:rPr>
        <w:t>: Sovereign Power and Bare Life</w:t>
      </w:r>
      <w:r w:rsidRPr="005D28A9">
        <w:rPr>
          <w:rFonts w:ascii="Times New Roman"/>
          <w:iCs/>
          <w:sz w:val="24"/>
          <w:szCs w:val="24"/>
          <w:lang w:val="en-GB"/>
        </w:rPr>
        <w:t>, tr</w:t>
      </w:r>
      <w:r w:rsidR="00A47C1C">
        <w:rPr>
          <w:rFonts w:ascii="Times New Roman"/>
          <w:iCs/>
          <w:sz w:val="24"/>
          <w:szCs w:val="24"/>
          <w:lang w:val="en-GB"/>
        </w:rPr>
        <w:t>ans</w:t>
      </w:r>
      <w:r w:rsidRPr="005D28A9">
        <w:rPr>
          <w:rFonts w:ascii="Times New Roman"/>
          <w:iCs/>
          <w:sz w:val="24"/>
          <w:szCs w:val="24"/>
          <w:lang w:val="en-GB"/>
        </w:rPr>
        <w:t xml:space="preserve">. Daniel </w:t>
      </w:r>
      <w:r w:rsidRPr="005D28A9">
        <w:rPr>
          <w:rFonts w:ascii="Times New Roman"/>
          <w:sz w:val="24"/>
          <w:szCs w:val="24"/>
          <w:lang w:val="en-GB"/>
        </w:rPr>
        <w:t>Hel</w:t>
      </w:r>
      <w:r>
        <w:rPr>
          <w:rFonts w:ascii="Times New Roman"/>
          <w:sz w:val="24"/>
          <w:szCs w:val="24"/>
          <w:lang w:val="en-GB"/>
        </w:rPr>
        <w:t>ler-Roazen</w:t>
      </w:r>
      <w:r w:rsidRPr="005D28A9">
        <w:rPr>
          <w:rFonts w:ascii="Times New Roman"/>
          <w:sz w:val="24"/>
          <w:szCs w:val="24"/>
          <w:lang w:val="en-GB"/>
        </w:rPr>
        <w:t xml:space="preserve"> </w:t>
      </w:r>
      <w:r>
        <w:rPr>
          <w:rFonts w:ascii="Times New Roman"/>
          <w:sz w:val="24"/>
          <w:szCs w:val="24"/>
          <w:lang w:val="en-GB"/>
        </w:rPr>
        <w:t xml:space="preserve">(Stanford: </w:t>
      </w:r>
      <w:r w:rsidRPr="005D28A9">
        <w:rPr>
          <w:rFonts w:ascii="Times New Roman"/>
          <w:sz w:val="24"/>
          <w:szCs w:val="24"/>
          <w:lang w:val="en-GB"/>
        </w:rPr>
        <w:t>Stanford U</w:t>
      </w:r>
      <w:r>
        <w:rPr>
          <w:rFonts w:ascii="Times New Roman"/>
          <w:sz w:val="24"/>
          <w:szCs w:val="24"/>
          <w:lang w:val="en-GB"/>
        </w:rPr>
        <w:t xml:space="preserve">niversity </w:t>
      </w:r>
      <w:r w:rsidRPr="005D28A9">
        <w:rPr>
          <w:rFonts w:ascii="Times New Roman"/>
          <w:sz w:val="24"/>
          <w:szCs w:val="24"/>
          <w:lang w:val="en-GB"/>
        </w:rPr>
        <w:t>P</w:t>
      </w:r>
      <w:r>
        <w:rPr>
          <w:rFonts w:ascii="Times New Roman"/>
          <w:sz w:val="24"/>
          <w:szCs w:val="24"/>
          <w:lang w:val="en-GB"/>
        </w:rPr>
        <w:t>ress,</w:t>
      </w:r>
      <w:r w:rsidRPr="005D28A9">
        <w:rPr>
          <w:rFonts w:ascii="Times New Roman"/>
          <w:sz w:val="24"/>
          <w:szCs w:val="24"/>
          <w:lang w:val="en-GB"/>
        </w:rPr>
        <w:t xml:space="preserve"> 1998)</w:t>
      </w:r>
      <w:r>
        <w:rPr>
          <w:rFonts w:ascii="Times New Roman"/>
          <w:sz w:val="24"/>
          <w:szCs w:val="24"/>
          <w:lang w:val="en-GB"/>
        </w:rPr>
        <w:t>, p.7.</w:t>
      </w:r>
    </w:p>
  </w:endnote>
  <w:endnote w:id="2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6"/>
          <w:rFonts w:eastAsia="Batang"/>
          <w:sz w:val="24"/>
          <w:szCs w:val="24"/>
        </w:rPr>
        <w:t>Cooper, ‘The Living and the Dead’, 82.</w:t>
      </w:r>
      <w:proofErr w:type="gramEnd"/>
    </w:p>
  </w:endnote>
  <w:endnote w:id="2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6"/>
          <w:rFonts w:eastAsia="Batang"/>
          <w:sz w:val="24"/>
          <w:szCs w:val="24"/>
        </w:rPr>
        <w:t xml:space="preserve">Ulrich </w:t>
      </w:r>
      <w:proofErr w:type="spellStart"/>
      <w:r w:rsidRPr="000B15E0">
        <w:rPr>
          <w:rStyle w:val="CharAttribute76"/>
          <w:rFonts w:eastAsia="Batang"/>
          <w:sz w:val="24"/>
          <w:szCs w:val="24"/>
        </w:rPr>
        <w:t>Raulff</w:t>
      </w:r>
      <w:proofErr w:type="spellEnd"/>
      <w:r w:rsidRPr="000B15E0">
        <w:rPr>
          <w:rStyle w:val="CharAttribute76"/>
          <w:rFonts w:eastAsia="Batang"/>
          <w:sz w:val="24"/>
          <w:szCs w:val="24"/>
        </w:rPr>
        <w:t xml:space="preserve"> and Giorgio Agamben, ‘An Interview with Giorgio Agamben’ (2004) 5 </w:t>
      </w:r>
      <w:r w:rsidRPr="001F0ADD">
        <w:rPr>
          <w:rStyle w:val="CharAttribute76"/>
          <w:rFonts w:eastAsia="Batang"/>
          <w:i/>
          <w:sz w:val="24"/>
          <w:szCs w:val="24"/>
        </w:rPr>
        <w:t>German Law Journal</w:t>
      </w:r>
      <w:r w:rsidRPr="000B15E0">
        <w:rPr>
          <w:rStyle w:val="CharAttribute70"/>
          <w:rFonts w:eastAsia="Batang"/>
          <w:sz w:val="24"/>
          <w:szCs w:val="24"/>
        </w:rPr>
        <w:t xml:space="preserve"> </w:t>
      </w:r>
      <w:r w:rsidRPr="000B15E0">
        <w:rPr>
          <w:rStyle w:val="CharAttribute76"/>
          <w:rFonts w:eastAsia="Batang"/>
          <w:sz w:val="24"/>
          <w:szCs w:val="24"/>
        </w:rPr>
        <w:t>609</w:t>
      </w:r>
      <w:r w:rsidR="00A47C1C">
        <w:rPr>
          <w:rStyle w:val="CharAttribute76"/>
          <w:rFonts w:eastAsia="Batang"/>
          <w:sz w:val="24"/>
          <w:szCs w:val="24"/>
        </w:rPr>
        <w:t>-14</w:t>
      </w:r>
      <w:r w:rsidRPr="000B15E0">
        <w:rPr>
          <w:rStyle w:val="CharAttribute76"/>
          <w:rFonts w:eastAsia="Batang"/>
          <w:sz w:val="24"/>
          <w:szCs w:val="24"/>
        </w:rPr>
        <w:t>, 612.</w:t>
      </w:r>
      <w:proofErr w:type="gramEnd"/>
    </w:p>
  </w:endnote>
  <w:endnote w:id="2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6"/>
          <w:rFonts w:eastAsia="Batang"/>
          <w:sz w:val="24"/>
          <w:szCs w:val="24"/>
        </w:rPr>
        <w:t>Agamben, ‘Philosophical Archaeology’</w:t>
      </w:r>
      <w:r>
        <w:rPr>
          <w:rStyle w:val="CharAttribute76"/>
          <w:rFonts w:eastAsia="Batang"/>
          <w:sz w:val="24"/>
          <w:szCs w:val="24"/>
        </w:rPr>
        <w:t>,</w:t>
      </w:r>
      <w:r w:rsidRPr="000B15E0">
        <w:rPr>
          <w:rStyle w:val="CharAttribute76"/>
          <w:rFonts w:eastAsia="Batang"/>
          <w:sz w:val="24"/>
          <w:szCs w:val="24"/>
        </w:rPr>
        <w:t xml:space="preserve"> </w:t>
      </w:r>
      <w:r>
        <w:rPr>
          <w:rStyle w:val="CharAttribute76"/>
          <w:rFonts w:eastAsia="Batang"/>
          <w:sz w:val="24"/>
          <w:szCs w:val="24"/>
        </w:rPr>
        <w:t>p.</w:t>
      </w:r>
      <w:r w:rsidRPr="000B15E0">
        <w:rPr>
          <w:rStyle w:val="CharAttribute76"/>
          <w:rFonts w:eastAsia="Batang"/>
          <w:sz w:val="24"/>
          <w:szCs w:val="24"/>
        </w:rPr>
        <w:t>217.</w:t>
      </w:r>
      <w:proofErr w:type="gramEnd"/>
    </w:p>
  </w:endnote>
  <w:endnote w:id="2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Patrick O’Connor, ‘Redemptive Remnants: Agamben’s Human Messianism’ (2</w:t>
      </w:r>
      <w:r w:rsidR="008F2017">
        <w:rPr>
          <w:rFonts w:ascii="Times New Roman"/>
          <w:sz w:val="24"/>
          <w:szCs w:val="24"/>
        </w:rPr>
        <w:t>009) 13</w:t>
      </w:r>
      <w:r w:rsidRPr="000B15E0">
        <w:rPr>
          <w:rFonts w:ascii="Times New Roman"/>
          <w:sz w:val="24"/>
          <w:szCs w:val="24"/>
        </w:rPr>
        <w:t>(3/4) Jou</w:t>
      </w:r>
      <w:r w:rsidR="00A47C1C">
        <w:rPr>
          <w:rFonts w:ascii="Times New Roman"/>
          <w:sz w:val="24"/>
          <w:szCs w:val="24"/>
        </w:rPr>
        <w:t>rnal for Cultural Research 335-</w:t>
      </w:r>
      <w:r w:rsidRPr="000B15E0">
        <w:rPr>
          <w:rFonts w:ascii="Times New Roman"/>
          <w:sz w:val="24"/>
          <w:szCs w:val="24"/>
        </w:rPr>
        <w:t>52, 335.</w:t>
      </w:r>
    </w:p>
  </w:endnote>
  <w:endnote w:id="3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spellStart"/>
      <w:r w:rsidRPr="000B15E0">
        <w:rPr>
          <w:rStyle w:val="CharAttribute76"/>
          <w:rFonts w:eastAsia="Batang"/>
          <w:sz w:val="24"/>
          <w:szCs w:val="24"/>
        </w:rPr>
        <w:t>Gershom</w:t>
      </w:r>
      <w:proofErr w:type="spellEnd"/>
      <w:r w:rsidRPr="000B15E0">
        <w:rPr>
          <w:rStyle w:val="CharAttribute76"/>
          <w:rFonts w:eastAsia="Batang"/>
          <w:sz w:val="24"/>
          <w:szCs w:val="24"/>
        </w:rPr>
        <w:t xml:space="preserve"> </w:t>
      </w:r>
      <w:proofErr w:type="spellStart"/>
      <w:r w:rsidRPr="000B15E0">
        <w:rPr>
          <w:rStyle w:val="CharAttribute76"/>
          <w:rFonts w:eastAsia="Batang"/>
          <w:sz w:val="24"/>
          <w:szCs w:val="24"/>
        </w:rPr>
        <w:t>Scholem</w:t>
      </w:r>
      <w:proofErr w:type="spellEnd"/>
      <w:r w:rsidRPr="000B15E0">
        <w:rPr>
          <w:rStyle w:val="CharAttribute76"/>
          <w:rFonts w:eastAsia="Batang"/>
          <w:sz w:val="24"/>
          <w:szCs w:val="24"/>
        </w:rPr>
        <w:t xml:space="preserve">, </w:t>
      </w:r>
      <w:r w:rsidRPr="000B15E0">
        <w:rPr>
          <w:rStyle w:val="CharAttribute80"/>
          <w:rFonts w:eastAsia="Batang"/>
          <w:sz w:val="24"/>
          <w:szCs w:val="24"/>
        </w:rPr>
        <w:t>The Messianic Idea in Judaism: And Other Essays on Jewish Spirituality</w:t>
      </w:r>
      <w:r w:rsidRPr="000B15E0">
        <w:rPr>
          <w:rStyle w:val="CharAttribute76"/>
          <w:rFonts w:eastAsia="Batang"/>
          <w:sz w:val="24"/>
          <w:szCs w:val="24"/>
        </w:rPr>
        <w:t xml:space="preserve"> (</w:t>
      </w:r>
      <w:r w:rsidR="00796677">
        <w:rPr>
          <w:rStyle w:val="CharAttribute76"/>
          <w:rFonts w:eastAsia="Batang"/>
          <w:sz w:val="24"/>
          <w:szCs w:val="24"/>
        </w:rPr>
        <w:t xml:space="preserve">New York: </w:t>
      </w:r>
      <w:proofErr w:type="spellStart"/>
      <w:r w:rsidRPr="000B15E0">
        <w:rPr>
          <w:rStyle w:val="CharAttribute76"/>
          <w:rFonts w:eastAsia="Batang"/>
          <w:sz w:val="24"/>
          <w:szCs w:val="24"/>
        </w:rPr>
        <w:t>Schocken</w:t>
      </w:r>
      <w:proofErr w:type="spellEnd"/>
      <w:r w:rsidRPr="000B15E0">
        <w:rPr>
          <w:rStyle w:val="CharAttribute76"/>
          <w:rFonts w:eastAsia="Batang"/>
          <w:sz w:val="24"/>
          <w:szCs w:val="24"/>
        </w:rPr>
        <w:t xml:space="preserve"> Books 1971)</w:t>
      </w:r>
      <w:r>
        <w:rPr>
          <w:rStyle w:val="CharAttribute76"/>
          <w:rFonts w:eastAsia="Batang"/>
          <w:sz w:val="24"/>
          <w:szCs w:val="24"/>
        </w:rPr>
        <w:t>,</w:t>
      </w:r>
      <w:r w:rsidRPr="000B15E0">
        <w:rPr>
          <w:rStyle w:val="CharAttribute76"/>
          <w:rFonts w:eastAsia="Batang"/>
          <w:sz w:val="24"/>
          <w:szCs w:val="24"/>
        </w:rPr>
        <w:t xml:space="preserve"> </w:t>
      </w:r>
      <w:r>
        <w:rPr>
          <w:rStyle w:val="CharAttribute76"/>
          <w:rFonts w:eastAsia="Batang"/>
          <w:sz w:val="24"/>
          <w:szCs w:val="24"/>
        </w:rPr>
        <w:t>p.</w:t>
      </w:r>
      <w:r w:rsidRPr="000B15E0">
        <w:rPr>
          <w:rStyle w:val="CharAttribute76"/>
          <w:rFonts w:eastAsia="Batang"/>
          <w:sz w:val="24"/>
          <w:szCs w:val="24"/>
        </w:rPr>
        <w:t>1.</w:t>
      </w:r>
    </w:p>
  </w:endnote>
  <w:endnote w:id="3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spellStart"/>
      <w:proofErr w:type="gramStart"/>
      <w:r w:rsidRPr="000B15E0">
        <w:rPr>
          <w:rStyle w:val="CharAttribute76"/>
          <w:rFonts w:eastAsia="Batang"/>
          <w:sz w:val="24"/>
          <w:szCs w:val="24"/>
        </w:rPr>
        <w:t>Scholem</w:t>
      </w:r>
      <w:proofErr w:type="spellEnd"/>
      <w:r w:rsidRPr="000B15E0">
        <w:rPr>
          <w:rStyle w:val="CharAttribute76"/>
          <w:rFonts w:eastAsia="Batang"/>
          <w:sz w:val="24"/>
          <w:szCs w:val="24"/>
        </w:rPr>
        <w:t xml:space="preserve">, </w:t>
      </w:r>
      <w:r w:rsidRPr="000B15E0">
        <w:rPr>
          <w:rStyle w:val="CharAttribute80"/>
          <w:rFonts w:eastAsia="Batang"/>
          <w:sz w:val="24"/>
          <w:szCs w:val="24"/>
        </w:rPr>
        <w:t>The Messianic Idea in Judaism</w:t>
      </w:r>
      <w:r>
        <w:rPr>
          <w:rStyle w:val="CharAttribute80"/>
          <w:rFonts w:eastAsia="Batang"/>
          <w:i w:val="0"/>
          <w:sz w:val="24"/>
          <w:szCs w:val="24"/>
        </w:rPr>
        <w:t>, p.1.</w:t>
      </w:r>
      <w:proofErr w:type="gramEnd"/>
    </w:p>
  </w:endnote>
  <w:endnote w:id="3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spellStart"/>
      <w:proofErr w:type="gramStart"/>
      <w:r w:rsidRPr="000B15E0">
        <w:rPr>
          <w:rStyle w:val="CharAttribute76"/>
          <w:rFonts w:eastAsia="Batang"/>
          <w:sz w:val="24"/>
          <w:szCs w:val="24"/>
        </w:rPr>
        <w:t>Scholem</w:t>
      </w:r>
      <w:proofErr w:type="spellEnd"/>
      <w:r w:rsidRPr="000B15E0">
        <w:rPr>
          <w:rStyle w:val="CharAttribute76"/>
          <w:rFonts w:eastAsia="Batang"/>
          <w:sz w:val="24"/>
          <w:szCs w:val="24"/>
        </w:rPr>
        <w:t xml:space="preserve">, </w:t>
      </w:r>
      <w:r w:rsidRPr="000B15E0">
        <w:rPr>
          <w:rStyle w:val="CharAttribute80"/>
          <w:rFonts w:eastAsia="Batang"/>
          <w:sz w:val="24"/>
          <w:szCs w:val="24"/>
        </w:rPr>
        <w:t>The Messianic Idea in Judaism</w:t>
      </w:r>
      <w:r>
        <w:rPr>
          <w:rStyle w:val="CharAttribute80"/>
          <w:rFonts w:eastAsia="Batang"/>
          <w:i w:val="0"/>
          <w:sz w:val="24"/>
          <w:szCs w:val="24"/>
        </w:rPr>
        <w:t>, p.3.</w:t>
      </w:r>
      <w:proofErr w:type="gramEnd"/>
    </w:p>
  </w:endnote>
  <w:endnote w:id="3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spellStart"/>
      <w:proofErr w:type="gramStart"/>
      <w:r w:rsidRPr="000B15E0">
        <w:rPr>
          <w:rStyle w:val="CharAttribute76"/>
          <w:rFonts w:eastAsia="Batang"/>
          <w:sz w:val="24"/>
          <w:szCs w:val="24"/>
        </w:rPr>
        <w:t>Scholem</w:t>
      </w:r>
      <w:proofErr w:type="spellEnd"/>
      <w:r w:rsidRPr="000B15E0">
        <w:rPr>
          <w:rStyle w:val="CharAttribute76"/>
          <w:rFonts w:eastAsia="Batang"/>
          <w:sz w:val="24"/>
          <w:szCs w:val="24"/>
        </w:rPr>
        <w:t xml:space="preserve">, </w:t>
      </w:r>
      <w:r w:rsidRPr="000B15E0">
        <w:rPr>
          <w:rStyle w:val="CharAttribute80"/>
          <w:rFonts w:eastAsia="Batang"/>
          <w:sz w:val="24"/>
          <w:szCs w:val="24"/>
        </w:rPr>
        <w:t>The Messianic Idea in Judaism</w:t>
      </w:r>
      <w:r>
        <w:rPr>
          <w:rStyle w:val="CharAttribute80"/>
          <w:rFonts w:eastAsia="Batang"/>
          <w:i w:val="0"/>
          <w:sz w:val="24"/>
          <w:szCs w:val="24"/>
        </w:rPr>
        <w:t>, p.4.</w:t>
      </w:r>
      <w:proofErr w:type="gramEnd"/>
    </w:p>
  </w:endnote>
  <w:endnote w:id="3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spellStart"/>
      <w:proofErr w:type="gramStart"/>
      <w:r w:rsidRPr="000B15E0">
        <w:rPr>
          <w:rStyle w:val="CharAttribute76"/>
          <w:rFonts w:eastAsia="Batang"/>
          <w:sz w:val="24"/>
          <w:szCs w:val="24"/>
        </w:rPr>
        <w:t>Scholem</w:t>
      </w:r>
      <w:proofErr w:type="spellEnd"/>
      <w:r w:rsidRPr="000B15E0">
        <w:rPr>
          <w:rStyle w:val="CharAttribute76"/>
          <w:rFonts w:eastAsia="Batang"/>
          <w:sz w:val="24"/>
          <w:szCs w:val="24"/>
        </w:rPr>
        <w:t xml:space="preserve">, </w:t>
      </w:r>
      <w:r w:rsidRPr="000B15E0">
        <w:rPr>
          <w:rStyle w:val="CharAttribute80"/>
          <w:rFonts w:eastAsia="Batang"/>
          <w:sz w:val="24"/>
          <w:szCs w:val="24"/>
        </w:rPr>
        <w:t>The Messianic Idea in Judaism</w:t>
      </w:r>
      <w:r>
        <w:rPr>
          <w:rStyle w:val="CharAttribute80"/>
          <w:rFonts w:eastAsia="Batang"/>
          <w:i w:val="0"/>
          <w:sz w:val="24"/>
          <w:szCs w:val="24"/>
        </w:rPr>
        <w:t>, p.4.</w:t>
      </w:r>
      <w:proofErr w:type="gramEnd"/>
    </w:p>
  </w:endnote>
  <w:endnote w:id="3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76"/>
          <w:rFonts w:eastAsia="Batang"/>
          <w:sz w:val="24"/>
          <w:szCs w:val="24"/>
        </w:rPr>
        <w:t xml:space="preserve">Alex Murray, </w:t>
      </w:r>
      <w:r w:rsidRPr="000B15E0">
        <w:rPr>
          <w:rStyle w:val="CharAttribute80"/>
          <w:rFonts w:eastAsia="Batang"/>
          <w:sz w:val="24"/>
          <w:szCs w:val="24"/>
        </w:rPr>
        <w:t>Giorgio Agamben</w:t>
      </w:r>
      <w:r w:rsidRPr="000B15E0">
        <w:rPr>
          <w:rStyle w:val="CharAttribute76"/>
          <w:rFonts w:eastAsia="Batang"/>
          <w:sz w:val="24"/>
          <w:szCs w:val="24"/>
        </w:rPr>
        <w:t xml:space="preserve"> (</w:t>
      </w:r>
      <w:r>
        <w:rPr>
          <w:rStyle w:val="CharAttribute76"/>
          <w:rFonts w:eastAsia="Batang"/>
          <w:sz w:val="24"/>
          <w:szCs w:val="24"/>
        </w:rPr>
        <w:t xml:space="preserve">London: </w:t>
      </w:r>
      <w:r w:rsidRPr="000B15E0">
        <w:rPr>
          <w:rStyle w:val="CharAttribute76"/>
          <w:rFonts w:eastAsia="Batang"/>
          <w:sz w:val="24"/>
          <w:szCs w:val="24"/>
        </w:rPr>
        <w:t>Routledge</w:t>
      </w:r>
      <w:r w:rsidR="00BF4B0C">
        <w:rPr>
          <w:rStyle w:val="CharAttribute76"/>
          <w:rFonts w:eastAsia="Batang"/>
          <w:sz w:val="24"/>
          <w:szCs w:val="24"/>
        </w:rPr>
        <w:t>,</w:t>
      </w:r>
      <w:r w:rsidRPr="000B15E0">
        <w:rPr>
          <w:rStyle w:val="CharAttribute76"/>
          <w:rFonts w:eastAsia="Batang"/>
          <w:sz w:val="24"/>
          <w:szCs w:val="24"/>
        </w:rPr>
        <w:t xml:space="preserve"> 2010)</w:t>
      </w:r>
      <w:r w:rsidR="00A47C1C">
        <w:rPr>
          <w:rStyle w:val="CharAttribute76"/>
          <w:rFonts w:eastAsia="Batang"/>
          <w:sz w:val="24"/>
          <w:szCs w:val="24"/>
        </w:rPr>
        <w:t>,</w:t>
      </w:r>
      <w:r w:rsidRPr="000B15E0">
        <w:rPr>
          <w:rStyle w:val="CharAttribute76"/>
          <w:rFonts w:eastAsia="Batang"/>
          <w:sz w:val="24"/>
          <w:szCs w:val="24"/>
        </w:rPr>
        <w:t xml:space="preserve"> </w:t>
      </w:r>
      <w:r w:rsidR="00A47C1C">
        <w:rPr>
          <w:rStyle w:val="CharAttribute76"/>
          <w:rFonts w:eastAsia="Batang"/>
          <w:sz w:val="24"/>
          <w:szCs w:val="24"/>
        </w:rPr>
        <w:t>p.</w:t>
      </w:r>
      <w:r w:rsidRPr="000B15E0">
        <w:rPr>
          <w:rStyle w:val="CharAttribute76"/>
          <w:rFonts w:eastAsia="Batang"/>
          <w:sz w:val="24"/>
          <w:szCs w:val="24"/>
        </w:rPr>
        <w:t>129.</w:t>
      </w:r>
    </w:p>
  </w:endnote>
  <w:endnote w:id="3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76"/>
          <w:rFonts w:eastAsia="Batang"/>
          <w:sz w:val="24"/>
          <w:szCs w:val="24"/>
        </w:rPr>
        <w:t>Giorgio Agamben, ‘The Messiah and the Sovereign’ in</w:t>
      </w:r>
      <w:r>
        <w:rPr>
          <w:rStyle w:val="CharAttribute116"/>
          <w:rFonts w:eastAsia="Batang"/>
          <w:sz w:val="24"/>
          <w:szCs w:val="24"/>
        </w:rPr>
        <w:t xml:space="preserve"> </w:t>
      </w:r>
      <w:r w:rsidRPr="005D28A9">
        <w:rPr>
          <w:rFonts w:ascii="Times New Roman"/>
          <w:i/>
          <w:iCs/>
          <w:sz w:val="24"/>
          <w:szCs w:val="24"/>
          <w:lang w:val="en-GB"/>
        </w:rPr>
        <w:t>Potentialities</w:t>
      </w:r>
      <w:r>
        <w:rPr>
          <w:rFonts w:ascii="Times New Roman"/>
          <w:sz w:val="24"/>
          <w:szCs w:val="24"/>
          <w:lang w:val="en-GB"/>
        </w:rPr>
        <w:t>,</w:t>
      </w:r>
      <w:r w:rsidRPr="000B15E0">
        <w:rPr>
          <w:rStyle w:val="CharAttribute76"/>
          <w:rFonts w:eastAsia="Batang"/>
          <w:sz w:val="24"/>
          <w:szCs w:val="24"/>
        </w:rPr>
        <w:t xml:space="preserve"> </w:t>
      </w:r>
      <w:r>
        <w:rPr>
          <w:rStyle w:val="CharAttribute76"/>
          <w:rFonts w:eastAsia="Batang"/>
          <w:sz w:val="24"/>
          <w:szCs w:val="24"/>
        </w:rPr>
        <w:t>p.</w:t>
      </w:r>
      <w:r w:rsidRPr="000B15E0">
        <w:rPr>
          <w:rStyle w:val="CharAttribute76"/>
          <w:rFonts w:eastAsia="Batang"/>
          <w:sz w:val="24"/>
          <w:szCs w:val="24"/>
        </w:rPr>
        <w:t>173.</w:t>
      </w:r>
      <w:proofErr w:type="gramEnd"/>
    </w:p>
  </w:endnote>
  <w:endnote w:id="3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76"/>
          <w:rFonts w:eastAsia="Batang"/>
          <w:sz w:val="24"/>
          <w:szCs w:val="24"/>
        </w:rPr>
        <w:t xml:space="preserve">‘The Messiah and the Sovereign’, </w:t>
      </w:r>
      <w:r>
        <w:rPr>
          <w:rStyle w:val="CharAttribute76"/>
          <w:rFonts w:eastAsia="Batang"/>
          <w:sz w:val="24"/>
          <w:szCs w:val="24"/>
        </w:rPr>
        <w:t>p.</w:t>
      </w:r>
      <w:r w:rsidRPr="000B15E0">
        <w:rPr>
          <w:rStyle w:val="CharAttribute76"/>
          <w:rFonts w:eastAsia="Batang"/>
          <w:sz w:val="24"/>
          <w:szCs w:val="24"/>
        </w:rPr>
        <w:t>163.</w:t>
      </w:r>
      <w:proofErr w:type="gramEnd"/>
    </w:p>
  </w:endnote>
  <w:endnote w:id="3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76"/>
          <w:rFonts w:eastAsia="Batang"/>
          <w:sz w:val="24"/>
          <w:szCs w:val="24"/>
        </w:rPr>
        <w:t xml:space="preserve">‘The Messiah and the Sovereign’, </w:t>
      </w:r>
      <w:r>
        <w:rPr>
          <w:rStyle w:val="CharAttribute76"/>
          <w:rFonts w:eastAsia="Batang"/>
          <w:sz w:val="24"/>
          <w:szCs w:val="24"/>
        </w:rPr>
        <w:t>p.</w:t>
      </w:r>
      <w:r w:rsidRPr="000B15E0">
        <w:rPr>
          <w:rStyle w:val="CharAttribute76"/>
          <w:rFonts w:eastAsia="Batang"/>
          <w:sz w:val="24"/>
          <w:szCs w:val="24"/>
        </w:rPr>
        <w:t>174.</w:t>
      </w:r>
      <w:proofErr w:type="gramEnd"/>
    </w:p>
  </w:endnote>
  <w:endnote w:id="3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927559">
        <w:rPr>
          <w:rFonts w:ascii="Times New Roman"/>
          <w:sz w:val="24"/>
          <w:szCs w:val="24"/>
        </w:rPr>
        <w:t xml:space="preserve">Giorgio Agamben, </w:t>
      </w:r>
      <w:r w:rsidRPr="000B15E0">
        <w:rPr>
          <w:rStyle w:val="CharAttribute80"/>
          <w:rFonts w:eastAsia="Batang"/>
          <w:sz w:val="24"/>
          <w:szCs w:val="24"/>
        </w:rPr>
        <w:t>Language and Death</w:t>
      </w:r>
      <w:r w:rsidR="00927559" w:rsidRPr="00927559">
        <w:rPr>
          <w:rFonts w:ascii="Times New Roman"/>
          <w:i/>
          <w:sz w:val="24"/>
          <w:szCs w:val="24"/>
          <w:lang w:val="en-GB"/>
        </w:rPr>
        <w:t>: The Place of Negativity</w:t>
      </w:r>
      <w:r w:rsidR="00927559" w:rsidRPr="00927559">
        <w:rPr>
          <w:rFonts w:ascii="Times New Roman"/>
          <w:sz w:val="24"/>
          <w:szCs w:val="24"/>
          <w:lang w:val="en-GB"/>
        </w:rPr>
        <w:t>, tr</w:t>
      </w:r>
      <w:r w:rsidR="006B7143">
        <w:rPr>
          <w:rFonts w:ascii="Times New Roman"/>
          <w:sz w:val="24"/>
          <w:szCs w:val="24"/>
          <w:lang w:val="en-GB"/>
        </w:rPr>
        <w:t>an</w:t>
      </w:r>
      <w:r w:rsidR="00927559" w:rsidRPr="00927559">
        <w:rPr>
          <w:rFonts w:ascii="Times New Roman"/>
          <w:sz w:val="24"/>
          <w:szCs w:val="24"/>
          <w:lang w:val="en-GB"/>
        </w:rPr>
        <w:t xml:space="preserve">s. Karen E. </w:t>
      </w:r>
      <w:proofErr w:type="spellStart"/>
      <w:r w:rsidR="00927559" w:rsidRPr="00927559">
        <w:rPr>
          <w:rFonts w:ascii="Times New Roman"/>
          <w:sz w:val="24"/>
          <w:szCs w:val="24"/>
          <w:lang w:val="en-GB"/>
        </w:rPr>
        <w:t>Pinkus</w:t>
      </w:r>
      <w:proofErr w:type="spellEnd"/>
      <w:r w:rsidR="00927559" w:rsidRPr="00927559">
        <w:rPr>
          <w:rFonts w:ascii="Times New Roman"/>
          <w:sz w:val="24"/>
          <w:szCs w:val="24"/>
          <w:lang w:val="en-GB"/>
        </w:rPr>
        <w:t xml:space="preserve"> and Michael </w:t>
      </w:r>
      <w:proofErr w:type="spellStart"/>
      <w:r w:rsidR="00927559" w:rsidRPr="00927559">
        <w:rPr>
          <w:rFonts w:ascii="Times New Roman"/>
          <w:sz w:val="24"/>
          <w:szCs w:val="24"/>
          <w:lang w:val="en-GB"/>
        </w:rPr>
        <w:t>Hardt</w:t>
      </w:r>
      <w:proofErr w:type="spellEnd"/>
      <w:r w:rsidR="00927559" w:rsidRPr="00927559">
        <w:rPr>
          <w:rFonts w:ascii="Times New Roman"/>
          <w:sz w:val="24"/>
          <w:szCs w:val="24"/>
          <w:lang w:val="en-GB"/>
        </w:rPr>
        <w:t xml:space="preserve"> (Minneapolis: University of Minnesota Press, 1991)</w:t>
      </w:r>
      <w:r w:rsidR="00A47C1C">
        <w:rPr>
          <w:rFonts w:ascii="Times New Roman"/>
          <w:sz w:val="24"/>
          <w:szCs w:val="24"/>
          <w:lang w:val="en-GB"/>
        </w:rPr>
        <w:t>,</w:t>
      </w:r>
      <w:r w:rsidR="00927559" w:rsidRPr="00927559">
        <w:rPr>
          <w:rFonts w:ascii="Times New Roman"/>
          <w:sz w:val="24"/>
          <w:szCs w:val="24"/>
          <w:lang w:val="en-GB"/>
        </w:rPr>
        <w:t xml:space="preserve"> p.98</w:t>
      </w:r>
      <w:r w:rsidRPr="000B15E0">
        <w:rPr>
          <w:rStyle w:val="CharAttribute81"/>
          <w:rFonts w:eastAsia="Batang"/>
          <w:sz w:val="24"/>
          <w:szCs w:val="24"/>
        </w:rPr>
        <w:t>.</w:t>
      </w:r>
    </w:p>
  </w:endnote>
  <w:endnote w:id="4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Giorgio Agamben, </w:t>
      </w:r>
      <w:r w:rsidRPr="001F0ADD">
        <w:rPr>
          <w:rFonts w:ascii="Times New Roman"/>
          <w:i/>
          <w:iCs/>
          <w:sz w:val="24"/>
          <w:szCs w:val="24"/>
          <w:lang w:val="en-GB"/>
        </w:rPr>
        <w:t>The Coming Community</w:t>
      </w:r>
      <w:r>
        <w:rPr>
          <w:rFonts w:ascii="Times New Roman"/>
          <w:iCs/>
          <w:sz w:val="24"/>
          <w:szCs w:val="24"/>
          <w:lang w:val="en-GB"/>
        </w:rPr>
        <w:t>, tr</w:t>
      </w:r>
      <w:r w:rsidR="00B51D27">
        <w:rPr>
          <w:rFonts w:ascii="Times New Roman"/>
          <w:iCs/>
          <w:sz w:val="24"/>
          <w:szCs w:val="24"/>
          <w:lang w:val="en-GB"/>
        </w:rPr>
        <w:t>ans</w:t>
      </w:r>
      <w:r>
        <w:rPr>
          <w:rFonts w:ascii="Times New Roman"/>
          <w:iCs/>
          <w:sz w:val="24"/>
          <w:szCs w:val="24"/>
          <w:lang w:val="en-GB"/>
        </w:rPr>
        <w:t>. Michael</w:t>
      </w:r>
      <w:r w:rsidRPr="001F0ADD">
        <w:rPr>
          <w:rFonts w:ascii="Times New Roman"/>
          <w:i/>
          <w:iCs/>
          <w:sz w:val="24"/>
          <w:szCs w:val="24"/>
          <w:lang w:val="en-GB"/>
        </w:rPr>
        <w:t xml:space="preserve"> </w:t>
      </w:r>
      <w:proofErr w:type="spellStart"/>
      <w:r w:rsidRPr="001F0ADD">
        <w:rPr>
          <w:rFonts w:ascii="Times New Roman"/>
          <w:sz w:val="24"/>
          <w:szCs w:val="24"/>
          <w:lang w:val="en-GB"/>
        </w:rPr>
        <w:t>Hardt</w:t>
      </w:r>
      <w:proofErr w:type="spellEnd"/>
      <w:r>
        <w:rPr>
          <w:rFonts w:ascii="Times New Roman"/>
          <w:sz w:val="24"/>
          <w:szCs w:val="24"/>
          <w:lang w:val="en-GB"/>
        </w:rPr>
        <w:t xml:space="preserve"> (Minneapolis:</w:t>
      </w:r>
      <w:r w:rsidRPr="001F0ADD">
        <w:rPr>
          <w:rFonts w:ascii="Times New Roman"/>
          <w:sz w:val="24"/>
          <w:szCs w:val="24"/>
          <w:lang w:val="en-GB"/>
        </w:rPr>
        <w:t xml:space="preserve"> University of Minnesota Press</w:t>
      </w:r>
      <w:r>
        <w:rPr>
          <w:rFonts w:ascii="Times New Roman"/>
          <w:sz w:val="24"/>
          <w:szCs w:val="24"/>
          <w:lang w:val="en-GB"/>
        </w:rPr>
        <w:t>,</w:t>
      </w:r>
      <w:r w:rsidRPr="001F0ADD">
        <w:rPr>
          <w:rFonts w:ascii="Times New Roman"/>
          <w:sz w:val="24"/>
          <w:szCs w:val="24"/>
          <w:lang w:val="en-GB"/>
        </w:rPr>
        <w:t xml:space="preserve"> 2007)</w:t>
      </w:r>
      <w:r>
        <w:rPr>
          <w:rFonts w:ascii="Times New Roman"/>
          <w:sz w:val="24"/>
          <w:szCs w:val="24"/>
          <w:lang w:val="en-GB"/>
        </w:rPr>
        <w:t>, p.43</w:t>
      </w:r>
      <w:r w:rsidRPr="000B15E0">
        <w:rPr>
          <w:rStyle w:val="CharAttribute82"/>
          <w:rFonts w:eastAsia="Batang"/>
          <w:sz w:val="24"/>
          <w:szCs w:val="24"/>
        </w:rPr>
        <w:t>.</w:t>
      </w:r>
    </w:p>
  </w:endnote>
  <w:endnote w:id="41">
    <w:p w:rsidR="00104860" w:rsidRPr="00F95ECB" w:rsidRDefault="00104860" w:rsidP="00A675BC">
      <w:pPr>
        <w:pStyle w:val="EndnoteText"/>
        <w:wordWrap/>
        <w:spacing w:line="480" w:lineRule="auto"/>
        <w:rPr>
          <w:rFonts w:ascii="Times New Roman"/>
          <w:lang w:val="en-GB"/>
        </w:rPr>
      </w:pPr>
      <w:r w:rsidRPr="00F95ECB">
        <w:rPr>
          <w:rStyle w:val="EndnoteReference"/>
          <w:rFonts w:ascii="Times New Roman"/>
          <w:sz w:val="24"/>
        </w:rPr>
        <w:endnoteRef/>
      </w:r>
      <w:r w:rsidRPr="00F95ECB">
        <w:rPr>
          <w:rFonts w:ascii="Times New Roman"/>
          <w:sz w:val="24"/>
        </w:rPr>
        <w:t xml:space="preserve"> </w:t>
      </w:r>
      <w:proofErr w:type="spellStart"/>
      <w:proofErr w:type="gramStart"/>
      <w:r w:rsidRPr="00F95ECB">
        <w:rPr>
          <w:rFonts w:ascii="Times New Roman"/>
          <w:sz w:val="24"/>
          <w:lang w:val="en-GB"/>
        </w:rPr>
        <w:t>IIlan</w:t>
      </w:r>
      <w:proofErr w:type="spellEnd"/>
      <w:r w:rsidRPr="00F95ECB">
        <w:rPr>
          <w:rFonts w:ascii="Times New Roman"/>
          <w:sz w:val="24"/>
          <w:lang w:val="en-GB"/>
        </w:rPr>
        <w:t xml:space="preserve"> rua Wall, ‘Tunisia and the Critical Legal Theory of </w:t>
      </w:r>
      <w:proofErr w:type="spellStart"/>
      <w:r w:rsidRPr="00F95ECB">
        <w:rPr>
          <w:rFonts w:ascii="Times New Roman"/>
          <w:sz w:val="24"/>
          <w:lang w:val="en-GB"/>
        </w:rPr>
        <w:t>Dissensus</w:t>
      </w:r>
      <w:proofErr w:type="spellEnd"/>
      <w:r w:rsidRPr="00F95ECB">
        <w:rPr>
          <w:rFonts w:ascii="Times New Roman"/>
          <w:sz w:val="24"/>
          <w:lang w:val="en-GB"/>
        </w:rPr>
        <w:t xml:space="preserve">’ (2012) 23 </w:t>
      </w:r>
      <w:r w:rsidRPr="00F95ECB">
        <w:rPr>
          <w:rFonts w:ascii="Times New Roman"/>
          <w:i/>
          <w:sz w:val="24"/>
          <w:lang w:val="en-GB"/>
        </w:rPr>
        <w:t>Law and Critique</w:t>
      </w:r>
      <w:r w:rsidR="00A47C1C">
        <w:rPr>
          <w:rFonts w:ascii="Times New Roman"/>
          <w:sz w:val="24"/>
          <w:lang w:val="en-GB"/>
        </w:rPr>
        <w:t xml:space="preserve"> 219-</w:t>
      </w:r>
      <w:r w:rsidRPr="00F95ECB">
        <w:rPr>
          <w:rFonts w:ascii="Times New Roman"/>
          <w:sz w:val="24"/>
          <w:lang w:val="en-GB"/>
        </w:rPr>
        <w:t>36, 222.</w:t>
      </w:r>
      <w:proofErr w:type="gramEnd"/>
    </w:p>
  </w:endnote>
  <w:endnote w:id="42">
    <w:p w:rsidR="00104860" w:rsidRPr="00F85297" w:rsidRDefault="00104860" w:rsidP="00A675BC">
      <w:pPr>
        <w:pStyle w:val="EndnoteText"/>
        <w:wordWrap/>
        <w:spacing w:line="480" w:lineRule="auto"/>
        <w:rPr>
          <w:rFonts w:ascii="Times New Roman"/>
          <w:sz w:val="24"/>
          <w:szCs w:val="24"/>
          <w:lang w:val="en-GB"/>
        </w:rPr>
      </w:pPr>
      <w:r w:rsidRPr="00937617">
        <w:rPr>
          <w:rStyle w:val="EndnoteReference"/>
          <w:rFonts w:ascii="Times New Roman"/>
          <w:sz w:val="24"/>
        </w:rPr>
        <w:endnoteRef/>
      </w:r>
      <w:r w:rsidRPr="00937617">
        <w:rPr>
          <w:rFonts w:ascii="Times New Roman"/>
          <w:sz w:val="24"/>
        </w:rPr>
        <w:t xml:space="preserve"> </w:t>
      </w:r>
      <w:r>
        <w:rPr>
          <w:rFonts w:ascii="Times New Roman"/>
          <w:sz w:val="24"/>
        </w:rPr>
        <w:t xml:space="preserve">Georges </w:t>
      </w:r>
      <w:proofErr w:type="spellStart"/>
      <w:r>
        <w:rPr>
          <w:rFonts w:ascii="Times New Roman"/>
          <w:sz w:val="24"/>
        </w:rPr>
        <w:t>Bataille</w:t>
      </w:r>
      <w:proofErr w:type="spellEnd"/>
      <w:r>
        <w:rPr>
          <w:rFonts w:ascii="Times New Roman"/>
          <w:sz w:val="24"/>
        </w:rPr>
        <w:t xml:space="preserve">, </w:t>
      </w:r>
      <w:r>
        <w:rPr>
          <w:rFonts w:ascii="Times New Roman"/>
          <w:i/>
          <w:sz w:val="24"/>
        </w:rPr>
        <w:t>Visions of Excess</w:t>
      </w:r>
      <w:r>
        <w:rPr>
          <w:rFonts w:ascii="Times New Roman"/>
          <w:sz w:val="24"/>
        </w:rPr>
        <w:t xml:space="preserve">, ed. Allan </w:t>
      </w:r>
      <w:proofErr w:type="spellStart"/>
      <w:r>
        <w:rPr>
          <w:rFonts w:ascii="Times New Roman"/>
          <w:sz w:val="24"/>
        </w:rPr>
        <w:t>Stoekl</w:t>
      </w:r>
      <w:proofErr w:type="spellEnd"/>
      <w:r>
        <w:rPr>
          <w:rFonts w:ascii="Times New Roman"/>
          <w:sz w:val="24"/>
        </w:rPr>
        <w:t xml:space="preserve"> (Manchester: Manchester University Press, 1985), pp.116-29.</w:t>
      </w:r>
    </w:p>
  </w:endnote>
  <w:endnote w:id="43">
    <w:p w:rsidR="00104860" w:rsidRPr="00F85297" w:rsidRDefault="00104860" w:rsidP="00A675BC">
      <w:pPr>
        <w:pStyle w:val="EndnoteText"/>
        <w:wordWrap/>
        <w:spacing w:line="480" w:lineRule="auto"/>
        <w:rPr>
          <w:lang w:val="en-GB"/>
        </w:rPr>
      </w:pPr>
      <w:r w:rsidRPr="00F85297">
        <w:rPr>
          <w:rStyle w:val="EndnoteReference"/>
          <w:rFonts w:ascii="Times New Roman"/>
          <w:sz w:val="24"/>
          <w:szCs w:val="24"/>
        </w:rPr>
        <w:endnoteRef/>
      </w:r>
      <w:r w:rsidRPr="00F85297">
        <w:rPr>
          <w:rFonts w:ascii="Times New Roman"/>
          <w:sz w:val="24"/>
          <w:szCs w:val="24"/>
        </w:rPr>
        <w:t xml:space="preserve"> </w:t>
      </w:r>
      <w:proofErr w:type="gramStart"/>
      <w:r w:rsidRPr="00F85297">
        <w:rPr>
          <w:rFonts w:ascii="Times New Roman"/>
          <w:sz w:val="24"/>
          <w:szCs w:val="24"/>
          <w:lang w:val="en-GB"/>
        </w:rPr>
        <w:t xml:space="preserve">Wall, ‘Tunisia and the Critical Legal Theory of </w:t>
      </w:r>
      <w:proofErr w:type="spellStart"/>
      <w:r w:rsidRPr="00F85297">
        <w:rPr>
          <w:rFonts w:ascii="Times New Roman"/>
          <w:sz w:val="24"/>
          <w:szCs w:val="24"/>
          <w:lang w:val="en-GB"/>
        </w:rPr>
        <w:t>Dissensus</w:t>
      </w:r>
      <w:proofErr w:type="spellEnd"/>
      <w:r w:rsidRPr="00F85297">
        <w:rPr>
          <w:rFonts w:ascii="Times New Roman"/>
          <w:sz w:val="24"/>
          <w:szCs w:val="24"/>
          <w:lang w:val="en-GB"/>
        </w:rPr>
        <w:t>’, p.223.</w:t>
      </w:r>
      <w:proofErr w:type="gramEnd"/>
      <w:r w:rsidRPr="00F85297">
        <w:rPr>
          <w:rFonts w:ascii="Times New Roman"/>
          <w:sz w:val="24"/>
          <w:szCs w:val="24"/>
          <w:lang w:val="en-GB"/>
        </w:rPr>
        <w:t xml:space="preserve"> </w:t>
      </w:r>
    </w:p>
  </w:endnote>
  <w:endnote w:id="44">
    <w:p w:rsidR="00104860" w:rsidRPr="0065078C" w:rsidRDefault="00104860" w:rsidP="00A675BC">
      <w:pPr>
        <w:pStyle w:val="EndnoteText"/>
        <w:wordWrap/>
        <w:spacing w:line="480" w:lineRule="auto"/>
        <w:rPr>
          <w:rFonts w:ascii="Times New Roman"/>
          <w:sz w:val="24"/>
          <w:szCs w:val="24"/>
          <w:lang w:val="en-GB"/>
        </w:rPr>
      </w:pPr>
      <w:r w:rsidRPr="0065078C">
        <w:rPr>
          <w:rStyle w:val="EndnoteReference"/>
          <w:rFonts w:ascii="Times New Roman"/>
          <w:sz w:val="24"/>
          <w:szCs w:val="24"/>
        </w:rPr>
        <w:endnoteRef/>
      </w:r>
      <w:r w:rsidRPr="0065078C">
        <w:rPr>
          <w:rFonts w:ascii="Times New Roman"/>
          <w:sz w:val="24"/>
          <w:szCs w:val="24"/>
          <w:lang w:val="en-GB"/>
        </w:rPr>
        <w:t xml:space="preserve"> Panu Minkkinen</w:t>
      </w:r>
      <w:r>
        <w:rPr>
          <w:rFonts w:ascii="Times New Roman"/>
          <w:sz w:val="24"/>
          <w:szCs w:val="24"/>
          <w:lang w:val="en-GB"/>
        </w:rPr>
        <w:t xml:space="preserve">, </w:t>
      </w:r>
      <w:r>
        <w:rPr>
          <w:rFonts w:ascii="Times New Roman"/>
          <w:i/>
          <w:sz w:val="24"/>
          <w:szCs w:val="24"/>
          <w:lang w:val="en-GB"/>
        </w:rPr>
        <w:t>Sovereignty, Knowledge, Law</w:t>
      </w:r>
      <w:r>
        <w:rPr>
          <w:rFonts w:ascii="Times New Roman"/>
          <w:sz w:val="24"/>
          <w:szCs w:val="24"/>
          <w:lang w:val="en-GB"/>
        </w:rPr>
        <w:t xml:space="preserve"> (Abingdon: Routledge, 2009), p.137. </w:t>
      </w:r>
    </w:p>
  </w:endnote>
  <w:endnote w:id="45">
    <w:p w:rsidR="00F54B4E" w:rsidRPr="000B15E0" w:rsidRDefault="00F54B4E"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Fonts w:ascii="Times New Roman"/>
          <w:sz w:val="24"/>
          <w:szCs w:val="24"/>
        </w:rPr>
        <w:t xml:space="preserve">‘On Potentiality’, </w:t>
      </w:r>
      <w:r>
        <w:rPr>
          <w:rFonts w:ascii="Times New Roman"/>
          <w:sz w:val="24"/>
          <w:szCs w:val="24"/>
        </w:rPr>
        <w:t>p.</w:t>
      </w:r>
      <w:r w:rsidRPr="000B15E0">
        <w:rPr>
          <w:rFonts w:ascii="Times New Roman"/>
          <w:sz w:val="24"/>
          <w:szCs w:val="24"/>
        </w:rPr>
        <w:t>178.</w:t>
      </w:r>
      <w:proofErr w:type="gramEnd"/>
    </w:p>
  </w:endnote>
  <w:endnote w:id="4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Fonts w:ascii="Times New Roman"/>
          <w:sz w:val="24"/>
          <w:szCs w:val="24"/>
        </w:rPr>
        <w:t xml:space="preserve">‘On Potentiality’, </w:t>
      </w:r>
      <w:r>
        <w:rPr>
          <w:rFonts w:ascii="Times New Roman"/>
          <w:sz w:val="24"/>
          <w:szCs w:val="24"/>
        </w:rPr>
        <w:t>p.</w:t>
      </w:r>
      <w:r w:rsidRPr="000B15E0">
        <w:rPr>
          <w:rFonts w:ascii="Times New Roman"/>
          <w:sz w:val="24"/>
          <w:szCs w:val="24"/>
        </w:rPr>
        <w:t>181.</w:t>
      </w:r>
      <w:proofErr w:type="gramEnd"/>
    </w:p>
  </w:endnote>
  <w:endnote w:id="4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Fonts w:ascii="Times New Roman"/>
          <w:sz w:val="24"/>
          <w:szCs w:val="24"/>
        </w:rPr>
        <w:t xml:space="preserve">‘On Potentiality’, </w:t>
      </w:r>
      <w:r>
        <w:rPr>
          <w:rFonts w:ascii="Times New Roman"/>
          <w:sz w:val="24"/>
          <w:szCs w:val="24"/>
        </w:rPr>
        <w:t>p.</w:t>
      </w:r>
      <w:r w:rsidRPr="000B15E0">
        <w:rPr>
          <w:rFonts w:ascii="Times New Roman"/>
          <w:sz w:val="24"/>
          <w:szCs w:val="24"/>
        </w:rPr>
        <w:t>179.</w:t>
      </w:r>
      <w:proofErr w:type="gramEnd"/>
    </w:p>
  </w:endnote>
  <w:endnote w:id="4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Fonts w:ascii="Times New Roman"/>
          <w:i/>
          <w:sz w:val="24"/>
          <w:szCs w:val="24"/>
        </w:rPr>
        <w:t>The Coming Community</w:t>
      </w:r>
      <w:r w:rsidRPr="000B15E0">
        <w:rPr>
          <w:rFonts w:ascii="Times New Roman"/>
          <w:sz w:val="24"/>
          <w:szCs w:val="24"/>
        </w:rPr>
        <w:t xml:space="preserve">, </w:t>
      </w:r>
      <w:r w:rsidR="00833712">
        <w:rPr>
          <w:rFonts w:ascii="Times New Roman"/>
          <w:sz w:val="24"/>
          <w:szCs w:val="24"/>
        </w:rPr>
        <w:t>p.</w:t>
      </w:r>
      <w:r w:rsidRPr="000B15E0">
        <w:rPr>
          <w:rFonts w:ascii="Times New Roman"/>
          <w:sz w:val="24"/>
          <w:szCs w:val="24"/>
        </w:rPr>
        <w:t>43.</w:t>
      </w:r>
      <w:proofErr w:type="gramEnd"/>
    </w:p>
  </w:endnote>
  <w:endnote w:id="4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Agamben,</w:t>
      </w:r>
      <w:r w:rsidRPr="000B15E0">
        <w:rPr>
          <w:rFonts w:ascii="Times New Roman"/>
          <w:sz w:val="24"/>
          <w:szCs w:val="24"/>
        </w:rPr>
        <w:t xml:space="preserve"> ‘On Potentiality’, </w:t>
      </w:r>
      <w:r>
        <w:rPr>
          <w:rFonts w:ascii="Times New Roman"/>
          <w:sz w:val="24"/>
          <w:szCs w:val="24"/>
        </w:rPr>
        <w:t>p.</w:t>
      </w:r>
      <w:r w:rsidRPr="000B15E0">
        <w:rPr>
          <w:rFonts w:ascii="Times New Roman"/>
          <w:sz w:val="24"/>
          <w:szCs w:val="24"/>
        </w:rPr>
        <w:t>182.</w:t>
      </w:r>
      <w:proofErr w:type="gramEnd"/>
    </w:p>
  </w:endnote>
  <w:endnote w:id="5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Agamben,</w:t>
      </w:r>
      <w:r w:rsidRPr="000B15E0">
        <w:rPr>
          <w:rFonts w:ascii="Times New Roman"/>
          <w:sz w:val="24"/>
          <w:szCs w:val="24"/>
        </w:rPr>
        <w:t xml:space="preserve"> ‘On Potentiality’, </w:t>
      </w:r>
      <w:r>
        <w:rPr>
          <w:rFonts w:ascii="Times New Roman"/>
          <w:sz w:val="24"/>
          <w:szCs w:val="24"/>
        </w:rPr>
        <w:t>p.</w:t>
      </w:r>
      <w:r w:rsidRPr="000B15E0">
        <w:rPr>
          <w:rFonts w:ascii="Times New Roman"/>
          <w:sz w:val="24"/>
          <w:szCs w:val="24"/>
        </w:rPr>
        <w:t>180.</w:t>
      </w:r>
      <w:proofErr w:type="gramEnd"/>
    </w:p>
  </w:endnote>
  <w:endnote w:id="5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2B7927">
        <w:rPr>
          <w:rFonts w:ascii="Times New Roman"/>
          <w:sz w:val="24"/>
          <w:szCs w:val="24"/>
        </w:rPr>
        <w:t xml:space="preserve">Aristotle, </w:t>
      </w:r>
      <w:r w:rsidRPr="000B15E0">
        <w:rPr>
          <w:rStyle w:val="CharAttribute80"/>
          <w:rFonts w:eastAsia="Batang"/>
          <w:sz w:val="24"/>
          <w:szCs w:val="24"/>
        </w:rPr>
        <w:t>Metaphysics</w:t>
      </w:r>
      <w:r w:rsidRPr="000B15E0">
        <w:rPr>
          <w:rStyle w:val="CharAttribute84"/>
          <w:rFonts w:eastAsia="Batang"/>
          <w:sz w:val="24"/>
          <w:szCs w:val="24"/>
        </w:rPr>
        <w:t>, 1050b 1-10.</w:t>
      </w:r>
    </w:p>
  </w:endnote>
  <w:endnote w:id="5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Agamben,</w:t>
      </w:r>
      <w:r w:rsidRPr="000B15E0">
        <w:rPr>
          <w:rFonts w:ascii="Times New Roman"/>
          <w:sz w:val="24"/>
          <w:szCs w:val="24"/>
        </w:rPr>
        <w:t xml:space="preserve"> ‘On Potentiality’, </w:t>
      </w:r>
      <w:r>
        <w:rPr>
          <w:rFonts w:ascii="Times New Roman"/>
          <w:sz w:val="24"/>
          <w:szCs w:val="24"/>
        </w:rPr>
        <w:t>p.</w:t>
      </w:r>
      <w:r w:rsidRPr="000B15E0">
        <w:rPr>
          <w:rFonts w:ascii="Times New Roman"/>
          <w:sz w:val="24"/>
          <w:szCs w:val="24"/>
        </w:rPr>
        <w:t>182.</w:t>
      </w:r>
      <w:proofErr w:type="gramEnd"/>
    </w:p>
  </w:endnote>
  <w:endnote w:id="5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Agamben,</w:t>
      </w:r>
      <w:r w:rsidRPr="000B15E0">
        <w:rPr>
          <w:rStyle w:val="CharAttribute88"/>
          <w:rFonts w:eastAsia="Batang"/>
          <w:sz w:val="24"/>
          <w:szCs w:val="24"/>
        </w:rPr>
        <w:t xml:space="preserve"> ‘On Potentiality’</w:t>
      </w:r>
      <w:r>
        <w:rPr>
          <w:rStyle w:val="CharAttribute88"/>
          <w:rFonts w:eastAsia="Batang"/>
          <w:sz w:val="24"/>
          <w:szCs w:val="24"/>
        </w:rPr>
        <w:t>,</w:t>
      </w:r>
      <w:r w:rsidRPr="000B15E0">
        <w:rPr>
          <w:rStyle w:val="CharAttribute88"/>
          <w:rFonts w:eastAsia="Batang"/>
          <w:sz w:val="24"/>
          <w:szCs w:val="24"/>
        </w:rPr>
        <w:t xml:space="preserve"> </w:t>
      </w:r>
      <w:r>
        <w:rPr>
          <w:rStyle w:val="CharAttribute88"/>
          <w:rFonts w:eastAsia="Batang"/>
          <w:sz w:val="24"/>
          <w:szCs w:val="24"/>
        </w:rPr>
        <w:t>pp.</w:t>
      </w:r>
      <w:r w:rsidRPr="000B15E0">
        <w:rPr>
          <w:rStyle w:val="CharAttribute88"/>
          <w:rFonts w:eastAsia="Batang"/>
          <w:sz w:val="24"/>
          <w:szCs w:val="24"/>
        </w:rPr>
        <w:t>182-3.</w:t>
      </w:r>
      <w:proofErr w:type="gramEnd"/>
    </w:p>
  </w:endnote>
  <w:endnote w:id="5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p.43.</w:t>
      </w:r>
      <w:proofErr w:type="gramEnd"/>
    </w:p>
  </w:endnote>
  <w:endnote w:id="55">
    <w:p w:rsidR="00104860" w:rsidRPr="000966E3" w:rsidRDefault="00104860" w:rsidP="00A675BC">
      <w:pPr>
        <w:pStyle w:val="EndnoteText"/>
        <w:wordWrap/>
        <w:spacing w:line="480" w:lineRule="auto"/>
        <w:rPr>
          <w:rFonts w:ascii="Times New Roman"/>
          <w:sz w:val="24"/>
          <w:szCs w:val="24"/>
          <w:lang w:val="en-GB"/>
        </w:rPr>
      </w:pPr>
      <w:r w:rsidRPr="000966E3">
        <w:rPr>
          <w:rStyle w:val="EndnoteReference"/>
          <w:rFonts w:ascii="Times New Roman"/>
          <w:sz w:val="24"/>
          <w:szCs w:val="24"/>
        </w:rPr>
        <w:endnoteRef/>
      </w:r>
      <w:r w:rsidRPr="000966E3">
        <w:rPr>
          <w:rFonts w:ascii="Times New Roman"/>
          <w:sz w:val="24"/>
          <w:szCs w:val="24"/>
        </w:rPr>
        <w:t xml:space="preserve"> </w:t>
      </w:r>
      <w:proofErr w:type="gramStart"/>
      <w:r w:rsidRPr="000966E3">
        <w:rPr>
          <w:rFonts w:ascii="Times New Roman"/>
          <w:sz w:val="24"/>
          <w:szCs w:val="24"/>
          <w:lang w:val="en-GB"/>
        </w:rPr>
        <w:t xml:space="preserve">Wall, ‘Tunisia and the Critical Legal Theory of </w:t>
      </w:r>
      <w:proofErr w:type="spellStart"/>
      <w:r w:rsidRPr="000966E3">
        <w:rPr>
          <w:rFonts w:ascii="Times New Roman"/>
          <w:sz w:val="24"/>
          <w:szCs w:val="24"/>
          <w:lang w:val="en-GB"/>
        </w:rPr>
        <w:t>Dissensus</w:t>
      </w:r>
      <w:proofErr w:type="spellEnd"/>
      <w:r w:rsidRPr="000966E3">
        <w:rPr>
          <w:rFonts w:ascii="Times New Roman"/>
          <w:sz w:val="24"/>
          <w:szCs w:val="24"/>
          <w:lang w:val="en-GB"/>
        </w:rPr>
        <w:t>’, p.223.</w:t>
      </w:r>
      <w:proofErr w:type="gramEnd"/>
    </w:p>
  </w:endnote>
  <w:endnote w:id="5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lang w:val="en-GB"/>
        </w:rPr>
        <w:t>1.</w:t>
      </w:r>
      <w:proofErr w:type="gramEnd"/>
      <w:r w:rsidRPr="000B15E0">
        <w:rPr>
          <w:rFonts w:ascii="Times New Roman"/>
          <w:sz w:val="24"/>
          <w:szCs w:val="24"/>
          <w:lang w:val="en-GB"/>
        </w:rPr>
        <w:t xml:space="preserve"> </w:t>
      </w:r>
    </w:p>
  </w:endnote>
  <w:endnote w:id="5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lang w:val="en-GB"/>
        </w:rPr>
        <w:t>85.</w:t>
      </w:r>
      <w:proofErr w:type="gramEnd"/>
      <w:r w:rsidRPr="000B15E0">
        <w:rPr>
          <w:rFonts w:ascii="Times New Roman"/>
          <w:sz w:val="24"/>
          <w:szCs w:val="24"/>
          <w:lang w:val="en-GB"/>
        </w:rPr>
        <w:t xml:space="preserve"> </w:t>
      </w:r>
    </w:p>
  </w:endnote>
  <w:endnote w:id="5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lang w:val="en-GB"/>
        </w:rPr>
        <w:t>19.</w:t>
      </w:r>
      <w:proofErr w:type="gramEnd"/>
      <w:r w:rsidRPr="000B15E0">
        <w:rPr>
          <w:rFonts w:ascii="Times New Roman"/>
          <w:sz w:val="24"/>
          <w:szCs w:val="24"/>
          <w:lang w:val="en-GB"/>
        </w:rPr>
        <w:t xml:space="preserve"> </w:t>
      </w:r>
    </w:p>
  </w:endnote>
  <w:endnote w:id="5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lang w:val="en-GB"/>
        </w:rPr>
        <w:t>19.</w:t>
      </w:r>
      <w:proofErr w:type="gramEnd"/>
      <w:r w:rsidRPr="000B15E0">
        <w:rPr>
          <w:rFonts w:ascii="Times New Roman"/>
          <w:sz w:val="24"/>
          <w:szCs w:val="24"/>
          <w:lang w:val="en-GB"/>
        </w:rPr>
        <w:t xml:space="preserve"> </w:t>
      </w:r>
    </w:p>
  </w:endnote>
  <w:endnote w:id="6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lang w:val="en-GB"/>
        </w:rPr>
        <w:t>20.</w:t>
      </w:r>
      <w:proofErr w:type="gramEnd"/>
      <w:r w:rsidRPr="000B15E0">
        <w:rPr>
          <w:rFonts w:ascii="Times New Roman"/>
          <w:sz w:val="24"/>
          <w:szCs w:val="24"/>
          <w:lang w:val="en-GB"/>
        </w:rPr>
        <w:t xml:space="preserve"> </w:t>
      </w:r>
    </w:p>
  </w:endnote>
  <w:endnote w:id="6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Martin </w:t>
      </w:r>
      <w:r w:rsidRPr="000B15E0">
        <w:rPr>
          <w:rStyle w:val="CharAttribute95"/>
          <w:rFonts w:eastAsia="Batang"/>
          <w:sz w:val="24"/>
          <w:szCs w:val="24"/>
        </w:rPr>
        <w:t xml:space="preserve">Heidegger, </w:t>
      </w:r>
      <w:r w:rsidRPr="000B15E0">
        <w:rPr>
          <w:rStyle w:val="CharAttribute80"/>
          <w:rFonts w:eastAsia="Batang"/>
          <w:sz w:val="24"/>
          <w:szCs w:val="24"/>
        </w:rPr>
        <w:t>Being and Time</w:t>
      </w:r>
      <w:r w:rsidRPr="000B15E0">
        <w:rPr>
          <w:rStyle w:val="CharAttribute95"/>
          <w:rFonts w:eastAsia="Batang"/>
          <w:sz w:val="24"/>
          <w:szCs w:val="24"/>
        </w:rPr>
        <w:t xml:space="preserve">, </w:t>
      </w:r>
      <w:r>
        <w:rPr>
          <w:rFonts w:ascii="Times New Roman"/>
          <w:iCs/>
          <w:sz w:val="24"/>
          <w:szCs w:val="24"/>
          <w:lang w:val="en-GB"/>
        </w:rPr>
        <w:t>tr</w:t>
      </w:r>
      <w:r w:rsidR="00801851">
        <w:rPr>
          <w:rFonts w:ascii="Times New Roman"/>
          <w:iCs/>
          <w:sz w:val="24"/>
          <w:szCs w:val="24"/>
          <w:lang w:val="en-GB"/>
        </w:rPr>
        <w:t>an</w:t>
      </w:r>
      <w:r>
        <w:rPr>
          <w:rFonts w:ascii="Times New Roman"/>
          <w:iCs/>
          <w:sz w:val="24"/>
          <w:szCs w:val="24"/>
          <w:lang w:val="en-GB"/>
        </w:rPr>
        <w:t>s.</w:t>
      </w:r>
      <w:r w:rsidRPr="001F0ADD">
        <w:rPr>
          <w:rFonts w:ascii="Times New Roman"/>
          <w:i/>
          <w:iCs/>
          <w:sz w:val="24"/>
          <w:szCs w:val="24"/>
          <w:lang w:val="en-GB"/>
        </w:rPr>
        <w:t xml:space="preserve"> </w:t>
      </w:r>
      <w:r>
        <w:rPr>
          <w:rFonts w:ascii="Times New Roman"/>
          <w:iCs/>
          <w:sz w:val="24"/>
          <w:szCs w:val="24"/>
          <w:lang w:val="en-GB"/>
        </w:rPr>
        <w:t xml:space="preserve">John </w:t>
      </w:r>
      <w:proofErr w:type="spellStart"/>
      <w:r w:rsidRPr="001F0ADD">
        <w:rPr>
          <w:rFonts w:ascii="Times New Roman"/>
          <w:sz w:val="24"/>
          <w:szCs w:val="24"/>
          <w:lang w:val="en-GB"/>
        </w:rPr>
        <w:t>Macquarrie</w:t>
      </w:r>
      <w:proofErr w:type="spellEnd"/>
      <w:r w:rsidRPr="001F0ADD">
        <w:rPr>
          <w:rFonts w:ascii="Times New Roman"/>
          <w:sz w:val="24"/>
          <w:szCs w:val="24"/>
          <w:lang w:val="en-GB"/>
        </w:rPr>
        <w:t xml:space="preserve"> and </w:t>
      </w:r>
      <w:r>
        <w:rPr>
          <w:rFonts w:ascii="Times New Roman"/>
          <w:sz w:val="24"/>
          <w:szCs w:val="24"/>
          <w:lang w:val="en-GB"/>
        </w:rPr>
        <w:t xml:space="preserve">Edward </w:t>
      </w:r>
      <w:r w:rsidRPr="001F0ADD">
        <w:rPr>
          <w:rFonts w:ascii="Times New Roman"/>
          <w:sz w:val="24"/>
          <w:szCs w:val="24"/>
          <w:lang w:val="en-GB"/>
        </w:rPr>
        <w:t xml:space="preserve">Robinson </w:t>
      </w:r>
      <w:r>
        <w:rPr>
          <w:rFonts w:ascii="Times New Roman"/>
          <w:sz w:val="24"/>
          <w:szCs w:val="24"/>
          <w:lang w:val="en-GB"/>
        </w:rPr>
        <w:t>(London:</w:t>
      </w:r>
      <w:r w:rsidRPr="001F0ADD">
        <w:rPr>
          <w:rFonts w:ascii="Times New Roman"/>
          <w:sz w:val="24"/>
          <w:szCs w:val="24"/>
          <w:lang w:val="en-GB"/>
        </w:rPr>
        <w:t xml:space="preserve"> Harper and Row</w:t>
      </w:r>
      <w:r>
        <w:rPr>
          <w:rFonts w:ascii="Times New Roman"/>
          <w:sz w:val="24"/>
          <w:szCs w:val="24"/>
          <w:lang w:val="en-GB"/>
        </w:rPr>
        <w:t>,</w:t>
      </w:r>
      <w:r w:rsidRPr="001F0ADD">
        <w:rPr>
          <w:rFonts w:ascii="Times New Roman"/>
          <w:sz w:val="24"/>
          <w:szCs w:val="24"/>
          <w:lang w:val="en-GB"/>
        </w:rPr>
        <w:t xml:space="preserve"> 1962) </w:t>
      </w:r>
      <w:r>
        <w:rPr>
          <w:rFonts w:ascii="Times New Roman"/>
          <w:sz w:val="24"/>
          <w:szCs w:val="24"/>
          <w:lang w:val="en-GB"/>
        </w:rPr>
        <w:t>pp.</w:t>
      </w:r>
      <w:r w:rsidRPr="000B15E0">
        <w:rPr>
          <w:rStyle w:val="CharAttribute95"/>
          <w:rFonts w:eastAsia="Batang"/>
          <w:sz w:val="24"/>
          <w:szCs w:val="24"/>
        </w:rPr>
        <w:t>182, 184.</w:t>
      </w:r>
    </w:p>
  </w:endnote>
  <w:endnote w:id="6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Heidegger, </w:t>
      </w:r>
      <w:r w:rsidRPr="000B15E0">
        <w:rPr>
          <w:rStyle w:val="CharAttribute80"/>
          <w:rFonts w:eastAsia="Batang"/>
          <w:sz w:val="24"/>
          <w:szCs w:val="24"/>
        </w:rPr>
        <w:t>Being and Time</w:t>
      </w:r>
      <w:r w:rsidRPr="000B15E0">
        <w:rPr>
          <w:rStyle w:val="CharAttribute96"/>
          <w:rFonts w:eastAsia="Batang"/>
          <w:sz w:val="24"/>
          <w:szCs w:val="24"/>
        </w:rPr>
        <w:t xml:space="preserve">, </w:t>
      </w:r>
      <w:r>
        <w:rPr>
          <w:rStyle w:val="CharAttribute96"/>
          <w:rFonts w:eastAsia="Batang"/>
          <w:sz w:val="24"/>
          <w:szCs w:val="24"/>
        </w:rPr>
        <w:t>p.</w:t>
      </w:r>
      <w:r w:rsidRPr="000B15E0">
        <w:rPr>
          <w:rStyle w:val="CharAttribute96"/>
          <w:rFonts w:eastAsia="Batang"/>
          <w:sz w:val="24"/>
          <w:szCs w:val="24"/>
        </w:rPr>
        <w:t>188.</w:t>
      </w:r>
      <w:proofErr w:type="gramEnd"/>
    </w:p>
  </w:endnote>
  <w:endnote w:id="6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Heidegger, </w:t>
      </w:r>
      <w:r w:rsidRPr="000B15E0">
        <w:rPr>
          <w:rStyle w:val="CharAttribute80"/>
          <w:rFonts w:eastAsia="Batang"/>
          <w:sz w:val="24"/>
          <w:szCs w:val="24"/>
        </w:rPr>
        <w:t>Being and Time</w:t>
      </w:r>
      <w:r w:rsidRPr="000B15E0">
        <w:rPr>
          <w:rStyle w:val="CharAttribute96"/>
          <w:rFonts w:eastAsia="Batang"/>
          <w:sz w:val="24"/>
          <w:szCs w:val="24"/>
        </w:rPr>
        <w:t xml:space="preserve">, </w:t>
      </w:r>
      <w:r>
        <w:rPr>
          <w:rStyle w:val="CharAttribute96"/>
          <w:rFonts w:eastAsia="Batang"/>
          <w:sz w:val="24"/>
          <w:szCs w:val="24"/>
        </w:rPr>
        <w:t>p.</w:t>
      </w:r>
      <w:r w:rsidRPr="000B15E0">
        <w:rPr>
          <w:rStyle w:val="CharAttribute96"/>
          <w:rFonts w:eastAsia="Batang"/>
          <w:sz w:val="24"/>
          <w:szCs w:val="24"/>
        </w:rPr>
        <w:t>190-1.</w:t>
      </w:r>
      <w:proofErr w:type="gramEnd"/>
    </w:p>
  </w:endnote>
  <w:endnote w:id="6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96"/>
          <w:rFonts w:eastAsia="Batang"/>
          <w:sz w:val="24"/>
          <w:szCs w:val="24"/>
        </w:rPr>
        <w:t xml:space="preserve">Heidegger, </w:t>
      </w:r>
      <w:r w:rsidRPr="000B15E0">
        <w:rPr>
          <w:rStyle w:val="CharAttribute80"/>
          <w:rFonts w:eastAsia="Batang"/>
          <w:sz w:val="24"/>
          <w:szCs w:val="24"/>
        </w:rPr>
        <w:t>Being and Time</w:t>
      </w:r>
      <w:r w:rsidRPr="000B15E0">
        <w:rPr>
          <w:rStyle w:val="CharAttribute96"/>
          <w:rFonts w:eastAsia="Batang"/>
          <w:sz w:val="24"/>
          <w:szCs w:val="24"/>
        </w:rPr>
        <w:t xml:space="preserve">, </w:t>
      </w:r>
      <w:r>
        <w:rPr>
          <w:rStyle w:val="CharAttribute96"/>
          <w:rFonts w:eastAsia="Batang"/>
          <w:sz w:val="24"/>
          <w:szCs w:val="24"/>
        </w:rPr>
        <w:t>p.</w:t>
      </w:r>
      <w:r w:rsidRPr="000B15E0">
        <w:rPr>
          <w:rStyle w:val="CharAttribute96"/>
          <w:rFonts w:eastAsia="Batang"/>
          <w:sz w:val="24"/>
          <w:szCs w:val="24"/>
        </w:rPr>
        <w:t>321.</w:t>
      </w:r>
      <w:proofErr w:type="gramEnd"/>
    </w:p>
  </w:endnote>
  <w:endnote w:id="6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Heidegger, </w:t>
      </w:r>
      <w:r w:rsidRPr="000B15E0">
        <w:rPr>
          <w:rStyle w:val="CharAttribute80"/>
          <w:rFonts w:eastAsia="Batang"/>
          <w:sz w:val="24"/>
          <w:szCs w:val="24"/>
        </w:rPr>
        <w:t>Being and Time</w:t>
      </w:r>
      <w:r w:rsidRPr="000B15E0">
        <w:rPr>
          <w:rStyle w:val="CharAttribute96"/>
          <w:rFonts w:eastAsia="Batang"/>
          <w:sz w:val="24"/>
          <w:szCs w:val="24"/>
        </w:rPr>
        <w:t xml:space="preserve">, </w:t>
      </w:r>
      <w:r>
        <w:rPr>
          <w:rStyle w:val="CharAttribute96"/>
          <w:rFonts w:eastAsia="Batang"/>
          <w:sz w:val="24"/>
          <w:szCs w:val="24"/>
        </w:rPr>
        <w:t>p</w:t>
      </w:r>
      <w:r>
        <w:rPr>
          <w:rFonts w:ascii="Times New Roman"/>
          <w:sz w:val="24"/>
          <w:szCs w:val="24"/>
        </w:rPr>
        <w:t>.</w:t>
      </w:r>
      <w:r w:rsidRPr="000B15E0">
        <w:rPr>
          <w:rFonts w:ascii="Times New Roman"/>
          <w:sz w:val="24"/>
          <w:szCs w:val="24"/>
        </w:rPr>
        <w:t>236.</w:t>
      </w:r>
      <w:proofErr w:type="gramEnd"/>
    </w:p>
  </w:endnote>
  <w:endnote w:id="6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Nancy, </w:t>
      </w:r>
      <w:r w:rsidRPr="000B15E0">
        <w:rPr>
          <w:rFonts w:ascii="Times New Roman"/>
          <w:i/>
          <w:sz w:val="24"/>
          <w:szCs w:val="24"/>
        </w:rPr>
        <w:t>The Inoperative Community</w:t>
      </w:r>
      <w:r>
        <w:rPr>
          <w:rFonts w:ascii="Times New Roman"/>
          <w:sz w:val="24"/>
          <w:szCs w:val="24"/>
        </w:rPr>
        <w:t>,</w:t>
      </w:r>
      <w:r w:rsidRPr="000B15E0">
        <w:rPr>
          <w:rFonts w:ascii="Times New Roman"/>
          <w:sz w:val="24"/>
          <w:szCs w:val="24"/>
        </w:rPr>
        <w:t xml:space="preserve"> </w:t>
      </w:r>
      <w:proofErr w:type="spellStart"/>
      <w:r>
        <w:rPr>
          <w:rFonts w:ascii="Times New Roman"/>
          <w:sz w:val="24"/>
          <w:szCs w:val="24"/>
        </w:rPr>
        <w:t>pp.</w:t>
      </w:r>
      <w:r w:rsidRPr="000B15E0">
        <w:rPr>
          <w:rFonts w:ascii="Times New Roman"/>
          <w:sz w:val="24"/>
          <w:szCs w:val="24"/>
        </w:rPr>
        <w:t>xxxvii</w:t>
      </w:r>
      <w:proofErr w:type="spellEnd"/>
      <w:r w:rsidRPr="000B15E0">
        <w:rPr>
          <w:rFonts w:ascii="Times New Roman"/>
          <w:sz w:val="24"/>
          <w:szCs w:val="24"/>
        </w:rPr>
        <w:t xml:space="preserve">, </w:t>
      </w:r>
      <w:proofErr w:type="gramStart"/>
      <w:r w:rsidRPr="000B15E0">
        <w:rPr>
          <w:rFonts w:ascii="Times New Roman"/>
          <w:sz w:val="24"/>
          <w:szCs w:val="24"/>
        </w:rPr>
        <w:t>xl</w:t>
      </w:r>
      <w:proofErr w:type="gramEnd"/>
      <w:r w:rsidRPr="000B15E0">
        <w:rPr>
          <w:rFonts w:ascii="Times New Roman"/>
          <w:sz w:val="24"/>
          <w:szCs w:val="24"/>
        </w:rPr>
        <w:t>.</w:t>
      </w:r>
    </w:p>
  </w:endnote>
  <w:endnote w:id="6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rPr>
        <w:t>83.</w:t>
      </w:r>
      <w:proofErr w:type="gramEnd"/>
    </w:p>
  </w:endnote>
  <w:endnote w:id="6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833712">
        <w:rPr>
          <w:rFonts w:ascii="Times New Roman"/>
          <w:sz w:val="24"/>
          <w:szCs w:val="24"/>
        </w:rPr>
        <w:t xml:space="preserve">Giorgio Agamben, </w:t>
      </w:r>
      <w:r w:rsidRPr="000B15E0">
        <w:rPr>
          <w:rFonts w:ascii="Times New Roman"/>
          <w:i/>
          <w:sz w:val="24"/>
          <w:szCs w:val="24"/>
          <w:lang w:val="en-GB"/>
        </w:rPr>
        <w:t>Nudities</w:t>
      </w:r>
      <w:r w:rsidRPr="000B15E0">
        <w:rPr>
          <w:rFonts w:ascii="Times New Roman"/>
          <w:sz w:val="24"/>
          <w:szCs w:val="24"/>
          <w:lang w:val="en-GB"/>
        </w:rPr>
        <w:t xml:space="preserve">, </w:t>
      </w:r>
      <w:r w:rsidR="00833712">
        <w:rPr>
          <w:rFonts w:ascii="Times New Roman"/>
          <w:sz w:val="24"/>
          <w:szCs w:val="24"/>
          <w:lang w:val="en-GB"/>
        </w:rPr>
        <w:t>tr</w:t>
      </w:r>
      <w:r w:rsidR="00FA5529">
        <w:rPr>
          <w:rFonts w:ascii="Times New Roman"/>
          <w:sz w:val="24"/>
          <w:szCs w:val="24"/>
          <w:lang w:val="en-GB"/>
        </w:rPr>
        <w:t>an</w:t>
      </w:r>
      <w:r w:rsidR="00833712">
        <w:rPr>
          <w:rFonts w:ascii="Times New Roman"/>
          <w:sz w:val="24"/>
          <w:szCs w:val="24"/>
          <w:lang w:val="en-GB"/>
        </w:rPr>
        <w:t xml:space="preserve">s. David Kishik and Stefan </w:t>
      </w:r>
      <w:proofErr w:type="spellStart"/>
      <w:r w:rsidR="00833712">
        <w:rPr>
          <w:rFonts w:ascii="Times New Roman"/>
          <w:sz w:val="24"/>
          <w:szCs w:val="24"/>
          <w:lang w:val="en-GB"/>
        </w:rPr>
        <w:t>Pedatella</w:t>
      </w:r>
      <w:proofErr w:type="spellEnd"/>
      <w:r w:rsidR="00833712">
        <w:rPr>
          <w:rFonts w:ascii="Times New Roman"/>
          <w:sz w:val="24"/>
          <w:szCs w:val="24"/>
          <w:lang w:val="en-GB"/>
        </w:rPr>
        <w:t xml:space="preserve"> (Stanford: Stanford University Press, 2011)</w:t>
      </w:r>
      <w:r w:rsidR="003E6737">
        <w:rPr>
          <w:rFonts w:ascii="Times New Roman"/>
          <w:sz w:val="24"/>
          <w:szCs w:val="24"/>
          <w:lang w:val="en-GB"/>
        </w:rPr>
        <w:t>,</w:t>
      </w:r>
      <w:r w:rsidR="00833712">
        <w:rPr>
          <w:rFonts w:ascii="Times New Roman"/>
          <w:sz w:val="24"/>
          <w:szCs w:val="24"/>
          <w:lang w:val="en-GB"/>
        </w:rPr>
        <w:t xml:space="preserve"> p.</w:t>
      </w:r>
      <w:r w:rsidRPr="000B15E0">
        <w:rPr>
          <w:rFonts w:ascii="Times New Roman"/>
          <w:sz w:val="24"/>
          <w:szCs w:val="24"/>
          <w:lang w:val="en-GB"/>
        </w:rPr>
        <w:t>46.</w:t>
      </w:r>
    </w:p>
  </w:endnote>
  <w:endnote w:id="6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rPr>
        <w:t>86.</w:t>
      </w:r>
      <w:proofErr w:type="gramEnd"/>
    </w:p>
  </w:endnote>
  <w:endnote w:id="7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833712">
        <w:rPr>
          <w:rFonts w:ascii="Times New Roman"/>
          <w:sz w:val="24"/>
          <w:szCs w:val="24"/>
        </w:rPr>
        <w:t xml:space="preserve">Agamben, </w:t>
      </w:r>
      <w:r w:rsidRPr="000B15E0">
        <w:rPr>
          <w:rFonts w:ascii="Times New Roman"/>
          <w:i/>
          <w:sz w:val="24"/>
          <w:szCs w:val="24"/>
          <w:lang w:val="en-GB"/>
        </w:rPr>
        <w:t>Nudities</w:t>
      </w:r>
      <w:r w:rsidRPr="000B15E0">
        <w:rPr>
          <w:rFonts w:ascii="Times New Roman"/>
          <w:sz w:val="24"/>
          <w:szCs w:val="24"/>
          <w:lang w:val="en-GB"/>
        </w:rPr>
        <w:t xml:space="preserve">, </w:t>
      </w:r>
      <w:r w:rsidR="00833712">
        <w:rPr>
          <w:rFonts w:ascii="Times New Roman"/>
          <w:sz w:val="24"/>
          <w:szCs w:val="24"/>
          <w:lang w:val="en-GB"/>
        </w:rPr>
        <w:t>p.</w:t>
      </w:r>
      <w:r w:rsidRPr="000B15E0">
        <w:rPr>
          <w:rFonts w:ascii="Times New Roman"/>
          <w:sz w:val="24"/>
          <w:szCs w:val="24"/>
          <w:lang w:val="en-GB"/>
        </w:rPr>
        <w:t>54.</w:t>
      </w:r>
    </w:p>
  </w:endnote>
  <w:endnote w:id="7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833712">
        <w:rPr>
          <w:rFonts w:ascii="Times New Roman"/>
          <w:sz w:val="24"/>
          <w:szCs w:val="24"/>
        </w:rPr>
        <w:t xml:space="preserve">Giorgio Agamben, </w:t>
      </w:r>
      <w:r w:rsidRPr="000B15E0">
        <w:rPr>
          <w:rFonts w:ascii="Times New Roman"/>
          <w:i/>
          <w:sz w:val="24"/>
          <w:szCs w:val="24"/>
          <w:lang w:val="en-GB"/>
        </w:rPr>
        <w:t>Remnants of Auschwitz</w:t>
      </w:r>
      <w:r w:rsidR="00833712">
        <w:rPr>
          <w:rFonts w:ascii="Times New Roman"/>
          <w:i/>
          <w:sz w:val="24"/>
          <w:szCs w:val="24"/>
          <w:lang w:val="en-GB"/>
        </w:rPr>
        <w:t>: The Witness and the Archive</w:t>
      </w:r>
      <w:r w:rsidRPr="000B15E0">
        <w:rPr>
          <w:rFonts w:ascii="Times New Roman"/>
          <w:sz w:val="24"/>
          <w:szCs w:val="24"/>
          <w:lang w:val="en-GB"/>
        </w:rPr>
        <w:t xml:space="preserve">, </w:t>
      </w:r>
      <w:r w:rsidR="00833712">
        <w:rPr>
          <w:rFonts w:ascii="Times New Roman"/>
          <w:sz w:val="24"/>
          <w:szCs w:val="24"/>
          <w:lang w:val="en-GB"/>
        </w:rPr>
        <w:t>tr</w:t>
      </w:r>
      <w:r w:rsidR="00796677">
        <w:rPr>
          <w:rFonts w:ascii="Times New Roman"/>
          <w:sz w:val="24"/>
          <w:szCs w:val="24"/>
          <w:lang w:val="en-GB"/>
        </w:rPr>
        <w:t>ans</w:t>
      </w:r>
      <w:r w:rsidR="00833712">
        <w:rPr>
          <w:rFonts w:ascii="Times New Roman"/>
          <w:sz w:val="24"/>
          <w:szCs w:val="24"/>
          <w:lang w:val="en-GB"/>
        </w:rPr>
        <w:t>. Daniel Heller-Roazen (New York: Zone Books, 2002)</w:t>
      </w:r>
      <w:r w:rsidR="003E6737">
        <w:rPr>
          <w:rFonts w:ascii="Times New Roman"/>
          <w:sz w:val="24"/>
          <w:szCs w:val="24"/>
          <w:lang w:val="en-GB"/>
        </w:rPr>
        <w:t>,</w:t>
      </w:r>
      <w:r w:rsidR="00833712">
        <w:rPr>
          <w:rFonts w:ascii="Times New Roman"/>
          <w:sz w:val="24"/>
          <w:szCs w:val="24"/>
          <w:lang w:val="en-GB"/>
        </w:rPr>
        <w:t xml:space="preserve"> p.</w:t>
      </w:r>
      <w:r w:rsidRPr="000B15E0">
        <w:rPr>
          <w:rFonts w:ascii="Times New Roman"/>
          <w:sz w:val="24"/>
          <w:szCs w:val="24"/>
          <w:lang w:val="en-GB"/>
        </w:rPr>
        <w:t>19.</w:t>
      </w:r>
    </w:p>
  </w:endnote>
  <w:endnote w:id="7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C14879">
        <w:rPr>
          <w:rFonts w:ascii="Times New Roman"/>
          <w:sz w:val="24"/>
          <w:szCs w:val="24"/>
        </w:rPr>
        <w:t xml:space="preserve">Agamben, </w:t>
      </w:r>
      <w:r w:rsidRPr="000B15E0">
        <w:rPr>
          <w:rFonts w:ascii="Times New Roman"/>
          <w:i/>
          <w:sz w:val="24"/>
          <w:szCs w:val="24"/>
          <w:lang w:val="en-GB"/>
        </w:rPr>
        <w:t>Remnants of Auschwitz</w:t>
      </w:r>
      <w:r w:rsidRPr="000B15E0">
        <w:rPr>
          <w:rFonts w:ascii="Times New Roman"/>
          <w:sz w:val="24"/>
          <w:szCs w:val="24"/>
          <w:lang w:val="en-GB"/>
        </w:rPr>
        <w:t xml:space="preserve">, </w:t>
      </w:r>
      <w:r w:rsidR="00C14879">
        <w:rPr>
          <w:rFonts w:ascii="Times New Roman"/>
          <w:sz w:val="24"/>
          <w:szCs w:val="24"/>
          <w:lang w:val="en-GB"/>
        </w:rPr>
        <w:t>p.</w:t>
      </w:r>
      <w:r w:rsidRPr="000B15E0">
        <w:rPr>
          <w:rFonts w:ascii="Times New Roman"/>
          <w:sz w:val="24"/>
          <w:szCs w:val="24"/>
          <w:lang w:val="en-GB"/>
        </w:rPr>
        <w:t>24.</w:t>
      </w:r>
    </w:p>
  </w:endnote>
  <w:endnote w:id="7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Agamben, </w:t>
      </w:r>
      <w:r w:rsidRPr="000B15E0">
        <w:rPr>
          <w:rFonts w:ascii="Times New Roman"/>
          <w:i/>
          <w:sz w:val="24"/>
          <w:szCs w:val="24"/>
          <w:lang w:val="en-GB"/>
        </w:rPr>
        <w:t>Means Without Ends</w:t>
      </w:r>
      <w:r w:rsidRPr="000B15E0">
        <w:rPr>
          <w:rFonts w:ascii="Times New Roman"/>
          <w:sz w:val="24"/>
          <w:szCs w:val="24"/>
          <w:lang w:val="en-GB"/>
        </w:rPr>
        <w:t xml:space="preserve">, </w:t>
      </w:r>
      <w:r>
        <w:rPr>
          <w:rFonts w:ascii="Times New Roman"/>
          <w:sz w:val="24"/>
          <w:szCs w:val="24"/>
          <w:lang w:val="en-GB"/>
        </w:rPr>
        <w:t>pp.</w:t>
      </w:r>
      <w:r w:rsidRPr="000B15E0">
        <w:rPr>
          <w:rFonts w:ascii="Times New Roman"/>
          <w:sz w:val="24"/>
          <w:szCs w:val="24"/>
          <w:lang w:val="en-GB"/>
        </w:rPr>
        <w:t>134-5.</w:t>
      </w:r>
    </w:p>
  </w:endnote>
  <w:endnote w:id="7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16"/>
          <w:rFonts w:eastAsia="Batang"/>
          <w:sz w:val="24"/>
          <w:szCs w:val="24"/>
        </w:rPr>
        <w:t>Jean-Luc Nancy, ‘</w:t>
      </w:r>
      <w:proofErr w:type="spellStart"/>
      <w:r w:rsidRPr="000B15E0">
        <w:rPr>
          <w:rStyle w:val="CharAttribute112"/>
          <w:rFonts w:eastAsia="Batang"/>
          <w:sz w:val="24"/>
          <w:szCs w:val="24"/>
        </w:rPr>
        <w:t>Lapsus</w:t>
      </w:r>
      <w:proofErr w:type="spellEnd"/>
      <w:r w:rsidRPr="000B15E0">
        <w:rPr>
          <w:rStyle w:val="CharAttribute112"/>
          <w:rFonts w:eastAsia="Batang"/>
          <w:sz w:val="24"/>
          <w:szCs w:val="24"/>
        </w:rPr>
        <w:t xml:space="preserve"> </w:t>
      </w:r>
      <w:proofErr w:type="spellStart"/>
      <w:r w:rsidRPr="000B15E0">
        <w:rPr>
          <w:rStyle w:val="CharAttribute112"/>
          <w:rFonts w:eastAsia="Batang"/>
          <w:sz w:val="24"/>
          <w:szCs w:val="24"/>
        </w:rPr>
        <w:t>Judicii</w:t>
      </w:r>
      <w:proofErr w:type="spellEnd"/>
      <w:r w:rsidRPr="000B15E0">
        <w:rPr>
          <w:rStyle w:val="CharAttribute116"/>
          <w:rFonts w:eastAsia="Batang"/>
          <w:sz w:val="24"/>
          <w:szCs w:val="24"/>
        </w:rPr>
        <w:t xml:space="preserve">’ in Nancy, </w:t>
      </w:r>
      <w:r>
        <w:rPr>
          <w:rStyle w:val="CharAttribute112"/>
          <w:rFonts w:eastAsia="Batang"/>
          <w:sz w:val="24"/>
          <w:szCs w:val="24"/>
        </w:rPr>
        <w:t>A Finite Thinking</w:t>
      </w:r>
      <w:r w:rsidRPr="00275E62">
        <w:rPr>
          <w:rStyle w:val="CharAttribute112"/>
          <w:rFonts w:eastAsia="Batang"/>
          <w:i w:val="0"/>
          <w:sz w:val="24"/>
          <w:szCs w:val="24"/>
        </w:rPr>
        <w:t xml:space="preserve">, ed. </w:t>
      </w:r>
      <w:r>
        <w:rPr>
          <w:rStyle w:val="CharAttribute116"/>
          <w:rFonts w:eastAsia="Batang"/>
          <w:sz w:val="24"/>
          <w:szCs w:val="24"/>
        </w:rPr>
        <w:t>Simon Sparks</w:t>
      </w:r>
      <w:r w:rsidRPr="000B15E0">
        <w:rPr>
          <w:rStyle w:val="CharAttribute116"/>
          <w:rFonts w:eastAsia="Batang"/>
          <w:sz w:val="24"/>
          <w:szCs w:val="24"/>
        </w:rPr>
        <w:t xml:space="preserve"> </w:t>
      </w:r>
      <w:r>
        <w:rPr>
          <w:rStyle w:val="CharAttribute116"/>
          <w:rFonts w:eastAsia="Batang"/>
          <w:sz w:val="24"/>
          <w:szCs w:val="24"/>
        </w:rPr>
        <w:t xml:space="preserve">(Stanford: </w:t>
      </w:r>
      <w:r w:rsidRPr="000B15E0">
        <w:rPr>
          <w:rStyle w:val="CharAttribute116"/>
          <w:rFonts w:eastAsia="Batang"/>
          <w:sz w:val="24"/>
          <w:szCs w:val="24"/>
        </w:rPr>
        <w:t>Stanford U</w:t>
      </w:r>
      <w:r>
        <w:rPr>
          <w:rStyle w:val="CharAttribute116"/>
          <w:rFonts w:eastAsia="Batang"/>
          <w:sz w:val="24"/>
          <w:szCs w:val="24"/>
        </w:rPr>
        <w:t xml:space="preserve">niversity </w:t>
      </w:r>
      <w:r w:rsidRPr="000B15E0">
        <w:rPr>
          <w:rStyle w:val="CharAttribute116"/>
          <w:rFonts w:eastAsia="Batang"/>
          <w:sz w:val="24"/>
          <w:szCs w:val="24"/>
        </w:rPr>
        <w:t>P</w:t>
      </w:r>
      <w:r>
        <w:rPr>
          <w:rStyle w:val="CharAttribute116"/>
          <w:rFonts w:eastAsia="Batang"/>
          <w:sz w:val="24"/>
          <w:szCs w:val="24"/>
        </w:rPr>
        <w:t>ress,</w:t>
      </w:r>
      <w:r w:rsidRPr="000B15E0">
        <w:rPr>
          <w:rStyle w:val="CharAttribute116"/>
          <w:rFonts w:eastAsia="Batang"/>
          <w:sz w:val="24"/>
          <w:szCs w:val="24"/>
        </w:rPr>
        <w:t xml:space="preserve"> 2003)</w:t>
      </w:r>
      <w:r w:rsidR="003E6737">
        <w:rPr>
          <w:rStyle w:val="CharAttribute116"/>
          <w:rFonts w:eastAsia="Batang"/>
          <w:sz w:val="24"/>
          <w:szCs w:val="24"/>
        </w:rPr>
        <w:t>,</w:t>
      </w:r>
      <w:r w:rsidRPr="000B15E0">
        <w:rPr>
          <w:rStyle w:val="CharAttribute116"/>
          <w:rFonts w:eastAsia="Batang"/>
          <w:sz w:val="24"/>
          <w:szCs w:val="24"/>
        </w:rPr>
        <w:t xml:space="preserve"> 152-71, 154.</w:t>
      </w:r>
    </w:p>
  </w:endnote>
  <w:endnote w:id="7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C14879" w:rsidRPr="000B15E0">
        <w:rPr>
          <w:rStyle w:val="CharAttribute116"/>
          <w:rFonts w:eastAsia="Batang"/>
          <w:sz w:val="24"/>
          <w:szCs w:val="24"/>
        </w:rPr>
        <w:t>Nancy, ‘</w:t>
      </w:r>
      <w:proofErr w:type="spellStart"/>
      <w:r w:rsidR="00C14879" w:rsidRPr="000B15E0">
        <w:rPr>
          <w:rStyle w:val="CharAttribute112"/>
          <w:rFonts w:eastAsia="Batang"/>
          <w:sz w:val="24"/>
          <w:szCs w:val="24"/>
        </w:rPr>
        <w:t>Lapsus</w:t>
      </w:r>
      <w:proofErr w:type="spellEnd"/>
      <w:r w:rsidR="00C14879" w:rsidRPr="000B15E0">
        <w:rPr>
          <w:rStyle w:val="CharAttribute112"/>
          <w:rFonts w:eastAsia="Batang"/>
          <w:sz w:val="24"/>
          <w:szCs w:val="24"/>
        </w:rPr>
        <w:t xml:space="preserve"> </w:t>
      </w:r>
      <w:proofErr w:type="spellStart"/>
      <w:r w:rsidR="00C14879" w:rsidRPr="000B15E0">
        <w:rPr>
          <w:rStyle w:val="CharAttribute112"/>
          <w:rFonts w:eastAsia="Batang"/>
          <w:sz w:val="24"/>
          <w:szCs w:val="24"/>
        </w:rPr>
        <w:t>Judicii</w:t>
      </w:r>
      <w:proofErr w:type="spellEnd"/>
      <w:r w:rsidR="00C14879" w:rsidRPr="000B15E0">
        <w:rPr>
          <w:rStyle w:val="CharAttribute116"/>
          <w:rFonts w:eastAsia="Batang"/>
          <w:sz w:val="24"/>
          <w:szCs w:val="24"/>
        </w:rPr>
        <w:t>’</w:t>
      </w:r>
      <w:r w:rsidR="00C14879">
        <w:rPr>
          <w:rStyle w:val="CharAttribute116"/>
          <w:rFonts w:eastAsia="Batang"/>
          <w:sz w:val="24"/>
          <w:szCs w:val="24"/>
        </w:rPr>
        <w:t>, p.154</w:t>
      </w:r>
      <w:r w:rsidRPr="000B15E0">
        <w:rPr>
          <w:rStyle w:val="CharAttribute116"/>
          <w:rFonts w:eastAsia="Batang"/>
          <w:sz w:val="24"/>
          <w:szCs w:val="24"/>
        </w:rPr>
        <w:t>.</w:t>
      </w:r>
    </w:p>
  </w:endnote>
  <w:endnote w:id="7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16"/>
          <w:rFonts w:eastAsia="Batang"/>
          <w:sz w:val="24"/>
          <w:szCs w:val="24"/>
        </w:rPr>
        <w:t>Benjamin C</w:t>
      </w:r>
      <w:r w:rsidR="00C14879">
        <w:rPr>
          <w:rStyle w:val="CharAttribute116"/>
          <w:rFonts w:eastAsia="Batang"/>
          <w:sz w:val="24"/>
          <w:szCs w:val="24"/>
        </w:rPr>
        <w:t>.</w:t>
      </w:r>
      <w:r w:rsidRPr="000B15E0">
        <w:rPr>
          <w:rStyle w:val="CharAttribute116"/>
          <w:rFonts w:eastAsia="Batang"/>
          <w:sz w:val="24"/>
          <w:szCs w:val="24"/>
        </w:rPr>
        <w:t xml:space="preserve"> Hutchens, ‘Philosophy as </w:t>
      </w:r>
      <w:proofErr w:type="spellStart"/>
      <w:r w:rsidRPr="000B15E0">
        <w:rPr>
          <w:rStyle w:val="CharAttribute116"/>
          <w:rFonts w:eastAsia="Batang"/>
          <w:sz w:val="24"/>
          <w:szCs w:val="24"/>
        </w:rPr>
        <w:t>juris</w:t>
      </w:r>
      <w:proofErr w:type="spellEnd"/>
      <w:r w:rsidRPr="000B15E0">
        <w:rPr>
          <w:rStyle w:val="CharAttribute116"/>
          <w:rFonts w:eastAsia="Batang"/>
          <w:sz w:val="24"/>
          <w:szCs w:val="24"/>
        </w:rPr>
        <w:t xml:space="preserve">-fiction: Jean-Luc Nancy and the “Philosophy of Right”’ (2005) 9 </w:t>
      </w:r>
      <w:r w:rsidRPr="001F0ADD">
        <w:rPr>
          <w:rStyle w:val="CharAttribute116"/>
          <w:rFonts w:eastAsia="Batang"/>
          <w:i/>
          <w:sz w:val="24"/>
          <w:szCs w:val="24"/>
        </w:rPr>
        <w:t>Journal of Cultural Research</w:t>
      </w:r>
      <w:r w:rsidRPr="000B15E0">
        <w:rPr>
          <w:rStyle w:val="CharAttribute112"/>
          <w:rFonts w:eastAsia="Batang"/>
          <w:sz w:val="24"/>
          <w:szCs w:val="24"/>
        </w:rPr>
        <w:t xml:space="preserve"> </w:t>
      </w:r>
      <w:r w:rsidRPr="000B15E0">
        <w:rPr>
          <w:rStyle w:val="CharAttribute116"/>
          <w:rFonts w:eastAsia="Batang"/>
          <w:sz w:val="24"/>
          <w:szCs w:val="24"/>
        </w:rPr>
        <w:t>119</w:t>
      </w:r>
      <w:r w:rsidR="00A47C1C">
        <w:rPr>
          <w:rStyle w:val="CharAttribute116"/>
          <w:rFonts w:eastAsia="Batang"/>
          <w:sz w:val="24"/>
          <w:szCs w:val="24"/>
        </w:rPr>
        <w:t>-31</w:t>
      </w:r>
      <w:r w:rsidRPr="000B15E0">
        <w:rPr>
          <w:rStyle w:val="CharAttribute116"/>
          <w:rFonts w:eastAsia="Batang"/>
          <w:sz w:val="24"/>
          <w:szCs w:val="24"/>
        </w:rPr>
        <w:t>, 123-4.</w:t>
      </w:r>
    </w:p>
  </w:endnote>
  <w:endnote w:id="7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116"/>
          <w:rFonts w:eastAsia="Batang"/>
          <w:sz w:val="24"/>
          <w:szCs w:val="24"/>
        </w:rPr>
        <w:t>Giorgio Agamben, ‘Philosophy and Linguistics’ in</w:t>
      </w:r>
      <w:r>
        <w:rPr>
          <w:rStyle w:val="CharAttribute116"/>
          <w:rFonts w:eastAsia="Batang"/>
          <w:sz w:val="24"/>
          <w:szCs w:val="24"/>
        </w:rPr>
        <w:t xml:space="preserve"> </w:t>
      </w:r>
      <w:r w:rsidRPr="005D28A9">
        <w:rPr>
          <w:rFonts w:ascii="Times New Roman"/>
          <w:i/>
          <w:iCs/>
          <w:sz w:val="24"/>
          <w:szCs w:val="24"/>
          <w:lang w:val="en-GB"/>
        </w:rPr>
        <w:t>Potentialities</w:t>
      </w:r>
      <w:r w:rsidR="00796677" w:rsidRPr="00796677">
        <w:rPr>
          <w:rFonts w:ascii="Times New Roman"/>
          <w:iCs/>
          <w:sz w:val="24"/>
          <w:szCs w:val="24"/>
          <w:lang w:val="en-GB"/>
        </w:rPr>
        <w:t>,</w:t>
      </w:r>
      <w:r>
        <w:rPr>
          <w:rFonts w:ascii="Times New Roman"/>
          <w:sz w:val="24"/>
          <w:szCs w:val="24"/>
          <w:lang w:val="en-GB"/>
        </w:rPr>
        <w:t xml:space="preserve"> pp.</w:t>
      </w:r>
      <w:r w:rsidRPr="000B15E0">
        <w:rPr>
          <w:rStyle w:val="CharAttribute116"/>
          <w:rFonts w:eastAsia="Batang"/>
          <w:sz w:val="24"/>
          <w:szCs w:val="24"/>
        </w:rPr>
        <w:t>62-76.</w:t>
      </w:r>
      <w:proofErr w:type="gramEnd"/>
    </w:p>
  </w:endnote>
  <w:endnote w:id="7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Fonts w:ascii="Times New Roman"/>
          <w:sz w:val="24"/>
          <w:szCs w:val="24"/>
        </w:rPr>
        <w:t xml:space="preserve">Anton </w:t>
      </w:r>
      <w:proofErr w:type="spellStart"/>
      <w:r w:rsidRPr="000B15E0">
        <w:rPr>
          <w:rFonts w:ascii="Times New Roman"/>
          <w:sz w:val="24"/>
          <w:szCs w:val="24"/>
        </w:rPr>
        <w:t>Schütz</w:t>
      </w:r>
      <w:proofErr w:type="spellEnd"/>
      <w:r w:rsidRPr="000B15E0">
        <w:rPr>
          <w:rFonts w:ascii="Times New Roman"/>
          <w:sz w:val="24"/>
          <w:szCs w:val="24"/>
        </w:rPr>
        <w:t xml:space="preserve">, ‘Thinking the Law With and Against </w:t>
      </w:r>
      <w:proofErr w:type="spellStart"/>
      <w:r w:rsidRPr="000B15E0">
        <w:rPr>
          <w:rFonts w:ascii="Times New Roman"/>
          <w:sz w:val="24"/>
          <w:szCs w:val="24"/>
        </w:rPr>
        <w:t>Luhmann</w:t>
      </w:r>
      <w:proofErr w:type="spellEnd"/>
      <w:r w:rsidRPr="000B15E0">
        <w:rPr>
          <w:rFonts w:ascii="Times New Roman"/>
          <w:sz w:val="24"/>
          <w:szCs w:val="24"/>
        </w:rPr>
        <w:t xml:space="preserve">, Legendre, Agamben’ (2000) 11 </w:t>
      </w:r>
      <w:r w:rsidRPr="00422D5F">
        <w:rPr>
          <w:rFonts w:ascii="Times New Roman"/>
          <w:i/>
          <w:sz w:val="24"/>
          <w:szCs w:val="24"/>
        </w:rPr>
        <w:t>Law and Critique</w:t>
      </w:r>
      <w:r w:rsidRPr="000B15E0">
        <w:rPr>
          <w:rFonts w:ascii="Times New Roman"/>
          <w:i/>
          <w:sz w:val="24"/>
          <w:szCs w:val="24"/>
        </w:rPr>
        <w:t xml:space="preserve"> </w:t>
      </w:r>
      <w:r w:rsidRPr="000B15E0">
        <w:rPr>
          <w:rFonts w:ascii="Times New Roman"/>
          <w:sz w:val="24"/>
          <w:szCs w:val="24"/>
        </w:rPr>
        <w:t>107</w:t>
      </w:r>
      <w:r w:rsidR="00A47C1C">
        <w:rPr>
          <w:rFonts w:ascii="Times New Roman"/>
          <w:sz w:val="24"/>
          <w:szCs w:val="24"/>
        </w:rPr>
        <w:t>-36</w:t>
      </w:r>
      <w:r w:rsidRPr="000B15E0">
        <w:rPr>
          <w:rFonts w:ascii="Times New Roman"/>
          <w:sz w:val="24"/>
          <w:szCs w:val="24"/>
        </w:rPr>
        <w:t>, 120.</w:t>
      </w:r>
      <w:proofErr w:type="gramEnd"/>
    </w:p>
  </w:endnote>
  <w:endnote w:id="7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Style w:val="CharAttribute116"/>
          <w:rFonts w:eastAsia="Batang"/>
          <w:sz w:val="24"/>
          <w:szCs w:val="24"/>
        </w:rPr>
        <w:t>Hutchens</w:t>
      </w:r>
      <w:r w:rsidRPr="000B15E0">
        <w:rPr>
          <w:rStyle w:val="CharAttribute116"/>
          <w:rFonts w:eastAsia="Batang"/>
          <w:sz w:val="24"/>
          <w:szCs w:val="24"/>
        </w:rPr>
        <w:t>,</w:t>
      </w:r>
      <w:r>
        <w:rPr>
          <w:rStyle w:val="CharAttribute116"/>
          <w:rFonts w:eastAsia="Batang"/>
          <w:sz w:val="24"/>
          <w:szCs w:val="24"/>
        </w:rPr>
        <w:t xml:space="preserve"> ‘</w:t>
      </w:r>
      <w:r w:rsidRPr="000B15E0">
        <w:rPr>
          <w:rStyle w:val="CharAttribute116"/>
          <w:rFonts w:eastAsia="Batang"/>
          <w:sz w:val="24"/>
          <w:szCs w:val="24"/>
        </w:rPr>
        <w:t xml:space="preserve">Philosophy as </w:t>
      </w:r>
      <w:proofErr w:type="spellStart"/>
      <w:r w:rsidRPr="000B15E0">
        <w:rPr>
          <w:rStyle w:val="CharAttribute116"/>
          <w:rFonts w:eastAsia="Batang"/>
          <w:sz w:val="24"/>
          <w:szCs w:val="24"/>
        </w:rPr>
        <w:t>juris</w:t>
      </w:r>
      <w:proofErr w:type="spellEnd"/>
      <w:r w:rsidRPr="000B15E0">
        <w:rPr>
          <w:rStyle w:val="CharAttribute116"/>
          <w:rFonts w:eastAsia="Batang"/>
          <w:sz w:val="24"/>
          <w:szCs w:val="24"/>
        </w:rPr>
        <w:t>-fiction</w:t>
      </w:r>
      <w:r>
        <w:rPr>
          <w:rStyle w:val="CharAttribute116"/>
          <w:rFonts w:eastAsia="Batang"/>
          <w:sz w:val="24"/>
          <w:szCs w:val="24"/>
        </w:rPr>
        <w:t>’,</w:t>
      </w:r>
      <w:r w:rsidRPr="000B15E0">
        <w:rPr>
          <w:rStyle w:val="CharAttribute116"/>
          <w:rFonts w:eastAsia="Batang"/>
          <w:sz w:val="24"/>
          <w:szCs w:val="24"/>
        </w:rPr>
        <w:t xml:space="preserve"> </w:t>
      </w:r>
      <w:r>
        <w:rPr>
          <w:rStyle w:val="CharAttribute116"/>
          <w:rFonts w:eastAsia="Batang"/>
          <w:sz w:val="24"/>
          <w:szCs w:val="24"/>
        </w:rPr>
        <w:t>pp.</w:t>
      </w:r>
      <w:r w:rsidRPr="000B15E0">
        <w:rPr>
          <w:rStyle w:val="CharAttribute116"/>
          <w:rFonts w:eastAsia="Batang"/>
          <w:sz w:val="24"/>
          <w:szCs w:val="24"/>
        </w:rPr>
        <w:t>124-5.</w:t>
      </w:r>
      <w:proofErr w:type="gramEnd"/>
    </w:p>
  </w:endnote>
  <w:endnote w:id="8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Fonts w:ascii="Times New Roman"/>
          <w:i/>
          <w:sz w:val="24"/>
          <w:szCs w:val="24"/>
          <w:lang w:val="en-GB"/>
        </w:rPr>
        <w:t xml:space="preserve">Homo </w:t>
      </w:r>
      <w:proofErr w:type="spellStart"/>
      <w:r w:rsidRPr="000B15E0">
        <w:rPr>
          <w:rFonts w:ascii="Times New Roman"/>
          <w:i/>
          <w:sz w:val="24"/>
          <w:szCs w:val="24"/>
          <w:lang w:val="en-GB"/>
        </w:rPr>
        <w:t>Sacer</w:t>
      </w:r>
      <w:proofErr w:type="spellEnd"/>
      <w:r w:rsidRPr="000B15E0">
        <w:rPr>
          <w:rFonts w:ascii="Times New Roman"/>
          <w:sz w:val="24"/>
          <w:szCs w:val="24"/>
          <w:lang w:val="en-GB"/>
        </w:rPr>
        <w:t xml:space="preserve">, </w:t>
      </w:r>
      <w:r>
        <w:rPr>
          <w:rFonts w:ascii="Times New Roman"/>
          <w:sz w:val="24"/>
          <w:szCs w:val="24"/>
          <w:lang w:val="en-GB"/>
        </w:rPr>
        <w:t>p.</w:t>
      </w:r>
      <w:r w:rsidRPr="000B15E0">
        <w:rPr>
          <w:rFonts w:ascii="Times New Roman"/>
          <w:sz w:val="24"/>
          <w:szCs w:val="24"/>
          <w:lang w:val="en-GB"/>
        </w:rPr>
        <w:t>6.</w:t>
      </w:r>
      <w:proofErr w:type="gramEnd"/>
    </w:p>
  </w:endnote>
  <w:endnote w:id="8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00C14879">
        <w:rPr>
          <w:rFonts w:ascii="Times New Roman"/>
          <w:sz w:val="24"/>
          <w:szCs w:val="24"/>
        </w:rPr>
        <w:t xml:space="preserve">Agamben, </w:t>
      </w:r>
      <w:r w:rsidRPr="000B15E0">
        <w:rPr>
          <w:rFonts w:ascii="Times New Roman"/>
          <w:i/>
          <w:sz w:val="24"/>
          <w:szCs w:val="24"/>
          <w:lang w:val="en-GB"/>
        </w:rPr>
        <w:t>Remnants of Auschwitz</w:t>
      </w:r>
      <w:r w:rsidRPr="000B15E0">
        <w:rPr>
          <w:rFonts w:ascii="Times New Roman"/>
          <w:sz w:val="24"/>
          <w:szCs w:val="24"/>
          <w:lang w:val="en-GB"/>
        </w:rPr>
        <w:t xml:space="preserve">, </w:t>
      </w:r>
      <w:r w:rsidR="00C14879">
        <w:rPr>
          <w:rFonts w:ascii="Times New Roman"/>
          <w:sz w:val="24"/>
          <w:szCs w:val="24"/>
          <w:lang w:val="en-GB"/>
        </w:rPr>
        <w:t>pp.</w:t>
      </w:r>
      <w:r w:rsidRPr="000B15E0">
        <w:rPr>
          <w:rFonts w:ascii="Times New Roman"/>
          <w:sz w:val="24"/>
          <w:szCs w:val="24"/>
          <w:lang w:val="en-GB"/>
        </w:rPr>
        <w:t>20-21.</w:t>
      </w:r>
      <w:proofErr w:type="gramEnd"/>
    </w:p>
  </w:endnote>
  <w:endnote w:id="8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Fonts w:ascii="Times New Roman"/>
          <w:sz w:val="24"/>
          <w:szCs w:val="24"/>
          <w:lang w:val="en-GB"/>
        </w:rPr>
        <w:t xml:space="preserve">David Kishik, </w:t>
      </w:r>
      <w:r w:rsidRPr="000B15E0">
        <w:rPr>
          <w:rFonts w:ascii="Times New Roman"/>
          <w:i/>
          <w:sz w:val="24"/>
          <w:szCs w:val="24"/>
          <w:lang w:val="en-GB"/>
        </w:rPr>
        <w:t>The Power of Life</w:t>
      </w:r>
      <w:r w:rsidRPr="000B15E0">
        <w:rPr>
          <w:rFonts w:ascii="Times New Roman"/>
          <w:sz w:val="24"/>
          <w:szCs w:val="24"/>
          <w:lang w:val="en-GB"/>
        </w:rPr>
        <w:t xml:space="preserve"> (</w:t>
      </w:r>
      <w:r w:rsidR="00C14879">
        <w:rPr>
          <w:rFonts w:ascii="Times New Roman"/>
          <w:sz w:val="24"/>
          <w:szCs w:val="24"/>
          <w:lang w:val="en-GB"/>
        </w:rPr>
        <w:t xml:space="preserve">Stanford: </w:t>
      </w:r>
      <w:r w:rsidRPr="000B15E0">
        <w:rPr>
          <w:rFonts w:ascii="Times New Roman"/>
          <w:sz w:val="24"/>
          <w:szCs w:val="24"/>
          <w:lang w:val="en-GB"/>
        </w:rPr>
        <w:t>Stanford U</w:t>
      </w:r>
      <w:r w:rsidR="00C14879">
        <w:rPr>
          <w:rFonts w:ascii="Times New Roman"/>
          <w:sz w:val="24"/>
          <w:szCs w:val="24"/>
          <w:lang w:val="en-GB"/>
        </w:rPr>
        <w:t xml:space="preserve">niversity </w:t>
      </w:r>
      <w:r w:rsidRPr="000B15E0">
        <w:rPr>
          <w:rFonts w:ascii="Times New Roman"/>
          <w:sz w:val="24"/>
          <w:szCs w:val="24"/>
          <w:lang w:val="en-GB"/>
        </w:rPr>
        <w:t>P</w:t>
      </w:r>
      <w:r w:rsidR="00C14879">
        <w:rPr>
          <w:rFonts w:ascii="Times New Roman"/>
          <w:sz w:val="24"/>
          <w:szCs w:val="24"/>
          <w:lang w:val="en-GB"/>
        </w:rPr>
        <w:t>ress,</w:t>
      </w:r>
      <w:r w:rsidRPr="000B15E0">
        <w:rPr>
          <w:rFonts w:ascii="Times New Roman"/>
          <w:sz w:val="24"/>
          <w:szCs w:val="24"/>
          <w:lang w:val="en-GB"/>
        </w:rPr>
        <w:t xml:space="preserve"> 2012)</w:t>
      </w:r>
      <w:r w:rsidR="003E6737">
        <w:rPr>
          <w:rFonts w:ascii="Times New Roman"/>
          <w:sz w:val="24"/>
          <w:szCs w:val="24"/>
          <w:lang w:val="en-GB"/>
        </w:rPr>
        <w:t>,</w:t>
      </w:r>
      <w:r w:rsidRPr="000B15E0">
        <w:rPr>
          <w:rFonts w:ascii="Times New Roman"/>
          <w:sz w:val="24"/>
          <w:szCs w:val="24"/>
          <w:lang w:val="en-GB"/>
        </w:rPr>
        <w:t xml:space="preserve"> </w:t>
      </w:r>
      <w:r w:rsidR="00C14879">
        <w:rPr>
          <w:rFonts w:ascii="Times New Roman"/>
          <w:sz w:val="24"/>
          <w:szCs w:val="24"/>
          <w:lang w:val="en-GB"/>
        </w:rPr>
        <w:t>pp.</w:t>
      </w:r>
      <w:r w:rsidRPr="000B15E0">
        <w:rPr>
          <w:rFonts w:ascii="Times New Roman"/>
          <w:sz w:val="24"/>
          <w:szCs w:val="24"/>
          <w:lang w:val="en-GB"/>
        </w:rPr>
        <w:t>70-71.</w:t>
      </w:r>
    </w:p>
  </w:endnote>
  <w:endnote w:id="8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Fonts w:ascii="Times New Roman"/>
          <w:sz w:val="24"/>
          <w:szCs w:val="24"/>
          <w:lang w:val="en-GB"/>
        </w:rPr>
        <w:t>Kishik,</w:t>
      </w:r>
      <w:r>
        <w:rPr>
          <w:rFonts w:ascii="Times New Roman"/>
          <w:sz w:val="24"/>
          <w:szCs w:val="24"/>
          <w:lang w:val="en-GB"/>
        </w:rPr>
        <w:t xml:space="preserve"> </w:t>
      </w:r>
      <w:r>
        <w:rPr>
          <w:rFonts w:ascii="Times New Roman"/>
          <w:i/>
          <w:sz w:val="24"/>
          <w:szCs w:val="24"/>
          <w:lang w:val="en-GB"/>
        </w:rPr>
        <w:t xml:space="preserve">The Power of </w:t>
      </w:r>
      <w:r w:rsidRPr="005D28A9">
        <w:rPr>
          <w:rFonts w:ascii="Times New Roman"/>
          <w:i/>
          <w:sz w:val="24"/>
          <w:szCs w:val="24"/>
          <w:lang w:val="en-GB"/>
        </w:rPr>
        <w:t>Life</w:t>
      </w:r>
      <w:r>
        <w:rPr>
          <w:rFonts w:ascii="Times New Roman"/>
          <w:sz w:val="24"/>
          <w:szCs w:val="24"/>
          <w:lang w:val="en-GB"/>
        </w:rPr>
        <w:t>, p.</w:t>
      </w:r>
      <w:r w:rsidRPr="005D28A9">
        <w:rPr>
          <w:rFonts w:ascii="Times New Roman"/>
          <w:sz w:val="24"/>
          <w:szCs w:val="24"/>
          <w:lang w:val="en-GB"/>
        </w:rPr>
        <w:t>83</w:t>
      </w:r>
      <w:r w:rsidRPr="000B15E0">
        <w:rPr>
          <w:rFonts w:ascii="Times New Roman"/>
          <w:sz w:val="24"/>
          <w:szCs w:val="24"/>
          <w:lang w:val="en-GB"/>
        </w:rPr>
        <w:t>.</w:t>
      </w:r>
      <w:proofErr w:type="gramEnd"/>
    </w:p>
  </w:endnote>
  <w:endnote w:id="8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213403">
        <w:rPr>
          <w:rFonts w:ascii="Times New Roman"/>
          <w:sz w:val="24"/>
          <w:szCs w:val="24"/>
        </w:rPr>
        <w:t xml:space="preserve">Emmanuel Levinas, </w:t>
      </w:r>
      <w:r w:rsidRPr="000B15E0">
        <w:rPr>
          <w:rStyle w:val="CharAttribute80"/>
          <w:rFonts w:eastAsia="Batang"/>
          <w:sz w:val="24"/>
          <w:szCs w:val="24"/>
        </w:rPr>
        <w:t>Otherwise than Being</w:t>
      </w:r>
      <w:r w:rsidR="00213403">
        <w:rPr>
          <w:rStyle w:val="CharAttribute80"/>
          <w:rFonts w:eastAsia="Batang"/>
          <w:sz w:val="24"/>
          <w:szCs w:val="24"/>
        </w:rPr>
        <w:t>, or Beyond Essence</w:t>
      </w:r>
      <w:r w:rsidR="00213403">
        <w:rPr>
          <w:rStyle w:val="CharAttribute80"/>
          <w:rFonts w:eastAsia="Batang"/>
          <w:i w:val="0"/>
          <w:sz w:val="24"/>
          <w:szCs w:val="24"/>
        </w:rPr>
        <w:t>, tr</w:t>
      </w:r>
      <w:r w:rsidR="003E6737">
        <w:rPr>
          <w:rStyle w:val="CharAttribute80"/>
          <w:rFonts w:eastAsia="Batang"/>
          <w:i w:val="0"/>
          <w:sz w:val="24"/>
          <w:szCs w:val="24"/>
        </w:rPr>
        <w:t>ans</w:t>
      </w:r>
      <w:r w:rsidR="00213403">
        <w:rPr>
          <w:rStyle w:val="CharAttribute80"/>
          <w:rFonts w:eastAsia="Batang"/>
          <w:i w:val="0"/>
          <w:sz w:val="24"/>
          <w:szCs w:val="24"/>
        </w:rPr>
        <w:t xml:space="preserve">. </w:t>
      </w:r>
      <w:proofErr w:type="spellStart"/>
      <w:r w:rsidR="00213403">
        <w:rPr>
          <w:rStyle w:val="CharAttribute80"/>
          <w:rFonts w:eastAsia="Batang"/>
          <w:i w:val="0"/>
          <w:sz w:val="24"/>
          <w:szCs w:val="24"/>
        </w:rPr>
        <w:t>Alphonso</w:t>
      </w:r>
      <w:proofErr w:type="spellEnd"/>
      <w:r w:rsidR="00213403">
        <w:rPr>
          <w:rStyle w:val="CharAttribute80"/>
          <w:rFonts w:eastAsia="Batang"/>
          <w:i w:val="0"/>
          <w:sz w:val="24"/>
          <w:szCs w:val="24"/>
        </w:rPr>
        <w:t xml:space="preserve"> </w:t>
      </w:r>
      <w:proofErr w:type="spellStart"/>
      <w:r w:rsidR="00213403">
        <w:rPr>
          <w:rStyle w:val="CharAttribute80"/>
          <w:rFonts w:eastAsia="Batang"/>
          <w:i w:val="0"/>
          <w:sz w:val="24"/>
          <w:szCs w:val="24"/>
        </w:rPr>
        <w:t>Lingis</w:t>
      </w:r>
      <w:proofErr w:type="spellEnd"/>
      <w:r w:rsidR="00213403">
        <w:rPr>
          <w:rStyle w:val="CharAttribute80"/>
          <w:rFonts w:eastAsia="Batang"/>
          <w:i w:val="0"/>
          <w:sz w:val="24"/>
          <w:szCs w:val="24"/>
        </w:rPr>
        <w:t xml:space="preserve"> (Pittsburgh: Duquesne University Press, 2008), p.</w:t>
      </w:r>
      <w:r w:rsidRPr="000B15E0">
        <w:rPr>
          <w:rStyle w:val="CharAttribute98"/>
          <w:rFonts w:eastAsia="Batang"/>
          <w:sz w:val="24"/>
          <w:szCs w:val="24"/>
        </w:rPr>
        <w:t>157.</w:t>
      </w:r>
    </w:p>
  </w:endnote>
  <w:endnote w:id="8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00213403">
        <w:rPr>
          <w:rFonts w:ascii="Times New Roman"/>
          <w:sz w:val="24"/>
          <w:szCs w:val="24"/>
        </w:rPr>
        <w:t xml:space="preserve">Levinas, </w:t>
      </w:r>
      <w:r w:rsidR="00213403" w:rsidRPr="000B15E0">
        <w:rPr>
          <w:rStyle w:val="CharAttribute80"/>
          <w:rFonts w:eastAsia="Batang"/>
          <w:sz w:val="24"/>
          <w:szCs w:val="24"/>
        </w:rPr>
        <w:t>Otherwise than Being</w:t>
      </w:r>
      <w:r w:rsidR="00213403">
        <w:rPr>
          <w:rStyle w:val="CharAttribute80"/>
          <w:rFonts w:eastAsia="Batang"/>
          <w:i w:val="0"/>
          <w:sz w:val="24"/>
          <w:szCs w:val="24"/>
        </w:rPr>
        <w:t>, p.157</w:t>
      </w:r>
      <w:r w:rsidRPr="000B15E0">
        <w:rPr>
          <w:rStyle w:val="CharAttribute98"/>
          <w:rFonts w:eastAsia="Batang"/>
          <w:sz w:val="24"/>
          <w:szCs w:val="24"/>
        </w:rPr>
        <w:t>.</w:t>
      </w:r>
      <w:proofErr w:type="gramEnd"/>
    </w:p>
  </w:endnote>
  <w:endnote w:id="8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00213403">
        <w:rPr>
          <w:rFonts w:ascii="Times New Roman"/>
          <w:sz w:val="24"/>
          <w:szCs w:val="24"/>
        </w:rPr>
        <w:t xml:space="preserve">Levinas, </w:t>
      </w:r>
      <w:r w:rsidR="00213403" w:rsidRPr="000B15E0">
        <w:rPr>
          <w:rStyle w:val="CharAttribute80"/>
          <w:rFonts w:eastAsia="Batang"/>
          <w:sz w:val="24"/>
          <w:szCs w:val="24"/>
        </w:rPr>
        <w:t>Otherwise than Being</w:t>
      </w:r>
      <w:r w:rsidR="00213403">
        <w:rPr>
          <w:rStyle w:val="CharAttribute80"/>
          <w:rFonts w:eastAsia="Batang"/>
          <w:i w:val="0"/>
          <w:sz w:val="24"/>
          <w:szCs w:val="24"/>
        </w:rPr>
        <w:t>, p.157</w:t>
      </w:r>
      <w:r w:rsidR="00213403" w:rsidRPr="000B15E0">
        <w:rPr>
          <w:rStyle w:val="CharAttribute98"/>
          <w:rFonts w:eastAsia="Batang"/>
          <w:sz w:val="24"/>
          <w:szCs w:val="24"/>
        </w:rPr>
        <w:t>.</w:t>
      </w:r>
      <w:proofErr w:type="gramEnd"/>
      <w:r w:rsidRPr="000B15E0">
        <w:rPr>
          <w:rFonts w:ascii="Times New Roman"/>
          <w:sz w:val="24"/>
          <w:szCs w:val="24"/>
          <w:lang w:val="en-GB"/>
        </w:rPr>
        <w:t xml:space="preserve"> </w:t>
      </w:r>
    </w:p>
  </w:endnote>
  <w:endnote w:id="8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80"/>
          <w:rFonts w:eastAsia="Batang"/>
          <w:sz w:val="24"/>
          <w:szCs w:val="24"/>
        </w:rPr>
        <w:t>The Coming Community</w:t>
      </w:r>
      <w:r w:rsidRPr="000B15E0">
        <w:rPr>
          <w:rStyle w:val="CharAttribute89"/>
          <w:rFonts w:eastAsia="Batang"/>
          <w:sz w:val="24"/>
          <w:szCs w:val="24"/>
        </w:rPr>
        <w:t xml:space="preserve">, </w:t>
      </w:r>
      <w:r>
        <w:rPr>
          <w:rStyle w:val="CharAttribute89"/>
          <w:rFonts w:eastAsia="Batang"/>
          <w:sz w:val="24"/>
          <w:szCs w:val="24"/>
        </w:rPr>
        <w:t>p.</w:t>
      </w:r>
      <w:r w:rsidRPr="000B15E0">
        <w:rPr>
          <w:rFonts w:ascii="Times New Roman"/>
          <w:sz w:val="24"/>
          <w:szCs w:val="24"/>
          <w:lang w:val="en-GB"/>
        </w:rPr>
        <w:t>2.</w:t>
      </w:r>
      <w:proofErr w:type="gramEnd"/>
    </w:p>
  </w:endnote>
  <w:endnote w:id="8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00213403">
        <w:rPr>
          <w:rFonts w:ascii="Times New Roman"/>
          <w:sz w:val="24"/>
          <w:szCs w:val="24"/>
        </w:rPr>
        <w:t xml:space="preserve">Levinas, </w:t>
      </w:r>
      <w:r w:rsidR="00213403" w:rsidRPr="000B15E0">
        <w:rPr>
          <w:rStyle w:val="CharAttribute80"/>
          <w:rFonts w:eastAsia="Batang"/>
          <w:sz w:val="24"/>
          <w:szCs w:val="24"/>
        </w:rPr>
        <w:t>Otherwise than Being</w:t>
      </w:r>
      <w:r w:rsidR="00213403">
        <w:rPr>
          <w:rStyle w:val="CharAttribute80"/>
          <w:rFonts w:eastAsia="Batang"/>
          <w:i w:val="0"/>
          <w:sz w:val="24"/>
          <w:szCs w:val="24"/>
        </w:rPr>
        <w:t>, p.157</w:t>
      </w:r>
      <w:r w:rsidR="00213403" w:rsidRPr="000B15E0">
        <w:rPr>
          <w:rStyle w:val="CharAttribute98"/>
          <w:rFonts w:eastAsia="Batang"/>
          <w:sz w:val="24"/>
          <w:szCs w:val="24"/>
        </w:rPr>
        <w:t>.</w:t>
      </w:r>
      <w:proofErr w:type="gramEnd"/>
      <w:r w:rsidRPr="000B15E0">
        <w:rPr>
          <w:rFonts w:ascii="Times New Roman"/>
          <w:sz w:val="24"/>
          <w:szCs w:val="24"/>
        </w:rPr>
        <w:t xml:space="preserve"> </w:t>
      </w:r>
    </w:p>
  </w:endnote>
  <w:endnote w:id="8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00213403">
        <w:rPr>
          <w:rFonts w:ascii="Times New Roman"/>
          <w:sz w:val="24"/>
          <w:szCs w:val="24"/>
        </w:rPr>
        <w:t xml:space="preserve">Levinas, </w:t>
      </w:r>
      <w:r w:rsidR="00213403" w:rsidRPr="000B15E0">
        <w:rPr>
          <w:rStyle w:val="CharAttribute80"/>
          <w:rFonts w:eastAsia="Batang"/>
          <w:sz w:val="24"/>
          <w:szCs w:val="24"/>
        </w:rPr>
        <w:t>Otherwise than Being</w:t>
      </w:r>
      <w:r w:rsidR="00213403">
        <w:rPr>
          <w:rStyle w:val="CharAttribute80"/>
          <w:rFonts w:eastAsia="Batang"/>
          <w:i w:val="0"/>
          <w:sz w:val="24"/>
          <w:szCs w:val="24"/>
        </w:rPr>
        <w:t>, p.157-</w:t>
      </w:r>
      <w:r w:rsidRPr="000B15E0">
        <w:rPr>
          <w:rFonts w:ascii="Times New Roman"/>
          <w:sz w:val="24"/>
          <w:szCs w:val="24"/>
        </w:rPr>
        <w:t>8.</w:t>
      </w:r>
      <w:proofErr w:type="gramEnd"/>
      <w:r w:rsidRPr="000B15E0">
        <w:rPr>
          <w:rFonts w:ascii="Times New Roman"/>
          <w:sz w:val="24"/>
          <w:szCs w:val="24"/>
        </w:rPr>
        <w:t xml:space="preserve"> </w:t>
      </w:r>
    </w:p>
  </w:endnote>
  <w:endnote w:id="90">
    <w:p w:rsidR="00104860" w:rsidRPr="005D28A9" w:rsidRDefault="00104860" w:rsidP="00A675BC">
      <w:pPr>
        <w:pStyle w:val="EndnoteText"/>
        <w:wordWrap/>
        <w:spacing w:line="480" w:lineRule="auto"/>
        <w:rPr>
          <w:rFonts w:ascii="Times New Roman"/>
          <w:sz w:val="24"/>
          <w:szCs w:val="24"/>
        </w:rPr>
      </w:pPr>
      <w:r w:rsidRPr="000B15E0">
        <w:rPr>
          <w:rStyle w:val="EndnoteReference"/>
          <w:rFonts w:ascii="Times New Roman"/>
          <w:sz w:val="24"/>
          <w:szCs w:val="24"/>
        </w:rPr>
        <w:endnoteRef/>
      </w:r>
      <w:r w:rsidRPr="000B15E0">
        <w:rPr>
          <w:rFonts w:ascii="Times New Roman"/>
          <w:sz w:val="24"/>
          <w:szCs w:val="24"/>
        </w:rPr>
        <w:t xml:space="preserve"> </w:t>
      </w:r>
      <w:proofErr w:type="gramStart"/>
      <w:r>
        <w:rPr>
          <w:rFonts w:ascii="Times New Roman"/>
          <w:sz w:val="24"/>
          <w:szCs w:val="24"/>
        </w:rPr>
        <w:t xml:space="preserve">Agamben, </w:t>
      </w:r>
      <w:r w:rsidRPr="000B15E0">
        <w:rPr>
          <w:rStyle w:val="CharAttribute100"/>
          <w:rFonts w:eastAsia="Batang"/>
          <w:sz w:val="24"/>
          <w:szCs w:val="24"/>
        </w:rPr>
        <w:t>‘</w:t>
      </w:r>
      <w:r>
        <w:rPr>
          <w:rStyle w:val="CharAttribute100"/>
          <w:rFonts w:eastAsia="Batang"/>
          <w:sz w:val="24"/>
          <w:szCs w:val="24"/>
        </w:rPr>
        <w:t>The Messiah and the Sovereign’</w:t>
      </w:r>
      <w:r w:rsidR="00796677">
        <w:rPr>
          <w:rStyle w:val="CharAttribute100"/>
          <w:rFonts w:eastAsia="Batang"/>
          <w:sz w:val="24"/>
          <w:szCs w:val="24"/>
        </w:rPr>
        <w:t>, pp.</w:t>
      </w:r>
      <w:r>
        <w:rPr>
          <w:rStyle w:val="CharAttribute100"/>
          <w:rFonts w:eastAsia="Batang"/>
          <w:sz w:val="24"/>
          <w:szCs w:val="24"/>
        </w:rPr>
        <w:t>162-</w:t>
      </w:r>
      <w:r w:rsidRPr="000B15E0">
        <w:rPr>
          <w:rStyle w:val="CharAttribute100"/>
          <w:rFonts w:eastAsia="Batang"/>
          <w:sz w:val="24"/>
          <w:szCs w:val="24"/>
        </w:rPr>
        <w:t>3.</w:t>
      </w:r>
      <w:proofErr w:type="gramEnd"/>
    </w:p>
  </w:endnote>
  <w:endnote w:id="9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00"/>
          <w:rFonts w:eastAsia="Batang"/>
          <w:sz w:val="24"/>
          <w:szCs w:val="24"/>
        </w:rPr>
        <w:t xml:space="preserve">Frederick </w:t>
      </w:r>
      <w:proofErr w:type="spellStart"/>
      <w:r w:rsidRPr="000B15E0">
        <w:rPr>
          <w:rStyle w:val="CharAttribute100"/>
          <w:rFonts w:eastAsia="Batang"/>
          <w:sz w:val="24"/>
          <w:szCs w:val="24"/>
        </w:rPr>
        <w:t>Schauer</w:t>
      </w:r>
      <w:proofErr w:type="spellEnd"/>
      <w:r w:rsidRPr="000B15E0">
        <w:rPr>
          <w:rStyle w:val="CharAttribute100"/>
          <w:rFonts w:eastAsia="Batang"/>
          <w:sz w:val="24"/>
          <w:szCs w:val="24"/>
        </w:rPr>
        <w:t xml:space="preserve">, ‘Precedent’ (1987) 39 </w:t>
      </w:r>
      <w:r w:rsidRPr="002B2EED">
        <w:rPr>
          <w:rStyle w:val="CharAttribute100"/>
          <w:rFonts w:eastAsia="Batang"/>
          <w:i/>
          <w:sz w:val="24"/>
          <w:szCs w:val="24"/>
        </w:rPr>
        <w:t>Stanford L</w:t>
      </w:r>
      <w:r w:rsidR="002B2EED">
        <w:rPr>
          <w:rStyle w:val="CharAttribute100"/>
          <w:rFonts w:eastAsia="Batang"/>
          <w:i/>
          <w:sz w:val="24"/>
          <w:szCs w:val="24"/>
        </w:rPr>
        <w:t>aw</w:t>
      </w:r>
      <w:r w:rsidRPr="002B2EED">
        <w:rPr>
          <w:rStyle w:val="CharAttribute100"/>
          <w:rFonts w:eastAsia="Batang"/>
          <w:i/>
          <w:sz w:val="24"/>
          <w:szCs w:val="24"/>
        </w:rPr>
        <w:t xml:space="preserve"> </w:t>
      </w:r>
      <w:proofErr w:type="gramStart"/>
      <w:r w:rsidRPr="002B2EED">
        <w:rPr>
          <w:rStyle w:val="CharAttribute100"/>
          <w:rFonts w:eastAsia="Batang"/>
          <w:i/>
          <w:sz w:val="24"/>
          <w:szCs w:val="24"/>
        </w:rPr>
        <w:t>Rev</w:t>
      </w:r>
      <w:r w:rsidR="002B2EED">
        <w:rPr>
          <w:rStyle w:val="CharAttribute100"/>
          <w:rFonts w:eastAsia="Batang"/>
          <w:i/>
          <w:sz w:val="24"/>
          <w:szCs w:val="24"/>
        </w:rPr>
        <w:t>iew</w:t>
      </w:r>
      <w:proofErr w:type="gramEnd"/>
      <w:r w:rsidRPr="000B15E0">
        <w:rPr>
          <w:rStyle w:val="CharAttribute100"/>
          <w:rFonts w:eastAsia="Batang"/>
          <w:sz w:val="24"/>
          <w:szCs w:val="24"/>
        </w:rPr>
        <w:t xml:space="preserve"> 571</w:t>
      </w:r>
      <w:r w:rsidR="00A47C1C">
        <w:rPr>
          <w:rStyle w:val="CharAttribute100"/>
          <w:rFonts w:eastAsia="Batang"/>
          <w:sz w:val="24"/>
          <w:szCs w:val="24"/>
        </w:rPr>
        <w:t>-606</w:t>
      </w:r>
      <w:r w:rsidRPr="000B15E0">
        <w:rPr>
          <w:rStyle w:val="CharAttribute100"/>
          <w:rFonts w:eastAsia="Batang"/>
          <w:sz w:val="24"/>
          <w:szCs w:val="24"/>
        </w:rPr>
        <w:t>, 572.</w:t>
      </w:r>
    </w:p>
  </w:endnote>
  <w:endnote w:id="9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00"/>
          <w:rFonts w:eastAsia="Batang"/>
          <w:sz w:val="24"/>
          <w:szCs w:val="24"/>
        </w:rPr>
        <w:t>William O</w:t>
      </w:r>
      <w:r w:rsidR="00213403">
        <w:rPr>
          <w:rStyle w:val="CharAttribute100"/>
          <w:rFonts w:eastAsia="Batang"/>
          <w:sz w:val="24"/>
          <w:szCs w:val="24"/>
        </w:rPr>
        <w:t>.</w:t>
      </w:r>
      <w:r w:rsidRPr="000B15E0">
        <w:rPr>
          <w:rStyle w:val="CharAttribute100"/>
          <w:rFonts w:eastAsia="Batang"/>
          <w:sz w:val="24"/>
          <w:szCs w:val="24"/>
        </w:rPr>
        <w:t xml:space="preserve"> Douglas, ‘Stare Decisis’ (1949) 49 </w:t>
      </w:r>
      <w:r w:rsidRPr="002B2EED">
        <w:rPr>
          <w:rStyle w:val="CharAttribute100"/>
          <w:rFonts w:eastAsia="Batang"/>
          <w:i/>
          <w:sz w:val="24"/>
          <w:szCs w:val="24"/>
        </w:rPr>
        <w:t>Colum</w:t>
      </w:r>
      <w:r w:rsidR="002B2EED" w:rsidRPr="002B2EED">
        <w:rPr>
          <w:rStyle w:val="CharAttribute100"/>
          <w:rFonts w:eastAsia="Batang"/>
          <w:i/>
          <w:sz w:val="24"/>
          <w:szCs w:val="24"/>
        </w:rPr>
        <w:t>bia</w:t>
      </w:r>
      <w:r w:rsidRPr="002B2EED">
        <w:rPr>
          <w:rStyle w:val="CharAttribute100"/>
          <w:rFonts w:eastAsia="Batang"/>
          <w:i/>
          <w:sz w:val="24"/>
          <w:szCs w:val="24"/>
        </w:rPr>
        <w:t xml:space="preserve"> L</w:t>
      </w:r>
      <w:r w:rsidR="002B2EED" w:rsidRPr="002B2EED">
        <w:rPr>
          <w:rStyle w:val="CharAttribute100"/>
          <w:rFonts w:eastAsia="Batang"/>
          <w:i/>
          <w:sz w:val="24"/>
          <w:szCs w:val="24"/>
        </w:rPr>
        <w:t>aw</w:t>
      </w:r>
      <w:r w:rsidRPr="002B2EED">
        <w:rPr>
          <w:rStyle w:val="CharAttribute100"/>
          <w:rFonts w:eastAsia="Batang"/>
          <w:i/>
          <w:sz w:val="24"/>
          <w:szCs w:val="24"/>
        </w:rPr>
        <w:t xml:space="preserve"> </w:t>
      </w:r>
      <w:proofErr w:type="gramStart"/>
      <w:r w:rsidRPr="002B2EED">
        <w:rPr>
          <w:rStyle w:val="CharAttribute100"/>
          <w:rFonts w:eastAsia="Batang"/>
          <w:i/>
          <w:sz w:val="24"/>
          <w:szCs w:val="24"/>
        </w:rPr>
        <w:t>Rev</w:t>
      </w:r>
      <w:r w:rsidR="002B2EED" w:rsidRPr="002B2EED">
        <w:rPr>
          <w:rStyle w:val="CharAttribute100"/>
          <w:rFonts w:eastAsia="Batang"/>
          <w:i/>
          <w:sz w:val="24"/>
          <w:szCs w:val="24"/>
        </w:rPr>
        <w:t>iew</w:t>
      </w:r>
      <w:proofErr w:type="gramEnd"/>
      <w:r w:rsidRPr="000B15E0">
        <w:rPr>
          <w:rStyle w:val="CharAttribute100"/>
          <w:rFonts w:eastAsia="Batang"/>
          <w:sz w:val="24"/>
          <w:szCs w:val="24"/>
        </w:rPr>
        <w:t xml:space="preserve"> 735</w:t>
      </w:r>
      <w:r w:rsidR="00A47C1C">
        <w:rPr>
          <w:rStyle w:val="CharAttribute100"/>
          <w:rFonts w:eastAsia="Batang"/>
          <w:sz w:val="24"/>
          <w:szCs w:val="24"/>
        </w:rPr>
        <w:t>-58</w:t>
      </w:r>
      <w:r w:rsidRPr="000B15E0">
        <w:rPr>
          <w:rStyle w:val="CharAttribute100"/>
          <w:rFonts w:eastAsia="Batang"/>
          <w:sz w:val="24"/>
          <w:szCs w:val="24"/>
        </w:rPr>
        <w:t>, 736.</w:t>
      </w:r>
    </w:p>
  </w:endnote>
  <w:endnote w:id="93">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01"/>
          <w:rFonts w:eastAsia="Batang"/>
          <w:sz w:val="24"/>
          <w:szCs w:val="24"/>
        </w:rPr>
        <w:t>Broome v</w:t>
      </w:r>
      <w:r w:rsidRPr="000B15E0">
        <w:rPr>
          <w:rStyle w:val="CharAttribute102"/>
          <w:rFonts w:eastAsia="Batang"/>
          <w:sz w:val="24"/>
          <w:szCs w:val="24"/>
        </w:rPr>
        <w:t xml:space="preserve"> </w:t>
      </w:r>
      <w:proofErr w:type="spellStart"/>
      <w:r w:rsidRPr="000B15E0">
        <w:rPr>
          <w:rStyle w:val="CharAttribute101"/>
          <w:rFonts w:eastAsia="Batang"/>
          <w:sz w:val="24"/>
          <w:szCs w:val="24"/>
        </w:rPr>
        <w:t>Cassell</w:t>
      </w:r>
      <w:proofErr w:type="spellEnd"/>
      <w:r w:rsidRPr="000B15E0">
        <w:rPr>
          <w:rStyle w:val="CharAttribute101"/>
          <w:rFonts w:eastAsia="Batang"/>
          <w:sz w:val="24"/>
          <w:szCs w:val="24"/>
        </w:rPr>
        <w:t xml:space="preserve"> &amp; Co Limited </w:t>
      </w:r>
      <w:r w:rsidRPr="000B15E0">
        <w:rPr>
          <w:rStyle w:val="CharAttribute103"/>
          <w:rFonts w:eastAsia="Batang"/>
          <w:sz w:val="24"/>
          <w:szCs w:val="24"/>
        </w:rPr>
        <w:t>[1972] AC 1027, 1054 (HL).</w:t>
      </w:r>
    </w:p>
  </w:endnote>
  <w:endnote w:id="94">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101"/>
          <w:rFonts w:eastAsia="Batang"/>
          <w:sz w:val="24"/>
          <w:szCs w:val="24"/>
        </w:rPr>
        <w:t xml:space="preserve">Practice Statement (Judicial Precedent) </w:t>
      </w:r>
      <w:r w:rsidRPr="000B15E0">
        <w:rPr>
          <w:rStyle w:val="CharAttribute104"/>
          <w:rFonts w:eastAsia="Batang"/>
          <w:sz w:val="24"/>
          <w:szCs w:val="24"/>
        </w:rPr>
        <w:t>[1966] 1 WLR 1234 (HL).</w:t>
      </w:r>
      <w:proofErr w:type="gramEnd"/>
    </w:p>
  </w:endnote>
  <w:endnote w:id="95">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104"/>
          <w:rFonts w:eastAsia="Batang"/>
          <w:sz w:val="24"/>
          <w:szCs w:val="24"/>
        </w:rPr>
        <w:t>Statute o</w:t>
      </w:r>
      <w:r w:rsidR="00015975">
        <w:rPr>
          <w:rStyle w:val="CharAttribute104"/>
          <w:rFonts w:eastAsia="Batang"/>
          <w:sz w:val="24"/>
          <w:szCs w:val="24"/>
        </w:rPr>
        <w:t>f Westminster, The First 1275 c.</w:t>
      </w:r>
      <w:r w:rsidRPr="000B15E0">
        <w:rPr>
          <w:rStyle w:val="CharAttribute104"/>
          <w:rFonts w:eastAsia="Batang"/>
          <w:sz w:val="24"/>
          <w:szCs w:val="24"/>
        </w:rPr>
        <w:t xml:space="preserve">5 3 </w:t>
      </w:r>
      <w:proofErr w:type="spellStart"/>
      <w:r w:rsidRPr="000B15E0">
        <w:rPr>
          <w:rStyle w:val="CharAttribute104"/>
          <w:rFonts w:eastAsia="Batang"/>
          <w:sz w:val="24"/>
          <w:szCs w:val="24"/>
        </w:rPr>
        <w:t>Edw</w:t>
      </w:r>
      <w:proofErr w:type="spellEnd"/>
      <w:r w:rsidRPr="000B15E0">
        <w:rPr>
          <w:rStyle w:val="CharAttribute104"/>
          <w:rFonts w:eastAsia="Batang"/>
          <w:sz w:val="24"/>
          <w:szCs w:val="24"/>
        </w:rPr>
        <w:t xml:space="preserve"> 1.</w:t>
      </w:r>
      <w:proofErr w:type="gramEnd"/>
    </w:p>
  </w:endnote>
  <w:endnote w:id="9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015975">
        <w:rPr>
          <w:rStyle w:val="CharAttribute104"/>
          <w:rFonts w:eastAsia="Batang"/>
          <w:sz w:val="24"/>
          <w:szCs w:val="24"/>
        </w:rPr>
        <w:t>Prescription Act 1832 c.71, s.</w:t>
      </w:r>
      <w:r w:rsidRPr="000B15E0">
        <w:rPr>
          <w:rStyle w:val="CharAttribute104"/>
          <w:rFonts w:eastAsia="Batang"/>
          <w:sz w:val="24"/>
          <w:szCs w:val="24"/>
        </w:rPr>
        <w:t>5.</w:t>
      </w:r>
    </w:p>
  </w:endnote>
  <w:endnote w:id="9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16"/>
          <w:rFonts w:eastAsia="Batang"/>
          <w:sz w:val="24"/>
          <w:szCs w:val="24"/>
        </w:rPr>
        <w:t>Jean-Luc Nancy, ‘</w:t>
      </w:r>
      <w:proofErr w:type="spellStart"/>
      <w:r w:rsidRPr="000B15E0">
        <w:rPr>
          <w:rStyle w:val="CharAttribute118"/>
          <w:rFonts w:eastAsia="Batang"/>
          <w:sz w:val="24"/>
          <w:szCs w:val="24"/>
        </w:rPr>
        <w:t>Lapsus</w:t>
      </w:r>
      <w:proofErr w:type="spellEnd"/>
      <w:r w:rsidRPr="000B15E0">
        <w:rPr>
          <w:rStyle w:val="CharAttribute118"/>
          <w:rFonts w:eastAsia="Batang"/>
          <w:sz w:val="24"/>
          <w:szCs w:val="24"/>
        </w:rPr>
        <w:t xml:space="preserve"> </w:t>
      </w:r>
      <w:proofErr w:type="spellStart"/>
      <w:r w:rsidRPr="000B15E0">
        <w:rPr>
          <w:rStyle w:val="CharAttribute118"/>
          <w:rFonts w:eastAsia="Batang"/>
          <w:sz w:val="24"/>
          <w:szCs w:val="24"/>
        </w:rPr>
        <w:t>Judicii</w:t>
      </w:r>
      <w:proofErr w:type="spellEnd"/>
      <w:r w:rsidRPr="000B15E0">
        <w:rPr>
          <w:rStyle w:val="CharAttribute116"/>
          <w:rFonts w:eastAsia="Batang"/>
          <w:sz w:val="24"/>
          <w:szCs w:val="24"/>
        </w:rPr>
        <w:t>’</w:t>
      </w:r>
      <w:r>
        <w:rPr>
          <w:rStyle w:val="CharAttribute116"/>
          <w:rFonts w:eastAsia="Batang"/>
          <w:sz w:val="24"/>
          <w:szCs w:val="24"/>
        </w:rPr>
        <w:t>,</w:t>
      </w:r>
      <w:r w:rsidRPr="000B15E0">
        <w:rPr>
          <w:rStyle w:val="CharAttribute116"/>
          <w:rFonts w:eastAsia="Batang"/>
          <w:sz w:val="24"/>
          <w:szCs w:val="24"/>
        </w:rPr>
        <w:t xml:space="preserve"> </w:t>
      </w:r>
      <w:r>
        <w:rPr>
          <w:rStyle w:val="CharAttribute116"/>
          <w:rFonts w:eastAsia="Batang"/>
          <w:sz w:val="24"/>
          <w:szCs w:val="24"/>
        </w:rPr>
        <w:t>p.</w:t>
      </w:r>
      <w:r w:rsidRPr="000B15E0">
        <w:rPr>
          <w:rStyle w:val="CharAttribute116"/>
          <w:rFonts w:eastAsia="Batang"/>
          <w:sz w:val="24"/>
          <w:szCs w:val="24"/>
        </w:rPr>
        <w:t>154.</w:t>
      </w:r>
    </w:p>
  </w:endnote>
  <w:endnote w:id="9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01"/>
          <w:rFonts w:eastAsia="Batang"/>
          <w:sz w:val="24"/>
          <w:szCs w:val="24"/>
        </w:rPr>
        <w:t xml:space="preserve">In re </w:t>
      </w:r>
      <w:proofErr w:type="spellStart"/>
      <w:r w:rsidRPr="000B15E0">
        <w:rPr>
          <w:rStyle w:val="CharAttribute101"/>
          <w:rFonts w:eastAsia="Batang"/>
          <w:sz w:val="24"/>
          <w:szCs w:val="24"/>
        </w:rPr>
        <w:t>Perrins</w:t>
      </w:r>
      <w:proofErr w:type="spellEnd"/>
      <w:r w:rsidRPr="000B15E0">
        <w:rPr>
          <w:rStyle w:val="CharAttribute101"/>
          <w:rFonts w:eastAsia="Batang"/>
          <w:sz w:val="24"/>
          <w:szCs w:val="24"/>
        </w:rPr>
        <w:t>, deceased</w:t>
      </w:r>
      <w:r w:rsidRPr="000B15E0">
        <w:rPr>
          <w:rStyle w:val="CharAttribute105"/>
          <w:rFonts w:eastAsia="Batang"/>
          <w:sz w:val="24"/>
          <w:szCs w:val="24"/>
        </w:rPr>
        <w:t xml:space="preserve">; </w:t>
      </w:r>
      <w:proofErr w:type="spellStart"/>
      <w:r w:rsidRPr="000B15E0">
        <w:rPr>
          <w:rStyle w:val="CharAttribute101"/>
          <w:rFonts w:eastAsia="Batang"/>
          <w:sz w:val="24"/>
          <w:szCs w:val="24"/>
        </w:rPr>
        <w:t>Perrins</w:t>
      </w:r>
      <w:proofErr w:type="spellEnd"/>
      <w:r w:rsidRPr="000B15E0">
        <w:rPr>
          <w:rStyle w:val="CharAttribute101"/>
          <w:rFonts w:eastAsia="Batang"/>
          <w:sz w:val="24"/>
          <w:szCs w:val="24"/>
        </w:rPr>
        <w:t xml:space="preserve"> v</w:t>
      </w:r>
      <w:r w:rsidRPr="000B15E0">
        <w:rPr>
          <w:rStyle w:val="CharAttribute105"/>
          <w:rFonts w:eastAsia="Batang"/>
          <w:sz w:val="24"/>
          <w:szCs w:val="24"/>
        </w:rPr>
        <w:t xml:space="preserve"> </w:t>
      </w:r>
      <w:r w:rsidRPr="000B15E0">
        <w:rPr>
          <w:rStyle w:val="CharAttribute101"/>
          <w:rFonts w:eastAsia="Batang"/>
          <w:sz w:val="24"/>
          <w:szCs w:val="24"/>
        </w:rPr>
        <w:t xml:space="preserve">Holland and others </w:t>
      </w:r>
      <w:r w:rsidRPr="000B15E0">
        <w:rPr>
          <w:rStyle w:val="CharAttribute106"/>
          <w:rFonts w:eastAsia="Batang"/>
          <w:sz w:val="24"/>
          <w:szCs w:val="24"/>
        </w:rPr>
        <w:t xml:space="preserve">[2010] EWCA </w:t>
      </w:r>
      <w:proofErr w:type="spellStart"/>
      <w:r w:rsidRPr="000B15E0">
        <w:rPr>
          <w:rStyle w:val="CharAttribute106"/>
          <w:rFonts w:eastAsia="Batang"/>
          <w:sz w:val="24"/>
          <w:szCs w:val="24"/>
        </w:rPr>
        <w:t>Civ</w:t>
      </w:r>
      <w:proofErr w:type="spellEnd"/>
      <w:r w:rsidRPr="000B15E0">
        <w:rPr>
          <w:rStyle w:val="CharAttribute106"/>
          <w:rFonts w:eastAsia="Batang"/>
          <w:sz w:val="24"/>
          <w:szCs w:val="24"/>
        </w:rPr>
        <w:t xml:space="preserve"> 840 [13] (Sir Andrew </w:t>
      </w:r>
      <w:proofErr w:type="spellStart"/>
      <w:r w:rsidRPr="000B15E0">
        <w:rPr>
          <w:rStyle w:val="CharAttribute106"/>
          <w:rFonts w:eastAsia="Batang"/>
          <w:sz w:val="24"/>
          <w:szCs w:val="24"/>
        </w:rPr>
        <w:t>Morritt</w:t>
      </w:r>
      <w:proofErr w:type="spellEnd"/>
      <w:r w:rsidRPr="000B15E0">
        <w:rPr>
          <w:rStyle w:val="CharAttribute106"/>
          <w:rFonts w:eastAsia="Batang"/>
          <w:sz w:val="24"/>
          <w:szCs w:val="24"/>
        </w:rPr>
        <w:t xml:space="preserve"> C).</w:t>
      </w:r>
    </w:p>
  </w:endnote>
  <w:endnote w:id="9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101"/>
          <w:rFonts w:eastAsia="Batang"/>
          <w:sz w:val="24"/>
          <w:szCs w:val="24"/>
        </w:rPr>
        <w:t>R v</w:t>
      </w:r>
      <w:r w:rsidRPr="000B15E0">
        <w:rPr>
          <w:rStyle w:val="CharAttribute110"/>
          <w:rFonts w:eastAsia="Batang"/>
          <w:sz w:val="24"/>
          <w:szCs w:val="24"/>
        </w:rPr>
        <w:t xml:space="preserve"> </w:t>
      </w:r>
      <w:proofErr w:type="spellStart"/>
      <w:r w:rsidRPr="000B15E0">
        <w:rPr>
          <w:rStyle w:val="CharAttribute101"/>
          <w:rFonts w:eastAsia="Batang"/>
          <w:sz w:val="24"/>
          <w:szCs w:val="24"/>
        </w:rPr>
        <w:t>Majewski</w:t>
      </w:r>
      <w:proofErr w:type="spellEnd"/>
      <w:r w:rsidRPr="000B15E0">
        <w:rPr>
          <w:rStyle w:val="CharAttribute111"/>
          <w:rFonts w:eastAsia="Batang"/>
          <w:sz w:val="24"/>
          <w:szCs w:val="24"/>
        </w:rPr>
        <w:t xml:space="preserve"> [1977] AC 443, 476 (Lord Simon of </w:t>
      </w:r>
      <w:proofErr w:type="spellStart"/>
      <w:r w:rsidRPr="000B15E0">
        <w:rPr>
          <w:rStyle w:val="CharAttribute111"/>
          <w:rFonts w:eastAsia="Batang"/>
          <w:sz w:val="24"/>
          <w:szCs w:val="24"/>
        </w:rPr>
        <w:t>Glaisdale</w:t>
      </w:r>
      <w:proofErr w:type="spellEnd"/>
      <w:r w:rsidRPr="000B15E0">
        <w:rPr>
          <w:rStyle w:val="CharAttribute111"/>
          <w:rFonts w:eastAsia="Batang"/>
          <w:sz w:val="24"/>
          <w:szCs w:val="24"/>
        </w:rPr>
        <w:t>) (HL).</w:t>
      </w:r>
      <w:proofErr w:type="gramEnd"/>
    </w:p>
  </w:endnote>
  <w:endnote w:id="100">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111"/>
          <w:rFonts w:eastAsia="Batang"/>
          <w:sz w:val="24"/>
          <w:szCs w:val="24"/>
        </w:rPr>
        <w:t>Lond</w:t>
      </w:r>
      <w:r w:rsidR="00015975">
        <w:rPr>
          <w:rStyle w:val="CharAttribute111"/>
          <w:rFonts w:eastAsia="Batang"/>
          <w:sz w:val="24"/>
          <w:szCs w:val="24"/>
        </w:rPr>
        <w:t>on Local Authorities Act 2007 c.2, Sch.3 para.</w:t>
      </w:r>
      <w:r w:rsidRPr="000B15E0">
        <w:rPr>
          <w:rStyle w:val="CharAttribute111"/>
          <w:rFonts w:eastAsia="Batang"/>
          <w:sz w:val="24"/>
          <w:szCs w:val="24"/>
        </w:rPr>
        <w:t>1; Lond</w:t>
      </w:r>
      <w:r w:rsidR="00015975">
        <w:rPr>
          <w:rStyle w:val="CharAttribute111"/>
          <w:rFonts w:eastAsia="Batang"/>
          <w:sz w:val="24"/>
          <w:szCs w:val="24"/>
        </w:rPr>
        <w:t>on Local Authorities Act 1990 c.7, s.</w:t>
      </w:r>
      <w:r w:rsidRPr="000B15E0">
        <w:rPr>
          <w:rStyle w:val="CharAttribute111"/>
          <w:rFonts w:eastAsia="Batang"/>
          <w:sz w:val="24"/>
          <w:szCs w:val="24"/>
        </w:rPr>
        <w:t>41.</w:t>
      </w:r>
      <w:proofErr w:type="gramEnd"/>
    </w:p>
  </w:endnote>
  <w:endnote w:id="101">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11"/>
          <w:rFonts w:eastAsia="Batang"/>
          <w:sz w:val="24"/>
          <w:szCs w:val="24"/>
        </w:rPr>
        <w:t>J</w:t>
      </w:r>
      <w:r w:rsidR="00DD17BA">
        <w:rPr>
          <w:rStyle w:val="CharAttribute111"/>
          <w:rFonts w:eastAsia="Batang"/>
          <w:sz w:val="24"/>
          <w:szCs w:val="24"/>
        </w:rPr>
        <w:t>.</w:t>
      </w:r>
      <w:r w:rsidRPr="000B15E0">
        <w:rPr>
          <w:rStyle w:val="CharAttribute111"/>
          <w:rFonts w:eastAsia="Batang"/>
          <w:sz w:val="24"/>
          <w:szCs w:val="24"/>
        </w:rPr>
        <w:t>G</w:t>
      </w:r>
      <w:r w:rsidR="00DD17BA">
        <w:rPr>
          <w:rStyle w:val="CharAttribute111"/>
          <w:rFonts w:eastAsia="Batang"/>
          <w:sz w:val="24"/>
          <w:szCs w:val="24"/>
        </w:rPr>
        <w:t>.</w:t>
      </w:r>
      <w:r w:rsidRPr="000B15E0">
        <w:rPr>
          <w:rStyle w:val="CharAttribute111"/>
          <w:rFonts w:eastAsia="Batang"/>
          <w:sz w:val="24"/>
          <w:szCs w:val="24"/>
        </w:rPr>
        <w:t>A</w:t>
      </w:r>
      <w:r w:rsidR="00DD17BA">
        <w:rPr>
          <w:rStyle w:val="CharAttribute111"/>
          <w:rFonts w:eastAsia="Batang"/>
          <w:sz w:val="24"/>
          <w:szCs w:val="24"/>
        </w:rPr>
        <w:t>.</w:t>
      </w:r>
      <w:r w:rsidRPr="000B15E0">
        <w:rPr>
          <w:rStyle w:val="CharAttribute111"/>
          <w:rFonts w:eastAsia="Batang"/>
          <w:sz w:val="24"/>
          <w:szCs w:val="24"/>
        </w:rPr>
        <w:t xml:space="preserve"> </w:t>
      </w:r>
      <w:proofErr w:type="spellStart"/>
      <w:r w:rsidRPr="000B15E0">
        <w:rPr>
          <w:rStyle w:val="CharAttribute111"/>
          <w:rFonts w:eastAsia="Batang"/>
          <w:sz w:val="24"/>
          <w:szCs w:val="24"/>
        </w:rPr>
        <w:t>Pocock</w:t>
      </w:r>
      <w:proofErr w:type="spellEnd"/>
      <w:r w:rsidRPr="000B15E0">
        <w:rPr>
          <w:rStyle w:val="CharAttribute111"/>
          <w:rFonts w:eastAsia="Batang"/>
          <w:sz w:val="24"/>
          <w:szCs w:val="24"/>
        </w:rPr>
        <w:t xml:space="preserve">, </w:t>
      </w:r>
      <w:r w:rsidRPr="000B15E0">
        <w:rPr>
          <w:rStyle w:val="CharAttribute112"/>
          <w:rFonts w:eastAsia="Batang"/>
          <w:sz w:val="24"/>
          <w:szCs w:val="24"/>
        </w:rPr>
        <w:t xml:space="preserve">The Ancient Constitution and the Feudal Law </w:t>
      </w:r>
      <w:r w:rsidRPr="000B15E0">
        <w:rPr>
          <w:rStyle w:val="CharAttribute111"/>
          <w:rFonts w:eastAsia="Batang"/>
          <w:sz w:val="24"/>
          <w:szCs w:val="24"/>
        </w:rPr>
        <w:t>(2</w:t>
      </w:r>
      <w:r w:rsidRPr="000B15E0">
        <w:rPr>
          <w:rStyle w:val="CharAttribute77"/>
          <w:rFonts w:eastAsia="Batang"/>
          <w:sz w:val="24"/>
          <w:szCs w:val="24"/>
        </w:rPr>
        <w:t>nd</w:t>
      </w:r>
      <w:r w:rsidRPr="000B15E0">
        <w:rPr>
          <w:rStyle w:val="CharAttribute111"/>
          <w:rFonts w:eastAsia="Batang"/>
          <w:sz w:val="24"/>
          <w:szCs w:val="24"/>
        </w:rPr>
        <w:t xml:space="preserve"> edn, </w:t>
      </w:r>
      <w:r w:rsidR="002B2EED">
        <w:rPr>
          <w:rStyle w:val="CharAttribute111"/>
          <w:rFonts w:eastAsia="Batang"/>
          <w:sz w:val="24"/>
          <w:szCs w:val="24"/>
        </w:rPr>
        <w:t xml:space="preserve">Cambridge: </w:t>
      </w:r>
      <w:r w:rsidRPr="000B15E0">
        <w:rPr>
          <w:rStyle w:val="CharAttribute111"/>
          <w:rFonts w:eastAsia="Batang"/>
          <w:sz w:val="24"/>
          <w:szCs w:val="24"/>
        </w:rPr>
        <w:t>C</w:t>
      </w:r>
      <w:r w:rsidR="002B2EED">
        <w:rPr>
          <w:rStyle w:val="CharAttribute111"/>
          <w:rFonts w:eastAsia="Batang"/>
          <w:sz w:val="24"/>
          <w:szCs w:val="24"/>
        </w:rPr>
        <w:t xml:space="preserve">ambridge </w:t>
      </w:r>
      <w:r w:rsidRPr="000B15E0">
        <w:rPr>
          <w:rStyle w:val="CharAttribute111"/>
          <w:rFonts w:eastAsia="Batang"/>
          <w:sz w:val="24"/>
          <w:szCs w:val="24"/>
        </w:rPr>
        <w:t>U</w:t>
      </w:r>
      <w:r w:rsidR="002B2EED">
        <w:rPr>
          <w:rStyle w:val="CharAttribute111"/>
          <w:rFonts w:eastAsia="Batang"/>
          <w:sz w:val="24"/>
          <w:szCs w:val="24"/>
        </w:rPr>
        <w:t xml:space="preserve">niversity </w:t>
      </w:r>
      <w:r w:rsidRPr="000B15E0">
        <w:rPr>
          <w:rStyle w:val="CharAttribute111"/>
          <w:rFonts w:eastAsia="Batang"/>
          <w:sz w:val="24"/>
          <w:szCs w:val="24"/>
        </w:rPr>
        <w:t>P</w:t>
      </w:r>
      <w:r w:rsidR="002B2EED">
        <w:rPr>
          <w:rStyle w:val="CharAttribute111"/>
          <w:rFonts w:eastAsia="Batang"/>
          <w:sz w:val="24"/>
          <w:szCs w:val="24"/>
        </w:rPr>
        <w:t>ress,</w:t>
      </w:r>
      <w:r w:rsidRPr="000B15E0">
        <w:rPr>
          <w:rStyle w:val="CharAttribute111"/>
          <w:rFonts w:eastAsia="Batang"/>
          <w:sz w:val="24"/>
          <w:szCs w:val="24"/>
        </w:rPr>
        <w:t xml:space="preserve"> 1987)</w:t>
      </w:r>
      <w:r w:rsidR="002B2EED">
        <w:rPr>
          <w:rStyle w:val="CharAttribute111"/>
          <w:rFonts w:eastAsia="Batang"/>
          <w:sz w:val="24"/>
          <w:szCs w:val="24"/>
        </w:rPr>
        <w:t>,</w:t>
      </w:r>
      <w:r w:rsidRPr="000B15E0">
        <w:rPr>
          <w:rStyle w:val="CharAttribute111"/>
          <w:rFonts w:eastAsia="Batang"/>
          <w:sz w:val="24"/>
          <w:szCs w:val="24"/>
        </w:rPr>
        <w:t xml:space="preserve"> </w:t>
      </w:r>
      <w:r w:rsidR="002B2EED">
        <w:rPr>
          <w:rStyle w:val="CharAttribute111"/>
          <w:rFonts w:eastAsia="Batang"/>
          <w:sz w:val="24"/>
          <w:szCs w:val="24"/>
        </w:rPr>
        <w:t>p.</w:t>
      </w:r>
      <w:r w:rsidRPr="000B15E0">
        <w:rPr>
          <w:rStyle w:val="CharAttribute111"/>
          <w:rFonts w:eastAsia="Batang"/>
          <w:sz w:val="24"/>
          <w:szCs w:val="24"/>
        </w:rPr>
        <w:t>36.</w:t>
      </w:r>
    </w:p>
  </w:endnote>
  <w:endnote w:id="102">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11"/>
          <w:rFonts w:eastAsia="Batang"/>
          <w:sz w:val="24"/>
          <w:szCs w:val="24"/>
        </w:rPr>
        <w:t xml:space="preserve">Giorgio Agamben, ‘Difference and repetition: on Guy </w:t>
      </w:r>
      <w:proofErr w:type="spellStart"/>
      <w:r w:rsidRPr="000B15E0">
        <w:rPr>
          <w:rStyle w:val="CharAttribute111"/>
          <w:rFonts w:eastAsia="Batang"/>
          <w:sz w:val="24"/>
          <w:szCs w:val="24"/>
        </w:rPr>
        <w:t>Debord</w:t>
      </w:r>
      <w:r w:rsidR="00797874">
        <w:rPr>
          <w:rStyle w:val="CharAttribute111"/>
          <w:rFonts w:eastAsia="Batang"/>
          <w:sz w:val="24"/>
          <w:szCs w:val="24"/>
        </w:rPr>
        <w:t>’</w:t>
      </w:r>
      <w:r w:rsidRPr="000B15E0">
        <w:rPr>
          <w:rStyle w:val="CharAttribute111"/>
          <w:rFonts w:eastAsia="Batang"/>
          <w:sz w:val="24"/>
          <w:szCs w:val="24"/>
        </w:rPr>
        <w:t>s</w:t>
      </w:r>
      <w:proofErr w:type="spellEnd"/>
      <w:r w:rsidRPr="000B15E0">
        <w:rPr>
          <w:rStyle w:val="CharAttribute111"/>
          <w:rFonts w:eastAsia="Batang"/>
          <w:sz w:val="24"/>
          <w:szCs w:val="24"/>
        </w:rPr>
        <w:t xml:space="preserve"> film’ in </w:t>
      </w:r>
      <w:r w:rsidR="003E6737">
        <w:rPr>
          <w:rStyle w:val="CharAttribute111"/>
          <w:rFonts w:eastAsia="Batang"/>
          <w:sz w:val="24"/>
          <w:szCs w:val="24"/>
        </w:rPr>
        <w:t>ed. Tanya Leighton</w:t>
      </w:r>
      <w:r w:rsidRPr="000B15E0">
        <w:rPr>
          <w:rStyle w:val="CharAttribute111"/>
          <w:rFonts w:eastAsia="Batang"/>
          <w:sz w:val="24"/>
          <w:szCs w:val="24"/>
        </w:rPr>
        <w:t xml:space="preserve">, </w:t>
      </w:r>
      <w:r w:rsidRPr="000B15E0">
        <w:rPr>
          <w:rStyle w:val="CharAttribute112"/>
          <w:rFonts w:eastAsia="Batang"/>
          <w:sz w:val="24"/>
          <w:szCs w:val="24"/>
        </w:rPr>
        <w:t>Art and the Moving Image: A Critical Reader</w:t>
      </w:r>
      <w:r w:rsidRPr="000B15E0">
        <w:rPr>
          <w:rStyle w:val="CharAttribute111"/>
          <w:rFonts w:eastAsia="Batang"/>
          <w:sz w:val="24"/>
          <w:szCs w:val="24"/>
        </w:rPr>
        <w:t xml:space="preserve"> (Tate Publishing 2008) 328-33.</w:t>
      </w:r>
    </w:p>
  </w:endnote>
  <w:endnote w:id="103">
    <w:p w:rsidR="00104860" w:rsidRPr="003166CA" w:rsidRDefault="00104860" w:rsidP="00A675BC">
      <w:pPr>
        <w:pStyle w:val="EndnoteText"/>
        <w:wordWrap/>
        <w:spacing w:line="480" w:lineRule="auto"/>
        <w:rPr>
          <w:rFonts w:ascii="Times New Roman"/>
          <w:sz w:val="24"/>
          <w:szCs w:val="24"/>
          <w:lang w:val="en-GB"/>
        </w:rPr>
      </w:pPr>
      <w:r w:rsidRPr="003166CA">
        <w:rPr>
          <w:rStyle w:val="EndnoteReference"/>
          <w:rFonts w:ascii="Times New Roman"/>
          <w:sz w:val="24"/>
          <w:szCs w:val="24"/>
        </w:rPr>
        <w:endnoteRef/>
      </w:r>
      <w:r w:rsidRPr="003166CA">
        <w:rPr>
          <w:rFonts w:ascii="Times New Roman"/>
          <w:sz w:val="24"/>
          <w:szCs w:val="24"/>
        </w:rPr>
        <w:t xml:space="preserve"> </w:t>
      </w:r>
      <w:proofErr w:type="gramStart"/>
      <w:r w:rsidRPr="003166CA">
        <w:rPr>
          <w:rFonts w:ascii="Times New Roman"/>
          <w:sz w:val="24"/>
          <w:szCs w:val="24"/>
        </w:rPr>
        <w:t xml:space="preserve">Gilles Deleuze, </w:t>
      </w:r>
      <w:r>
        <w:rPr>
          <w:rFonts w:ascii="Times New Roman"/>
          <w:i/>
          <w:iCs/>
          <w:sz w:val="24"/>
          <w:szCs w:val="24"/>
        </w:rPr>
        <w:t>Difference and Repetition</w:t>
      </w:r>
      <w:r w:rsidRPr="003166CA">
        <w:rPr>
          <w:rFonts w:ascii="Times New Roman"/>
          <w:iCs/>
          <w:sz w:val="24"/>
          <w:szCs w:val="24"/>
        </w:rPr>
        <w:t xml:space="preserve">, </w:t>
      </w:r>
      <w:r>
        <w:rPr>
          <w:rFonts w:ascii="Times New Roman"/>
          <w:sz w:val="24"/>
          <w:szCs w:val="24"/>
        </w:rPr>
        <w:t>tr</w:t>
      </w:r>
      <w:r w:rsidR="00796677">
        <w:rPr>
          <w:rFonts w:ascii="Times New Roman"/>
          <w:sz w:val="24"/>
          <w:szCs w:val="24"/>
        </w:rPr>
        <w:t>ans</w:t>
      </w:r>
      <w:r>
        <w:rPr>
          <w:rFonts w:ascii="Times New Roman"/>
          <w:sz w:val="24"/>
          <w:szCs w:val="24"/>
        </w:rPr>
        <w:t xml:space="preserve">. </w:t>
      </w:r>
      <w:r w:rsidRPr="003166CA">
        <w:rPr>
          <w:rFonts w:ascii="Times New Roman"/>
          <w:sz w:val="24"/>
          <w:szCs w:val="24"/>
        </w:rPr>
        <w:t xml:space="preserve">Paul Patton </w:t>
      </w:r>
      <w:r>
        <w:rPr>
          <w:rFonts w:ascii="Times New Roman"/>
          <w:sz w:val="24"/>
          <w:szCs w:val="24"/>
        </w:rPr>
        <w:t xml:space="preserve">(New York: </w:t>
      </w:r>
      <w:r w:rsidRPr="003166CA">
        <w:rPr>
          <w:rFonts w:ascii="Times New Roman"/>
          <w:sz w:val="24"/>
          <w:szCs w:val="24"/>
        </w:rPr>
        <w:t>Columbia U</w:t>
      </w:r>
      <w:r>
        <w:rPr>
          <w:rFonts w:ascii="Times New Roman"/>
          <w:sz w:val="24"/>
          <w:szCs w:val="24"/>
        </w:rPr>
        <w:t xml:space="preserve">niversity </w:t>
      </w:r>
      <w:r w:rsidRPr="003166CA">
        <w:rPr>
          <w:rFonts w:ascii="Times New Roman"/>
          <w:sz w:val="24"/>
          <w:szCs w:val="24"/>
        </w:rPr>
        <w:t>P</w:t>
      </w:r>
      <w:r>
        <w:rPr>
          <w:rFonts w:ascii="Times New Roman"/>
          <w:sz w:val="24"/>
          <w:szCs w:val="24"/>
        </w:rPr>
        <w:t>ress,</w:t>
      </w:r>
      <w:r w:rsidRPr="003166CA">
        <w:rPr>
          <w:rFonts w:ascii="Times New Roman"/>
          <w:sz w:val="24"/>
          <w:szCs w:val="24"/>
        </w:rPr>
        <w:t xml:space="preserve"> 1994)</w:t>
      </w:r>
      <w:r w:rsidR="00F1579A">
        <w:rPr>
          <w:rFonts w:ascii="Times New Roman"/>
          <w:sz w:val="24"/>
          <w:szCs w:val="24"/>
        </w:rPr>
        <w:t>,</w:t>
      </w:r>
      <w:r w:rsidRPr="003166CA">
        <w:rPr>
          <w:rFonts w:ascii="Times New Roman"/>
          <w:sz w:val="24"/>
          <w:szCs w:val="24"/>
        </w:rPr>
        <w:t xml:space="preserve"> </w:t>
      </w:r>
      <w:r>
        <w:rPr>
          <w:rFonts w:ascii="Times New Roman"/>
          <w:sz w:val="24"/>
          <w:szCs w:val="24"/>
        </w:rPr>
        <w:t>p.</w:t>
      </w:r>
      <w:r w:rsidRPr="003166CA">
        <w:rPr>
          <w:rFonts w:ascii="Times New Roman"/>
          <w:sz w:val="24"/>
          <w:szCs w:val="24"/>
        </w:rPr>
        <w:t>2.</w:t>
      </w:r>
      <w:proofErr w:type="gramEnd"/>
    </w:p>
  </w:endnote>
  <w:endnote w:id="104">
    <w:p w:rsidR="00104860" w:rsidRPr="003166CA" w:rsidRDefault="00104860" w:rsidP="00A675BC">
      <w:pPr>
        <w:pStyle w:val="EndnoteText"/>
        <w:wordWrap/>
        <w:spacing w:line="480" w:lineRule="auto"/>
        <w:rPr>
          <w:rFonts w:ascii="Times New Roman"/>
          <w:sz w:val="24"/>
          <w:szCs w:val="24"/>
          <w:lang w:val="en-GB"/>
        </w:rPr>
      </w:pPr>
      <w:r w:rsidRPr="003166CA">
        <w:rPr>
          <w:rStyle w:val="EndnoteReference"/>
          <w:rFonts w:ascii="Times New Roman"/>
          <w:sz w:val="24"/>
          <w:szCs w:val="24"/>
        </w:rPr>
        <w:endnoteRef/>
      </w:r>
      <w:r w:rsidRPr="003166CA">
        <w:rPr>
          <w:rFonts w:ascii="Times New Roman"/>
          <w:sz w:val="24"/>
          <w:szCs w:val="24"/>
        </w:rPr>
        <w:t xml:space="preserve"> </w:t>
      </w:r>
      <w:proofErr w:type="gramStart"/>
      <w:r w:rsidRPr="003166CA">
        <w:rPr>
          <w:rFonts w:ascii="Times New Roman"/>
          <w:sz w:val="24"/>
          <w:szCs w:val="24"/>
        </w:rPr>
        <w:t xml:space="preserve">Deleuze, </w:t>
      </w:r>
      <w:r w:rsidRPr="003166CA">
        <w:rPr>
          <w:rFonts w:ascii="Times New Roman"/>
          <w:i/>
          <w:iCs/>
          <w:sz w:val="24"/>
          <w:szCs w:val="24"/>
        </w:rPr>
        <w:t>Difference and Repetition</w:t>
      </w:r>
      <w:r w:rsidRPr="003166CA">
        <w:rPr>
          <w:rFonts w:ascii="Times New Roman"/>
          <w:iCs/>
          <w:sz w:val="24"/>
          <w:szCs w:val="24"/>
        </w:rPr>
        <w:t>, p.20.</w:t>
      </w:r>
      <w:proofErr w:type="gramEnd"/>
    </w:p>
  </w:endnote>
  <w:endnote w:id="105">
    <w:p w:rsidR="00104860" w:rsidRPr="00BD6DFC" w:rsidRDefault="00104860" w:rsidP="00A675BC">
      <w:pPr>
        <w:pStyle w:val="EndnoteText"/>
        <w:wordWrap/>
        <w:spacing w:line="480" w:lineRule="auto"/>
        <w:rPr>
          <w:rFonts w:ascii="Times New Roman"/>
          <w:sz w:val="24"/>
          <w:szCs w:val="24"/>
          <w:lang w:val="en-GB"/>
        </w:rPr>
      </w:pPr>
      <w:r w:rsidRPr="00BD6DFC">
        <w:rPr>
          <w:rStyle w:val="EndnoteReference"/>
          <w:rFonts w:ascii="Times New Roman"/>
          <w:sz w:val="24"/>
          <w:szCs w:val="24"/>
        </w:rPr>
        <w:endnoteRef/>
      </w:r>
      <w:r w:rsidRPr="00BD6DFC">
        <w:rPr>
          <w:rFonts w:ascii="Times New Roman"/>
          <w:sz w:val="24"/>
          <w:szCs w:val="24"/>
        </w:rPr>
        <w:t xml:space="preserve"> </w:t>
      </w:r>
      <w:r w:rsidRPr="00BD6DFC">
        <w:rPr>
          <w:rStyle w:val="CharAttribute111"/>
          <w:rFonts w:eastAsia="Batang"/>
          <w:sz w:val="24"/>
          <w:szCs w:val="24"/>
        </w:rPr>
        <w:t xml:space="preserve">Agamben, ‘Difference and repetition: on Guy </w:t>
      </w:r>
      <w:proofErr w:type="spellStart"/>
      <w:r w:rsidRPr="00BD6DFC">
        <w:rPr>
          <w:rStyle w:val="CharAttribute111"/>
          <w:rFonts w:eastAsia="Batang"/>
          <w:sz w:val="24"/>
          <w:szCs w:val="24"/>
        </w:rPr>
        <w:t>Debord's</w:t>
      </w:r>
      <w:proofErr w:type="spellEnd"/>
      <w:r w:rsidRPr="00BD6DFC">
        <w:rPr>
          <w:rStyle w:val="CharAttribute111"/>
          <w:rFonts w:eastAsia="Batang"/>
          <w:sz w:val="24"/>
          <w:szCs w:val="24"/>
        </w:rPr>
        <w:t xml:space="preserve"> film’, p.333.</w:t>
      </w:r>
    </w:p>
  </w:endnote>
  <w:endnote w:id="10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Pr="000B15E0">
        <w:rPr>
          <w:rStyle w:val="CharAttribute114"/>
          <w:rFonts w:eastAsia="Batang"/>
          <w:sz w:val="24"/>
          <w:szCs w:val="24"/>
        </w:rPr>
        <w:t xml:space="preserve">Agamben, ‘Difference and repetition: on Guy </w:t>
      </w:r>
      <w:proofErr w:type="spellStart"/>
      <w:r w:rsidRPr="000B15E0">
        <w:rPr>
          <w:rStyle w:val="CharAttribute114"/>
          <w:rFonts w:eastAsia="Batang"/>
          <w:sz w:val="24"/>
          <w:szCs w:val="24"/>
        </w:rPr>
        <w:t>Debord's</w:t>
      </w:r>
      <w:proofErr w:type="spellEnd"/>
      <w:r w:rsidRPr="000B15E0">
        <w:rPr>
          <w:rStyle w:val="CharAttribute114"/>
          <w:rFonts w:eastAsia="Batang"/>
          <w:sz w:val="24"/>
          <w:szCs w:val="24"/>
        </w:rPr>
        <w:t xml:space="preserve"> film’</w:t>
      </w:r>
      <w:r>
        <w:rPr>
          <w:rStyle w:val="CharAttribute114"/>
          <w:rFonts w:eastAsia="Batang"/>
          <w:sz w:val="24"/>
          <w:szCs w:val="24"/>
        </w:rPr>
        <w:t>,</w:t>
      </w:r>
      <w:r w:rsidRPr="000B15E0">
        <w:rPr>
          <w:rStyle w:val="CharAttribute114"/>
          <w:rFonts w:eastAsia="Batang"/>
          <w:sz w:val="24"/>
          <w:szCs w:val="24"/>
        </w:rPr>
        <w:t xml:space="preserve"> </w:t>
      </w:r>
      <w:r>
        <w:rPr>
          <w:rStyle w:val="CharAttribute114"/>
          <w:rFonts w:eastAsia="Batang"/>
          <w:sz w:val="24"/>
          <w:szCs w:val="24"/>
        </w:rPr>
        <w:t>p.</w:t>
      </w:r>
      <w:r w:rsidRPr="000B15E0">
        <w:rPr>
          <w:rStyle w:val="CharAttribute114"/>
          <w:rFonts w:eastAsia="Batang"/>
          <w:sz w:val="24"/>
          <w:szCs w:val="24"/>
        </w:rPr>
        <w:t>328.</w:t>
      </w:r>
    </w:p>
  </w:endnote>
  <w:endnote w:id="107">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213403">
        <w:rPr>
          <w:rFonts w:ascii="Times New Roman"/>
          <w:sz w:val="24"/>
          <w:szCs w:val="24"/>
        </w:rPr>
        <w:t xml:space="preserve">Giorgio Agamben, </w:t>
      </w:r>
      <w:r w:rsidRPr="000B15E0">
        <w:rPr>
          <w:rStyle w:val="CharAttribute112"/>
          <w:rFonts w:eastAsia="Batang"/>
          <w:sz w:val="24"/>
          <w:szCs w:val="24"/>
        </w:rPr>
        <w:t>Profanations</w:t>
      </w:r>
      <w:r w:rsidR="00213403">
        <w:rPr>
          <w:rStyle w:val="CharAttribute112"/>
          <w:rFonts w:eastAsia="Batang"/>
          <w:i w:val="0"/>
          <w:sz w:val="24"/>
          <w:szCs w:val="24"/>
        </w:rPr>
        <w:t>, tr</w:t>
      </w:r>
      <w:r w:rsidR="00796677">
        <w:rPr>
          <w:rStyle w:val="CharAttribute112"/>
          <w:rFonts w:eastAsia="Batang"/>
          <w:i w:val="0"/>
          <w:sz w:val="24"/>
          <w:szCs w:val="24"/>
        </w:rPr>
        <w:t>ans</w:t>
      </w:r>
      <w:r w:rsidR="00213403">
        <w:rPr>
          <w:rStyle w:val="CharAttribute112"/>
          <w:rFonts w:eastAsia="Batang"/>
          <w:i w:val="0"/>
          <w:sz w:val="24"/>
          <w:szCs w:val="24"/>
        </w:rPr>
        <w:t>. Jeff Fort (New York: Zone Books, 2007)</w:t>
      </w:r>
      <w:r w:rsidR="00796677">
        <w:rPr>
          <w:rStyle w:val="CharAttribute112"/>
          <w:rFonts w:eastAsia="Batang"/>
          <w:i w:val="0"/>
          <w:sz w:val="24"/>
          <w:szCs w:val="24"/>
        </w:rPr>
        <w:t>,</w:t>
      </w:r>
      <w:r w:rsidRPr="000B15E0">
        <w:rPr>
          <w:rStyle w:val="CharAttribute115"/>
          <w:rFonts w:eastAsia="Batang"/>
          <w:sz w:val="24"/>
          <w:szCs w:val="24"/>
        </w:rPr>
        <w:t xml:space="preserve"> </w:t>
      </w:r>
      <w:r w:rsidR="00213403">
        <w:rPr>
          <w:rStyle w:val="CharAttribute115"/>
          <w:rFonts w:eastAsia="Batang"/>
          <w:sz w:val="24"/>
          <w:szCs w:val="24"/>
        </w:rPr>
        <w:t>p.</w:t>
      </w:r>
      <w:r w:rsidRPr="000B15E0">
        <w:rPr>
          <w:rStyle w:val="CharAttribute115"/>
          <w:rFonts w:eastAsia="Batang"/>
          <w:sz w:val="24"/>
          <w:szCs w:val="24"/>
        </w:rPr>
        <w:t>77.</w:t>
      </w:r>
    </w:p>
  </w:endnote>
  <w:endnote w:id="108">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Pr="000B15E0">
        <w:rPr>
          <w:rStyle w:val="CharAttribute115"/>
          <w:rFonts w:eastAsia="Batang"/>
          <w:sz w:val="24"/>
          <w:szCs w:val="24"/>
        </w:rPr>
        <w:t>Agamben, ‘On Potentiality’</w:t>
      </w:r>
      <w:r>
        <w:rPr>
          <w:rStyle w:val="CharAttribute115"/>
          <w:rFonts w:eastAsia="Batang"/>
          <w:sz w:val="24"/>
          <w:szCs w:val="24"/>
        </w:rPr>
        <w:t>, p.</w:t>
      </w:r>
      <w:r w:rsidRPr="000B15E0">
        <w:rPr>
          <w:rStyle w:val="CharAttribute115"/>
          <w:rFonts w:eastAsia="Batang"/>
          <w:sz w:val="24"/>
          <w:szCs w:val="24"/>
        </w:rPr>
        <w:t>182.</w:t>
      </w:r>
      <w:proofErr w:type="gramEnd"/>
    </w:p>
  </w:endnote>
  <w:endnote w:id="109">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proofErr w:type="gramStart"/>
      <w:r w:rsidR="00213403">
        <w:rPr>
          <w:rFonts w:ascii="Times New Roman"/>
          <w:sz w:val="24"/>
          <w:szCs w:val="24"/>
        </w:rPr>
        <w:t xml:space="preserve">Agamben, </w:t>
      </w:r>
      <w:r w:rsidRPr="000B15E0">
        <w:rPr>
          <w:rStyle w:val="CharAttribute112"/>
          <w:rFonts w:eastAsia="Batang"/>
          <w:sz w:val="24"/>
          <w:szCs w:val="24"/>
        </w:rPr>
        <w:t>Profanations</w:t>
      </w:r>
      <w:r w:rsidR="00213403">
        <w:rPr>
          <w:rStyle w:val="CharAttribute112"/>
          <w:rFonts w:eastAsia="Batang"/>
          <w:i w:val="0"/>
          <w:sz w:val="24"/>
          <w:szCs w:val="24"/>
        </w:rPr>
        <w:t>,</w:t>
      </w:r>
      <w:r w:rsidRPr="000B15E0">
        <w:rPr>
          <w:rStyle w:val="CharAttribute116"/>
          <w:rFonts w:eastAsia="Batang"/>
          <w:sz w:val="24"/>
          <w:szCs w:val="24"/>
        </w:rPr>
        <w:t xml:space="preserve"> </w:t>
      </w:r>
      <w:r w:rsidR="00213403">
        <w:rPr>
          <w:rStyle w:val="CharAttribute116"/>
          <w:rFonts w:eastAsia="Batang"/>
          <w:sz w:val="24"/>
          <w:szCs w:val="24"/>
        </w:rPr>
        <w:t>pp.</w:t>
      </w:r>
      <w:r w:rsidR="00E605E7">
        <w:rPr>
          <w:rStyle w:val="CharAttribute116"/>
          <w:rFonts w:eastAsia="Batang"/>
          <w:sz w:val="24"/>
          <w:szCs w:val="24"/>
        </w:rPr>
        <w:t>85-</w:t>
      </w:r>
      <w:r w:rsidRPr="000B15E0">
        <w:rPr>
          <w:rStyle w:val="CharAttribute116"/>
          <w:rFonts w:eastAsia="Batang"/>
          <w:sz w:val="24"/>
          <w:szCs w:val="24"/>
        </w:rPr>
        <w:t>6.</w:t>
      </w:r>
      <w:proofErr w:type="gramEnd"/>
    </w:p>
  </w:endnote>
  <w:endnote w:id="110">
    <w:p w:rsidR="00104860" w:rsidRPr="009364FA"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sidR="00213403">
        <w:rPr>
          <w:rFonts w:ascii="Times New Roman"/>
          <w:sz w:val="24"/>
          <w:szCs w:val="24"/>
        </w:rPr>
        <w:t xml:space="preserve">Giorgio Agamben, </w:t>
      </w:r>
      <w:r w:rsidRPr="000B15E0">
        <w:rPr>
          <w:rFonts w:ascii="Times New Roman"/>
          <w:i/>
          <w:sz w:val="24"/>
          <w:szCs w:val="24"/>
          <w:lang w:val="en-GB"/>
        </w:rPr>
        <w:t>The Time That Remains</w:t>
      </w:r>
      <w:r w:rsidR="00213403">
        <w:rPr>
          <w:rFonts w:ascii="Times New Roman"/>
          <w:i/>
          <w:sz w:val="24"/>
          <w:szCs w:val="24"/>
          <w:lang w:val="en-GB"/>
        </w:rPr>
        <w:t>: A Commentary on the Letter to the Romans</w:t>
      </w:r>
      <w:r w:rsidRPr="000B15E0">
        <w:rPr>
          <w:rFonts w:ascii="Times New Roman"/>
          <w:sz w:val="24"/>
          <w:szCs w:val="24"/>
          <w:lang w:val="en-GB"/>
        </w:rPr>
        <w:t xml:space="preserve">, </w:t>
      </w:r>
      <w:r w:rsidR="00213403">
        <w:rPr>
          <w:rFonts w:ascii="Times New Roman"/>
          <w:sz w:val="24"/>
          <w:szCs w:val="24"/>
          <w:lang w:val="en-GB"/>
        </w:rPr>
        <w:t>tr</w:t>
      </w:r>
      <w:r w:rsidR="00796677">
        <w:rPr>
          <w:rFonts w:ascii="Times New Roman"/>
          <w:sz w:val="24"/>
          <w:szCs w:val="24"/>
          <w:lang w:val="en-GB"/>
        </w:rPr>
        <w:t>ans</w:t>
      </w:r>
      <w:r w:rsidR="00213403">
        <w:rPr>
          <w:rFonts w:ascii="Times New Roman"/>
          <w:sz w:val="24"/>
          <w:szCs w:val="24"/>
          <w:lang w:val="en-GB"/>
        </w:rPr>
        <w:t>. Patricia Dailey (Stanford: Stanford University Press, 2005), p.</w:t>
      </w:r>
      <w:r w:rsidRPr="000B15E0">
        <w:rPr>
          <w:rFonts w:ascii="Times New Roman"/>
          <w:sz w:val="24"/>
          <w:szCs w:val="24"/>
          <w:lang w:val="en-GB"/>
        </w:rPr>
        <w:t>48.</w:t>
      </w:r>
    </w:p>
  </w:endnote>
  <w:endnote w:id="111">
    <w:p w:rsidR="00104860" w:rsidRPr="0080737C" w:rsidRDefault="00104860" w:rsidP="00A675BC">
      <w:pPr>
        <w:pStyle w:val="EndnoteText"/>
        <w:wordWrap/>
        <w:spacing w:line="480" w:lineRule="auto"/>
        <w:rPr>
          <w:rFonts w:ascii="Times New Roman"/>
          <w:sz w:val="24"/>
          <w:szCs w:val="24"/>
          <w:lang w:val="en-GB"/>
        </w:rPr>
      </w:pPr>
      <w:r w:rsidRPr="0080737C">
        <w:rPr>
          <w:rStyle w:val="EndnoteReference"/>
          <w:rFonts w:ascii="Times New Roman"/>
          <w:sz w:val="24"/>
          <w:szCs w:val="24"/>
        </w:rPr>
        <w:endnoteRef/>
      </w:r>
      <w:r w:rsidRPr="0080737C">
        <w:rPr>
          <w:rFonts w:ascii="Times New Roman"/>
          <w:sz w:val="24"/>
          <w:szCs w:val="24"/>
        </w:rPr>
        <w:t xml:space="preserve"> </w:t>
      </w:r>
      <w:r w:rsidRPr="0080737C">
        <w:rPr>
          <w:rFonts w:ascii="Times New Roman"/>
          <w:sz w:val="24"/>
          <w:szCs w:val="24"/>
          <w:lang w:val="en-GB"/>
        </w:rPr>
        <w:t xml:space="preserve">Jacques </w:t>
      </w:r>
      <w:r w:rsidRPr="0080737C">
        <w:rPr>
          <w:rStyle w:val="CharAttribute60"/>
          <w:rFonts w:eastAsia="Batang"/>
          <w:szCs w:val="24"/>
        </w:rPr>
        <w:t xml:space="preserve">Rancière, </w:t>
      </w:r>
      <w:r>
        <w:rPr>
          <w:rStyle w:val="CharAttribute60"/>
          <w:rFonts w:eastAsia="Batang"/>
          <w:szCs w:val="24"/>
        </w:rPr>
        <w:t>‘Who is the subje</w:t>
      </w:r>
      <w:r w:rsidR="001C0742">
        <w:rPr>
          <w:rStyle w:val="CharAttribute60"/>
          <w:rFonts w:eastAsia="Batang"/>
          <w:szCs w:val="24"/>
        </w:rPr>
        <w:t>ct of the rights of man?’ (2004</w:t>
      </w:r>
      <w:r>
        <w:rPr>
          <w:rStyle w:val="CharAttribute60"/>
          <w:rFonts w:eastAsia="Batang"/>
          <w:szCs w:val="24"/>
        </w:rPr>
        <w:t>)</w:t>
      </w:r>
      <w:r w:rsidR="001C0742">
        <w:rPr>
          <w:rStyle w:val="CharAttribute60"/>
          <w:rFonts w:eastAsia="Batang"/>
          <w:szCs w:val="24"/>
        </w:rPr>
        <w:t xml:space="preserve"> </w:t>
      </w:r>
      <w:r w:rsidR="003E6737">
        <w:rPr>
          <w:rStyle w:val="CharAttribute60"/>
          <w:rFonts w:eastAsia="Batang"/>
          <w:szCs w:val="24"/>
        </w:rPr>
        <w:t>103</w:t>
      </w:r>
      <w:r>
        <w:rPr>
          <w:rStyle w:val="CharAttribute60"/>
          <w:rFonts w:eastAsia="Batang"/>
          <w:szCs w:val="24"/>
        </w:rPr>
        <w:t xml:space="preserve">(2/3) </w:t>
      </w:r>
      <w:r>
        <w:rPr>
          <w:rStyle w:val="CharAttribute60"/>
          <w:rFonts w:eastAsia="Batang"/>
          <w:i/>
          <w:szCs w:val="24"/>
        </w:rPr>
        <w:t xml:space="preserve">South Atlantic Quarterly </w:t>
      </w:r>
      <w:r>
        <w:rPr>
          <w:rStyle w:val="CharAttribute60"/>
          <w:rFonts w:eastAsia="Batang"/>
          <w:szCs w:val="24"/>
        </w:rPr>
        <w:t>297-310</w:t>
      </w:r>
      <w:r w:rsidRPr="0080737C">
        <w:rPr>
          <w:rStyle w:val="CharAttribute60"/>
          <w:rFonts w:eastAsia="Batang"/>
          <w:szCs w:val="24"/>
        </w:rPr>
        <w:t>.</w:t>
      </w:r>
    </w:p>
  </w:endnote>
  <w:endnote w:id="112">
    <w:p w:rsidR="00104860" w:rsidRPr="009364FA" w:rsidRDefault="00104860" w:rsidP="00A675BC">
      <w:pPr>
        <w:pStyle w:val="EndnoteText"/>
        <w:wordWrap/>
        <w:spacing w:line="480" w:lineRule="auto"/>
        <w:rPr>
          <w:lang w:val="en-GB"/>
        </w:rPr>
      </w:pPr>
      <w:r w:rsidRPr="009364FA">
        <w:rPr>
          <w:rStyle w:val="EndnoteReference"/>
          <w:rFonts w:ascii="Times New Roman"/>
          <w:sz w:val="24"/>
          <w:szCs w:val="24"/>
        </w:rPr>
        <w:endnoteRef/>
      </w:r>
      <w:r w:rsidRPr="009364FA">
        <w:rPr>
          <w:rFonts w:ascii="Times New Roman"/>
          <w:sz w:val="24"/>
          <w:szCs w:val="24"/>
        </w:rPr>
        <w:t xml:space="preserve"> </w:t>
      </w:r>
      <w:r w:rsidRPr="009364FA">
        <w:rPr>
          <w:rFonts w:ascii="Times New Roman"/>
          <w:sz w:val="24"/>
          <w:szCs w:val="24"/>
          <w:lang w:val="en-GB"/>
        </w:rPr>
        <w:t xml:space="preserve">Jacques </w:t>
      </w:r>
      <w:r w:rsidRPr="009364FA">
        <w:rPr>
          <w:rStyle w:val="CharAttribute60"/>
          <w:rFonts w:eastAsia="Batang"/>
          <w:szCs w:val="24"/>
        </w:rPr>
        <w:t xml:space="preserve">Rancière, </w:t>
      </w:r>
      <w:r w:rsidRPr="009364FA">
        <w:rPr>
          <w:rStyle w:val="CharAttribute60"/>
          <w:rFonts w:eastAsia="Batang"/>
          <w:i/>
          <w:szCs w:val="24"/>
        </w:rPr>
        <w:t>Dis-agreement – Politics and philosophy</w:t>
      </w:r>
      <w:r w:rsidRPr="009364FA">
        <w:rPr>
          <w:rStyle w:val="CharAttribute60"/>
          <w:rFonts w:eastAsia="Batang"/>
          <w:szCs w:val="24"/>
        </w:rPr>
        <w:t xml:space="preserve"> (Minneapolis: University of Minnesota Press, 1999), p.123. </w:t>
      </w:r>
    </w:p>
  </w:endnote>
  <w:endnote w:id="113">
    <w:p w:rsidR="00104860" w:rsidRPr="009364FA" w:rsidRDefault="00104860" w:rsidP="00A675BC">
      <w:pPr>
        <w:pStyle w:val="EndnoteText"/>
        <w:wordWrap/>
        <w:spacing w:line="480" w:lineRule="auto"/>
        <w:rPr>
          <w:rFonts w:ascii="Times New Roman"/>
          <w:sz w:val="24"/>
          <w:szCs w:val="24"/>
          <w:lang w:val="en-GB"/>
        </w:rPr>
      </w:pPr>
      <w:r w:rsidRPr="009364FA">
        <w:rPr>
          <w:rStyle w:val="EndnoteReference"/>
          <w:rFonts w:ascii="Times New Roman"/>
          <w:sz w:val="24"/>
          <w:szCs w:val="24"/>
        </w:rPr>
        <w:endnoteRef/>
      </w:r>
      <w:r w:rsidRPr="009364FA">
        <w:rPr>
          <w:rFonts w:ascii="Times New Roman"/>
          <w:sz w:val="24"/>
          <w:szCs w:val="24"/>
        </w:rPr>
        <w:t xml:space="preserve"> </w:t>
      </w:r>
      <w:proofErr w:type="gramStart"/>
      <w:r w:rsidRPr="009364FA">
        <w:rPr>
          <w:rFonts w:ascii="Times New Roman"/>
          <w:sz w:val="24"/>
          <w:szCs w:val="24"/>
          <w:lang w:val="en-GB"/>
        </w:rPr>
        <w:t xml:space="preserve">Wall, ‘Tunisia and the Critical Legal Theory of </w:t>
      </w:r>
      <w:proofErr w:type="spellStart"/>
      <w:r w:rsidRPr="009364FA">
        <w:rPr>
          <w:rFonts w:ascii="Times New Roman"/>
          <w:sz w:val="24"/>
          <w:szCs w:val="24"/>
          <w:lang w:val="en-GB"/>
        </w:rPr>
        <w:t>Dissensus</w:t>
      </w:r>
      <w:proofErr w:type="spellEnd"/>
      <w:r w:rsidRPr="009364FA">
        <w:rPr>
          <w:rFonts w:ascii="Times New Roman"/>
          <w:sz w:val="24"/>
          <w:szCs w:val="24"/>
          <w:lang w:val="en-GB"/>
        </w:rPr>
        <w:t>’, p</w:t>
      </w:r>
      <w:r>
        <w:rPr>
          <w:rFonts w:ascii="Times New Roman"/>
          <w:sz w:val="24"/>
          <w:szCs w:val="24"/>
          <w:lang w:val="en-GB"/>
        </w:rPr>
        <w:t>p</w:t>
      </w:r>
      <w:r w:rsidRPr="009364FA">
        <w:rPr>
          <w:rFonts w:ascii="Times New Roman"/>
          <w:sz w:val="24"/>
          <w:szCs w:val="24"/>
          <w:lang w:val="en-GB"/>
        </w:rPr>
        <w:t>.226-7.</w:t>
      </w:r>
      <w:proofErr w:type="gramEnd"/>
    </w:p>
  </w:endnote>
  <w:endnote w:id="114">
    <w:p w:rsidR="00104860" w:rsidRPr="0080737C" w:rsidRDefault="00104860" w:rsidP="00A675BC">
      <w:pPr>
        <w:pStyle w:val="EndnoteText"/>
        <w:wordWrap/>
        <w:spacing w:line="480" w:lineRule="auto"/>
        <w:rPr>
          <w:rFonts w:ascii="Times New Roman"/>
          <w:sz w:val="24"/>
          <w:szCs w:val="24"/>
          <w:lang w:val="en-GB"/>
        </w:rPr>
      </w:pPr>
      <w:r w:rsidRPr="0080737C">
        <w:rPr>
          <w:rStyle w:val="EndnoteReference"/>
          <w:rFonts w:ascii="Times New Roman"/>
          <w:sz w:val="24"/>
          <w:szCs w:val="24"/>
        </w:rPr>
        <w:endnoteRef/>
      </w:r>
      <w:r w:rsidRPr="0080737C">
        <w:rPr>
          <w:rFonts w:ascii="Times New Roman"/>
          <w:sz w:val="24"/>
          <w:szCs w:val="24"/>
        </w:rPr>
        <w:t xml:space="preserve"> </w:t>
      </w:r>
      <w:r w:rsidRPr="0080737C">
        <w:rPr>
          <w:rStyle w:val="CharAttribute60"/>
          <w:rFonts w:eastAsia="Batang"/>
          <w:szCs w:val="24"/>
        </w:rPr>
        <w:t xml:space="preserve">Rancière, </w:t>
      </w:r>
      <w:r w:rsidRPr="0080737C">
        <w:rPr>
          <w:rStyle w:val="CharAttribute60"/>
          <w:rFonts w:eastAsia="Batang"/>
          <w:i/>
          <w:szCs w:val="24"/>
        </w:rPr>
        <w:t>Dis-agreement – Politics and philosophy</w:t>
      </w:r>
      <w:r w:rsidRPr="0080737C">
        <w:rPr>
          <w:rStyle w:val="CharAttribute60"/>
          <w:rFonts w:eastAsia="Batang"/>
          <w:szCs w:val="24"/>
        </w:rPr>
        <w:t>, p.306.</w:t>
      </w:r>
    </w:p>
  </w:endnote>
  <w:endnote w:id="115">
    <w:p w:rsidR="00104860" w:rsidRPr="00104860" w:rsidRDefault="00104860" w:rsidP="00A675BC">
      <w:pPr>
        <w:pStyle w:val="EndnoteText"/>
        <w:wordWrap/>
        <w:spacing w:line="480" w:lineRule="auto"/>
        <w:rPr>
          <w:rFonts w:ascii="Times New Roman"/>
          <w:sz w:val="24"/>
          <w:szCs w:val="24"/>
          <w:lang w:val="en-GB"/>
        </w:rPr>
      </w:pPr>
      <w:r w:rsidRPr="00104860">
        <w:rPr>
          <w:rStyle w:val="EndnoteReference"/>
          <w:rFonts w:ascii="Times New Roman"/>
          <w:sz w:val="24"/>
          <w:szCs w:val="24"/>
        </w:rPr>
        <w:endnoteRef/>
      </w:r>
      <w:r w:rsidRPr="00104860">
        <w:rPr>
          <w:rFonts w:ascii="Times New Roman"/>
          <w:sz w:val="24"/>
          <w:szCs w:val="24"/>
        </w:rPr>
        <w:t xml:space="preserve"> </w:t>
      </w:r>
      <w:r w:rsidRPr="00104860">
        <w:rPr>
          <w:rStyle w:val="CharAttribute60"/>
          <w:rFonts w:eastAsia="Batang"/>
          <w:szCs w:val="24"/>
        </w:rPr>
        <w:t xml:space="preserve">Rancière, </w:t>
      </w:r>
      <w:r w:rsidRPr="00104860">
        <w:rPr>
          <w:rStyle w:val="CharAttribute60"/>
          <w:rFonts w:eastAsia="Batang"/>
          <w:i/>
          <w:szCs w:val="24"/>
        </w:rPr>
        <w:t>Dis-agreement – Politics and philosophy</w:t>
      </w:r>
      <w:r w:rsidRPr="00104860">
        <w:rPr>
          <w:rStyle w:val="CharAttribute60"/>
          <w:rFonts w:eastAsia="Batang"/>
          <w:szCs w:val="24"/>
        </w:rPr>
        <w:t>, p.306.</w:t>
      </w:r>
    </w:p>
  </w:endnote>
  <w:endnote w:id="116">
    <w:p w:rsidR="00104860" w:rsidRPr="000B15E0" w:rsidRDefault="00104860" w:rsidP="00A675BC">
      <w:pPr>
        <w:pStyle w:val="EndnoteText"/>
        <w:wordWrap/>
        <w:spacing w:line="480" w:lineRule="auto"/>
        <w:rPr>
          <w:rFonts w:ascii="Times New Roman"/>
          <w:sz w:val="24"/>
          <w:szCs w:val="24"/>
          <w:lang w:val="en-GB"/>
        </w:rPr>
      </w:pPr>
      <w:r w:rsidRPr="000B15E0">
        <w:rPr>
          <w:rStyle w:val="EndnoteReference"/>
          <w:rFonts w:ascii="Times New Roman"/>
          <w:sz w:val="24"/>
          <w:szCs w:val="24"/>
        </w:rPr>
        <w:endnoteRef/>
      </w:r>
      <w:r w:rsidRPr="000B15E0">
        <w:rPr>
          <w:rFonts w:ascii="Times New Roman"/>
          <w:sz w:val="24"/>
          <w:szCs w:val="24"/>
        </w:rPr>
        <w:t xml:space="preserve"> </w:t>
      </w:r>
      <w:r>
        <w:rPr>
          <w:rFonts w:ascii="Times New Roman"/>
          <w:sz w:val="24"/>
          <w:szCs w:val="24"/>
        </w:rPr>
        <w:t xml:space="preserve">Thanos </w:t>
      </w:r>
      <w:r w:rsidRPr="000B15E0">
        <w:rPr>
          <w:rFonts w:ascii="Times New Roman"/>
          <w:sz w:val="24"/>
          <w:szCs w:val="24"/>
        </w:rPr>
        <w:t xml:space="preserve">Zartaloudis, </w:t>
      </w:r>
      <w:r w:rsidRPr="000B15E0">
        <w:rPr>
          <w:rFonts w:ascii="Times New Roman"/>
          <w:i/>
          <w:sz w:val="24"/>
          <w:szCs w:val="24"/>
        </w:rPr>
        <w:t>Giorgio Agamben: Power, Law and the Uses of Criticism</w:t>
      </w:r>
      <w:r w:rsidRPr="000B15E0">
        <w:rPr>
          <w:rFonts w:ascii="Times New Roman"/>
          <w:sz w:val="24"/>
          <w:szCs w:val="24"/>
        </w:rPr>
        <w:t xml:space="preserve"> </w:t>
      </w:r>
      <w:r>
        <w:rPr>
          <w:rFonts w:ascii="Times New Roman"/>
          <w:sz w:val="24"/>
          <w:szCs w:val="24"/>
        </w:rPr>
        <w:t>(Abingdon: Routledge 2010)</w:t>
      </w:r>
      <w:r w:rsidR="00796677">
        <w:rPr>
          <w:rFonts w:ascii="Times New Roman"/>
          <w:sz w:val="24"/>
          <w:szCs w:val="24"/>
        </w:rPr>
        <w:t>,</w:t>
      </w:r>
      <w:r>
        <w:rPr>
          <w:rFonts w:ascii="Times New Roman"/>
          <w:sz w:val="24"/>
          <w:szCs w:val="24"/>
        </w:rPr>
        <w:t xml:space="preserve"> p.</w:t>
      </w:r>
      <w:r w:rsidRPr="000B15E0">
        <w:rPr>
          <w:rFonts w:ascii="Times New Roman"/>
          <w:sz w:val="24"/>
          <w:szCs w:val="24"/>
        </w:rPr>
        <w:t>282.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531970"/>
      <w:docPartObj>
        <w:docPartGallery w:val="Page Numbers (Bottom of Page)"/>
        <w:docPartUnique/>
      </w:docPartObj>
    </w:sdtPr>
    <w:sdtEndPr>
      <w:rPr>
        <w:rFonts w:ascii="Times New Roman"/>
      </w:rPr>
    </w:sdtEndPr>
    <w:sdtContent>
      <w:p w:rsidR="00104860" w:rsidRPr="00C92DFD" w:rsidRDefault="00104860">
        <w:pPr>
          <w:pStyle w:val="Footer"/>
          <w:jc w:val="right"/>
          <w:rPr>
            <w:rFonts w:ascii="Times New Roman"/>
          </w:rPr>
        </w:pPr>
        <w:r w:rsidRPr="001D0A03">
          <w:rPr>
            <w:rFonts w:ascii="Times New Roman"/>
            <w:sz w:val="24"/>
          </w:rPr>
          <w:fldChar w:fldCharType="begin"/>
        </w:r>
        <w:r w:rsidRPr="001D0A03">
          <w:rPr>
            <w:rFonts w:ascii="Times New Roman"/>
            <w:sz w:val="24"/>
          </w:rPr>
          <w:instrText xml:space="preserve"> PAGE   \* MERGEFORMAT </w:instrText>
        </w:r>
        <w:r w:rsidRPr="001D0A03">
          <w:rPr>
            <w:rFonts w:ascii="Times New Roman"/>
            <w:sz w:val="24"/>
          </w:rPr>
          <w:fldChar w:fldCharType="separate"/>
        </w:r>
        <w:r w:rsidR="0035176F">
          <w:rPr>
            <w:rFonts w:ascii="Times New Roman"/>
            <w:noProof/>
            <w:sz w:val="24"/>
          </w:rPr>
          <w:t>5</w:t>
        </w:r>
        <w:r w:rsidRPr="001D0A03">
          <w:rPr>
            <w:rFonts w:ascii="Times New Roman"/>
            <w:sz w:val="24"/>
          </w:rPr>
          <w:fldChar w:fldCharType="end"/>
        </w:r>
      </w:p>
    </w:sdtContent>
  </w:sdt>
  <w:p w:rsidR="00104860" w:rsidRDefault="00104860">
    <w:pPr>
      <w:pStyle w:val="ParaAttribute2"/>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A9" w:rsidRDefault="00FD74A9" w:rsidP="005E17EA">
      <w:r>
        <w:separator/>
      </w:r>
    </w:p>
  </w:footnote>
  <w:footnote w:type="continuationSeparator" w:id="0">
    <w:p w:rsidR="00FD74A9" w:rsidRDefault="00FD74A9" w:rsidP="005E1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E17EA"/>
    <w:rsid w:val="00007462"/>
    <w:rsid w:val="00015975"/>
    <w:rsid w:val="00016ECF"/>
    <w:rsid w:val="000179B5"/>
    <w:rsid w:val="000431C9"/>
    <w:rsid w:val="00067112"/>
    <w:rsid w:val="000966E3"/>
    <w:rsid w:val="000A1F4B"/>
    <w:rsid w:val="000B15E0"/>
    <w:rsid w:val="000D3319"/>
    <w:rsid w:val="000D3964"/>
    <w:rsid w:val="000F2C52"/>
    <w:rsid w:val="00104860"/>
    <w:rsid w:val="00127269"/>
    <w:rsid w:val="001351BD"/>
    <w:rsid w:val="00147548"/>
    <w:rsid w:val="00154EDF"/>
    <w:rsid w:val="00163B4C"/>
    <w:rsid w:val="00164E1C"/>
    <w:rsid w:val="00165749"/>
    <w:rsid w:val="001715EB"/>
    <w:rsid w:val="00172666"/>
    <w:rsid w:val="00183B9E"/>
    <w:rsid w:val="00197A72"/>
    <w:rsid w:val="001B4442"/>
    <w:rsid w:val="001B61A7"/>
    <w:rsid w:val="001C0742"/>
    <w:rsid w:val="001C615A"/>
    <w:rsid w:val="001D0692"/>
    <w:rsid w:val="001D0A03"/>
    <w:rsid w:val="001F0ADD"/>
    <w:rsid w:val="001F6A7B"/>
    <w:rsid w:val="002119F7"/>
    <w:rsid w:val="00213403"/>
    <w:rsid w:val="00237A3D"/>
    <w:rsid w:val="00245292"/>
    <w:rsid w:val="00255811"/>
    <w:rsid w:val="0027062E"/>
    <w:rsid w:val="0027285B"/>
    <w:rsid w:val="00275E62"/>
    <w:rsid w:val="002A369C"/>
    <w:rsid w:val="002B2EED"/>
    <w:rsid w:val="002B7927"/>
    <w:rsid w:val="003047CD"/>
    <w:rsid w:val="00307D02"/>
    <w:rsid w:val="00312FD2"/>
    <w:rsid w:val="003158DC"/>
    <w:rsid w:val="003166CA"/>
    <w:rsid w:val="003273CC"/>
    <w:rsid w:val="00345FF0"/>
    <w:rsid w:val="00346013"/>
    <w:rsid w:val="0035176F"/>
    <w:rsid w:val="003607A0"/>
    <w:rsid w:val="0037061E"/>
    <w:rsid w:val="003755C7"/>
    <w:rsid w:val="003A29B6"/>
    <w:rsid w:val="003B65AC"/>
    <w:rsid w:val="003C3E3E"/>
    <w:rsid w:val="003D4920"/>
    <w:rsid w:val="003E373C"/>
    <w:rsid w:val="003E3884"/>
    <w:rsid w:val="003E6737"/>
    <w:rsid w:val="00421739"/>
    <w:rsid w:val="00422D5F"/>
    <w:rsid w:val="00441F44"/>
    <w:rsid w:val="00450400"/>
    <w:rsid w:val="0049664C"/>
    <w:rsid w:val="004B3A68"/>
    <w:rsid w:val="004B4223"/>
    <w:rsid w:val="004C6F79"/>
    <w:rsid w:val="005317C1"/>
    <w:rsid w:val="00533F54"/>
    <w:rsid w:val="00534BB5"/>
    <w:rsid w:val="00562365"/>
    <w:rsid w:val="00567DC5"/>
    <w:rsid w:val="005744C3"/>
    <w:rsid w:val="00592E5E"/>
    <w:rsid w:val="005A75AB"/>
    <w:rsid w:val="005B07A2"/>
    <w:rsid w:val="005B3470"/>
    <w:rsid w:val="005D28A9"/>
    <w:rsid w:val="005E17EA"/>
    <w:rsid w:val="005F0BCD"/>
    <w:rsid w:val="005F653D"/>
    <w:rsid w:val="005F71B7"/>
    <w:rsid w:val="006049BF"/>
    <w:rsid w:val="00617627"/>
    <w:rsid w:val="006265BD"/>
    <w:rsid w:val="00634521"/>
    <w:rsid w:val="0064371A"/>
    <w:rsid w:val="0065078C"/>
    <w:rsid w:val="006579EC"/>
    <w:rsid w:val="006636EF"/>
    <w:rsid w:val="006847DC"/>
    <w:rsid w:val="0068754E"/>
    <w:rsid w:val="006B7143"/>
    <w:rsid w:val="006D4B6C"/>
    <w:rsid w:val="006F51A0"/>
    <w:rsid w:val="007020B0"/>
    <w:rsid w:val="00741D72"/>
    <w:rsid w:val="007530DA"/>
    <w:rsid w:val="007703E9"/>
    <w:rsid w:val="007830B9"/>
    <w:rsid w:val="00796677"/>
    <w:rsid w:val="00797874"/>
    <w:rsid w:val="007A6EA5"/>
    <w:rsid w:val="007B3A68"/>
    <w:rsid w:val="007B4D06"/>
    <w:rsid w:val="007C63C7"/>
    <w:rsid w:val="007D0D3A"/>
    <w:rsid w:val="007E7143"/>
    <w:rsid w:val="00801851"/>
    <w:rsid w:val="0080737C"/>
    <w:rsid w:val="00812CF3"/>
    <w:rsid w:val="008160BB"/>
    <w:rsid w:val="0082257F"/>
    <w:rsid w:val="0082528B"/>
    <w:rsid w:val="0083342C"/>
    <w:rsid w:val="00833712"/>
    <w:rsid w:val="0086380C"/>
    <w:rsid w:val="008820E9"/>
    <w:rsid w:val="00882440"/>
    <w:rsid w:val="00883321"/>
    <w:rsid w:val="008840D8"/>
    <w:rsid w:val="00884527"/>
    <w:rsid w:val="00893443"/>
    <w:rsid w:val="0089439C"/>
    <w:rsid w:val="008B4830"/>
    <w:rsid w:val="008D10DE"/>
    <w:rsid w:val="008E3AE6"/>
    <w:rsid w:val="008E4A63"/>
    <w:rsid w:val="008E6067"/>
    <w:rsid w:val="008F2017"/>
    <w:rsid w:val="00927559"/>
    <w:rsid w:val="009364FA"/>
    <w:rsid w:val="00937617"/>
    <w:rsid w:val="00941A1F"/>
    <w:rsid w:val="00942FB9"/>
    <w:rsid w:val="009550A6"/>
    <w:rsid w:val="009906BF"/>
    <w:rsid w:val="009967C9"/>
    <w:rsid w:val="009B1569"/>
    <w:rsid w:val="009C4B32"/>
    <w:rsid w:val="00A04889"/>
    <w:rsid w:val="00A20589"/>
    <w:rsid w:val="00A47C1C"/>
    <w:rsid w:val="00A675BC"/>
    <w:rsid w:val="00A823E7"/>
    <w:rsid w:val="00AB140F"/>
    <w:rsid w:val="00AB212B"/>
    <w:rsid w:val="00AB3518"/>
    <w:rsid w:val="00AC3CDE"/>
    <w:rsid w:val="00B11788"/>
    <w:rsid w:val="00B204A6"/>
    <w:rsid w:val="00B23B94"/>
    <w:rsid w:val="00B3023A"/>
    <w:rsid w:val="00B3113B"/>
    <w:rsid w:val="00B51D27"/>
    <w:rsid w:val="00B65F5D"/>
    <w:rsid w:val="00B76844"/>
    <w:rsid w:val="00B8078B"/>
    <w:rsid w:val="00B861E7"/>
    <w:rsid w:val="00B907E9"/>
    <w:rsid w:val="00B938D1"/>
    <w:rsid w:val="00BC027E"/>
    <w:rsid w:val="00BD005A"/>
    <w:rsid w:val="00BD6DFC"/>
    <w:rsid w:val="00BF4B0C"/>
    <w:rsid w:val="00BF713B"/>
    <w:rsid w:val="00C03855"/>
    <w:rsid w:val="00C14879"/>
    <w:rsid w:val="00C17C07"/>
    <w:rsid w:val="00C31215"/>
    <w:rsid w:val="00C54582"/>
    <w:rsid w:val="00C92DFD"/>
    <w:rsid w:val="00C9769F"/>
    <w:rsid w:val="00CB284B"/>
    <w:rsid w:val="00CE3842"/>
    <w:rsid w:val="00D068EF"/>
    <w:rsid w:val="00D14DE0"/>
    <w:rsid w:val="00D42582"/>
    <w:rsid w:val="00D532C9"/>
    <w:rsid w:val="00D54B89"/>
    <w:rsid w:val="00D8120A"/>
    <w:rsid w:val="00DB02B2"/>
    <w:rsid w:val="00DB3E17"/>
    <w:rsid w:val="00DC6422"/>
    <w:rsid w:val="00DD17BA"/>
    <w:rsid w:val="00DD29BD"/>
    <w:rsid w:val="00DD56F4"/>
    <w:rsid w:val="00DD7870"/>
    <w:rsid w:val="00DF28E9"/>
    <w:rsid w:val="00E33F42"/>
    <w:rsid w:val="00E4316E"/>
    <w:rsid w:val="00E605E7"/>
    <w:rsid w:val="00E62F4B"/>
    <w:rsid w:val="00E72273"/>
    <w:rsid w:val="00E7399F"/>
    <w:rsid w:val="00E73C40"/>
    <w:rsid w:val="00E97901"/>
    <w:rsid w:val="00EC2097"/>
    <w:rsid w:val="00EE4DC1"/>
    <w:rsid w:val="00F11162"/>
    <w:rsid w:val="00F1579A"/>
    <w:rsid w:val="00F275D5"/>
    <w:rsid w:val="00F36116"/>
    <w:rsid w:val="00F44AC3"/>
    <w:rsid w:val="00F54B4E"/>
    <w:rsid w:val="00F55471"/>
    <w:rsid w:val="00F81B51"/>
    <w:rsid w:val="00F85297"/>
    <w:rsid w:val="00F93997"/>
    <w:rsid w:val="00F95ECB"/>
    <w:rsid w:val="00F97BB9"/>
    <w:rsid w:val="00FA5529"/>
    <w:rsid w:val="00FB3E74"/>
    <w:rsid w:val="00FD74A9"/>
    <w:rsid w:val="00FF2AAD"/>
    <w:rsid w:val="00FF6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17E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0">
    <w:name w:val="ParaAttribute0"/>
    <w:rsid w:val="005E17EA"/>
    <w:pPr>
      <w:widowControl w:val="0"/>
      <w:wordWrap w:val="0"/>
      <w:spacing w:after="0" w:line="240" w:lineRule="auto"/>
    </w:pPr>
    <w:rPr>
      <w:rFonts w:ascii="Times New Roman" w:eastAsia="Batang" w:hAnsi="Times New Roman" w:cs="Times New Roman"/>
      <w:sz w:val="20"/>
      <w:szCs w:val="20"/>
      <w:lang w:eastAsia="en-GB"/>
    </w:rPr>
  </w:style>
  <w:style w:type="paragraph" w:customStyle="1" w:styleId="ParaAttribute1">
    <w:name w:val="ParaAttribute1"/>
    <w:rsid w:val="005E17EA"/>
    <w:pPr>
      <w:widowControl w:val="0"/>
      <w:tabs>
        <w:tab w:val="center" w:pos="4513"/>
        <w:tab w:val="right" w:pos="9026"/>
      </w:tabs>
      <w:wordWrap w:val="0"/>
      <w:spacing w:after="0" w:line="240" w:lineRule="auto"/>
      <w:jc w:val="right"/>
    </w:pPr>
    <w:rPr>
      <w:rFonts w:ascii="Times New Roman" w:eastAsia="Batang" w:hAnsi="Times New Roman" w:cs="Times New Roman"/>
      <w:sz w:val="20"/>
      <w:szCs w:val="20"/>
      <w:lang w:eastAsia="en-GB"/>
    </w:rPr>
  </w:style>
  <w:style w:type="paragraph" w:customStyle="1" w:styleId="ParaAttribute2">
    <w:name w:val="ParaAttribute2"/>
    <w:rsid w:val="005E17EA"/>
    <w:pPr>
      <w:widowControl w:val="0"/>
      <w:tabs>
        <w:tab w:val="center" w:pos="4513"/>
        <w:tab w:val="right" w:pos="9026"/>
      </w:tabs>
      <w:wordWrap w:val="0"/>
      <w:spacing w:after="0" w:line="240" w:lineRule="auto"/>
    </w:pPr>
    <w:rPr>
      <w:rFonts w:ascii="Times New Roman" w:eastAsia="Batang" w:hAnsi="Times New Roman" w:cs="Times New Roman"/>
      <w:sz w:val="20"/>
      <w:szCs w:val="20"/>
      <w:lang w:eastAsia="en-GB"/>
    </w:rPr>
  </w:style>
  <w:style w:type="paragraph" w:customStyle="1" w:styleId="ParaAttribute3">
    <w:name w:val="ParaAttribute3"/>
    <w:rsid w:val="005E17EA"/>
    <w:pPr>
      <w:widowControl w:val="0"/>
      <w:wordWrap w:val="0"/>
      <w:spacing w:after="0" w:line="240" w:lineRule="auto"/>
      <w:jc w:val="center"/>
    </w:pPr>
    <w:rPr>
      <w:rFonts w:ascii="Times New Roman" w:eastAsia="Batang" w:hAnsi="Times New Roman" w:cs="Times New Roman"/>
      <w:sz w:val="20"/>
      <w:szCs w:val="20"/>
      <w:lang w:eastAsia="en-GB"/>
    </w:rPr>
  </w:style>
  <w:style w:type="paragraph" w:customStyle="1" w:styleId="ParaAttribute4">
    <w:name w:val="ParaAttribute4"/>
    <w:rsid w:val="005E17EA"/>
    <w:pPr>
      <w:widowControl w:val="0"/>
      <w:wordWrap w:val="0"/>
      <w:spacing w:after="0" w:line="240" w:lineRule="auto"/>
      <w:jc w:val="both"/>
    </w:pPr>
    <w:rPr>
      <w:rFonts w:ascii="Times New Roman" w:eastAsia="Batang" w:hAnsi="Times New Roman" w:cs="Times New Roman"/>
      <w:sz w:val="20"/>
      <w:szCs w:val="20"/>
      <w:lang w:eastAsia="en-GB"/>
    </w:rPr>
  </w:style>
  <w:style w:type="paragraph" w:customStyle="1" w:styleId="ParaAttribute5">
    <w:name w:val="ParaAttribute5"/>
    <w:rsid w:val="005E17EA"/>
    <w:pPr>
      <w:widowControl w:val="0"/>
      <w:wordWrap w:val="0"/>
      <w:spacing w:after="0" w:line="240" w:lineRule="auto"/>
    </w:pPr>
    <w:rPr>
      <w:rFonts w:ascii="Times New Roman" w:eastAsia="Batang" w:hAnsi="Times New Roman" w:cs="Times New Roman"/>
      <w:sz w:val="20"/>
      <w:szCs w:val="20"/>
      <w:lang w:eastAsia="en-GB"/>
    </w:rPr>
  </w:style>
  <w:style w:type="paragraph" w:customStyle="1" w:styleId="ParaAttribute6">
    <w:name w:val="ParaAttribute6"/>
    <w:rsid w:val="005E17EA"/>
    <w:pPr>
      <w:widowControl w:val="0"/>
      <w:wordWrap w:val="0"/>
      <w:spacing w:after="0" w:line="240" w:lineRule="auto"/>
      <w:ind w:left="397" w:right="397"/>
      <w:jc w:val="both"/>
    </w:pPr>
    <w:rPr>
      <w:rFonts w:ascii="Times New Roman" w:eastAsia="Batang" w:hAnsi="Times New Roman" w:cs="Times New Roman"/>
      <w:sz w:val="20"/>
      <w:szCs w:val="20"/>
      <w:lang w:eastAsia="en-GB"/>
    </w:rPr>
  </w:style>
  <w:style w:type="paragraph" w:customStyle="1" w:styleId="ParaAttribute7">
    <w:name w:val="ParaAttribute7"/>
    <w:rsid w:val="005E17EA"/>
    <w:pPr>
      <w:widowControl w:val="0"/>
      <w:wordWrap w:val="0"/>
      <w:spacing w:after="0" w:line="240" w:lineRule="auto"/>
      <w:ind w:right="26"/>
      <w:jc w:val="both"/>
    </w:pPr>
    <w:rPr>
      <w:rFonts w:ascii="Times New Roman" w:eastAsia="Batang" w:hAnsi="Times New Roman" w:cs="Times New Roman"/>
      <w:sz w:val="20"/>
      <w:szCs w:val="20"/>
      <w:lang w:eastAsia="en-GB"/>
    </w:rPr>
  </w:style>
  <w:style w:type="paragraph" w:customStyle="1" w:styleId="ParaAttribute8">
    <w:name w:val="ParaAttribute8"/>
    <w:rsid w:val="005E17EA"/>
    <w:pPr>
      <w:widowControl w:val="0"/>
      <w:wordWrap w:val="0"/>
      <w:spacing w:after="0" w:line="240" w:lineRule="auto"/>
    </w:pPr>
    <w:rPr>
      <w:rFonts w:ascii="Times New Roman" w:eastAsia="Batang" w:hAnsi="Times New Roman" w:cs="Times New Roman"/>
      <w:sz w:val="20"/>
      <w:szCs w:val="20"/>
      <w:lang w:eastAsia="en-GB"/>
    </w:rPr>
  </w:style>
  <w:style w:type="character" w:customStyle="1" w:styleId="CharAttribute0">
    <w:name w:val="CharAttribute0"/>
    <w:rsid w:val="005E17EA"/>
    <w:rPr>
      <w:rFonts w:ascii="Times New Roman" w:eastAsia="Times New Roman"/>
      <w:sz w:val="24"/>
    </w:rPr>
  </w:style>
  <w:style w:type="character" w:customStyle="1" w:styleId="CharAttribute1">
    <w:name w:val="CharAttribute1"/>
    <w:rsid w:val="005E17EA"/>
    <w:rPr>
      <w:rFonts w:ascii="Times New Roman" w:eastAsia="Times New Roman"/>
      <w:b/>
      <w:sz w:val="24"/>
      <w:u w:val="single"/>
    </w:rPr>
  </w:style>
  <w:style w:type="character" w:customStyle="1" w:styleId="CharAttribute3">
    <w:name w:val="CharAttribute3"/>
    <w:rsid w:val="005E17EA"/>
    <w:rPr>
      <w:rFonts w:ascii="Times New Roman" w:eastAsia="Times New Roman"/>
    </w:rPr>
  </w:style>
  <w:style w:type="character" w:customStyle="1" w:styleId="CharAttribute4">
    <w:name w:val="CharAttribute4"/>
    <w:rsid w:val="005E17EA"/>
    <w:rPr>
      <w:rFonts w:ascii="Times New Roman" w:eastAsia="Times New Roman"/>
      <w:sz w:val="24"/>
      <w:vertAlign w:val="superscript"/>
    </w:rPr>
  </w:style>
  <w:style w:type="character" w:customStyle="1" w:styleId="CharAttribute5">
    <w:name w:val="CharAttribute5"/>
    <w:rsid w:val="005E17EA"/>
    <w:rPr>
      <w:rFonts w:ascii="Times New Roman" w:eastAsia="Times New Roman"/>
      <w:sz w:val="24"/>
      <w:vertAlign w:val="superscript"/>
    </w:rPr>
  </w:style>
  <w:style w:type="character" w:customStyle="1" w:styleId="CharAttribute6">
    <w:name w:val="CharAttribute6"/>
    <w:rsid w:val="005E17EA"/>
    <w:rPr>
      <w:rFonts w:ascii="Times New Roman" w:eastAsia="Times New Roman"/>
      <w:sz w:val="24"/>
    </w:rPr>
  </w:style>
  <w:style w:type="character" w:customStyle="1" w:styleId="CharAttribute7">
    <w:name w:val="CharAttribute7"/>
    <w:rsid w:val="005E17EA"/>
    <w:rPr>
      <w:rFonts w:ascii="Times New Roman" w:eastAsia="Times New Roman"/>
      <w:i/>
      <w:sz w:val="24"/>
    </w:rPr>
  </w:style>
  <w:style w:type="character" w:customStyle="1" w:styleId="CharAttribute8">
    <w:name w:val="CharAttribute8"/>
    <w:rsid w:val="005E17EA"/>
    <w:rPr>
      <w:rFonts w:ascii="Times New Roman" w:eastAsia="Times New Roman"/>
      <w:sz w:val="24"/>
    </w:rPr>
  </w:style>
  <w:style w:type="character" w:customStyle="1" w:styleId="CharAttribute9">
    <w:name w:val="CharAttribute9"/>
    <w:rsid w:val="005E17EA"/>
    <w:rPr>
      <w:rFonts w:ascii="Times New Roman" w:eastAsia="Times New Roman"/>
      <w:sz w:val="24"/>
    </w:rPr>
  </w:style>
  <w:style w:type="character" w:customStyle="1" w:styleId="CharAttribute10">
    <w:name w:val="CharAttribute10"/>
    <w:rsid w:val="005E17EA"/>
    <w:rPr>
      <w:rFonts w:ascii="Times New Roman" w:eastAsia="Times New Roman"/>
      <w:sz w:val="24"/>
    </w:rPr>
  </w:style>
  <w:style w:type="character" w:customStyle="1" w:styleId="CharAttribute11">
    <w:name w:val="CharAttribute11"/>
    <w:rsid w:val="005E17EA"/>
    <w:rPr>
      <w:rFonts w:ascii="Times New Roman" w:eastAsia="Times New Roman"/>
      <w:sz w:val="24"/>
    </w:rPr>
  </w:style>
  <w:style w:type="character" w:customStyle="1" w:styleId="CharAttribute12">
    <w:name w:val="CharAttribute12"/>
    <w:rsid w:val="005E17EA"/>
    <w:rPr>
      <w:rFonts w:ascii="Times New Roman" w:eastAsia="Times New Roman"/>
      <w:sz w:val="24"/>
    </w:rPr>
  </w:style>
  <w:style w:type="character" w:customStyle="1" w:styleId="CharAttribute13">
    <w:name w:val="CharAttribute13"/>
    <w:rsid w:val="005E17EA"/>
    <w:rPr>
      <w:rFonts w:ascii="Times New Roman" w:eastAsia="Times New Roman"/>
      <w:sz w:val="24"/>
    </w:rPr>
  </w:style>
  <w:style w:type="character" w:customStyle="1" w:styleId="CharAttribute14">
    <w:name w:val="CharAttribute14"/>
    <w:rsid w:val="005E17EA"/>
    <w:rPr>
      <w:rFonts w:ascii="Times New Roman" w:eastAsia="Times New Roman"/>
      <w:sz w:val="24"/>
    </w:rPr>
  </w:style>
  <w:style w:type="character" w:customStyle="1" w:styleId="CharAttribute15">
    <w:name w:val="CharAttribute15"/>
    <w:rsid w:val="005E17EA"/>
    <w:rPr>
      <w:rFonts w:ascii="Times New Roman" w:eastAsia="Times New Roman"/>
      <w:sz w:val="24"/>
    </w:rPr>
  </w:style>
  <w:style w:type="character" w:customStyle="1" w:styleId="CharAttribute16">
    <w:name w:val="CharAttribute16"/>
    <w:rsid w:val="005E17EA"/>
    <w:rPr>
      <w:rFonts w:ascii="Times New Roman" w:eastAsia="Times New Roman"/>
      <w:sz w:val="24"/>
    </w:rPr>
  </w:style>
  <w:style w:type="character" w:customStyle="1" w:styleId="CharAttribute17">
    <w:name w:val="CharAttribute17"/>
    <w:rsid w:val="005E17EA"/>
    <w:rPr>
      <w:rFonts w:ascii="Times New Roman" w:eastAsia="Times New Roman"/>
      <w:sz w:val="24"/>
    </w:rPr>
  </w:style>
  <w:style w:type="character" w:customStyle="1" w:styleId="CharAttribute18">
    <w:name w:val="CharAttribute18"/>
    <w:rsid w:val="005E17EA"/>
    <w:rPr>
      <w:rFonts w:ascii="Times New Roman" w:eastAsia="Times New Roman"/>
      <w:sz w:val="24"/>
    </w:rPr>
  </w:style>
  <w:style w:type="character" w:customStyle="1" w:styleId="CharAttribute19">
    <w:name w:val="CharAttribute19"/>
    <w:rsid w:val="005E17EA"/>
    <w:rPr>
      <w:rFonts w:ascii="Times New Roman" w:eastAsia="Times New Roman"/>
      <w:sz w:val="24"/>
    </w:rPr>
  </w:style>
  <w:style w:type="character" w:customStyle="1" w:styleId="CharAttribute20">
    <w:name w:val="CharAttribute20"/>
    <w:rsid w:val="005E17EA"/>
    <w:rPr>
      <w:rFonts w:ascii="Times New Roman" w:eastAsia="Times New Roman"/>
      <w:sz w:val="24"/>
    </w:rPr>
  </w:style>
  <w:style w:type="character" w:customStyle="1" w:styleId="CharAttribute21">
    <w:name w:val="CharAttribute21"/>
    <w:rsid w:val="005E17EA"/>
    <w:rPr>
      <w:rFonts w:ascii="Times New Roman" w:eastAsia="Times New Roman"/>
      <w:sz w:val="24"/>
    </w:rPr>
  </w:style>
  <w:style w:type="character" w:customStyle="1" w:styleId="CharAttribute22">
    <w:name w:val="CharAttribute22"/>
    <w:rsid w:val="005E17EA"/>
    <w:rPr>
      <w:rFonts w:ascii="Times New Roman" w:eastAsia="Times New Roman"/>
      <w:sz w:val="24"/>
    </w:rPr>
  </w:style>
  <w:style w:type="character" w:customStyle="1" w:styleId="CharAttribute23">
    <w:name w:val="CharAttribute23"/>
    <w:rsid w:val="005E17EA"/>
    <w:rPr>
      <w:rFonts w:ascii="Times New Roman" w:eastAsia="Times New Roman"/>
      <w:sz w:val="24"/>
    </w:rPr>
  </w:style>
  <w:style w:type="character" w:customStyle="1" w:styleId="CharAttribute24">
    <w:name w:val="CharAttribute24"/>
    <w:rsid w:val="005E17EA"/>
    <w:rPr>
      <w:rFonts w:ascii="Times New Roman" w:eastAsia="Times New Roman"/>
      <w:sz w:val="24"/>
    </w:rPr>
  </w:style>
  <w:style w:type="character" w:customStyle="1" w:styleId="CharAttribute25">
    <w:name w:val="CharAttribute25"/>
    <w:rsid w:val="005E17EA"/>
    <w:rPr>
      <w:rFonts w:ascii="Times New Roman" w:eastAsia="Times New Roman"/>
      <w:sz w:val="24"/>
    </w:rPr>
  </w:style>
  <w:style w:type="character" w:customStyle="1" w:styleId="CharAttribute26">
    <w:name w:val="CharAttribute26"/>
    <w:rsid w:val="005E17EA"/>
    <w:rPr>
      <w:rFonts w:ascii="Times New Roman" w:eastAsia="Times New Roman"/>
      <w:sz w:val="24"/>
    </w:rPr>
  </w:style>
  <w:style w:type="character" w:customStyle="1" w:styleId="CharAttribute27">
    <w:name w:val="CharAttribute27"/>
    <w:rsid w:val="005E17EA"/>
    <w:rPr>
      <w:rFonts w:ascii="Times New Roman" w:eastAsia="Times New Roman"/>
      <w:sz w:val="24"/>
    </w:rPr>
  </w:style>
  <w:style w:type="character" w:customStyle="1" w:styleId="CharAttribute28">
    <w:name w:val="CharAttribute28"/>
    <w:rsid w:val="005E17EA"/>
    <w:rPr>
      <w:rFonts w:ascii="Times New Roman" w:eastAsia="Times New Roman"/>
      <w:sz w:val="24"/>
    </w:rPr>
  </w:style>
  <w:style w:type="character" w:customStyle="1" w:styleId="CharAttribute29">
    <w:name w:val="CharAttribute29"/>
    <w:rsid w:val="005E17EA"/>
    <w:rPr>
      <w:rFonts w:ascii="Times New Roman" w:eastAsia="Times New Roman"/>
      <w:sz w:val="24"/>
    </w:rPr>
  </w:style>
  <w:style w:type="character" w:customStyle="1" w:styleId="CharAttribute30">
    <w:name w:val="CharAttribute30"/>
    <w:rsid w:val="005E17EA"/>
    <w:rPr>
      <w:rFonts w:ascii="Times New Roman" w:eastAsia="Times New Roman"/>
      <w:sz w:val="24"/>
    </w:rPr>
  </w:style>
  <w:style w:type="character" w:customStyle="1" w:styleId="CharAttribute31">
    <w:name w:val="CharAttribute31"/>
    <w:rsid w:val="005E17EA"/>
    <w:rPr>
      <w:rFonts w:ascii="Times New Roman" w:eastAsia="Times New Roman"/>
      <w:sz w:val="24"/>
    </w:rPr>
  </w:style>
  <w:style w:type="character" w:customStyle="1" w:styleId="CharAttribute32">
    <w:name w:val="CharAttribute32"/>
    <w:rsid w:val="005E17EA"/>
    <w:rPr>
      <w:rFonts w:ascii="Times New Roman" w:eastAsia="Times New Roman"/>
      <w:sz w:val="24"/>
    </w:rPr>
  </w:style>
  <w:style w:type="character" w:customStyle="1" w:styleId="CharAttribute33">
    <w:name w:val="CharAttribute33"/>
    <w:rsid w:val="005E17EA"/>
    <w:rPr>
      <w:rFonts w:ascii="Times New Roman" w:eastAsia="Times New Roman"/>
      <w:sz w:val="24"/>
    </w:rPr>
  </w:style>
  <w:style w:type="character" w:customStyle="1" w:styleId="CharAttribute34">
    <w:name w:val="CharAttribute34"/>
    <w:rsid w:val="005E17EA"/>
    <w:rPr>
      <w:rFonts w:ascii="Times New Roman" w:eastAsia="Times New Roman"/>
      <w:sz w:val="24"/>
    </w:rPr>
  </w:style>
  <w:style w:type="character" w:customStyle="1" w:styleId="CharAttribute35">
    <w:name w:val="CharAttribute35"/>
    <w:rsid w:val="005E17EA"/>
    <w:rPr>
      <w:rFonts w:ascii="Times New Roman" w:eastAsia="Times New Roman"/>
      <w:sz w:val="24"/>
    </w:rPr>
  </w:style>
  <w:style w:type="character" w:customStyle="1" w:styleId="CharAttribute36">
    <w:name w:val="CharAttribute36"/>
    <w:rsid w:val="005E17EA"/>
    <w:rPr>
      <w:rFonts w:ascii="Times New Roman" w:eastAsia="Times New Roman"/>
      <w:sz w:val="24"/>
    </w:rPr>
  </w:style>
  <w:style w:type="character" w:customStyle="1" w:styleId="CharAttribute37">
    <w:name w:val="CharAttribute37"/>
    <w:rsid w:val="005E17EA"/>
    <w:rPr>
      <w:rFonts w:ascii="Times New Roman" w:eastAsia="Times New Roman"/>
      <w:sz w:val="24"/>
    </w:rPr>
  </w:style>
  <w:style w:type="character" w:customStyle="1" w:styleId="CharAttribute38">
    <w:name w:val="CharAttribute38"/>
    <w:rsid w:val="005E17EA"/>
    <w:rPr>
      <w:rFonts w:ascii="Times New Roman" w:eastAsia="Times New Roman"/>
      <w:sz w:val="24"/>
    </w:rPr>
  </w:style>
  <w:style w:type="character" w:customStyle="1" w:styleId="CharAttribute39">
    <w:name w:val="CharAttribute39"/>
    <w:rsid w:val="005E17EA"/>
    <w:rPr>
      <w:rFonts w:ascii="Times New Roman" w:eastAsia="Times New Roman"/>
      <w:sz w:val="24"/>
    </w:rPr>
  </w:style>
  <w:style w:type="character" w:customStyle="1" w:styleId="CharAttribute40">
    <w:name w:val="CharAttribute40"/>
    <w:rsid w:val="005E17EA"/>
    <w:rPr>
      <w:rFonts w:ascii="Times New Roman" w:eastAsia="Times New Roman"/>
      <w:sz w:val="24"/>
    </w:rPr>
  </w:style>
  <w:style w:type="character" w:customStyle="1" w:styleId="CharAttribute41">
    <w:name w:val="CharAttribute41"/>
    <w:rsid w:val="005E17EA"/>
    <w:rPr>
      <w:rFonts w:ascii="Times New Roman" w:eastAsia="Times New Roman"/>
      <w:sz w:val="24"/>
    </w:rPr>
  </w:style>
  <w:style w:type="character" w:customStyle="1" w:styleId="CharAttribute42">
    <w:name w:val="CharAttribute42"/>
    <w:rsid w:val="005E17EA"/>
    <w:rPr>
      <w:rFonts w:ascii="Times New Roman" w:eastAsia="Times New Roman"/>
      <w:sz w:val="24"/>
    </w:rPr>
  </w:style>
  <w:style w:type="character" w:customStyle="1" w:styleId="CharAttribute43">
    <w:name w:val="CharAttribute43"/>
    <w:rsid w:val="005E17EA"/>
    <w:rPr>
      <w:rFonts w:ascii="Times New Roman" w:eastAsia="Times New Roman"/>
      <w:sz w:val="24"/>
    </w:rPr>
  </w:style>
  <w:style w:type="character" w:customStyle="1" w:styleId="CharAttribute44">
    <w:name w:val="CharAttribute44"/>
    <w:rsid w:val="005E17EA"/>
    <w:rPr>
      <w:rFonts w:ascii="Times New Roman" w:eastAsia="Times New Roman"/>
      <w:sz w:val="24"/>
    </w:rPr>
  </w:style>
  <w:style w:type="character" w:customStyle="1" w:styleId="CharAttribute45">
    <w:name w:val="CharAttribute45"/>
    <w:rsid w:val="005E17EA"/>
    <w:rPr>
      <w:rFonts w:ascii="Times New Roman" w:eastAsia="Times New Roman"/>
      <w:sz w:val="24"/>
    </w:rPr>
  </w:style>
  <w:style w:type="character" w:customStyle="1" w:styleId="CharAttribute46">
    <w:name w:val="CharAttribute46"/>
    <w:rsid w:val="005E17EA"/>
    <w:rPr>
      <w:rFonts w:ascii="Times New Roman" w:eastAsia="Times New Roman"/>
      <w:sz w:val="24"/>
    </w:rPr>
  </w:style>
  <w:style w:type="character" w:customStyle="1" w:styleId="CharAttribute47">
    <w:name w:val="CharAttribute47"/>
    <w:rsid w:val="005E17EA"/>
    <w:rPr>
      <w:rFonts w:ascii="Times New Roman" w:eastAsia="Times New Roman"/>
      <w:sz w:val="24"/>
    </w:rPr>
  </w:style>
  <w:style w:type="character" w:customStyle="1" w:styleId="CharAttribute48">
    <w:name w:val="CharAttribute48"/>
    <w:rsid w:val="005E17EA"/>
    <w:rPr>
      <w:rFonts w:ascii="Times New Roman" w:eastAsia="Times New Roman"/>
      <w:sz w:val="24"/>
    </w:rPr>
  </w:style>
  <w:style w:type="character" w:customStyle="1" w:styleId="CharAttribute49">
    <w:name w:val="CharAttribute49"/>
    <w:rsid w:val="005E17EA"/>
    <w:rPr>
      <w:rFonts w:ascii="Times New Roman" w:eastAsia="Times New Roman"/>
      <w:sz w:val="24"/>
    </w:rPr>
  </w:style>
  <w:style w:type="character" w:customStyle="1" w:styleId="CharAttribute50">
    <w:name w:val="CharAttribute50"/>
    <w:rsid w:val="005E17EA"/>
    <w:rPr>
      <w:rFonts w:ascii="Times New Roman" w:eastAsia="Times New Roman"/>
      <w:sz w:val="24"/>
    </w:rPr>
  </w:style>
  <w:style w:type="character" w:customStyle="1" w:styleId="CharAttribute51">
    <w:name w:val="CharAttribute51"/>
    <w:rsid w:val="005E17EA"/>
    <w:rPr>
      <w:rFonts w:ascii="Times New Roman" w:eastAsia="Times New Roman"/>
      <w:sz w:val="24"/>
    </w:rPr>
  </w:style>
  <w:style w:type="character" w:customStyle="1" w:styleId="CharAttribute52">
    <w:name w:val="CharAttribute52"/>
    <w:rsid w:val="005E17EA"/>
    <w:rPr>
      <w:rFonts w:ascii="Times New Roman" w:eastAsia="Times New Roman"/>
      <w:sz w:val="24"/>
    </w:rPr>
  </w:style>
  <w:style w:type="character" w:customStyle="1" w:styleId="CharAttribute53">
    <w:name w:val="CharAttribute53"/>
    <w:rsid w:val="005E17EA"/>
    <w:rPr>
      <w:rFonts w:ascii="Times New Roman" w:eastAsia="Times New Roman"/>
      <w:sz w:val="24"/>
    </w:rPr>
  </w:style>
  <w:style w:type="character" w:customStyle="1" w:styleId="CharAttribute54">
    <w:name w:val="CharAttribute54"/>
    <w:rsid w:val="005E17EA"/>
    <w:rPr>
      <w:rFonts w:ascii="Times New Roman" w:eastAsia="Times New Roman"/>
      <w:sz w:val="24"/>
    </w:rPr>
  </w:style>
  <w:style w:type="character" w:customStyle="1" w:styleId="CharAttribute55">
    <w:name w:val="CharAttribute55"/>
    <w:rsid w:val="005E17EA"/>
    <w:rPr>
      <w:rFonts w:ascii="Times New Roman" w:eastAsia="Times New Roman"/>
      <w:sz w:val="24"/>
    </w:rPr>
  </w:style>
  <w:style w:type="character" w:customStyle="1" w:styleId="CharAttribute56">
    <w:name w:val="CharAttribute56"/>
    <w:rsid w:val="005E17EA"/>
    <w:rPr>
      <w:rFonts w:ascii="Times New Roman" w:eastAsia="Times New Roman"/>
      <w:sz w:val="24"/>
    </w:rPr>
  </w:style>
  <w:style w:type="character" w:customStyle="1" w:styleId="CharAttribute57">
    <w:name w:val="CharAttribute57"/>
    <w:rsid w:val="005E17EA"/>
    <w:rPr>
      <w:rFonts w:ascii="Times New Roman" w:eastAsia="Times New Roman"/>
      <w:sz w:val="24"/>
    </w:rPr>
  </w:style>
  <w:style w:type="character" w:customStyle="1" w:styleId="CharAttribute58">
    <w:name w:val="CharAttribute58"/>
    <w:rsid w:val="005E17EA"/>
    <w:rPr>
      <w:rFonts w:ascii="Times New Roman" w:eastAsia="Times New Roman"/>
      <w:sz w:val="24"/>
    </w:rPr>
  </w:style>
  <w:style w:type="character" w:customStyle="1" w:styleId="CharAttribute59">
    <w:name w:val="CharAttribute59"/>
    <w:rsid w:val="005E17EA"/>
    <w:rPr>
      <w:rFonts w:ascii="Times New Roman" w:eastAsia="Times New Roman"/>
      <w:sz w:val="24"/>
    </w:rPr>
  </w:style>
  <w:style w:type="character" w:customStyle="1" w:styleId="CharAttribute60">
    <w:name w:val="CharAttribute60"/>
    <w:rsid w:val="005E17EA"/>
    <w:rPr>
      <w:rFonts w:ascii="Times New Roman" w:eastAsia="Times New Roman"/>
      <w:sz w:val="24"/>
    </w:rPr>
  </w:style>
  <w:style w:type="character" w:customStyle="1" w:styleId="CharAttribute61">
    <w:name w:val="CharAttribute61"/>
    <w:rsid w:val="005E17EA"/>
    <w:rPr>
      <w:rFonts w:ascii="Times New Roman" w:eastAsia="Times New Roman"/>
      <w:sz w:val="24"/>
    </w:rPr>
  </w:style>
  <w:style w:type="character" w:customStyle="1" w:styleId="CharAttribute62">
    <w:name w:val="CharAttribute62"/>
    <w:rsid w:val="005E17EA"/>
    <w:rPr>
      <w:rFonts w:ascii="Times New Roman" w:eastAsia="Times New Roman"/>
      <w:sz w:val="24"/>
    </w:rPr>
  </w:style>
  <w:style w:type="character" w:customStyle="1" w:styleId="CharAttribute63">
    <w:name w:val="CharAttribute63"/>
    <w:rsid w:val="005E17EA"/>
    <w:rPr>
      <w:rFonts w:ascii="Times New Roman" w:eastAsia="Times New Roman"/>
      <w:sz w:val="24"/>
    </w:rPr>
  </w:style>
  <w:style w:type="character" w:customStyle="1" w:styleId="CharAttribute64">
    <w:name w:val="CharAttribute64"/>
    <w:rsid w:val="005E17EA"/>
    <w:rPr>
      <w:rFonts w:ascii="Times New Roman" w:eastAsia="Times New Roman"/>
      <w:sz w:val="24"/>
    </w:rPr>
  </w:style>
  <w:style w:type="character" w:customStyle="1" w:styleId="CharAttribute65">
    <w:name w:val="CharAttribute65"/>
    <w:rsid w:val="005E17EA"/>
    <w:rPr>
      <w:rFonts w:ascii="Times New Roman" w:eastAsia="Times New Roman"/>
      <w:sz w:val="24"/>
    </w:rPr>
  </w:style>
  <w:style w:type="character" w:customStyle="1" w:styleId="CharAttribute69">
    <w:name w:val="CharAttribute69"/>
    <w:rsid w:val="005E17EA"/>
    <w:rPr>
      <w:rFonts w:ascii="Arial" w:eastAsia="Times New Roman"/>
      <w:sz w:val="24"/>
      <w:vertAlign w:val="superscript"/>
    </w:rPr>
  </w:style>
  <w:style w:type="character" w:customStyle="1" w:styleId="CharAttribute70">
    <w:name w:val="CharAttribute70"/>
    <w:rsid w:val="005E17EA"/>
    <w:rPr>
      <w:rFonts w:ascii="Times New Roman" w:eastAsia="Times New Roman"/>
      <w:i/>
    </w:rPr>
  </w:style>
  <w:style w:type="character" w:customStyle="1" w:styleId="CharAttribute71">
    <w:name w:val="CharAttribute71"/>
    <w:rsid w:val="005E17EA"/>
    <w:rPr>
      <w:rFonts w:ascii="Times New Roman" w:eastAsia="Times New Roman"/>
    </w:rPr>
  </w:style>
  <w:style w:type="character" w:customStyle="1" w:styleId="CharAttribute72">
    <w:name w:val="CharAttribute72"/>
    <w:rsid w:val="005E17EA"/>
    <w:rPr>
      <w:rFonts w:ascii="Times New Roman" w:eastAsia="Times New Roman"/>
    </w:rPr>
  </w:style>
  <w:style w:type="character" w:customStyle="1" w:styleId="CharAttribute73">
    <w:name w:val="CharAttribute73"/>
    <w:rsid w:val="005E17EA"/>
    <w:rPr>
      <w:rFonts w:ascii="Times New Roman" w:eastAsia="Times New Roman"/>
    </w:rPr>
  </w:style>
  <w:style w:type="character" w:customStyle="1" w:styleId="CharAttribute74">
    <w:name w:val="CharAttribute74"/>
    <w:rsid w:val="005E17EA"/>
    <w:rPr>
      <w:rFonts w:ascii="Times New Roman" w:eastAsia="Times New Roman"/>
    </w:rPr>
  </w:style>
  <w:style w:type="character" w:customStyle="1" w:styleId="CharAttribute75">
    <w:name w:val="CharAttribute75"/>
    <w:rsid w:val="005E17EA"/>
    <w:rPr>
      <w:rFonts w:ascii="Times New Roman" w:eastAsia="Times New Roman"/>
    </w:rPr>
  </w:style>
  <w:style w:type="character" w:customStyle="1" w:styleId="CharAttribute76">
    <w:name w:val="CharAttribute76"/>
    <w:rsid w:val="005E17EA"/>
    <w:rPr>
      <w:rFonts w:ascii="Times New Roman" w:eastAsia="Times New Roman"/>
    </w:rPr>
  </w:style>
  <w:style w:type="character" w:customStyle="1" w:styleId="CharAttribute77">
    <w:name w:val="CharAttribute77"/>
    <w:rsid w:val="005E17EA"/>
    <w:rPr>
      <w:rFonts w:ascii="Times New Roman" w:eastAsia="Times New Roman"/>
      <w:vertAlign w:val="superscript"/>
    </w:rPr>
  </w:style>
  <w:style w:type="character" w:customStyle="1" w:styleId="CharAttribute78">
    <w:name w:val="CharAttribute78"/>
    <w:rsid w:val="005E17EA"/>
    <w:rPr>
      <w:rFonts w:ascii="Times New Roman" w:eastAsia="Times New Roman"/>
      <w:vertAlign w:val="superscript"/>
    </w:rPr>
  </w:style>
  <w:style w:type="character" w:customStyle="1" w:styleId="CharAttribute79">
    <w:name w:val="CharAttribute79"/>
    <w:rsid w:val="005E17EA"/>
    <w:rPr>
      <w:rFonts w:ascii="Times New Roman" w:eastAsia="Times New Roman"/>
      <w:i/>
    </w:rPr>
  </w:style>
  <w:style w:type="character" w:customStyle="1" w:styleId="CharAttribute80">
    <w:name w:val="CharAttribute80"/>
    <w:rsid w:val="005E17EA"/>
    <w:rPr>
      <w:rFonts w:ascii="Times New Roman" w:eastAsia="Times New Roman"/>
      <w:i/>
    </w:rPr>
  </w:style>
  <w:style w:type="character" w:customStyle="1" w:styleId="CharAttribute81">
    <w:name w:val="CharAttribute81"/>
    <w:rsid w:val="005E17EA"/>
    <w:rPr>
      <w:rFonts w:ascii="Times New Roman" w:eastAsia="Times New Roman"/>
    </w:rPr>
  </w:style>
  <w:style w:type="character" w:customStyle="1" w:styleId="CharAttribute82">
    <w:name w:val="CharAttribute82"/>
    <w:rsid w:val="005E17EA"/>
    <w:rPr>
      <w:rFonts w:ascii="Times New Roman" w:eastAsia="Times New Roman"/>
    </w:rPr>
  </w:style>
  <w:style w:type="character" w:customStyle="1" w:styleId="CharAttribute83">
    <w:name w:val="CharAttribute83"/>
    <w:rsid w:val="005E17EA"/>
    <w:rPr>
      <w:rFonts w:ascii="Times New Roman" w:eastAsia="Times New Roman"/>
    </w:rPr>
  </w:style>
  <w:style w:type="character" w:customStyle="1" w:styleId="CharAttribute84">
    <w:name w:val="CharAttribute84"/>
    <w:rsid w:val="005E17EA"/>
    <w:rPr>
      <w:rFonts w:ascii="Times New Roman" w:eastAsia="Times New Roman"/>
    </w:rPr>
  </w:style>
  <w:style w:type="character" w:customStyle="1" w:styleId="CharAttribute87">
    <w:name w:val="CharAttribute87"/>
    <w:rsid w:val="005E17EA"/>
    <w:rPr>
      <w:rFonts w:ascii="Times New Roman" w:eastAsia="Times New Roman"/>
    </w:rPr>
  </w:style>
  <w:style w:type="character" w:customStyle="1" w:styleId="CharAttribute88">
    <w:name w:val="CharAttribute88"/>
    <w:rsid w:val="005E17EA"/>
    <w:rPr>
      <w:rFonts w:ascii="Times New Roman" w:eastAsia="Times New Roman"/>
    </w:rPr>
  </w:style>
  <w:style w:type="character" w:customStyle="1" w:styleId="CharAttribute89">
    <w:name w:val="CharAttribute89"/>
    <w:rsid w:val="005E17EA"/>
    <w:rPr>
      <w:rFonts w:ascii="Times New Roman" w:eastAsia="Times New Roman"/>
    </w:rPr>
  </w:style>
  <w:style w:type="character" w:customStyle="1" w:styleId="CharAttribute90">
    <w:name w:val="CharAttribute90"/>
    <w:rsid w:val="005E17EA"/>
    <w:rPr>
      <w:rFonts w:ascii="Times New Roman" w:eastAsia="Times New Roman"/>
    </w:rPr>
  </w:style>
  <w:style w:type="character" w:customStyle="1" w:styleId="CharAttribute91">
    <w:name w:val="CharAttribute91"/>
    <w:rsid w:val="005E17EA"/>
    <w:rPr>
      <w:rFonts w:ascii="Times New Roman" w:eastAsia="Times New Roman"/>
    </w:rPr>
  </w:style>
  <w:style w:type="character" w:customStyle="1" w:styleId="CharAttribute92">
    <w:name w:val="CharAttribute92"/>
    <w:rsid w:val="005E17EA"/>
    <w:rPr>
      <w:rFonts w:ascii="Times New Roman" w:eastAsia="Times New Roman"/>
    </w:rPr>
  </w:style>
  <w:style w:type="character" w:customStyle="1" w:styleId="CharAttribute93">
    <w:name w:val="CharAttribute93"/>
    <w:rsid w:val="005E17EA"/>
    <w:rPr>
      <w:rFonts w:ascii="Times New Roman" w:eastAsia="Times New Roman"/>
    </w:rPr>
  </w:style>
  <w:style w:type="character" w:customStyle="1" w:styleId="CharAttribute94">
    <w:name w:val="CharAttribute94"/>
    <w:rsid w:val="005E17EA"/>
    <w:rPr>
      <w:rFonts w:ascii="Times New Roman" w:eastAsia="Times New Roman"/>
    </w:rPr>
  </w:style>
  <w:style w:type="character" w:customStyle="1" w:styleId="CharAttribute95">
    <w:name w:val="CharAttribute95"/>
    <w:rsid w:val="005E17EA"/>
    <w:rPr>
      <w:rFonts w:ascii="Times New Roman" w:eastAsia="Times New Roman"/>
    </w:rPr>
  </w:style>
  <w:style w:type="character" w:customStyle="1" w:styleId="CharAttribute96">
    <w:name w:val="CharAttribute96"/>
    <w:rsid w:val="005E17EA"/>
    <w:rPr>
      <w:rFonts w:ascii="Times New Roman" w:eastAsia="Times New Roman"/>
    </w:rPr>
  </w:style>
  <w:style w:type="character" w:customStyle="1" w:styleId="CharAttribute97">
    <w:name w:val="CharAttribute97"/>
    <w:rsid w:val="005E17EA"/>
    <w:rPr>
      <w:rFonts w:ascii="Times New Roman" w:eastAsia="Times New Roman"/>
    </w:rPr>
  </w:style>
  <w:style w:type="character" w:customStyle="1" w:styleId="CharAttribute98">
    <w:name w:val="CharAttribute98"/>
    <w:rsid w:val="005E17EA"/>
    <w:rPr>
      <w:rFonts w:ascii="Times New Roman" w:eastAsia="Times New Roman"/>
    </w:rPr>
  </w:style>
  <w:style w:type="character" w:customStyle="1" w:styleId="CharAttribute99">
    <w:name w:val="CharAttribute99"/>
    <w:rsid w:val="005E17EA"/>
    <w:rPr>
      <w:rFonts w:ascii="Times New Roman" w:eastAsia="Times New Roman"/>
    </w:rPr>
  </w:style>
  <w:style w:type="character" w:customStyle="1" w:styleId="CharAttribute100">
    <w:name w:val="CharAttribute100"/>
    <w:rsid w:val="005E17EA"/>
    <w:rPr>
      <w:rFonts w:ascii="Times New Roman" w:eastAsia="Times New Roman"/>
    </w:rPr>
  </w:style>
  <w:style w:type="character" w:customStyle="1" w:styleId="CharAttribute101">
    <w:name w:val="CharAttribute101"/>
    <w:rsid w:val="005E17EA"/>
    <w:rPr>
      <w:rFonts w:ascii="Times New Roman" w:eastAsia="Times New Roman"/>
      <w:i/>
    </w:rPr>
  </w:style>
  <w:style w:type="character" w:customStyle="1" w:styleId="CharAttribute102">
    <w:name w:val="CharAttribute102"/>
    <w:rsid w:val="005E17EA"/>
    <w:rPr>
      <w:rFonts w:ascii="Times New Roman" w:eastAsia="Times New Roman"/>
    </w:rPr>
  </w:style>
  <w:style w:type="character" w:customStyle="1" w:styleId="CharAttribute103">
    <w:name w:val="CharAttribute103"/>
    <w:rsid w:val="005E17EA"/>
    <w:rPr>
      <w:rFonts w:ascii="Times New Roman" w:eastAsia="Times New Roman"/>
    </w:rPr>
  </w:style>
  <w:style w:type="character" w:customStyle="1" w:styleId="CharAttribute104">
    <w:name w:val="CharAttribute104"/>
    <w:rsid w:val="005E17EA"/>
    <w:rPr>
      <w:rFonts w:ascii="Times New Roman" w:eastAsia="Times New Roman"/>
    </w:rPr>
  </w:style>
  <w:style w:type="character" w:customStyle="1" w:styleId="CharAttribute105">
    <w:name w:val="CharAttribute105"/>
    <w:rsid w:val="005E17EA"/>
    <w:rPr>
      <w:rFonts w:ascii="Times New Roman" w:eastAsia="Times New Roman"/>
    </w:rPr>
  </w:style>
  <w:style w:type="character" w:customStyle="1" w:styleId="CharAttribute106">
    <w:name w:val="CharAttribute106"/>
    <w:rsid w:val="005E17EA"/>
    <w:rPr>
      <w:rFonts w:ascii="Times New Roman" w:eastAsia="Times New Roman"/>
    </w:rPr>
  </w:style>
  <w:style w:type="character" w:customStyle="1" w:styleId="CharAttribute107">
    <w:name w:val="CharAttribute107"/>
    <w:rsid w:val="005E17EA"/>
    <w:rPr>
      <w:rFonts w:ascii="Times New Roman" w:eastAsia="Times New Roman"/>
    </w:rPr>
  </w:style>
  <w:style w:type="character" w:customStyle="1" w:styleId="CharAttribute108">
    <w:name w:val="CharAttribute108"/>
    <w:rsid w:val="005E17EA"/>
    <w:rPr>
      <w:rFonts w:ascii="Times New Roman" w:eastAsia="Times New Roman"/>
    </w:rPr>
  </w:style>
  <w:style w:type="character" w:customStyle="1" w:styleId="CharAttribute109">
    <w:name w:val="CharAttribute109"/>
    <w:rsid w:val="005E17EA"/>
    <w:rPr>
      <w:rFonts w:ascii="Times New Roman" w:eastAsia="Times New Roman"/>
    </w:rPr>
  </w:style>
  <w:style w:type="character" w:customStyle="1" w:styleId="CharAttribute110">
    <w:name w:val="CharAttribute110"/>
    <w:rsid w:val="005E17EA"/>
    <w:rPr>
      <w:rFonts w:ascii="Times New Roman" w:eastAsia="Times New Roman"/>
    </w:rPr>
  </w:style>
  <w:style w:type="character" w:customStyle="1" w:styleId="CharAttribute111">
    <w:name w:val="CharAttribute111"/>
    <w:rsid w:val="005E17EA"/>
    <w:rPr>
      <w:rFonts w:ascii="Times New Roman" w:eastAsia="Times New Roman"/>
    </w:rPr>
  </w:style>
  <w:style w:type="character" w:customStyle="1" w:styleId="CharAttribute112">
    <w:name w:val="CharAttribute112"/>
    <w:rsid w:val="005E17EA"/>
    <w:rPr>
      <w:rFonts w:ascii="Times New Roman" w:eastAsia="Times New Roman"/>
      <w:i/>
    </w:rPr>
  </w:style>
  <w:style w:type="character" w:customStyle="1" w:styleId="CharAttribute113">
    <w:name w:val="CharAttribute113"/>
    <w:rsid w:val="005E17EA"/>
    <w:rPr>
      <w:rFonts w:ascii="Times New Roman" w:eastAsia="Times New Roman"/>
    </w:rPr>
  </w:style>
  <w:style w:type="character" w:customStyle="1" w:styleId="CharAttribute114">
    <w:name w:val="CharAttribute114"/>
    <w:rsid w:val="005E17EA"/>
    <w:rPr>
      <w:rFonts w:ascii="Times New Roman" w:eastAsia="Times New Roman"/>
    </w:rPr>
  </w:style>
  <w:style w:type="character" w:customStyle="1" w:styleId="CharAttribute115">
    <w:name w:val="CharAttribute115"/>
    <w:rsid w:val="005E17EA"/>
    <w:rPr>
      <w:rFonts w:ascii="Times New Roman" w:eastAsia="Times New Roman"/>
    </w:rPr>
  </w:style>
  <w:style w:type="character" w:customStyle="1" w:styleId="CharAttribute116">
    <w:name w:val="CharAttribute116"/>
    <w:rsid w:val="005E17EA"/>
    <w:rPr>
      <w:rFonts w:ascii="Times New Roman" w:eastAsia="Times New Roman"/>
    </w:rPr>
  </w:style>
  <w:style w:type="character" w:customStyle="1" w:styleId="CharAttribute117">
    <w:name w:val="CharAttribute117"/>
    <w:rsid w:val="005E17EA"/>
    <w:rPr>
      <w:rFonts w:ascii="Times New Roman" w:eastAsia="Times New Roman"/>
      <w:i/>
    </w:rPr>
  </w:style>
  <w:style w:type="character" w:customStyle="1" w:styleId="CharAttribute118">
    <w:name w:val="CharAttribute118"/>
    <w:rsid w:val="005E17EA"/>
    <w:rPr>
      <w:rFonts w:ascii="Times New Roman" w:eastAsia="Times New Roman"/>
      <w:i/>
    </w:rPr>
  </w:style>
  <w:style w:type="paragraph" w:styleId="CommentText">
    <w:name w:val="annotation text"/>
    <w:basedOn w:val="Normal"/>
    <w:uiPriority w:val="99"/>
    <w:semiHidden/>
    <w:unhideWhenUsed/>
    <w:rsid w:val="00E338F3"/>
  </w:style>
  <w:style w:type="character" w:customStyle="1" w:styleId="apple-style-span">
    <w:name w:val="apple-style-span"/>
    <w:basedOn w:val="DefaultParagraphFont"/>
    <w:rsid w:val="008820E9"/>
  </w:style>
  <w:style w:type="paragraph" w:styleId="FootnoteText">
    <w:name w:val="footnote text"/>
    <w:aliases w:val="Sharp - Footnote Text,Footnote Text - Sharp"/>
    <w:basedOn w:val="Normal"/>
    <w:link w:val="FootnoteTextChar"/>
    <w:semiHidden/>
    <w:unhideWhenUsed/>
    <w:rsid w:val="005F71B7"/>
  </w:style>
  <w:style w:type="character" w:customStyle="1" w:styleId="FootnoteTextChar">
    <w:name w:val="Footnote Text Char"/>
    <w:aliases w:val="Sharp - Footnote Text Char,Footnote Text - Sharp Char"/>
    <w:basedOn w:val="DefaultParagraphFont"/>
    <w:link w:val="FootnoteText"/>
    <w:rsid w:val="005F71B7"/>
    <w:rPr>
      <w:rFonts w:ascii="Batang" w:eastAsia="Batang" w:hAnsi="Times New Roman" w:cs="Times New Roman"/>
      <w:kern w:val="2"/>
      <w:sz w:val="20"/>
      <w:szCs w:val="20"/>
      <w:lang w:val="en-US" w:eastAsia="ko-KR"/>
    </w:rPr>
  </w:style>
  <w:style w:type="character" w:styleId="FootnoteReference">
    <w:name w:val="footnote reference"/>
    <w:basedOn w:val="DefaultParagraphFont"/>
    <w:semiHidden/>
    <w:unhideWhenUsed/>
    <w:rsid w:val="005F71B7"/>
    <w:rPr>
      <w:vertAlign w:val="superscript"/>
    </w:rPr>
  </w:style>
  <w:style w:type="paragraph" w:styleId="Header">
    <w:name w:val="header"/>
    <w:basedOn w:val="Normal"/>
    <w:link w:val="HeaderChar"/>
    <w:uiPriority w:val="99"/>
    <w:unhideWhenUsed/>
    <w:rsid w:val="00B11788"/>
    <w:pPr>
      <w:tabs>
        <w:tab w:val="center" w:pos="4513"/>
        <w:tab w:val="right" w:pos="9026"/>
      </w:tabs>
    </w:pPr>
  </w:style>
  <w:style w:type="character" w:customStyle="1" w:styleId="HeaderChar">
    <w:name w:val="Header Char"/>
    <w:basedOn w:val="DefaultParagraphFont"/>
    <w:link w:val="Header"/>
    <w:uiPriority w:val="99"/>
    <w:rsid w:val="00B11788"/>
    <w:rPr>
      <w:rFonts w:ascii="Batang" w:eastAsia="Batang" w:hAnsi="Times New Roman" w:cs="Times New Roman"/>
      <w:kern w:val="2"/>
      <w:sz w:val="20"/>
      <w:szCs w:val="20"/>
      <w:lang w:val="en-US" w:eastAsia="ko-KR"/>
    </w:rPr>
  </w:style>
  <w:style w:type="paragraph" w:styleId="Footer">
    <w:name w:val="footer"/>
    <w:basedOn w:val="Normal"/>
    <w:link w:val="FooterChar"/>
    <w:uiPriority w:val="99"/>
    <w:unhideWhenUsed/>
    <w:rsid w:val="00B11788"/>
    <w:pPr>
      <w:tabs>
        <w:tab w:val="center" w:pos="4513"/>
        <w:tab w:val="right" w:pos="9026"/>
      </w:tabs>
    </w:pPr>
  </w:style>
  <w:style w:type="character" w:customStyle="1" w:styleId="FooterChar">
    <w:name w:val="Footer Char"/>
    <w:basedOn w:val="DefaultParagraphFont"/>
    <w:link w:val="Footer"/>
    <w:uiPriority w:val="99"/>
    <w:rsid w:val="00B11788"/>
    <w:rPr>
      <w:rFonts w:ascii="Batang" w:eastAsia="Batang" w:hAnsi="Times New Roman" w:cs="Times New Roman"/>
      <w:kern w:val="2"/>
      <w:sz w:val="20"/>
      <w:szCs w:val="20"/>
      <w:lang w:val="en-US" w:eastAsia="ko-KR"/>
    </w:rPr>
  </w:style>
  <w:style w:type="paragraph" w:styleId="EndnoteText">
    <w:name w:val="endnote text"/>
    <w:basedOn w:val="Normal"/>
    <w:link w:val="EndnoteTextChar"/>
    <w:uiPriority w:val="99"/>
    <w:semiHidden/>
    <w:unhideWhenUsed/>
    <w:rsid w:val="00164E1C"/>
  </w:style>
  <w:style w:type="character" w:customStyle="1" w:styleId="EndnoteTextChar">
    <w:name w:val="Endnote Text Char"/>
    <w:basedOn w:val="DefaultParagraphFont"/>
    <w:link w:val="EndnoteText"/>
    <w:uiPriority w:val="99"/>
    <w:semiHidden/>
    <w:rsid w:val="00164E1C"/>
    <w:rPr>
      <w:rFonts w:ascii="Batang" w:eastAsia="Batang" w:hAnsi="Times New Roman" w:cs="Times New Roman"/>
      <w:kern w:val="2"/>
      <w:sz w:val="20"/>
      <w:szCs w:val="20"/>
      <w:lang w:val="en-US" w:eastAsia="ko-KR"/>
    </w:rPr>
  </w:style>
  <w:style w:type="character" w:styleId="EndnoteReference">
    <w:name w:val="endnote reference"/>
    <w:basedOn w:val="DefaultParagraphFont"/>
    <w:uiPriority w:val="99"/>
    <w:semiHidden/>
    <w:unhideWhenUsed/>
    <w:rsid w:val="00164E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73778-5F51-433F-8384-D722FF65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34</Pages>
  <Words>6635</Words>
  <Characters>33840</Characters>
  <Application>Microsoft Office Word</Application>
  <DocSecurity>0</DocSecurity>
  <Lines>573</Lines>
  <Paragraphs>62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 Carol</dc:creator>
  <cp:lastModifiedBy>Tom Frost</cp:lastModifiedBy>
  <cp:revision>23</cp:revision>
  <dcterms:created xsi:type="dcterms:W3CDTF">2013-04-28T18:42:00Z</dcterms:created>
  <dcterms:modified xsi:type="dcterms:W3CDTF">2013-05-06T14:05:00Z</dcterms:modified>
</cp:coreProperties>
</file>