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stilo3"/>
        <w:tblW w:w="5000" w:type="pct"/>
        <w:tblLook w:val="01E0" w:firstRow="1" w:lastRow="1" w:firstColumn="1" w:lastColumn="1" w:noHBand="0" w:noVBand="0"/>
      </w:tblPr>
      <w:tblGrid>
        <w:gridCol w:w="1316"/>
        <w:gridCol w:w="7700"/>
      </w:tblGrid>
      <w:tr w:rsidR="001257C3" w14:paraId="46B2B14F" w14:textId="77777777" w:rsidTr="00CC3765">
        <w:trPr>
          <w:cantSplit/>
          <w:trHeight w:val="737"/>
        </w:trPr>
        <w:tc>
          <w:tcPr>
            <w:cnfStyle w:val="001000000000" w:firstRow="0" w:lastRow="0" w:firstColumn="1" w:lastColumn="0" w:oddVBand="0" w:evenVBand="0" w:oddHBand="0" w:evenHBand="0" w:firstRowFirstColumn="0" w:firstRowLastColumn="0" w:lastRowFirstColumn="0" w:lastRowLastColumn="0"/>
            <w:tcW w:w="730" w:type="pct"/>
          </w:tcPr>
          <w:p w14:paraId="065F9346" w14:textId="77777777" w:rsidR="001257C3" w:rsidRDefault="001257C3" w:rsidP="00CC3765">
            <w:pPr>
              <w:jc w:val="left"/>
              <w:rPr>
                <w:color w:val="9E0B0F"/>
                <w:lang w:val="en-GB"/>
              </w:rPr>
            </w:pPr>
            <w:r>
              <w:rPr>
                <w:color w:val="4472C4" w:themeColor="accent1"/>
                <w:lang w:val="en-GB"/>
              </w:rPr>
              <w:t>Title</w:t>
            </w:r>
          </w:p>
        </w:tc>
        <w:tc>
          <w:tcPr>
            <w:tcW w:w="4270" w:type="pct"/>
          </w:tcPr>
          <w:p w14:paraId="1BA195A9" w14:textId="77777777" w:rsidR="001257C3" w:rsidRDefault="001257C3" w:rsidP="00CC3765">
            <w:pPr>
              <w:pStyle w:val="Tabela"/>
              <w:cnfStyle w:val="000000000000" w:firstRow="0" w:lastRow="0" w:firstColumn="0" w:lastColumn="0" w:oddVBand="0" w:evenVBand="0" w:oddHBand="0" w:evenHBand="0" w:firstRowFirstColumn="0" w:firstRowLastColumn="0" w:lastRowFirstColumn="0" w:lastRowLastColumn="0"/>
              <w:rPr>
                <w:sz w:val="22"/>
                <w:szCs w:val="22"/>
              </w:rPr>
            </w:pPr>
            <w:r w:rsidRPr="00A92F12">
              <w:rPr>
                <w:sz w:val="22"/>
                <w:szCs w:val="22"/>
              </w:rPr>
              <w:t>How doe</w:t>
            </w:r>
            <w:r>
              <w:rPr>
                <w:sz w:val="22"/>
                <w:szCs w:val="22"/>
              </w:rPr>
              <w:t>s risk</w:t>
            </w:r>
            <w:r w:rsidRPr="00A92F12">
              <w:rPr>
                <w:sz w:val="22"/>
                <w:szCs w:val="22"/>
              </w:rPr>
              <w:t xml:space="preserve"> prevention (not) work? Learning from the realist, pragmatic, cluster-randomised trial of </w:t>
            </w:r>
            <w:r>
              <w:rPr>
                <w:sz w:val="22"/>
                <w:szCs w:val="22"/>
              </w:rPr>
              <w:t xml:space="preserve">the </w:t>
            </w:r>
            <w:r w:rsidRPr="00A92F12">
              <w:rPr>
                <w:sz w:val="22"/>
                <w:szCs w:val="22"/>
              </w:rPr>
              <w:t>RISKIT-CJS</w:t>
            </w:r>
            <w:r>
              <w:rPr>
                <w:sz w:val="22"/>
                <w:szCs w:val="22"/>
              </w:rPr>
              <w:t xml:space="preserve"> programme (with a null result)</w:t>
            </w:r>
          </w:p>
          <w:p w14:paraId="20F734D6" w14:textId="77777777" w:rsidR="001257C3" w:rsidRPr="00A92F12" w:rsidRDefault="001257C3" w:rsidP="00CC3765">
            <w:pPr>
              <w:pStyle w:val="Tabela"/>
              <w:cnfStyle w:val="000000000000" w:firstRow="0" w:lastRow="0" w:firstColumn="0" w:lastColumn="0" w:oddVBand="0" w:evenVBand="0" w:oddHBand="0" w:evenHBand="0" w:firstRowFirstColumn="0" w:firstRowLastColumn="0" w:lastRowFirstColumn="0" w:lastRowLastColumn="0"/>
              <w:rPr>
                <w:rStyle w:val="Emphasis"/>
                <w:sz w:val="22"/>
                <w:szCs w:val="22"/>
              </w:rPr>
            </w:pPr>
          </w:p>
        </w:tc>
      </w:tr>
      <w:tr w:rsidR="001257C3" w:rsidRPr="000375DA" w14:paraId="06D762D0" w14:textId="77777777" w:rsidTr="00CC3765">
        <w:trPr>
          <w:cantSplit/>
          <w:trHeight w:val="1134"/>
        </w:trPr>
        <w:tc>
          <w:tcPr>
            <w:cnfStyle w:val="001000000000" w:firstRow="0" w:lastRow="0" w:firstColumn="1" w:lastColumn="0" w:oddVBand="0" w:evenVBand="0" w:oddHBand="0" w:evenHBand="0" w:firstRowFirstColumn="0" w:firstRowLastColumn="0" w:lastRowFirstColumn="0" w:lastRowLastColumn="0"/>
            <w:tcW w:w="730" w:type="pct"/>
          </w:tcPr>
          <w:p w14:paraId="50490D0C" w14:textId="77777777" w:rsidR="001257C3" w:rsidRDefault="001257C3" w:rsidP="00CC3765">
            <w:pPr>
              <w:jc w:val="left"/>
              <w:rPr>
                <w:i/>
                <w:color w:val="9E0B0F"/>
                <w:lang w:val="en-GB"/>
              </w:rPr>
            </w:pPr>
            <w:r>
              <w:rPr>
                <w:color w:val="4472C4" w:themeColor="accent1"/>
                <w:lang w:val="en-GB"/>
              </w:rPr>
              <w:t>Authors</w:t>
            </w:r>
          </w:p>
        </w:tc>
        <w:tc>
          <w:tcPr>
            <w:tcW w:w="4270" w:type="pct"/>
          </w:tcPr>
          <w:p w14:paraId="1D866E09" w14:textId="77777777" w:rsidR="001257C3" w:rsidRPr="005E1FA9" w:rsidRDefault="001257C3" w:rsidP="00CC3765">
            <w:pPr>
              <w:pStyle w:val="Tabela"/>
              <w:cnfStyle w:val="000000000000" w:firstRow="0" w:lastRow="0" w:firstColumn="0" w:lastColumn="0" w:oddVBand="0" w:evenVBand="0" w:oddHBand="0" w:evenHBand="0" w:firstRowFirstColumn="0" w:firstRowLastColumn="0" w:lastRowFirstColumn="0" w:lastRowLastColumn="0"/>
              <w:rPr>
                <w:sz w:val="22"/>
                <w:szCs w:val="22"/>
                <w:u w:val="single"/>
                <w:vertAlign w:val="superscript"/>
                <w:lang w:val="en-GB"/>
              </w:rPr>
            </w:pPr>
            <w:r w:rsidRPr="005E1FA9">
              <w:rPr>
                <w:sz w:val="22"/>
                <w:szCs w:val="22"/>
                <w:lang w:val="en-GB"/>
              </w:rPr>
              <w:t>Alex Stevens</w:t>
            </w:r>
            <w:r w:rsidRPr="005E1FA9">
              <w:rPr>
                <w:sz w:val="22"/>
                <w:szCs w:val="22"/>
                <w:vertAlign w:val="superscript"/>
                <w:lang w:val="en-GB"/>
              </w:rPr>
              <w:t>1</w:t>
            </w:r>
            <w:r w:rsidRPr="005E1FA9">
              <w:rPr>
                <w:sz w:val="22"/>
                <w:szCs w:val="22"/>
                <w:lang w:val="en-GB"/>
              </w:rPr>
              <w:t xml:space="preserve">, </w:t>
            </w:r>
            <w:r w:rsidRPr="005E1FA9">
              <w:rPr>
                <w:sz w:val="22"/>
                <w:szCs w:val="22"/>
                <w:u w:val="single"/>
                <w:lang w:val="en-GB"/>
              </w:rPr>
              <w:t>Nadine Hendrie</w:t>
            </w:r>
            <w:r w:rsidRPr="005E1FA9">
              <w:rPr>
                <w:sz w:val="22"/>
                <w:szCs w:val="22"/>
                <w:u w:val="single"/>
                <w:vertAlign w:val="superscript"/>
                <w:lang w:val="en-GB"/>
              </w:rPr>
              <w:t>2</w:t>
            </w:r>
            <w:r w:rsidRPr="005E1FA9">
              <w:rPr>
                <w:sz w:val="22"/>
                <w:szCs w:val="22"/>
                <w:lang w:val="en-GB"/>
              </w:rPr>
              <w:t>, Catherine Marchand</w:t>
            </w:r>
            <w:r w:rsidRPr="005E1FA9">
              <w:rPr>
                <w:sz w:val="22"/>
                <w:szCs w:val="22"/>
                <w:vertAlign w:val="superscript"/>
                <w:lang w:val="en-GB"/>
              </w:rPr>
              <w:t>2</w:t>
            </w:r>
            <w:r w:rsidRPr="005E1FA9">
              <w:rPr>
                <w:sz w:val="22"/>
                <w:szCs w:val="22"/>
                <w:lang w:val="en-GB"/>
              </w:rPr>
              <w:t>, Rosa Vass</w:t>
            </w:r>
            <w:r w:rsidRPr="005E1FA9">
              <w:rPr>
                <w:sz w:val="22"/>
                <w:szCs w:val="22"/>
                <w:u w:val="single"/>
                <w:vertAlign w:val="superscript"/>
                <w:lang w:val="en-GB"/>
              </w:rPr>
              <w:t>2</w:t>
            </w:r>
            <w:r w:rsidRPr="005E1FA9">
              <w:rPr>
                <w:sz w:val="22"/>
                <w:szCs w:val="22"/>
                <w:lang w:val="en-GB"/>
              </w:rPr>
              <w:t>, Dorothy Newbury-Birch</w:t>
            </w:r>
            <w:r w:rsidRPr="005E1FA9">
              <w:rPr>
                <w:sz w:val="22"/>
                <w:szCs w:val="22"/>
                <w:vertAlign w:val="superscript"/>
                <w:lang w:val="en-GB"/>
              </w:rPr>
              <w:t>3</w:t>
            </w:r>
            <w:r w:rsidRPr="005E1FA9">
              <w:rPr>
                <w:sz w:val="22"/>
                <w:szCs w:val="22"/>
                <w:lang w:val="en-GB"/>
              </w:rPr>
              <w:t>, Jenny Billings</w:t>
            </w:r>
            <w:r w:rsidRPr="005E1FA9">
              <w:rPr>
                <w:sz w:val="22"/>
                <w:szCs w:val="22"/>
                <w:vertAlign w:val="superscript"/>
                <w:lang w:val="en-GB"/>
              </w:rPr>
              <w:t>2</w:t>
            </w:r>
            <w:r w:rsidRPr="005E1FA9">
              <w:rPr>
                <w:sz w:val="22"/>
                <w:szCs w:val="22"/>
                <w:lang w:val="en-GB"/>
              </w:rPr>
              <w:t>, Simon Coulton</w:t>
            </w:r>
            <w:r w:rsidRPr="005E1FA9">
              <w:rPr>
                <w:sz w:val="22"/>
                <w:szCs w:val="22"/>
                <w:vertAlign w:val="superscript"/>
                <w:lang w:val="en-GB"/>
              </w:rPr>
              <w:t>2</w:t>
            </w:r>
          </w:p>
          <w:p w14:paraId="49381F98" w14:textId="77777777" w:rsidR="001257C3" w:rsidRPr="005E1FA9" w:rsidRDefault="001257C3" w:rsidP="00CC3765">
            <w:pPr>
              <w:pStyle w:val="Tabela"/>
              <w:cnfStyle w:val="000000000000" w:firstRow="0" w:lastRow="0" w:firstColumn="0" w:lastColumn="0" w:oddVBand="0" w:evenVBand="0" w:oddHBand="0" w:evenHBand="0" w:firstRowFirstColumn="0" w:firstRowLastColumn="0" w:lastRowFirstColumn="0" w:lastRowLastColumn="0"/>
              <w:rPr>
                <w:sz w:val="22"/>
                <w:szCs w:val="22"/>
                <w:lang w:val="en-GB"/>
              </w:rPr>
            </w:pPr>
          </w:p>
          <w:p w14:paraId="0920D946" w14:textId="77777777" w:rsidR="001257C3" w:rsidRPr="005E1FA9" w:rsidRDefault="001257C3" w:rsidP="00CC3765">
            <w:pPr>
              <w:pStyle w:val="Tabela"/>
              <w:cnfStyle w:val="000000000000" w:firstRow="0" w:lastRow="0" w:firstColumn="0" w:lastColumn="0" w:oddVBand="0" w:evenVBand="0" w:oddHBand="0" w:evenHBand="0" w:firstRowFirstColumn="0" w:firstRowLastColumn="0" w:lastRowFirstColumn="0" w:lastRowLastColumn="0"/>
              <w:rPr>
                <w:sz w:val="22"/>
                <w:szCs w:val="22"/>
                <w:lang w:val="en-GB"/>
              </w:rPr>
            </w:pPr>
            <w:r w:rsidRPr="005E1FA9">
              <w:rPr>
                <w:sz w:val="22"/>
                <w:szCs w:val="22"/>
                <w:lang w:val="en-GB"/>
              </w:rPr>
              <w:t>1</w:t>
            </w:r>
            <w:r>
              <w:rPr>
                <w:sz w:val="22"/>
                <w:szCs w:val="22"/>
                <w:lang w:val="en-GB"/>
              </w:rPr>
              <w:t xml:space="preserve">. </w:t>
            </w:r>
            <w:r w:rsidRPr="005E1FA9">
              <w:rPr>
                <w:sz w:val="22"/>
                <w:szCs w:val="22"/>
                <w:lang w:val="en-GB"/>
              </w:rPr>
              <w:t>School of Social Policy, Sociology and Social Research, University of Kent, UK</w:t>
            </w:r>
          </w:p>
          <w:p w14:paraId="4C3BF7BE" w14:textId="77777777" w:rsidR="001257C3" w:rsidRPr="005E1FA9" w:rsidRDefault="001257C3" w:rsidP="00CC3765">
            <w:pPr>
              <w:pStyle w:val="Tabela"/>
              <w:cnfStyle w:val="000000000000" w:firstRow="0" w:lastRow="0" w:firstColumn="0" w:lastColumn="0" w:oddVBand="0" w:evenVBand="0" w:oddHBand="0" w:evenHBand="0" w:firstRowFirstColumn="0" w:firstRowLastColumn="0" w:lastRowFirstColumn="0" w:lastRowLastColumn="0"/>
              <w:rPr>
                <w:sz w:val="22"/>
                <w:szCs w:val="22"/>
                <w:lang w:val="en-GB"/>
              </w:rPr>
            </w:pPr>
            <w:r w:rsidRPr="005E1FA9">
              <w:rPr>
                <w:sz w:val="22"/>
                <w:szCs w:val="22"/>
                <w:lang w:val="en-GB"/>
              </w:rPr>
              <w:t>2. Centre for Health Service Studies, University of Kent, UK</w:t>
            </w:r>
          </w:p>
          <w:p w14:paraId="339C1F66" w14:textId="77777777" w:rsidR="001257C3" w:rsidRDefault="001257C3" w:rsidP="00CC3765">
            <w:pPr>
              <w:pStyle w:val="Tabela"/>
              <w:cnfStyle w:val="000000000000" w:firstRow="0" w:lastRow="0" w:firstColumn="0" w:lastColumn="0" w:oddVBand="0" w:evenVBand="0" w:oddHBand="0" w:evenHBand="0" w:firstRowFirstColumn="0" w:firstRowLastColumn="0" w:lastRowFirstColumn="0" w:lastRowLastColumn="0"/>
              <w:rPr>
                <w:sz w:val="22"/>
                <w:szCs w:val="22"/>
                <w:lang w:val="en-GB"/>
              </w:rPr>
            </w:pPr>
            <w:r w:rsidRPr="005E1FA9">
              <w:rPr>
                <w:sz w:val="22"/>
                <w:szCs w:val="22"/>
                <w:lang w:val="en-GB"/>
              </w:rPr>
              <w:t xml:space="preserve">3. Centre for Social Innovation, </w:t>
            </w:r>
            <w:proofErr w:type="spellStart"/>
            <w:r w:rsidRPr="005E1FA9">
              <w:rPr>
                <w:sz w:val="22"/>
                <w:szCs w:val="22"/>
                <w:lang w:val="en-GB"/>
              </w:rPr>
              <w:t>Teeside</w:t>
            </w:r>
            <w:proofErr w:type="spellEnd"/>
            <w:r w:rsidRPr="005E1FA9">
              <w:rPr>
                <w:sz w:val="22"/>
                <w:szCs w:val="22"/>
                <w:lang w:val="en-GB"/>
              </w:rPr>
              <w:t xml:space="preserve"> University, UK</w:t>
            </w:r>
          </w:p>
          <w:p w14:paraId="076D4AB3" w14:textId="77777777" w:rsidR="001257C3" w:rsidRPr="005E1FA9" w:rsidRDefault="001257C3" w:rsidP="00CC3765">
            <w:pPr>
              <w:pStyle w:val="Tabela"/>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257C3" w14:paraId="521C96F8" w14:textId="77777777" w:rsidTr="00CC3765">
        <w:trPr>
          <w:cantSplit/>
          <w:trHeight w:val="1134"/>
        </w:trPr>
        <w:tc>
          <w:tcPr>
            <w:cnfStyle w:val="001000000000" w:firstRow="0" w:lastRow="0" w:firstColumn="1" w:lastColumn="0" w:oddVBand="0" w:evenVBand="0" w:oddHBand="0" w:evenHBand="0" w:firstRowFirstColumn="0" w:firstRowLastColumn="0" w:lastRowFirstColumn="0" w:lastRowLastColumn="0"/>
            <w:tcW w:w="730" w:type="pct"/>
          </w:tcPr>
          <w:p w14:paraId="0FF6785E" w14:textId="77777777" w:rsidR="001257C3" w:rsidRDefault="001257C3" w:rsidP="00CC3765">
            <w:pPr>
              <w:jc w:val="left"/>
              <w:rPr>
                <w:color w:val="9E0B0F"/>
                <w:lang w:val="en-GB"/>
              </w:rPr>
            </w:pPr>
            <w:bookmarkStart w:id="0" w:name="_Hlk94507939"/>
            <w:r>
              <w:rPr>
                <w:color w:val="4472C4" w:themeColor="accent1"/>
                <w:lang w:val="en-GB"/>
              </w:rPr>
              <w:t>Background</w:t>
            </w:r>
          </w:p>
        </w:tc>
        <w:tc>
          <w:tcPr>
            <w:tcW w:w="4270" w:type="pct"/>
          </w:tcPr>
          <w:p w14:paraId="7D746777" w14:textId="77777777" w:rsidR="001257C3" w:rsidRDefault="001257C3" w:rsidP="00CC3765">
            <w:pPr>
              <w:pStyle w:val="Tabela"/>
              <w:cnfStyle w:val="000000000000" w:firstRow="0" w:lastRow="0" w:firstColumn="0" w:lastColumn="0" w:oddVBand="0" w:evenVBand="0" w:oddHBand="0" w:evenHBand="0" w:firstRowFirstColumn="0" w:firstRowLastColumn="0" w:lastRowFirstColumn="0" w:lastRowLastColumn="0"/>
              <w:rPr>
                <w:sz w:val="22"/>
                <w:szCs w:val="22"/>
                <w:lang w:val="en-GB"/>
              </w:rPr>
            </w:pPr>
            <w:r w:rsidRPr="00A92F12">
              <w:rPr>
                <w:sz w:val="22"/>
                <w:szCs w:val="22"/>
                <w:lang w:val="en-GB"/>
              </w:rPr>
              <w:t xml:space="preserve">RISKIT-CJS was a cluster-randomised trial of a </w:t>
            </w:r>
            <w:r>
              <w:rPr>
                <w:sz w:val="22"/>
                <w:szCs w:val="22"/>
                <w:lang w:val="en-GB"/>
              </w:rPr>
              <w:t xml:space="preserve">multi-component </w:t>
            </w:r>
            <w:r w:rsidRPr="00A92F12">
              <w:rPr>
                <w:sz w:val="22"/>
                <w:szCs w:val="22"/>
                <w:lang w:val="en-GB"/>
              </w:rPr>
              <w:t>risk reduction programme for adolescents</w:t>
            </w:r>
            <w:r>
              <w:rPr>
                <w:sz w:val="22"/>
                <w:szCs w:val="22"/>
                <w:lang w:val="en-GB"/>
              </w:rPr>
              <w:t xml:space="preserve"> (aged 13 -17),</w:t>
            </w:r>
            <w:r w:rsidRPr="00A92F12">
              <w:rPr>
                <w:sz w:val="22"/>
                <w:szCs w:val="22"/>
                <w:lang w:val="en-GB"/>
              </w:rPr>
              <w:t xml:space="preserve"> </w:t>
            </w:r>
            <w:r>
              <w:rPr>
                <w:sz w:val="22"/>
                <w:szCs w:val="22"/>
                <w:lang w:val="en-GB"/>
              </w:rPr>
              <w:t>involved</w:t>
            </w:r>
            <w:r w:rsidRPr="00A92F12">
              <w:rPr>
                <w:sz w:val="22"/>
                <w:szCs w:val="22"/>
                <w:lang w:val="en-GB"/>
              </w:rPr>
              <w:t xml:space="preserve"> </w:t>
            </w:r>
            <w:r>
              <w:rPr>
                <w:sz w:val="22"/>
                <w:szCs w:val="22"/>
                <w:lang w:val="en-GB"/>
              </w:rPr>
              <w:t>with the</w:t>
            </w:r>
            <w:r w:rsidRPr="00A92F12">
              <w:rPr>
                <w:sz w:val="22"/>
                <w:szCs w:val="22"/>
                <w:lang w:val="en-GB"/>
              </w:rPr>
              <w:t xml:space="preserve"> criminal justice system in England. Its main quantitative finding was </w:t>
            </w:r>
            <w:r>
              <w:rPr>
                <w:sz w:val="22"/>
                <w:szCs w:val="22"/>
                <w:lang w:val="en-GB"/>
              </w:rPr>
              <w:t>acceptance of the null hypothesis of no effect</w:t>
            </w:r>
            <w:r w:rsidRPr="00A92F12">
              <w:rPr>
                <w:sz w:val="22"/>
                <w:szCs w:val="22"/>
                <w:lang w:val="en-GB"/>
              </w:rPr>
              <w:t xml:space="preserve"> on alcohol </w:t>
            </w:r>
            <w:r>
              <w:rPr>
                <w:sz w:val="22"/>
                <w:szCs w:val="22"/>
                <w:lang w:val="en-GB"/>
              </w:rPr>
              <w:t xml:space="preserve">and substance </w:t>
            </w:r>
            <w:r w:rsidRPr="00A92F12">
              <w:rPr>
                <w:sz w:val="22"/>
                <w:szCs w:val="22"/>
                <w:lang w:val="en-GB"/>
              </w:rPr>
              <w:t>use. Here we report on the realist, qualitative evaluation of the RISKIT-CJS</w:t>
            </w:r>
            <w:r>
              <w:rPr>
                <w:sz w:val="22"/>
                <w:szCs w:val="22"/>
                <w:lang w:val="en-GB"/>
              </w:rPr>
              <w:t xml:space="preserve"> programme</w:t>
            </w:r>
            <w:r w:rsidRPr="00A92F12">
              <w:rPr>
                <w:sz w:val="22"/>
                <w:szCs w:val="22"/>
                <w:lang w:val="en-GB"/>
              </w:rPr>
              <w:t xml:space="preserve"> to explore what can be learnt about how such programmes may or may not produce effects for their target group.</w:t>
            </w:r>
          </w:p>
          <w:p w14:paraId="75B23EB5" w14:textId="77777777" w:rsidR="001257C3" w:rsidRPr="00A92F12" w:rsidRDefault="001257C3" w:rsidP="00CC3765">
            <w:pPr>
              <w:pStyle w:val="Tabela"/>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257C3" w14:paraId="37416D1F" w14:textId="77777777" w:rsidTr="00CC3765">
        <w:trPr>
          <w:cantSplit/>
          <w:trHeight w:val="1134"/>
        </w:trPr>
        <w:tc>
          <w:tcPr>
            <w:cnfStyle w:val="001000000000" w:firstRow="0" w:lastRow="0" w:firstColumn="1" w:lastColumn="0" w:oddVBand="0" w:evenVBand="0" w:oddHBand="0" w:evenHBand="0" w:firstRowFirstColumn="0" w:firstRowLastColumn="0" w:lastRowFirstColumn="0" w:lastRowLastColumn="0"/>
            <w:tcW w:w="730" w:type="pct"/>
          </w:tcPr>
          <w:p w14:paraId="2DD8939E" w14:textId="77777777" w:rsidR="001257C3" w:rsidRDefault="001257C3" w:rsidP="00CC3765">
            <w:pPr>
              <w:jc w:val="left"/>
              <w:rPr>
                <w:color w:val="9E0B0F"/>
                <w:lang w:val="en-GB"/>
              </w:rPr>
            </w:pPr>
            <w:r>
              <w:rPr>
                <w:color w:val="4472C4" w:themeColor="accent1"/>
                <w:lang w:val="en-GB"/>
              </w:rPr>
              <w:t>Methods</w:t>
            </w:r>
          </w:p>
        </w:tc>
        <w:tc>
          <w:tcPr>
            <w:tcW w:w="4270" w:type="pct"/>
          </w:tcPr>
          <w:p w14:paraId="68A3E0F9" w14:textId="77777777" w:rsidR="001257C3" w:rsidRDefault="001257C3" w:rsidP="00CC3765">
            <w:pPr>
              <w:pStyle w:val="Tabela"/>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sz w:val="22"/>
                <w:szCs w:val="22"/>
                <w:lang w:val="en-GB"/>
              </w:rPr>
              <w:t xml:space="preserve">The </w:t>
            </w:r>
            <w:r w:rsidRPr="00A92F12">
              <w:rPr>
                <w:sz w:val="22"/>
                <w:szCs w:val="22"/>
                <w:lang w:val="en-GB"/>
              </w:rPr>
              <w:t xml:space="preserve">qualitative evaluation </w:t>
            </w:r>
            <w:r w:rsidRPr="00A92F12">
              <w:rPr>
                <w:rFonts w:cstheme="minorHAnsi"/>
                <w:sz w:val="22"/>
                <w:szCs w:val="22"/>
              </w:rPr>
              <w:t>used: records of meetings</w:t>
            </w:r>
            <w:r>
              <w:rPr>
                <w:rFonts w:cstheme="minorHAnsi"/>
                <w:sz w:val="22"/>
                <w:szCs w:val="22"/>
              </w:rPr>
              <w:t xml:space="preserve"> and focus groups (</w:t>
            </w:r>
            <w:r w:rsidRPr="00A92F12">
              <w:rPr>
                <w:rFonts w:cstheme="minorHAnsi"/>
                <w:sz w:val="22"/>
                <w:szCs w:val="22"/>
              </w:rPr>
              <w:t>purposive sample</w:t>
            </w:r>
            <w:r>
              <w:rPr>
                <w:rFonts w:cstheme="minorHAnsi"/>
                <w:sz w:val="22"/>
                <w:szCs w:val="22"/>
              </w:rPr>
              <w:t>)</w:t>
            </w:r>
            <w:r w:rsidRPr="00A92F12">
              <w:rPr>
                <w:rFonts w:cstheme="minorHAnsi"/>
                <w:sz w:val="22"/>
                <w:szCs w:val="22"/>
              </w:rPr>
              <w:t xml:space="preserve">, </w:t>
            </w:r>
            <w:r>
              <w:rPr>
                <w:rFonts w:cstheme="minorHAnsi"/>
                <w:sz w:val="22"/>
                <w:szCs w:val="22"/>
              </w:rPr>
              <w:t xml:space="preserve">practitioner </w:t>
            </w:r>
            <w:r w:rsidRPr="00A92F12">
              <w:rPr>
                <w:rFonts w:cstheme="minorHAnsi"/>
                <w:sz w:val="22"/>
                <w:szCs w:val="22"/>
              </w:rPr>
              <w:t>interviews</w:t>
            </w:r>
            <w:r>
              <w:rPr>
                <w:rFonts w:cstheme="minorHAnsi"/>
                <w:sz w:val="22"/>
                <w:szCs w:val="22"/>
              </w:rPr>
              <w:t xml:space="preserve"> and observational fieldnotes of programme delivery</w:t>
            </w:r>
            <w:r w:rsidRPr="00A92F12">
              <w:rPr>
                <w:rFonts w:cstheme="minorHAnsi"/>
                <w:sz w:val="22"/>
                <w:szCs w:val="22"/>
              </w:rPr>
              <w:t xml:space="preserve">. </w:t>
            </w:r>
            <w:r>
              <w:rPr>
                <w:rFonts w:cstheme="minorHAnsi"/>
                <w:sz w:val="22"/>
                <w:szCs w:val="22"/>
              </w:rPr>
              <w:t>D</w:t>
            </w:r>
            <w:r w:rsidRPr="00A92F12">
              <w:rPr>
                <w:rFonts w:cstheme="minorHAnsi"/>
                <w:sz w:val="22"/>
                <w:szCs w:val="22"/>
              </w:rPr>
              <w:t>ata were abductively coded, using a realist framework to identify the configurations of contexts, mechanisms</w:t>
            </w:r>
            <w:r>
              <w:rPr>
                <w:rFonts w:cstheme="minorHAnsi"/>
                <w:sz w:val="22"/>
                <w:szCs w:val="22"/>
              </w:rPr>
              <w:t>, moderators</w:t>
            </w:r>
            <w:r w:rsidRPr="00A92F12">
              <w:rPr>
                <w:rFonts w:cstheme="minorHAnsi"/>
                <w:sz w:val="22"/>
                <w:szCs w:val="22"/>
              </w:rPr>
              <w:t xml:space="preserve"> and outcomes </w:t>
            </w:r>
            <w:r>
              <w:rPr>
                <w:rFonts w:cstheme="minorHAnsi"/>
                <w:sz w:val="22"/>
                <w:szCs w:val="22"/>
              </w:rPr>
              <w:t>t</w:t>
            </w:r>
            <w:r w:rsidRPr="00A92F12">
              <w:rPr>
                <w:rFonts w:cstheme="minorHAnsi"/>
                <w:sz w:val="22"/>
                <w:szCs w:val="22"/>
              </w:rPr>
              <w:t>hrough which the programme worked in practice.</w:t>
            </w:r>
          </w:p>
          <w:p w14:paraId="71FAA2B8" w14:textId="77777777" w:rsidR="001257C3" w:rsidRPr="00A92F12" w:rsidRDefault="001257C3" w:rsidP="00CC3765">
            <w:pPr>
              <w:pStyle w:val="Tabela"/>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1257C3" w14:paraId="5DBF00DD" w14:textId="77777777" w:rsidTr="00CC3765">
        <w:trPr>
          <w:cantSplit/>
          <w:trHeight w:val="1304"/>
        </w:trPr>
        <w:tc>
          <w:tcPr>
            <w:cnfStyle w:val="001000000000" w:firstRow="0" w:lastRow="0" w:firstColumn="1" w:lastColumn="0" w:oddVBand="0" w:evenVBand="0" w:oddHBand="0" w:evenHBand="0" w:firstRowFirstColumn="0" w:firstRowLastColumn="0" w:lastRowFirstColumn="0" w:lastRowLastColumn="0"/>
            <w:tcW w:w="730" w:type="pct"/>
          </w:tcPr>
          <w:p w14:paraId="640416E6" w14:textId="77777777" w:rsidR="001257C3" w:rsidRDefault="001257C3" w:rsidP="00CC3765">
            <w:pPr>
              <w:jc w:val="left"/>
              <w:rPr>
                <w:color w:val="9E0B0F"/>
                <w:lang w:val="en-GB"/>
              </w:rPr>
            </w:pPr>
            <w:r>
              <w:rPr>
                <w:color w:val="4472C4" w:themeColor="accent1"/>
                <w:lang w:val="en-GB"/>
              </w:rPr>
              <w:t>Results</w:t>
            </w:r>
          </w:p>
        </w:tc>
        <w:tc>
          <w:tcPr>
            <w:tcW w:w="4270" w:type="pct"/>
          </w:tcPr>
          <w:p w14:paraId="0BEF7131" w14:textId="77777777" w:rsidR="001257C3" w:rsidRDefault="001257C3" w:rsidP="00CC3765">
            <w:pPr>
              <w:pStyle w:val="Tabela"/>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sz w:val="22"/>
                <w:szCs w:val="22"/>
                <w:lang w:val="en-GB"/>
              </w:rPr>
              <w:t>This paper presents the refined realist programme theory. Relevant c</w:t>
            </w:r>
            <w:r>
              <w:rPr>
                <w:rFonts w:cstheme="minorHAnsi"/>
                <w:sz w:val="22"/>
                <w:szCs w:val="22"/>
              </w:rPr>
              <w:t>ontexts included: geographical and institutional setting of the intervention sites (organising group work, staff ability, motivation and capacity), and the individual participant contexts (complex needs, maturity, motivation and risk profile). The intended mechanisms included: motivation to change; learning consequences; educational engagement; better communication; improved self-efficacy; and positive peer influence. The triggering of these mechanisms was affected by positive moderators (strong local programme champions, ageing out of crime for older participants) and negative moderators (disorganised, understaffed setting, and ageing into crime for younger participants). Potential negative mechanisms, included: negative peer effects and treatment fatigue. Different combinations of contexts, mechanisms and moderators led to different outcomes for different participants which are not adequately explained by an interpretation of the null quantitative result that the programme had ‘no effect’.</w:t>
            </w:r>
          </w:p>
          <w:p w14:paraId="7BD60D09" w14:textId="77777777" w:rsidR="001257C3" w:rsidRDefault="001257C3" w:rsidP="00CC3765">
            <w:pPr>
              <w:pStyle w:val="Tabela"/>
              <w:cnfStyle w:val="000000000000" w:firstRow="0" w:lastRow="0" w:firstColumn="0" w:lastColumn="0" w:oddVBand="0" w:evenVBand="0" w:oddHBand="0" w:evenHBand="0" w:firstRowFirstColumn="0" w:firstRowLastColumn="0" w:lastRowFirstColumn="0" w:lastRowLastColumn="0"/>
              <w:rPr>
                <w:lang w:val="en-GB"/>
              </w:rPr>
            </w:pPr>
          </w:p>
        </w:tc>
      </w:tr>
      <w:tr w:rsidR="001257C3" w14:paraId="50048050" w14:textId="77777777" w:rsidTr="00CC3765">
        <w:trPr>
          <w:cantSplit/>
          <w:trHeight w:val="1134"/>
        </w:trPr>
        <w:tc>
          <w:tcPr>
            <w:cnfStyle w:val="001000000000" w:firstRow="0" w:lastRow="0" w:firstColumn="1" w:lastColumn="0" w:oddVBand="0" w:evenVBand="0" w:oddHBand="0" w:evenHBand="0" w:firstRowFirstColumn="0" w:firstRowLastColumn="0" w:lastRowFirstColumn="0" w:lastRowLastColumn="0"/>
            <w:tcW w:w="730" w:type="pct"/>
          </w:tcPr>
          <w:p w14:paraId="0390FC06" w14:textId="77777777" w:rsidR="001257C3" w:rsidRDefault="001257C3" w:rsidP="00CC3765">
            <w:pPr>
              <w:jc w:val="left"/>
              <w:rPr>
                <w:color w:val="9E0B0F"/>
              </w:rPr>
            </w:pPr>
            <w:r>
              <w:rPr>
                <w:color w:val="4472C4" w:themeColor="accent1"/>
                <w:lang w:val="en-GB"/>
              </w:rPr>
              <w:t>Conclusion</w:t>
            </w:r>
          </w:p>
        </w:tc>
        <w:tc>
          <w:tcPr>
            <w:tcW w:w="4270" w:type="pct"/>
          </w:tcPr>
          <w:p w14:paraId="6C212E92" w14:textId="77777777" w:rsidR="001257C3" w:rsidRDefault="001257C3" w:rsidP="00CC3765">
            <w:pPr>
              <w:pStyle w:val="Tabela"/>
              <w:cnfStyle w:val="000000000000" w:firstRow="0" w:lastRow="0" w:firstColumn="0" w:lastColumn="0" w:oddVBand="0" w:evenVBand="0" w:oddHBand="0" w:evenHBand="0" w:firstRowFirstColumn="0" w:firstRowLastColumn="0" w:lastRowFirstColumn="0" w:lastRowLastColumn="0"/>
              <w:rPr>
                <w:b/>
                <w:bCs/>
                <w:lang w:val="en-GB"/>
              </w:rPr>
            </w:pPr>
            <w:r>
              <w:rPr>
                <w:rFonts w:cstheme="minorHAnsi"/>
                <w:sz w:val="22"/>
                <w:szCs w:val="22"/>
              </w:rPr>
              <w:t xml:space="preserve">The paper demonstrates how realist, qualitative research can provide useful learning for policy and practice, even when the overall, quantitative result of a trial of a preventative intervention is null. </w:t>
            </w:r>
          </w:p>
        </w:tc>
      </w:tr>
      <w:bookmarkEnd w:id="0"/>
    </w:tbl>
    <w:p w14:paraId="2BF5DBBA" w14:textId="77777777" w:rsidR="001257C3" w:rsidRDefault="001257C3"/>
    <w:sectPr w:rsidR="00125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C3"/>
    <w:rsid w:val="001257C3"/>
    <w:rsid w:val="00AC21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7ABA"/>
  <w15:chartTrackingRefBased/>
  <w15:docId w15:val="{41269F65-5B19-4E45-85B6-8141F816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C3"/>
    <w:pPr>
      <w:spacing w:before="20" w:after="20" w:line="300" w:lineRule="auto"/>
      <w:jc w:val="both"/>
    </w:pPr>
    <w:rPr>
      <w:rFonts w:eastAsiaTheme="minorHAnsi"/>
      <w:color w:val="000000" w:themeColor="text1"/>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257C3"/>
    <w:rPr>
      <w:b/>
      <w:bCs/>
      <w:color w:val="FFFFFF" w:themeColor="background1"/>
      <w:shd w:val="clear" w:color="auto" w:fill="58595B"/>
      <w:lang w:val="en-GB"/>
    </w:rPr>
  </w:style>
  <w:style w:type="paragraph" w:customStyle="1" w:styleId="Tabela">
    <w:name w:val="Tabela"/>
    <w:basedOn w:val="Normal"/>
    <w:qFormat/>
    <w:rsid w:val="001257C3"/>
    <w:pPr>
      <w:spacing w:before="0" w:after="0" w:line="240" w:lineRule="auto"/>
      <w:jc w:val="left"/>
    </w:pPr>
    <w:rPr>
      <w:color w:val="auto"/>
      <w:sz w:val="18"/>
      <w:szCs w:val="18"/>
    </w:rPr>
  </w:style>
  <w:style w:type="table" w:customStyle="1" w:styleId="Estilo3">
    <w:name w:val="Estilo3"/>
    <w:basedOn w:val="TableNormal"/>
    <w:uiPriority w:val="99"/>
    <w:rsid w:val="001257C3"/>
    <w:pPr>
      <w:spacing w:after="0" w:line="240" w:lineRule="auto"/>
    </w:pPr>
    <w:rPr>
      <w:rFonts w:eastAsiaTheme="minorHAnsi"/>
      <w:lang w:val="en-US" w:eastAsia="en-US" w:bidi="en-US"/>
    </w:rPr>
    <w:tblPr>
      <w:tbl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insideH w:val="single" w:sz="4" w:space="0" w:color="DEEAF6" w:themeColor="accent5" w:themeTint="33"/>
        <w:insideV w:val="single" w:sz="4" w:space="0" w:color="DEEAF6" w:themeColor="accent5" w:themeTint="33"/>
      </w:tblBorders>
    </w:tblPr>
    <w:tcPr>
      <w:shd w:val="clear" w:color="auto" w:fill="auto"/>
      <w:vAlign w:val="center"/>
    </w:tcPr>
    <w:tblStylePr w:type="firstCol">
      <w:rPr>
        <w:b/>
        <w:color w:val="A5A5A5" w:themeColor="accent3"/>
      </w:rPr>
      <w:tblPr/>
      <w:tcPr>
        <w:shd w:val="clear" w:color="auto" w:fill="DDDDD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2246</Characters>
  <Application>Microsoft Office Word</Application>
  <DocSecurity>4</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Hendrie</dc:creator>
  <cp:keywords/>
  <dc:description/>
  <cp:lastModifiedBy>George Austin-Coskry</cp:lastModifiedBy>
  <cp:revision>2</cp:revision>
  <dcterms:created xsi:type="dcterms:W3CDTF">2022-12-08T08:57:00Z</dcterms:created>
  <dcterms:modified xsi:type="dcterms:W3CDTF">2022-12-08T08:57:00Z</dcterms:modified>
</cp:coreProperties>
</file>